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6B" w:rsidRDefault="00851B6B">
      <w:pPr>
        <w:pStyle w:val="AustralianCapitalTerritory"/>
      </w:pPr>
      <w:bookmarkStart w:id="0" w:name="_GoBack"/>
      <w:bookmarkEnd w:id="0"/>
      <w:smartTag w:uri="urn:schemas-microsoft-com:office:smarttags" w:element="place">
        <w:smartTag w:uri="urn:schemas-microsoft-com:office:smarttags" w:element="State">
          <w:r>
            <w:t>Australian Capital Territory</w:t>
          </w:r>
        </w:smartTag>
      </w:smartTag>
    </w:p>
    <w:p w:rsidR="00851B6B" w:rsidRDefault="00851B6B">
      <w:pPr>
        <w:pStyle w:val="AustralianCapitalTerritory"/>
      </w:pPr>
    </w:p>
    <w:p w:rsidR="00851B6B" w:rsidRDefault="00851B6B">
      <w:pPr>
        <w:pStyle w:val="AustralianCapitalTerritory"/>
      </w:pPr>
    </w:p>
    <w:p w:rsidR="00851B6B" w:rsidRDefault="00851B6B">
      <w:pPr>
        <w:rPr>
          <w:rFonts w:ascii="Arial" w:hAnsi="Arial"/>
          <w:b/>
          <w:bCs/>
          <w:sz w:val="40"/>
          <w:szCs w:val="40"/>
        </w:rPr>
      </w:pPr>
      <w:bookmarkStart w:id="1" w:name="_Toc263154333"/>
      <w:bookmarkStart w:id="2" w:name="title"/>
      <w:r>
        <w:rPr>
          <w:rFonts w:ascii="Arial" w:hAnsi="Arial"/>
          <w:b/>
          <w:bCs/>
          <w:sz w:val="40"/>
          <w:szCs w:val="40"/>
        </w:rPr>
        <w:t>Construction Occupations (Licensing) Unit Title Site Assessment Code of Practice 2010</w:t>
      </w:r>
      <w:bookmarkEnd w:id="1"/>
      <w:bookmarkEnd w:id="2"/>
      <w:r>
        <w:rPr>
          <w:rFonts w:ascii="Arial" w:hAnsi="Arial"/>
          <w:b/>
          <w:bCs/>
          <w:sz w:val="40"/>
          <w:szCs w:val="40"/>
        </w:rPr>
        <w:t xml:space="preserve"> (No 2)</w:t>
      </w:r>
    </w:p>
    <w:p w:rsidR="00851B6B" w:rsidRDefault="00851B6B">
      <w:pPr>
        <w:spacing w:before="240" w:after="60"/>
        <w:rPr>
          <w:rFonts w:ascii="Arial" w:hAnsi="Arial"/>
          <w:b/>
          <w:bCs/>
          <w:vertAlign w:val="superscript"/>
        </w:rPr>
      </w:pPr>
      <w:r>
        <w:rPr>
          <w:rFonts w:ascii="Arial" w:hAnsi="Arial"/>
          <w:b/>
          <w:bCs/>
        </w:rPr>
        <w:t>Notifiable instrument NI2010–582</w:t>
      </w:r>
    </w:p>
    <w:p w:rsidR="00851B6B" w:rsidRDefault="00851B6B">
      <w:pPr>
        <w:spacing w:before="240" w:after="60"/>
      </w:pPr>
      <w:r>
        <w:t>Made under the</w:t>
      </w:r>
    </w:p>
    <w:p w:rsidR="00851B6B" w:rsidRDefault="00851B6B">
      <w:pPr>
        <w:pStyle w:val="Heading4"/>
      </w:pPr>
      <w:r>
        <w:t>Construction Occupations (Licensing) Act 2004</w:t>
      </w:r>
      <w:r>
        <w:rPr>
          <w:i w:val="0"/>
        </w:rPr>
        <w:t>, section 104 (Registrar’s functions)</w:t>
      </w:r>
    </w:p>
    <w:p w:rsidR="00851B6B" w:rsidRDefault="00851B6B">
      <w:pPr>
        <w:pBdr>
          <w:top w:val="single" w:sz="8" w:space="1" w:color="auto"/>
        </w:pBdr>
      </w:pPr>
    </w:p>
    <w:p w:rsidR="00851B6B" w:rsidRDefault="00851B6B">
      <w:pPr>
        <w:spacing w:before="60" w:after="60"/>
        <w:ind w:left="720" w:hanging="720"/>
        <w:rPr>
          <w:rFonts w:ascii="Arial" w:hAnsi="Arial"/>
          <w:b/>
          <w:bCs/>
        </w:rPr>
      </w:pPr>
      <w:r>
        <w:rPr>
          <w:rFonts w:ascii="Arial" w:hAnsi="Arial"/>
          <w:b/>
          <w:bCs/>
        </w:rPr>
        <w:t>1</w:t>
      </w:r>
      <w:r>
        <w:rPr>
          <w:rFonts w:ascii="Arial" w:hAnsi="Arial"/>
          <w:b/>
          <w:bCs/>
        </w:rPr>
        <w:tab/>
        <w:t>Name of instrument</w:t>
      </w:r>
    </w:p>
    <w:p w:rsidR="00851B6B" w:rsidRDefault="00851B6B" w:rsidP="008A266E">
      <w:pPr>
        <w:spacing w:after="120"/>
        <w:ind w:left="709"/>
      </w:pPr>
      <w:r>
        <w:t xml:space="preserve">This instrument is the </w:t>
      </w:r>
      <w:r>
        <w:rPr>
          <w:i/>
        </w:rPr>
        <w:t>Construction Occupations (Licensing) Unit Title Site Assessment Code of Practice 2010 (No 2)</w:t>
      </w:r>
      <w:r>
        <w:rPr>
          <w:i/>
          <w:szCs w:val="24"/>
        </w:rPr>
        <w:t>.</w:t>
      </w:r>
    </w:p>
    <w:p w:rsidR="00851B6B" w:rsidRDefault="00851B6B" w:rsidP="008A266E">
      <w:pPr>
        <w:spacing w:before="240" w:after="60"/>
        <w:ind w:left="720" w:hanging="720"/>
        <w:rPr>
          <w:rFonts w:ascii="Arial" w:hAnsi="Arial"/>
          <w:b/>
          <w:bCs/>
        </w:rPr>
      </w:pPr>
      <w:r>
        <w:rPr>
          <w:rFonts w:ascii="Arial" w:hAnsi="Arial"/>
          <w:b/>
          <w:bCs/>
        </w:rPr>
        <w:t>2</w:t>
      </w:r>
      <w:r>
        <w:rPr>
          <w:rFonts w:ascii="Arial" w:hAnsi="Arial"/>
          <w:b/>
          <w:bCs/>
        </w:rPr>
        <w:tab/>
        <w:t xml:space="preserve">Commencement </w:t>
      </w:r>
    </w:p>
    <w:p w:rsidR="00851B6B" w:rsidRDefault="00851B6B" w:rsidP="008A266E">
      <w:pPr>
        <w:spacing w:after="120"/>
        <w:ind w:left="709"/>
      </w:pPr>
      <w:r>
        <w:t xml:space="preserve">This instrument commences the day after notification. </w:t>
      </w:r>
    </w:p>
    <w:p w:rsidR="008A266E" w:rsidRPr="008A266E" w:rsidRDefault="008A266E" w:rsidP="008A266E">
      <w:pPr>
        <w:spacing w:before="240" w:after="60"/>
        <w:ind w:left="720" w:hanging="720"/>
        <w:rPr>
          <w:rFonts w:ascii="Arial" w:hAnsi="Arial" w:cs="Arial"/>
          <w:b/>
          <w:bCs/>
          <w:szCs w:val="24"/>
          <w:lang w:eastAsia="en-AU"/>
        </w:rPr>
      </w:pPr>
      <w:r w:rsidRPr="008A266E">
        <w:rPr>
          <w:rFonts w:ascii="Arial" w:hAnsi="Arial" w:cs="Arial"/>
          <w:b/>
        </w:rPr>
        <w:t>3</w:t>
      </w:r>
      <w:r w:rsidRPr="008A266E">
        <w:rPr>
          <w:rFonts w:ascii="Arial" w:hAnsi="Arial" w:cs="Arial"/>
          <w:b/>
        </w:rPr>
        <w:tab/>
      </w:r>
      <w:r w:rsidRPr="008A266E">
        <w:rPr>
          <w:rFonts w:ascii="Arial" w:hAnsi="Arial" w:cs="Arial"/>
          <w:b/>
          <w:bCs/>
          <w:szCs w:val="24"/>
          <w:lang w:eastAsia="en-AU"/>
        </w:rPr>
        <w:t>Code of practice</w:t>
      </w:r>
    </w:p>
    <w:p w:rsidR="008A266E" w:rsidRDefault="008A266E" w:rsidP="008A266E">
      <w:pPr>
        <w:autoSpaceDE w:val="0"/>
        <w:autoSpaceDN w:val="0"/>
        <w:adjustRightInd w:val="0"/>
        <w:ind w:firstLine="720"/>
        <w:rPr>
          <w:szCs w:val="24"/>
          <w:lang w:eastAsia="en-AU"/>
        </w:rPr>
      </w:pPr>
      <w:r>
        <w:rPr>
          <w:szCs w:val="24"/>
          <w:lang w:eastAsia="en-AU"/>
        </w:rPr>
        <w:t>The attached ‘Unit Title Site Assessment Code of Practice’ is a code of</w:t>
      </w:r>
    </w:p>
    <w:p w:rsidR="008A266E" w:rsidRDefault="008A266E" w:rsidP="008A266E">
      <w:pPr>
        <w:autoSpaceDE w:val="0"/>
        <w:autoSpaceDN w:val="0"/>
        <w:adjustRightInd w:val="0"/>
        <w:ind w:firstLine="720"/>
        <w:rPr>
          <w:i/>
          <w:iCs/>
          <w:szCs w:val="24"/>
          <w:lang w:eastAsia="en-AU"/>
        </w:rPr>
      </w:pPr>
      <w:r>
        <w:rPr>
          <w:szCs w:val="24"/>
          <w:lang w:eastAsia="en-AU"/>
        </w:rPr>
        <w:t xml:space="preserve">practice developed by the Registrar under the </w:t>
      </w:r>
      <w:r>
        <w:rPr>
          <w:i/>
          <w:iCs/>
          <w:szCs w:val="24"/>
          <w:lang w:eastAsia="en-AU"/>
        </w:rPr>
        <w:t>Construction Occupations</w:t>
      </w:r>
    </w:p>
    <w:p w:rsidR="008A266E" w:rsidRPr="008A266E" w:rsidRDefault="008A266E" w:rsidP="008A266E">
      <w:pPr>
        <w:spacing w:after="120"/>
        <w:ind w:left="709"/>
        <w:rPr>
          <w:szCs w:val="24"/>
          <w:lang w:eastAsia="en-AU"/>
        </w:rPr>
      </w:pPr>
      <w:r>
        <w:rPr>
          <w:i/>
          <w:iCs/>
          <w:szCs w:val="24"/>
          <w:lang w:eastAsia="en-AU"/>
        </w:rPr>
        <w:t>(Licensing) Act 2004</w:t>
      </w:r>
      <w:r>
        <w:rPr>
          <w:szCs w:val="24"/>
          <w:lang w:eastAsia="en-AU"/>
        </w:rPr>
        <w:t>, section 104 (Registrar’s functions).</w:t>
      </w:r>
    </w:p>
    <w:p w:rsidR="00851B6B" w:rsidRPr="008A266E" w:rsidRDefault="008A266E" w:rsidP="008A266E">
      <w:pPr>
        <w:spacing w:before="240" w:after="60"/>
        <w:ind w:left="720" w:hanging="720"/>
        <w:rPr>
          <w:rFonts w:ascii="Arial" w:hAnsi="Arial"/>
          <w:b/>
          <w:bCs/>
        </w:rPr>
      </w:pPr>
      <w:bookmarkStart w:id="3" w:name="_Toc263156763"/>
      <w:r w:rsidRPr="008A266E">
        <w:rPr>
          <w:rFonts w:ascii="Arial" w:hAnsi="Arial"/>
          <w:b/>
          <w:bCs/>
        </w:rPr>
        <w:t>4</w:t>
      </w:r>
      <w:r w:rsidR="00851B6B" w:rsidRPr="008A266E">
        <w:rPr>
          <w:rFonts w:ascii="Arial" w:hAnsi="Arial"/>
          <w:b/>
          <w:bCs/>
        </w:rPr>
        <w:tab/>
      </w:r>
      <w:bookmarkEnd w:id="3"/>
      <w:r w:rsidR="00851B6B" w:rsidRPr="008A266E">
        <w:rPr>
          <w:rFonts w:ascii="Arial" w:hAnsi="Arial"/>
          <w:b/>
          <w:bCs/>
        </w:rPr>
        <w:t>Revocation</w:t>
      </w:r>
    </w:p>
    <w:p w:rsidR="00851B6B" w:rsidRDefault="00851B6B" w:rsidP="008A266E">
      <w:pPr>
        <w:spacing w:after="120"/>
        <w:ind w:left="709"/>
      </w:pPr>
      <w:r>
        <w:t xml:space="preserve">This instrument revokes </w:t>
      </w:r>
      <w:r>
        <w:rPr>
          <w:i/>
        </w:rPr>
        <w:t xml:space="preserve">Construction Occupations (Licensing) Unit Title Site Assessment Code of Practice 2010 </w:t>
      </w:r>
      <w:r>
        <w:t>(NI2010-530).</w:t>
      </w:r>
    </w:p>
    <w:p w:rsidR="00851B6B" w:rsidRDefault="00851B6B"/>
    <w:p w:rsidR="00851B6B" w:rsidRDefault="00851B6B"/>
    <w:p w:rsidR="00851B6B" w:rsidRDefault="00851B6B"/>
    <w:p w:rsidR="00851B6B" w:rsidRDefault="00851B6B"/>
    <w:p w:rsidR="00851B6B" w:rsidRDefault="00851B6B"/>
    <w:p w:rsidR="00851B6B" w:rsidRDefault="00851B6B">
      <w:r>
        <w:t>David Middlemiss</w:t>
      </w:r>
    </w:p>
    <w:p w:rsidR="00851B6B" w:rsidRDefault="00851B6B">
      <w:r>
        <w:t>ACT Construction Occupations Registrar</w:t>
      </w:r>
    </w:p>
    <w:p w:rsidR="00851B6B" w:rsidRDefault="0080461C">
      <w:pPr>
        <w:spacing w:before="120"/>
      </w:pPr>
      <w:r>
        <w:t xml:space="preserve">20 </w:t>
      </w:r>
      <w:r w:rsidR="00851B6B">
        <w:t>October 2010</w:t>
      </w:r>
    </w:p>
    <w:p w:rsidR="00851B6B" w:rsidRDefault="00851B6B">
      <w:pPr>
        <w:spacing w:after="75"/>
        <w:ind w:left="435"/>
        <w:jc w:val="center"/>
      </w:pPr>
      <w:r>
        <w:br w:type="page"/>
      </w: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
          </v:shape>
        </w:pict>
      </w:r>
    </w:p>
    <w:p w:rsidR="00851B6B" w:rsidRDefault="00851B6B">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51B6B" w:rsidRDefault="00851B6B">
      <w:pPr>
        <w:jc w:val="center"/>
        <w:rPr>
          <w:rFonts w:ascii="Arial" w:hAnsi="Arial"/>
        </w:rPr>
      </w:pPr>
    </w:p>
    <w:p w:rsidR="00851B6B" w:rsidRDefault="00851B6B">
      <w:pPr>
        <w:rPr>
          <w:rFonts w:ascii="Arial" w:hAnsi="Arial" w:cs="Arial"/>
          <w:b/>
          <w:sz w:val="40"/>
          <w:szCs w:val="40"/>
        </w:rPr>
      </w:pPr>
      <w:r>
        <w:rPr>
          <w:rFonts w:ascii="Arial" w:hAnsi="Arial" w:cs="Arial"/>
          <w:b/>
          <w:sz w:val="40"/>
          <w:szCs w:val="40"/>
        </w:rPr>
        <w:t>Unit title site assessment code of practice</w:t>
      </w:r>
    </w:p>
    <w:p w:rsidR="00851B6B" w:rsidRDefault="00851B6B"/>
    <w:p w:rsidR="00851B6B" w:rsidRDefault="00851B6B">
      <w:pPr>
        <w:rPr>
          <w:rFonts w:ascii="Arial" w:hAnsi="Arial" w:cs="Arial"/>
        </w:rPr>
      </w:pPr>
      <w:r>
        <w:rPr>
          <w:rFonts w:ascii="Arial" w:hAnsi="Arial" w:cs="Arial"/>
        </w:rPr>
        <w:t xml:space="preserve">made under the </w:t>
      </w:r>
    </w:p>
    <w:p w:rsidR="00851B6B" w:rsidRDefault="00851B6B">
      <w:pPr>
        <w:rPr>
          <w:rFonts w:ascii="Arial" w:hAnsi="Arial" w:cs="Arial"/>
        </w:rPr>
      </w:pPr>
    </w:p>
    <w:p w:rsidR="00851B6B" w:rsidRDefault="00851B6B">
      <w:pPr>
        <w:rPr>
          <w:rFonts w:ascii="Arial" w:hAnsi="Arial" w:cs="Arial"/>
          <w:b/>
        </w:rPr>
      </w:pPr>
      <w:r>
        <w:rPr>
          <w:rFonts w:ascii="Arial" w:hAnsi="Arial" w:cs="Arial"/>
          <w:b/>
        </w:rPr>
        <w:t>Construction Occupations (Licensing) Act 2004</w:t>
      </w:r>
    </w:p>
    <w:p w:rsidR="00851B6B" w:rsidRDefault="00851B6B"/>
    <w:p w:rsidR="00851B6B" w:rsidRDefault="00851B6B"/>
    <w:p w:rsidR="00851B6B" w:rsidRDefault="00851B6B">
      <w:pPr>
        <w:pStyle w:val="N-TOCheading"/>
      </w:pPr>
      <w:r>
        <w:rPr>
          <w:rStyle w:val="charContents"/>
        </w:rPr>
        <w:t>Contents</w:t>
      </w:r>
    </w:p>
    <w:p w:rsidR="00851B6B" w:rsidRDefault="00851B6B">
      <w:pPr>
        <w:pStyle w:val="N-9pt"/>
        <w:tabs>
          <w:tab w:val="clear" w:pos="7707"/>
          <w:tab w:val="right" w:pos="8222"/>
        </w:tabs>
      </w:pPr>
      <w:r>
        <w:tab/>
      </w:r>
      <w:r>
        <w:rPr>
          <w:rStyle w:val="charPage"/>
        </w:rPr>
        <w:t>Page</w:t>
      </w:r>
    </w:p>
    <w:p w:rsidR="00851B6B" w:rsidRDefault="00851B6B">
      <w:pPr>
        <w:pStyle w:val="TOC1"/>
        <w:tabs>
          <w:tab w:val="left" w:pos="1200"/>
          <w:tab w:val="right" w:leader="dot" w:pos="8296"/>
        </w:tabs>
        <w:spacing w:afterLines="90" w:after="216"/>
        <w:rPr>
          <w:b w:val="0"/>
          <w:bCs w:val="0"/>
          <w:caps w:val="0"/>
          <w:noProof/>
          <w:lang w:eastAsia="en-AU"/>
        </w:rPr>
      </w:pPr>
      <w:r>
        <w:rPr>
          <w:bCs w:val="0"/>
          <w:caps w:val="0"/>
        </w:rPr>
        <w:fldChar w:fldCharType="begin"/>
      </w:r>
      <w:r>
        <w:rPr>
          <w:bCs w:val="0"/>
          <w:caps w:val="0"/>
        </w:rPr>
        <w:instrText xml:space="preserve"> TOC \o "1-3" \h \z \u </w:instrText>
      </w:r>
      <w:r>
        <w:rPr>
          <w:bCs w:val="0"/>
          <w:caps w:val="0"/>
        </w:rPr>
        <w:fldChar w:fldCharType="separate"/>
      </w:r>
      <w:hyperlink w:anchor="_Toc271621014" w:history="1">
        <w:r>
          <w:rPr>
            <w:rStyle w:val="Hyperlink"/>
            <w:noProof/>
          </w:rPr>
          <w:t>Part 1</w:t>
        </w:r>
        <w:r>
          <w:rPr>
            <w:b w:val="0"/>
            <w:bCs w:val="0"/>
            <w:caps w:val="0"/>
            <w:noProof/>
            <w:lang w:eastAsia="en-AU"/>
          </w:rPr>
          <w:tab/>
        </w:r>
        <w:r>
          <w:rPr>
            <w:rStyle w:val="Hyperlink"/>
            <w:noProof/>
          </w:rPr>
          <w:t xml:space="preserve"> </w:t>
        </w:r>
        <w:r>
          <w:rPr>
            <w:rStyle w:val="Hyperlink"/>
            <w:noProof/>
            <w:lang w:eastAsia="en-AU"/>
          </w:rPr>
          <w:t>Preliminary</w:t>
        </w:r>
        <w:r>
          <w:rPr>
            <w:noProof/>
            <w:webHidden/>
          </w:rPr>
          <w:tab/>
        </w:r>
        <w:r>
          <w:rPr>
            <w:noProof/>
            <w:webHidden/>
          </w:rPr>
          <w:fldChar w:fldCharType="begin"/>
        </w:r>
        <w:r>
          <w:rPr>
            <w:noProof/>
            <w:webHidden/>
          </w:rPr>
          <w:instrText xml:space="preserve"> PAGEREF _Toc271621014 \h </w:instrText>
        </w:r>
        <w:r>
          <w:rPr>
            <w:noProof/>
          </w:rPr>
        </w:r>
        <w:r>
          <w:rPr>
            <w:noProof/>
            <w:webHidden/>
          </w:rPr>
          <w:fldChar w:fldCharType="separate"/>
        </w:r>
        <w:r>
          <w:rPr>
            <w:noProof/>
            <w:webHidden/>
          </w:rPr>
          <w:t>2</w:t>
        </w:r>
        <w:r>
          <w:rPr>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15" w:history="1">
        <w:r>
          <w:rPr>
            <w:rStyle w:val="Hyperlink"/>
            <w:rFonts w:ascii="Arial" w:hAnsi="Arial" w:cs="Arial"/>
            <w:noProof/>
            <w:lang w:eastAsia="en-AU"/>
          </w:rPr>
          <w:t>1</w:t>
        </w:r>
        <w:r>
          <w:rPr>
            <w:rFonts w:ascii="Arial" w:hAnsi="Arial" w:cs="Arial"/>
            <w:noProof/>
            <w:sz w:val="24"/>
            <w:szCs w:val="24"/>
            <w:lang w:eastAsia="en-AU"/>
          </w:rPr>
          <w:tab/>
        </w:r>
        <w:r>
          <w:rPr>
            <w:rStyle w:val="Hyperlink"/>
            <w:rFonts w:ascii="Arial" w:hAnsi="Arial" w:cs="Arial"/>
            <w:noProof/>
            <w:lang w:eastAsia="en-AU"/>
          </w:rPr>
          <w:t>Name of code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_Toc271621015 \h </w:instrText>
        </w:r>
        <w:r>
          <w:rPr>
            <w:rFonts w:ascii="Arial" w:hAnsi="Arial" w:cs="Arial"/>
            <w:noProof/>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16" w:history="1">
        <w:r>
          <w:rPr>
            <w:rStyle w:val="Hyperlink"/>
            <w:rFonts w:ascii="Arial" w:hAnsi="Arial" w:cs="Arial"/>
            <w:noProof/>
            <w:lang w:eastAsia="en-AU"/>
          </w:rPr>
          <w:t>2</w:t>
        </w:r>
        <w:r>
          <w:rPr>
            <w:rFonts w:ascii="Arial" w:hAnsi="Arial" w:cs="Arial"/>
            <w:noProof/>
            <w:sz w:val="24"/>
            <w:szCs w:val="24"/>
            <w:lang w:eastAsia="en-AU"/>
          </w:rPr>
          <w:tab/>
        </w:r>
        <w:r>
          <w:rPr>
            <w:rStyle w:val="Hyperlink"/>
            <w:rFonts w:ascii="Arial" w:hAnsi="Arial" w:cs="Arial"/>
            <w:noProof/>
            <w:lang w:eastAsia="en-AU"/>
          </w:rPr>
          <w:t>Offences and other consequences of contravening this code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_Toc271621016 \h </w:instrText>
        </w:r>
        <w:r>
          <w:rPr>
            <w:rFonts w:ascii="Arial" w:hAnsi="Arial" w:cs="Arial"/>
            <w:noProof/>
          </w:rPr>
        </w:r>
        <w:r>
          <w:rPr>
            <w:rFonts w:ascii="Arial" w:hAnsi="Arial" w:cs="Arial"/>
            <w:noProof/>
            <w:webHidden/>
          </w:rPr>
          <w:fldChar w:fldCharType="separate"/>
        </w:r>
        <w:r>
          <w:rPr>
            <w:rFonts w:ascii="Arial" w:hAnsi="Arial" w:cs="Arial"/>
            <w:noProof/>
            <w:webHidden/>
          </w:rPr>
          <w:t>2</w:t>
        </w:r>
        <w:r>
          <w:rPr>
            <w:rFonts w:ascii="Arial" w:hAnsi="Arial" w:cs="Arial"/>
            <w:noProof/>
            <w:webHidden/>
          </w:rPr>
          <w:fldChar w:fldCharType="end"/>
        </w:r>
      </w:hyperlink>
    </w:p>
    <w:p w:rsidR="00851B6B" w:rsidRDefault="00851B6B">
      <w:pPr>
        <w:pStyle w:val="TOC1"/>
        <w:tabs>
          <w:tab w:val="left" w:pos="1200"/>
          <w:tab w:val="right" w:leader="dot" w:pos="8296"/>
        </w:tabs>
        <w:spacing w:afterLines="90" w:after="216"/>
        <w:rPr>
          <w:b w:val="0"/>
          <w:bCs w:val="0"/>
          <w:caps w:val="0"/>
          <w:noProof/>
          <w:lang w:eastAsia="en-AU"/>
        </w:rPr>
      </w:pPr>
      <w:hyperlink w:anchor="_Toc271621017" w:history="1">
        <w:r>
          <w:rPr>
            <w:rStyle w:val="Hyperlink"/>
            <w:noProof/>
          </w:rPr>
          <w:t>Part 2</w:t>
        </w:r>
        <w:r>
          <w:rPr>
            <w:b w:val="0"/>
            <w:bCs w:val="0"/>
            <w:caps w:val="0"/>
            <w:noProof/>
            <w:lang w:eastAsia="en-AU"/>
          </w:rPr>
          <w:tab/>
        </w:r>
        <w:r>
          <w:rPr>
            <w:rStyle w:val="Hyperlink"/>
            <w:noProof/>
            <w:lang w:eastAsia="en-AU"/>
          </w:rPr>
          <w:t>Important concepts</w:t>
        </w:r>
        <w:r>
          <w:rPr>
            <w:noProof/>
            <w:webHidden/>
          </w:rPr>
          <w:tab/>
        </w:r>
        <w:r>
          <w:rPr>
            <w:noProof/>
            <w:webHidden/>
          </w:rPr>
          <w:fldChar w:fldCharType="begin"/>
        </w:r>
        <w:r>
          <w:rPr>
            <w:noProof/>
            <w:webHidden/>
          </w:rPr>
          <w:instrText xml:space="preserve"> PAGEREF _Toc271621017 \h </w:instrText>
        </w:r>
        <w:r>
          <w:rPr>
            <w:noProof/>
          </w:rPr>
        </w:r>
        <w:r>
          <w:rPr>
            <w:noProof/>
            <w:webHidden/>
          </w:rPr>
          <w:fldChar w:fldCharType="separate"/>
        </w:r>
        <w:r>
          <w:rPr>
            <w:noProof/>
            <w:webHidden/>
          </w:rPr>
          <w:t>3</w:t>
        </w:r>
        <w:r>
          <w:rPr>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18" w:history="1">
        <w:r>
          <w:rPr>
            <w:rStyle w:val="Hyperlink"/>
            <w:rFonts w:ascii="Arial" w:hAnsi="Arial" w:cs="Arial"/>
            <w:noProof/>
            <w:lang w:eastAsia="en-AU"/>
          </w:rPr>
          <w:t>3</w:t>
        </w:r>
        <w:r>
          <w:rPr>
            <w:rFonts w:ascii="Arial" w:hAnsi="Arial" w:cs="Arial"/>
            <w:noProof/>
            <w:sz w:val="24"/>
            <w:szCs w:val="24"/>
            <w:lang w:eastAsia="en-AU"/>
          </w:rPr>
          <w:tab/>
        </w:r>
        <w:r>
          <w:rPr>
            <w:rStyle w:val="Hyperlink"/>
            <w:rFonts w:ascii="Arial" w:hAnsi="Arial" w:cs="Arial"/>
            <w:noProof/>
            <w:lang w:eastAsia="en-AU"/>
          </w:rPr>
          <w:t>Application to assessors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_Toc271621018 \h </w:instrText>
        </w:r>
        <w:r>
          <w:rPr>
            <w:rFonts w:ascii="Arial" w:hAnsi="Arial" w:cs="Arial"/>
            <w:noProof/>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19" w:history="1">
        <w:r>
          <w:rPr>
            <w:rStyle w:val="Hyperlink"/>
            <w:rFonts w:ascii="Arial" w:hAnsi="Arial" w:cs="Arial"/>
            <w:noProof/>
            <w:lang w:eastAsia="en-AU"/>
          </w:rPr>
          <w:t>4</w:t>
        </w:r>
        <w:r>
          <w:rPr>
            <w:rFonts w:ascii="Arial" w:hAnsi="Arial" w:cs="Arial"/>
            <w:noProof/>
            <w:sz w:val="24"/>
            <w:szCs w:val="24"/>
            <w:lang w:eastAsia="en-AU"/>
          </w:rPr>
          <w:tab/>
        </w:r>
        <w:r>
          <w:rPr>
            <w:rStyle w:val="Hyperlink"/>
            <w:rFonts w:ascii="Arial" w:hAnsi="Arial" w:cs="Arial"/>
            <w:noProof/>
            <w:lang w:eastAsia="en-AU"/>
          </w:rPr>
          <w:t>Object of code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_Toc271621019 \h </w:instrText>
        </w:r>
        <w:r>
          <w:rPr>
            <w:rFonts w:ascii="Arial" w:hAnsi="Arial" w:cs="Arial"/>
            <w:noProof/>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20" w:history="1">
        <w:r>
          <w:rPr>
            <w:rStyle w:val="Hyperlink"/>
            <w:rFonts w:ascii="Arial" w:hAnsi="Arial" w:cs="Arial"/>
            <w:noProof/>
            <w:lang w:eastAsia="en-AU"/>
          </w:rPr>
          <w:t>5</w:t>
        </w:r>
        <w:r>
          <w:rPr>
            <w:rFonts w:ascii="Arial" w:hAnsi="Arial" w:cs="Arial"/>
            <w:noProof/>
            <w:sz w:val="24"/>
            <w:szCs w:val="24"/>
            <w:lang w:eastAsia="en-AU"/>
          </w:rPr>
          <w:tab/>
        </w:r>
        <w:r>
          <w:rPr>
            <w:rStyle w:val="Hyperlink"/>
            <w:rFonts w:ascii="Arial" w:hAnsi="Arial" w:cs="Arial"/>
            <w:noProof/>
            <w:lang w:eastAsia="en-AU"/>
          </w:rPr>
          <w:t>Code scope—correlation with scope of development approval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_Toc271621020 \h </w:instrText>
        </w:r>
        <w:r>
          <w:rPr>
            <w:rFonts w:ascii="Arial" w:hAnsi="Arial" w:cs="Arial"/>
            <w:noProof/>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21" w:history="1">
        <w:r>
          <w:rPr>
            <w:rStyle w:val="Hyperlink"/>
            <w:rFonts w:ascii="Arial" w:hAnsi="Arial" w:cs="Arial"/>
            <w:noProof/>
            <w:lang w:eastAsia="en-AU"/>
          </w:rPr>
          <w:t>6</w:t>
        </w:r>
        <w:r>
          <w:rPr>
            <w:rFonts w:ascii="Arial" w:hAnsi="Arial" w:cs="Arial"/>
            <w:noProof/>
            <w:sz w:val="24"/>
            <w:szCs w:val="24"/>
            <w:lang w:eastAsia="en-AU"/>
          </w:rPr>
          <w:tab/>
        </w:r>
        <w:r>
          <w:rPr>
            <w:rStyle w:val="Hyperlink"/>
            <w:rFonts w:ascii="Arial" w:hAnsi="Arial" w:cs="Arial"/>
            <w:noProof/>
            <w:lang w:eastAsia="en-AU"/>
          </w:rPr>
          <w:t xml:space="preserve">Meaning of certain terms—correlation with </w:t>
        </w:r>
        <w:r>
          <w:rPr>
            <w:rStyle w:val="Hyperlink"/>
            <w:rFonts w:ascii="Arial" w:hAnsi="Arial" w:cs="Arial"/>
            <w:i/>
            <w:noProof/>
            <w:lang w:eastAsia="en-AU"/>
          </w:rPr>
          <w:t>Unit Titles Act 2001</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_Toc271621021 \h </w:instrText>
        </w:r>
        <w:r>
          <w:rPr>
            <w:rFonts w:ascii="Arial" w:hAnsi="Arial" w:cs="Arial"/>
            <w:noProof/>
          </w:rPr>
        </w:r>
        <w:r>
          <w:rPr>
            <w:rFonts w:ascii="Arial" w:hAnsi="Arial" w:cs="Arial"/>
            <w:noProof/>
            <w:webHidden/>
          </w:rPr>
          <w:fldChar w:fldCharType="separate"/>
        </w:r>
        <w:r>
          <w:rPr>
            <w:rFonts w:ascii="Arial" w:hAnsi="Arial" w:cs="Arial"/>
            <w:noProof/>
            <w:webHidden/>
          </w:rPr>
          <w:t>3</w:t>
        </w:r>
        <w:r>
          <w:rPr>
            <w:rFonts w:ascii="Arial" w:hAnsi="Arial" w:cs="Arial"/>
            <w:noProof/>
            <w:webHidden/>
          </w:rPr>
          <w:fldChar w:fldCharType="end"/>
        </w:r>
      </w:hyperlink>
    </w:p>
    <w:p w:rsidR="00851B6B" w:rsidRDefault="00851B6B">
      <w:pPr>
        <w:pStyle w:val="TOC1"/>
        <w:tabs>
          <w:tab w:val="left" w:pos="1200"/>
          <w:tab w:val="right" w:leader="dot" w:pos="8296"/>
        </w:tabs>
        <w:spacing w:afterLines="90" w:after="216"/>
        <w:rPr>
          <w:b w:val="0"/>
          <w:bCs w:val="0"/>
          <w:caps w:val="0"/>
          <w:noProof/>
          <w:lang w:eastAsia="en-AU"/>
        </w:rPr>
      </w:pPr>
      <w:hyperlink w:anchor="_Toc271621022" w:history="1">
        <w:r>
          <w:rPr>
            <w:rStyle w:val="Hyperlink"/>
            <w:noProof/>
          </w:rPr>
          <w:t>Part 3</w:t>
        </w:r>
        <w:r>
          <w:rPr>
            <w:b w:val="0"/>
            <w:bCs w:val="0"/>
            <w:caps w:val="0"/>
            <w:noProof/>
            <w:lang w:eastAsia="en-AU"/>
          </w:rPr>
          <w:tab/>
        </w:r>
        <w:r>
          <w:rPr>
            <w:rStyle w:val="Hyperlink"/>
            <w:noProof/>
            <w:lang w:eastAsia="en-AU"/>
          </w:rPr>
          <w:t>Site Assessment</w:t>
        </w:r>
        <w:r>
          <w:rPr>
            <w:noProof/>
            <w:webHidden/>
          </w:rPr>
          <w:tab/>
        </w:r>
        <w:r>
          <w:rPr>
            <w:noProof/>
            <w:webHidden/>
          </w:rPr>
          <w:fldChar w:fldCharType="begin"/>
        </w:r>
        <w:r>
          <w:rPr>
            <w:noProof/>
            <w:webHidden/>
          </w:rPr>
          <w:instrText xml:space="preserve"> PAGEREF _Toc271621022 \h </w:instrText>
        </w:r>
        <w:r>
          <w:rPr>
            <w:noProof/>
          </w:rPr>
        </w:r>
        <w:r>
          <w:rPr>
            <w:noProof/>
            <w:webHidden/>
          </w:rPr>
          <w:fldChar w:fldCharType="separate"/>
        </w:r>
        <w:r>
          <w:rPr>
            <w:noProof/>
            <w:webHidden/>
          </w:rPr>
          <w:t>4</w:t>
        </w:r>
        <w:r>
          <w:rPr>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23" w:history="1">
        <w:r>
          <w:rPr>
            <w:rStyle w:val="Hyperlink"/>
            <w:rFonts w:ascii="Arial" w:hAnsi="Arial" w:cs="Arial"/>
            <w:noProof/>
            <w:lang w:eastAsia="en-AU"/>
          </w:rPr>
          <w:t>7</w:t>
        </w:r>
        <w:r>
          <w:rPr>
            <w:rFonts w:ascii="Arial" w:hAnsi="Arial" w:cs="Arial"/>
            <w:noProof/>
            <w:sz w:val="24"/>
            <w:szCs w:val="24"/>
            <w:lang w:eastAsia="en-AU"/>
          </w:rPr>
          <w:tab/>
        </w:r>
        <w:r>
          <w:rPr>
            <w:rStyle w:val="Hyperlink"/>
            <w:rFonts w:ascii="Arial" w:hAnsi="Arial" w:cs="Arial"/>
            <w:noProof/>
            <w:lang w:eastAsia="en-AU"/>
          </w:rPr>
          <w:t>Parcel and documents to be assessed</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_Toc271621023 \h </w:instrText>
        </w:r>
        <w:r>
          <w:rPr>
            <w:rFonts w:ascii="Arial" w:hAnsi="Arial" w:cs="Arial"/>
            <w:noProof/>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24" w:history="1">
        <w:r>
          <w:rPr>
            <w:rStyle w:val="Hyperlink"/>
            <w:rFonts w:ascii="Arial" w:hAnsi="Arial" w:cs="Arial"/>
            <w:noProof/>
            <w:lang w:eastAsia="en-AU"/>
          </w:rPr>
          <w:t>8</w:t>
        </w:r>
        <w:r>
          <w:rPr>
            <w:rFonts w:ascii="Arial" w:hAnsi="Arial" w:cs="Arial"/>
            <w:noProof/>
            <w:sz w:val="24"/>
            <w:szCs w:val="24"/>
            <w:lang w:eastAsia="en-AU"/>
          </w:rPr>
          <w:tab/>
        </w:r>
        <w:r>
          <w:rPr>
            <w:rStyle w:val="Hyperlink"/>
            <w:rFonts w:ascii="Arial" w:hAnsi="Arial" w:cs="Arial"/>
            <w:noProof/>
            <w:lang w:eastAsia="en-AU"/>
          </w:rPr>
          <w:t>Site correlation with site plan and relevant development approval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_Toc271621024 \h </w:instrText>
        </w:r>
        <w:r>
          <w:rPr>
            <w:rFonts w:ascii="Arial" w:hAnsi="Arial" w:cs="Arial"/>
            <w:noProof/>
          </w:rPr>
        </w:r>
        <w:r>
          <w:rPr>
            <w:rFonts w:ascii="Arial" w:hAnsi="Arial" w:cs="Arial"/>
            <w:noProof/>
            <w:webHidden/>
          </w:rPr>
          <w:fldChar w:fldCharType="separate"/>
        </w:r>
        <w:r>
          <w:rPr>
            <w:rFonts w:ascii="Arial" w:hAnsi="Arial" w:cs="Arial"/>
            <w:noProof/>
            <w:webHidden/>
          </w:rPr>
          <w:t>4</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25" w:history="1">
        <w:r>
          <w:rPr>
            <w:rStyle w:val="Hyperlink"/>
            <w:rFonts w:ascii="Arial" w:hAnsi="Arial" w:cs="Arial"/>
            <w:noProof/>
            <w:lang w:eastAsia="en-AU"/>
          </w:rPr>
          <w:t>9</w:t>
        </w:r>
        <w:r>
          <w:rPr>
            <w:rFonts w:ascii="Arial" w:hAnsi="Arial" w:cs="Arial"/>
            <w:noProof/>
            <w:sz w:val="24"/>
            <w:szCs w:val="24"/>
            <w:lang w:eastAsia="en-AU"/>
          </w:rPr>
          <w:tab/>
        </w:r>
        <w:r>
          <w:rPr>
            <w:rStyle w:val="Hyperlink"/>
            <w:rFonts w:ascii="Arial" w:hAnsi="Arial" w:cs="Arial"/>
            <w:noProof/>
            <w:lang w:eastAsia="en-AU"/>
          </w:rPr>
          <w:t>Address schedule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_Toc271621025 \h </w:instrText>
        </w:r>
        <w:r>
          <w:rPr>
            <w:rFonts w:ascii="Arial" w:hAnsi="Arial" w:cs="Arial"/>
            <w:noProof/>
          </w:rPr>
        </w:r>
        <w:r>
          <w:rPr>
            <w:rFonts w:ascii="Arial" w:hAnsi="Arial" w:cs="Arial"/>
            <w:noProof/>
            <w:webHidden/>
          </w:rPr>
          <w:fldChar w:fldCharType="separate"/>
        </w:r>
        <w:r>
          <w:rPr>
            <w:rFonts w:ascii="Arial" w:hAnsi="Arial" w:cs="Arial"/>
            <w:noProof/>
            <w:webHidden/>
          </w:rPr>
          <w:t>5</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26" w:history="1">
        <w:r>
          <w:rPr>
            <w:rStyle w:val="Hyperlink"/>
            <w:rFonts w:ascii="Arial" w:hAnsi="Arial" w:cs="Arial"/>
            <w:noProof/>
            <w:lang w:eastAsia="en-AU"/>
          </w:rPr>
          <w:t>10</w:t>
        </w:r>
        <w:r>
          <w:rPr>
            <w:rFonts w:ascii="Arial" w:hAnsi="Arial" w:cs="Arial"/>
            <w:noProof/>
            <w:sz w:val="24"/>
            <w:szCs w:val="24"/>
            <w:lang w:eastAsia="en-AU"/>
          </w:rPr>
          <w:tab/>
        </w:r>
        <w:r>
          <w:rPr>
            <w:rStyle w:val="Hyperlink"/>
            <w:rFonts w:ascii="Arial" w:hAnsi="Arial" w:cs="Arial"/>
            <w:noProof/>
            <w:lang w:eastAsia="en-AU"/>
          </w:rPr>
          <w:t>Survey certificate required</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_Toc271621026 \h </w:instrText>
        </w:r>
        <w:r>
          <w:rPr>
            <w:rFonts w:ascii="Arial" w:hAnsi="Arial" w:cs="Arial"/>
            <w:noProof/>
          </w:rPr>
        </w:r>
        <w:r>
          <w:rPr>
            <w:rFonts w:ascii="Arial" w:hAnsi="Arial" w:cs="Arial"/>
            <w:noProof/>
            <w:webHidden/>
          </w:rPr>
          <w:fldChar w:fldCharType="separate"/>
        </w:r>
        <w:r>
          <w:rPr>
            <w:rFonts w:ascii="Arial" w:hAnsi="Arial" w:cs="Arial"/>
            <w:noProof/>
            <w:webHidden/>
          </w:rPr>
          <w:t>5</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27" w:history="1">
        <w:r>
          <w:rPr>
            <w:rStyle w:val="Hyperlink"/>
            <w:rFonts w:ascii="Arial" w:hAnsi="Arial" w:cs="Arial"/>
            <w:noProof/>
            <w:lang w:eastAsia="en-AU"/>
          </w:rPr>
          <w:t>11</w:t>
        </w:r>
        <w:r>
          <w:rPr>
            <w:rFonts w:ascii="Arial" w:hAnsi="Arial" w:cs="Arial"/>
            <w:noProof/>
            <w:sz w:val="24"/>
            <w:szCs w:val="24"/>
            <w:lang w:eastAsia="en-AU"/>
          </w:rPr>
          <w:tab/>
        </w:r>
        <w:r>
          <w:rPr>
            <w:rStyle w:val="Hyperlink"/>
            <w:rFonts w:ascii="Arial" w:hAnsi="Arial" w:cs="Arial"/>
            <w:noProof/>
            <w:lang w:eastAsia="en-AU"/>
          </w:rPr>
          <w:t>Encroachment beyond parcel boundaries—unleased land</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_Toc271621027 \h </w:instrText>
        </w:r>
        <w:r>
          <w:rPr>
            <w:rFonts w:ascii="Arial" w:hAnsi="Arial" w:cs="Arial"/>
            <w:noProof/>
          </w:rPr>
        </w:r>
        <w:r>
          <w:rPr>
            <w:rFonts w:ascii="Arial" w:hAnsi="Arial" w:cs="Arial"/>
            <w:noProof/>
            <w:webHidden/>
          </w:rPr>
          <w:fldChar w:fldCharType="separate"/>
        </w:r>
        <w:r>
          <w:rPr>
            <w:rFonts w:ascii="Arial" w:hAnsi="Arial" w:cs="Arial"/>
            <w:noProof/>
            <w:webHidden/>
          </w:rPr>
          <w:t>5</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28" w:history="1">
        <w:r>
          <w:rPr>
            <w:rStyle w:val="Hyperlink"/>
            <w:rFonts w:ascii="Arial" w:hAnsi="Arial" w:cs="Arial"/>
            <w:noProof/>
            <w:lang w:eastAsia="en-AU"/>
          </w:rPr>
          <w:t>12</w:t>
        </w:r>
        <w:r>
          <w:rPr>
            <w:rFonts w:ascii="Arial" w:hAnsi="Arial" w:cs="Arial"/>
            <w:noProof/>
            <w:sz w:val="24"/>
            <w:szCs w:val="24"/>
            <w:lang w:eastAsia="en-AU"/>
          </w:rPr>
          <w:tab/>
        </w:r>
        <w:r>
          <w:rPr>
            <w:rStyle w:val="Hyperlink"/>
            <w:rFonts w:ascii="Arial" w:hAnsi="Arial" w:cs="Arial"/>
            <w:noProof/>
            <w:lang w:eastAsia="en-AU"/>
          </w:rPr>
          <w:t>Encroachment beyond parcel boundaries—leased land</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_Toc271621028 \h </w:instrText>
        </w:r>
        <w:r>
          <w:rPr>
            <w:rFonts w:ascii="Arial" w:hAnsi="Arial" w:cs="Arial"/>
            <w:noProof/>
          </w:rPr>
        </w:r>
        <w:r>
          <w:rPr>
            <w:rFonts w:ascii="Arial" w:hAnsi="Arial" w:cs="Arial"/>
            <w:noProof/>
            <w:webHidden/>
          </w:rPr>
          <w:fldChar w:fldCharType="separate"/>
        </w:r>
        <w:r>
          <w:rPr>
            <w:rFonts w:ascii="Arial" w:hAnsi="Arial" w:cs="Arial"/>
            <w:noProof/>
            <w:webHidden/>
          </w:rPr>
          <w:t>6</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29" w:history="1">
        <w:r>
          <w:rPr>
            <w:rStyle w:val="Hyperlink"/>
            <w:rFonts w:ascii="Arial" w:hAnsi="Arial" w:cs="Arial"/>
            <w:noProof/>
            <w:lang w:eastAsia="en-AU"/>
          </w:rPr>
          <w:t>13</w:t>
        </w:r>
        <w:r>
          <w:rPr>
            <w:rFonts w:ascii="Arial" w:hAnsi="Arial" w:cs="Arial"/>
            <w:noProof/>
            <w:sz w:val="24"/>
            <w:szCs w:val="24"/>
            <w:lang w:eastAsia="en-AU"/>
          </w:rPr>
          <w:tab/>
        </w:r>
        <w:r>
          <w:rPr>
            <w:rStyle w:val="Hyperlink"/>
            <w:rFonts w:ascii="Arial" w:hAnsi="Arial" w:cs="Arial"/>
            <w:noProof/>
            <w:lang w:eastAsia="en-AU"/>
          </w:rPr>
          <w:t>Proposed unit vertical dimension limitation—within a parcel and over or under a unit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_Toc271621029 \h </w:instrText>
        </w:r>
        <w:r>
          <w:rPr>
            <w:rFonts w:ascii="Arial" w:hAnsi="Arial" w:cs="Arial"/>
            <w:noProof/>
          </w:rPr>
        </w:r>
        <w:r>
          <w:rPr>
            <w:rFonts w:ascii="Arial" w:hAnsi="Arial" w:cs="Arial"/>
            <w:noProof/>
            <w:webHidden/>
          </w:rPr>
          <w:fldChar w:fldCharType="separate"/>
        </w:r>
        <w:r>
          <w:rPr>
            <w:rFonts w:ascii="Arial" w:hAnsi="Arial" w:cs="Arial"/>
            <w:noProof/>
            <w:webHidden/>
          </w:rPr>
          <w:t>6</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30" w:history="1">
        <w:r>
          <w:rPr>
            <w:rStyle w:val="Hyperlink"/>
            <w:rFonts w:ascii="Arial" w:hAnsi="Arial" w:cs="Arial"/>
            <w:noProof/>
            <w:lang w:eastAsia="en-AU"/>
          </w:rPr>
          <w:t>14</w:t>
        </w:r>
        <w:r>
          <w:rPr>
            <w:rFonts w:ascii="Arial" w:hAnsi="Arial" w:cs="Arial"/>
            <w:noProof/>
            <w:sz w:val="24"/>
            <w:szCs w:val="24"/>
            <w:lang w:eastAsia="en-AU"/>
          </w:rPr>
          <w:tab/>
        </w:r>
        <w:r>
          <w:rPr>
            <w:rStyle w:val="Hyperlink"/>
            <w:rFonts w:ascii="Arial" w:hAnsi="Arial" w:cs="Arial"/>
            <w:noProof/>
            <w:lang w:eastAsia="en-AU"/>
          </w:rPr>
          <w:t>Letter boxes—compliance with plan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_Toc271621030 \h </w:instrText>
        </w:r>
        <w:r>
          <w:rPr>
            <w:rFonts w:ascii="Arial" w:hAnsi="Arial" w:cs="Arial"/>
            <w:noProof/>
          </w:rPr>
        </w:r>
        <w:r>
          <w:rPr>
            <w:rFonts w:ascii="Arial" w:hAnsi="Arial" w:cs="Arial"/>
            <w:noProof/>
            <w:webHidden/>
          </w:rPr>
          <w:fldChar w:fldCharType="separate"/>
        </w:r>
        <w:r>
          <w:rPr>
            <w:rFonts w:ascii="Arial" w:hAnsi="Arial" w:cs="Arial"/>
            <w:noProof/>
            <w:webHidden/>
          </w:rPr>
          <w:t>7</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31" w:history="1">
        <w:r>
          <w:rPr>
            <w:rStyle w:val="Hyperlink"/>
            <w:rFonts w:ascii="Arial" w:hAnsi="Arial" w:cs="Arial"/>
            <w:noProof/>
            <w:lang w:eastAsia="en-AU"/>
          </w:rPr>
          <w:t>15</w:t>
        </w:r>
        <w:r>
          <w:rPr>
            <w:rFonts w:ascii="Arial" w:hAnsi="Arial" w:cs="Arial"/>
            <w:noProof/>
            <w:sz w:val="24"/>
            <w:szCs w:val="24"/>
            <w:lang w:eastAsia="en-AU"/>
          </w:rPr>
          <w:tab/>
        </w:r>
        <w:r>
          <w:rPr>
            <w:rStyle w:val="Hyperlink"/>
            <w:rFonts w:ascii="Arial" w:hAnsi="Arial" w:cs="Arial"/>
            <w:noProof/>
            <w:lang w:eastAsia="en-AU"/>
          </w:rPr>
          <w:t>Identification signage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_Toc271621031 \h </w:instrText>
        </w:r>
        <w:r>
          <w:rPr>
            <w:rFonts w:ascii="Arial" w:hAnsi="Arial" w:cs="Arial"/>
            <w:noProof/>
          </w:rPr>
        </w:r>
        <w:r>
          <w:rPr>
            <w:rFonts w:ascii="Arial" w:hAnsi="Arial" w:cs="Arial"/>
            <w:noProof/>
            <w:webHidden/>
          </w:rPr>
          <w:fldChar w:fldCharType="separate"/>
        </w:r>
        <w:r>
          <w:rPr>
            <w:rFonts w:ascii="Arial" w:hAnsi="Arial" w:cs="Arial"/>
            <w:noProof/>
            <w:webHidden/>
          </w:rPr>
          <w:t>8</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32" w:history="1">
        <w:r>
          <w:rPr>
            <w:rStyle w:val="Hyperlink"/>
            <w:rFonts w:ascii="Arial" w:hAnsi="Arial" w:cs="Arial"/>
            <w:noProof/>
            <w:lang w:eastAsia="en-AU"/>
          </w:rPr>
          <w:t>16</w:t>
        </w:r>
        <w:r>
          <w:rPr>
            <w:rFonts w:ascii="Arial" w:hAnsi="Arial" w:cs="Arial"/>
            <w:noProof/>
            <w:sz w:val="24"/>
            <w:szCs w:val="24"/>
            <w:lang w:eastAsia="en-AU"/>
          </w:rPr>
          <w:tab/>
        </w:r>
        <w:r>
          <w:rPr>
            <w:rStyle w:val="Hyperlink"/>
            <w:rFonts w:ascii="Arial" w:hAnsi="Arial" w:cs="Arial"/>
            <w:noProof/>
            <w:lang w:eastAsia="en-AU"/>
          </w:rPr>
          <w:t>Vehicle spaces and storage areas—quantity, location and delineation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_Toc271621032 \h </w:instrText>
        </w:r>
        <w:r>
          <w:rPr>
            <w:rFonts w:ascii="Arial" w:hAnsi="Arial" w:cs="Arial"/>
            <w:noProof/>
          </w:rPr>
        </w:r>
        <w:r>
          <w:rPr>
            <w:rFonts w:ascii="Arial" w:hAnsi="Arial" w:cs="Arial"/>
            <w:noProof/>
            <w:webHidden/>
          </w:rPr>
          <w:fldChar w:fldCharType="separate"/>
        </w:r>
        <w:r>
          <w:rPr>
            <w:rFonts w:ascii="Arial" w:hAnsi="Arial" w:cs="Arial"/>
            <w:noProof/>
            <w:webHidden/>
          </w:rPr>
          <w:t>8</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33" w:history="1">
        <w:r>
          <w:rPr>
            <w:rStyle w:val="Hyperlink"/>
            <w:rFonts w:ascii="Arial" w:hAnsi="Arial" w:cs="Arial"/>
            <w:noProof/>
            <w:lang w:eastAsia="en-AU"/>
          </w:rPr>
          <w:t>17</w:t>
        </w:r>
        <w:r>
          <w:rPr>
            <w:rFonts w:ascii="Arial" w:hAnsi="Arial" w:cs="Arial"/>
            <w:noProof/>
            <w:sz w:val="24"/>
            <w:szCs w:val="24"/>
            <w:lang w:eastAsia="en-AU"/>
          </w:rPr>
          <w:tab/>
        </w:r>
        <w:r>
          <w:rPr>
            <w:rStyle w:val="Hyperlink"/>
            <w:rFonts w:ascii="Arial" w:hAnsi="Arial" w:cs="Arial"/>
            <w:noProof/>
            <w:lang w:eastAsia="en-AU"/>
          </w:rPr>
          <w:t>Location of certain things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_Toc271621033 \h </w:instrText>
        </w:r>
        <w:r>
          <w:rPr>
            <w:rFonts w:ascii="Arial" w:hAnsi="Arial" w:cs="Arial"/>
            <w:noProof/>
          </w:rPr>
        </w:r>
        <w:r>
          <w:rPr>
            <w:rFonts w:ascii="Arial" w:hAnsi="Arial" w:cs="Arial"/>
            <w:noProof/>
            <w:webHidden/>
          </w:rPr>
          <w:fldChar w:fldCharType="separate"/>
        </w:r>
        <w:r>
          <w:rPr>
            <w:rFonts w:ascii="Arial" w:hAnsi="Arial" w:cs="Arial"/>
            <w:noProof/>
            <w:webHidden/>
          </w:rPr>
          <w:t>9</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34" w:history="1">
        <w:r>
          <w:rPr>
            <w:rStyle w:val="Hyperlink"/>
            <w:rFonts w:ascii="Arial" w:hAnsi="Arial" w:cs="Arial"/>
            <w:noProof/>
            <w:lang w:eastAsia="en-AU"/>
          </w:rPr>
          <w:t>18</w:t>
        </w:r>
        <w:r>
          <w:rPr>
            <w:rFonts w:ascii="Arial" w:hAnsi="Arial" w:cs="Arial"/>
            <w:noProof/>
            <w:sz w:val="24"/>
            <w:szCs w:val="24"/>
            <w:lang w:eastAsia="en-AU"/>
          </w:rPr>
          <w:tab/>
        </w:r>
        <w:r>
          <w:rPr>
            <w:rStyle w:val="Hyperlink"/>
            <w:rFonts w:ascii="Arial" w:hAnsi="Arial" w:cs="Arial"/>
            <w:noProof/>
            <w:lang w:eastAsia="en-AU"/>
          </w:rPr>
          <w:t>Tank for multiple units—additional requirements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_Toc271621034 \h </w:instrText>
        </w:r>
        <w:r>
          <w:rPr>
            <w:rFonts w:ascii="Arial" w:hAnsi="Arial" w:cs="Arial"/>
            <w:noProof/>
          </w:rPr>
        </w:r>
        <w:r>
          <w:rPr>
            <w:rFonts w:ascii="Arial" w:hAnsi="Arial" w:cs="Arial"/>
            <w:noProof/>
            <w:webHidden/>
          </w:rPr>
          <w:fldChar w:fldCharType="separate"/>
        </w:r>
        <w:r>
          <w:rPr>
            <w:rFonts w:ascii="Arial" w:hAnsi="Arial" w:cs="Arial"/>
            <w:noProof/>
            <w:webHidden/>
          </w:rPr>
          <w:t>10</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35" w:history="1">
        <w:r>
          <w:rPr>
            <w:rStyle w:val="Hyperlink"/>
            <w:rFonts w:ascii="Arial" w:hAnsi="Arial" w:cs="Arial"/>
            <w:noProof/>
            <w:lang w:eastAsia="en-AU"/>
          </w:rPr>
          <w:t>19</w:t>
        </w:r>
        <w:r>
          <w:rPr>
            <w:rFonts w:ascii="Arial" w:hAnsi="Arial" w:cs="Arial"/>
            <w:noProof/>
            <w:sz w:val="24"/>
            <w:szCs w:val="24"/>
            <w:lang w:eastAsia="en-AU"/>
          </w:rPr>
          <w:tab/>
        </w:r>
        <w:r>
          <w:rPr>
            <w:rStyle w:val="Hyperlink"/>
            <w:rFonts w:ascii="Arial" w:hAnsi="Arial" w:cs="Arial"/>
            <w:noProof/>
            <w:lang w:eastAsia="en-AU"/>
          </w:rPr>
          <w:t>Service areas to be screened</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_Toc271621035 \h </w:instrText>
        </w:r>
        <w:r>
          <w:rPr>
            <w:rFonts w:ascii="Arial" w:hAnsi="Arial" w:cs="Arial"/>
            <w:noProof/>
          </w:rPr>
        </w:r>
        <w:r>
          <w:rPr>
            <w:rFonts w:ascii="Arial" w:hAnsi="Arial" w:cs="Arial"/>
            <w:noProof/>
            <w:webHidden/>
          </w:rPr>
          <w:fldChar w:fldCharType="separate"/>
        </w:r>
        <w:r>
          <w:rPr>
            <w:rFonts w:ascii="Arial" w:hAnsi="Arial" w:cs="Arial"/>
            <w:noProof/>
            <w:webHidden/>
          </w:rPr>
          <w:t>10</w:t>
        </w:r>
        <w:r>
          <w:rPr>
            <w:rFonts w:ascii="Arial" w:hAnsi="Arial" w:cs="Arial"/>
            <w:noProof/>
            <w:webHidden/>
          </w:rPr>
          <w:fldChar w:fldCharType="end"/>
        </w:r>
      </w:hyperlink>
    </w:p>
    <w:p w:rsidR="00851B6B" w:rsidRDefault="00851B6B">
      <w:pPr>
        <w:pStyle w:val="TOC3"/>
        <w:tabs>
          <w:tab w:val="left" w:pos="720"/>
          <w:tab w:val="right" w:leader="dot" w:pos="8296"/>
        </w:tabs>
        <w:spacing w:afterLines="90" w:after="216"/>
        <w:rPr>
          <w:rFonts w:ascii="Arial" w:hAnsi="Arial" w:cs="Arial"/>
          <w:noProof/>
          <w:sz w:val="24"/>
          <w:szCs w:val="24"/>
          <w:lang w:eastAsia="en-AU"/>
        </w:rPr>
      </w:pPr>
      <w:hyperlink w:anchor="_Toc271621036" w:history="1">
        <w:r>
          <w:rPr>
            <w:rStyle w:val="Hyperlink"/>
            <w:rFonts w:ascii="Arial" w:hAnsi="Arial" w:cs="Arial"/>
            <w:noProof/>
            <w:lang w:eastAsia="en-AU"/>
          </w:rPr>
          <w:t>20</w:t>
        </w:r>
        <w:r>
          <w:rPr>
            <w:rFonts w:ascii="Arial" w:hAnsi="Arial" w:cs="Arial"/>
            <w:noProof/>
            <w:sz w:val="24"/>
            <w:szCs w:val="24"/>
            <w:lang w:eastAsia="en-AU"/>
          </w:rPr>
          <w:tab/>
        </w:r>
        <w:r>
          <w:rPr>
            <w:rStyle w:val="Hyperlink"/>
            <w:rFonts w:ascii="Arial" w:hAnsi="Arial" w:cs="Arial"/>
            <w:noProof/>
            <w:lang w:eastAsia="en-AU"/>
          </w:rPr>
          <w:t>Access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_Toc271621036 \h </w:instrText>
        </w:r>
        <w:r>
          <w:rPr>
            <w:rFonts w:ascii="Arial" w:hAnsi="Arial" w:cs="Arial"/>
            <w:noProof/>
          </w:rPr>
        </w:r>
        <w:r>
          <w:rPr>
            <w:rFonts w:ascii="Arial" w:hAnsi="Arial" w:cs="Arial"/>
            <w:noProof/>
            <w:webHidden/>
          </w:rPr>
          <w:fldChar w:fldCharType="separate"/>
        </w:r>
        <w:r>
          <w:rPr>
            <w:rFonts w:ascii="Arial" w:hAnsi="Arial" w:cs="Arial"/>
            <w:noProof/>
            <w:webHidden/>
          </w:rPr>
          <w:t>11</w:t>
        </w:r>
        <w:r>
          <w:rPr>
            <w:rFonts w:ascii="Arial" w:hAnsi="Arial" w:cs="Arial"/>
            <w:noProof/>
            <w:webHidden/>
          </w:rPr>
          <w:fldChar w:fldCharType="end"/>
        </w:r>
      </w:hyperlink>
    </w:p>
    <w:p w:rsidR="00851B6B" w:rsidRDefault="00851B6B">
      <w:pPr>
        <w:pStyle w:val="Heading1"/>
        <w:spacing w:beforeLines="60" w:before="144" w:afterLines="90" w:after="216"/>
        <w:sectPr w:rsidR="00851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pPr>
      <w:r>
        <w:rPr>
          <w:bCs/>
          <w:caps/>
          <w:color w:val="auto"/>
          <w:sz w:val="24"/>
          <w:szCs w:val="24"/>
        </w:rPr>
        <w:fldChar w:fldCharType="end"/>
      </w:r>
    </w:p>
    <w:p w:rsidR="00851B6B" w:rsidRDefault="00851B6B">
      <w:pPr>
        <w:pStyle w:val="Heading1"/>
        <w:rPr>
          <w:sz w:val="36"/>
          <w:szCs w:val="36"/>
          <w:lang w:eastAsia="en-AU"/>
        </w:rPr>
      </w:pPr>
      <w:r>
        <w:br w:type="page"/>
      </w:r>
      <w:bookmarkStart w:id="4" w:name="_Toc263157546"/>
      <w:bookmarkStart w:id="5" w:name="_Toc263344693"/>
      <w:bookmarkStart w:id="6" w:name="_Toc271621014"/>
      <w:r>
        <w:rPr>
          <w:sz w:val="36"/>
          <w:szCs w:val="36"/>
        </w:rPr>
        <w:t xml:space="preserve">Part </w:t>
      </w:r>
      <w:r>
        <w:rPr>
          <w:sz w:val="36"/>
          <w:szCs w:val="36"/>
        </w:rPr>
        <w:fldChar w:fldCharType="begin"/>
      </w:r>
      <w:r>
        <w:rPr>
          <w:sz w:val="36"/>
          <w:szCs w:val="36"/>
        </w:rPr>
        <w:instrText xml:space="preserve"> AUTONUMLGL  \* Arabic \e </w:instrText>
      </w:r>
      <w:r>
        <w:rPr>
          <w:sz w:val="36"/>
          <w:szCs w:val="36"/>
        </w:rPr>
        <w:fldChar w:fldCharType="end"/>
      </w:r>
      <w:r>
        <w:rPr>
          <w:sz w:val="36"/>
          <w:szCs w:val="36"/>
        </w:rPr>
        <w:tab/>
      </w:r>
      <w:bookmarkEnd w:id="4"/>
      <w:r>
        <w:rPr>
          <w:sz w:val="36"/>
          <w:szCs w:val="36"/>
        </w:rPr>
        <w:tab/>
      </w:r>
      <w:r>
        <w:rPr>
          <w:sz w:val="36"/>
          <w:szCs w:val="36"/>
          <w:lang w:eastAsia="en-AU"/>
        </w:rPr>
        <w:t>Preliminary</w:t>
      </w:r>
      <w:bookmarkEnd w:id="5"/>
      <w:bookmarkEnd w:id="6"/>
    </w:p>
    <w:p w:rsidR="00851B6B" w:rsidRDefault="00851B6B">
      <w:pPr>
        <w:pStyle w:val="Heading3"/>
        <w:numPr>
          <w:ilvl w:val="0"/>
          <w:numId w:val="3"/>
        </w:numPr>
        <w:tabs>
          <w:tab w:val="clear" w:pos="1146"/>
          <w:tab w:val="num" w:pos="993"/>
        </w:tabs>
        <w:ind w:left="993" w:hanging="993"/>
        <w:rPr>
          <w:lang w:eastAsia="en-AU"/>
        </w:rPr>
      </w:pPr>
      <w:bookmarkStart w:id="7" w:name="_Toc263344694"/>
      <w:bookmarkStart w:id="8" w:name="_Toc271621015"/>
      <w:r>
        <w:rPr>
          <w:lang w:eastAsia="en-AU"/>
        </w:rPr>
        <w:t>Name of code</w:t>
      </w:r>
      <w:bookmarkEnd w:id="7"/>
      <w:bookmarkEnd w:id="8"/>
    </w:p>
    <w:p w:rsidR="00851B6B" w:rsidRDefault="00851B6B">
      <w:pPr>
        <w:rPr>
          <w:lang w:eastAsia="en-AU"/>
        </w:rPr>
      </w:pPr>
    </w:p>
    <w:p w:rsidR="00851B6B" w:rsidRDefault="00851B6B">
      <w:pPr>
        <w:tabs>
          <w:tab w:val="num" w:pos="993"/>
        </w:tabs>
        <w:ind w:left="993"/>
        <w:rPr>
          <w:szCs w:val="24"/>
          <w:lang w:eastAsia="en-AU"/>
        </w:rPr>
      </w:pPr>
      <w:r>
        <w:rPr>
          <w:szCs w:val="24"/>
          <w:lang w:eastAsia="en-AU"/>
        </w:rPr>
        <w:t xml:space="preserve">This code is the </w:t>
      </w:r>
      <w:r w:rsidR="000E4469">
        <w:rPr>
          <w:i/>
        </w:rPr>
        <w:t>Construction Occupations (Licensing) Unit Title Site Assessment Code of Practice 2010 (No 2)</w:t>
      </w:r>
      <w:r>
        <w:rPr>
          <w:szCs w:val="24"/>
          <w:lang w:eastAsia="en-AU"/>
        </w:rPr>
        <w:t>.</w:t>
      </w:r>
    </w:p>
    <w:p w:rsidR="00851B6B" w:rsidRDefault="00851B6B">
      <w:pPr>
        <w:tabs>
          <w:tab w:val="left" w:pos="1701"/>
        </w:tabs>
        <w:rPr>
          <w:sz w:val="20"/>
        </w:rPr>
      </w:pPr>
    </w:p>
    <w:p w:rsidR="00851B6B" w:rsidRDefault="00851B6B">
      <w:pPr>
        <w:pStyle w:val="Heading3"/>
        <w:numPr>
          <w:ilvl w:val="0"/>
          <w:numId w:val="3"/>
        </w:numPr>
        <w:tabs>
          <w:tab w:val="clear" w:pos="1146"/>
          <w:tab w:val="num" w:pos="993"/>
        </w:tabs>
        <w:ind w:left="993" w:hanging="993"/>
        <w:rPr>
          <w:lang w:eastAsia="en-AU"/>
        </w:rPr>
      </w:pPr>
      <w:bookmarkStart w:id="9" w:name="_Toc263344696"/>
      <w:bookmarkStart w:id="10" w:name="_Toc271621016"/>
      <w:r>
        <w:rPr>
          <w:lang w:eastAsia="en-AU"/>
        </w:rPr>
        <w:t>Offences and other consequences of contravening this code</w:t>
      </w:r>
      <w:bookmarkEnd w:id="9"/>
      <w:bookmarkEnd w:id="10"/>
    </w:p>
    <w:p w:rsidR="00851B6B" w:rsidRDefault="00851B6B">
      <w:pPr>
        <w:rPr>
          <w:lang w:eastAsia="en-AU"/>
        </w:rPr>
      </w:pPr>
    </w:p>
    <w:p w:rsidR="00851B6B" w:rsidRDefault="00851B6B">
      <w:pPr>
        <w:ind w:left="993"/>
        <w:rPr>
          <w:szCs w:val="24"/>
          <w:lang w:eastAsia="en-AU"/>
        </w:rPr>
      </w:pPr>
      <w:r>
        <w:rPr>
          <w:szCs w:val="24"/>
          <w:lang w:eastAsia="en-AU"/>
        </w:rPr>
        <w:t xml:space="preserve">The </w:t>
      </w:r>
      <w:r>
        <w:rPr>
          <w:i/>
          <w:szCs w:val="24"/>
          <w:lang w:eastAsia="en-AU"/>
        </w:rPr>
        <w:t xml:space="preserve">Construction Occupations (Licensing) Act 2004, </w:t>
      </w:r>
      <w:r>
        <w:rPr>
          <w:szCs w:val="24"/>
          <w:lang w:eastAsia="en-AU"/>
        </w:rPr>
        <w:t>provides offence and other enforcement mechanisms that can result from a contravention of this code.</w:t>
      </w:r>
    </w:p>
    <w:p w:rsidR="00851B6B" w:rsidRDefault="00851B6B">
      <w:pPr>
        <w:ind w:left="993"/>
        <w:rPr>
          <w:szCs w:val="24"/>
          <w:lang w:eastAsia="en-AU"/>
        </w:rPr>
      </w:pPr>
    </w:p>
    <w:p w:rsidR="00851B6B" w:rsidRDefault="00851B6B">
      <w:pPr>
        <w:pStyle w:val="aNotepar"/>
        <w:ind w:left="1701" w:hanging="708"/>
        <w:rPr>
          <w:rFonts w:ascii="Times New Roman" w:hAnsi="Times New Roman"/>
        </w:rPr>
      </w:pPr>
      <w:r>
        <w:rPr>
          <w:rStyle w:val="charItals"/>
          <w:rFonts w:ascii="Times New Roman" w:hAnsi="Times New Roman"/>
        </w:rPr>
        <w:t>Note</w:t>
      </w:r>
      <w:r>
        <w:rPr>
          <w:rStyle w:val="charItals"/>
          <w:rFonts w:ascii="Times New Roman" w:hAnsi="Times New Roman"/>
        </w:rPr>
        <w:tab/>
      </w:r>
      <w:r>
        <w:rPr>
          <w:rFonts w:ascii="Times New Roman" w:hAnsi="Times New Roman"/>
        </w:rPr>
        <w:t>A reference to an Act includes a reference to the statutory instruments made or in force under the Act, including regulations (see Legislation Act, s 104).</w:t>
      </w:r>
    </w:p>
    <w:p w:rsidR="00851B6B" w:rsidRDefault="00851B6B">
      <w:pPr>
        <w:pStyle w:val="Heading1"/>
        <w:rPr>
          <w:sz w:val="36"/>
          <w:szCs w:val="36"/>
          <w:lang w:eastAsia="en-AU"/>
        </w:rPr>
      </w:pPr>
      <w:r>
        <w:rPr>
          <w:lang w:eastAsia="en-AU"/>
        </w:rPr>
        <w:br w:type="page"/>
      </w:r>
      <w:bookmarkStart w:id="11" w:name="_Toc263344697"/>
      <w:bookmarkStart w:id="12" w:name="_Toc271621017"/>
      <w:r>
        <w:rPr>
          <w:sz w:val="36"/>
          <w:szCs w:val="36"/>
        </w:rPr>
        <w:t xml:space="preserve">Part </w:t>
      </w:r>
      <w:r>
        <w:rPr>
          <w:sz w:val="36"/>
          <w:szCs w:val="36"/>
        </w:rPr>
        <w:fldChar w:fldCharType="begin"/>
      </w:r>
      <w:r>
        <w:rPr>
          <w:sz w:val="36"/>
          <w:szCs w:val="36"/>
        </w:rPr>
        <w:instrText xml:space="preserve"> AUTONUMLGL  \* Arabic \e </w:instrText>
      </w:r>
      <w:r>
        <w:rPr>
          <w:sz w:val="36"/>
          <w:szCs w:val="36"/>
        </w:rPr>
        <w:fldChar w:fldCharType="end"/>
      </w:r>
      <w:r>
        <w:rPr>
          <w:sz w:val="36"/>
          <w:szCs w:val="36"/>
        </w:rPr>
        <w:tab/>
      </w:r>
      <w:r>
        <w:rPr>
          <w:sz w:val="36"/>
          <w:szCs w:val="36"/>
          <w:lang w:eastAsia="en-AU"/>
        </w:rPr>
        <w:t>Important concepts</w:t>
      </w:r>
      <w:bookmarkEnd w:id="11"/>
      <w:bookmarkEnd w:id="12"/>
    </w:p>
    <w:p w:rsidR="00851B6B" w:rsidRDefault="00851B6B">
      <w:pPr>
        <w:rPr>
          <w:lang w:eastAsia="en-AU"/>
        </w:rPr>
      </w:pPr>
    </w:p>
    <w:p w:rsidR="00851B6B" w:rsidRDefault="00851B6B">
      <w:pPr>
        <w:pStyle w:val="Heading3"/>
        <w:numPr>
          <w:ilvl w:val="0"/>
          <w:numId w:val="3"/>
        </w:numPr>
        <w:tabs>
          <w:tab w:val="clear" w:pos="1146"/>
          <w:tab w:val="num" w:pos="993"/>
        </w:tabs>
        <w:ind w:hanging="1004"/>
        <w:rPr>
          <w:lang w:eastAsia="en-AU"/>
        </w:rPr>
      </w:pPr>
      <w:bookmarkStart w:id="13" w:name="_Toc263344699"/>
      <w:bookmarkStart w:id="14" w:name="_Toc271621018"/>
      <w:r>
        <w:rPr>
          <w:lang w:eastAsia="en-AU"/>
        </w:rPr>
        <w:t>Application to assessors</w:t>
      </w:r>
      <w:bookmarkEnd w:id="13"/>
      <w:bookmarkEnd w:id="14"/>
    </w:p>
    <w:p w:rsidR="00851B6B" w:rsidRDefault="00851B6B">
      <w:pPr>
        <w:rPr>
          <w:rFonts w:ascii="Arial" w:hAnsi="Arial" w:cs="Arial"/>
          <w:b/>
          <w:szCs w:val="24"/>
          <w:lang w:eastAsia="en-AU"/>
        </w:rPr>
      </w:pPr>
    </w:p>
    <w:p w:rsidR="00851B6B" w:rsidRDefault="00851B6B">
      <w:pPr>
        <w:ind w:left="993"/>
        <w:rPr>
          <w:szCs w:val="24"/>
          <w:lang w:eastAsia="en-AU"/>
        </w:rPr>
      </w:pPr>
      <w:r>
        <w:rPr>
          <w:szCs w:val="24"/>
          <w:lang w:eastAsia="en-AU"/>
        </w:rPr>
        <w:t xml:space="preserve">In this code references to an </w:t>
      </w:r>
      <w:r>
        <w:rPr>
          <w:b/>
          <w:i/>
          <w:szCs w:val="24"/>
          <w:lang w:eastAsia="en-AU"/>
        </w:rPr>
        <w:t>assessor</w:t>
      </w:r>
      <w:r>
        <w:rPr>
          <w:szCs w:val="24"/>
          <w:lang w:eastAsia="en-AU"/>
        </w:rPr>
        <w:t xml:space="preserve"> includes a reference to an entity who, under the </w:t>
      </w:r>
      <w:r>
        <w:rPr>
          <w:i/>
          <w:szCs w:val="24"/>
          <w:lang w:eastAsia="en-AU"/>
        </w:rPr>
        <w:t>Construction Occupations (Licensing) Act 2004</w:t>
      </w:r>
      <w:r>
        <w:rPr>
          <w:szCs w:val="24"/>
          <w:lang w:eastAsia="en-AU"/>
        </w:rPr>
        <w:t xml:space="preserve">, holds a licence that </w:t>
      </w:r>
      <w:smartTag w:uri="urn:schemas-microsoft-com:office:smarttags" w:element="PersonName">
        <w:r>
          <w:rPr>
            <w:szCs w:val="24"/>
            <w:lang w:eastAsia="en-AU"/>
          </w:rPr>
          <w:t>au</w:t>
        </w:r>
      </w:smartTag>
      <w:r>
        <w:rPr>
          <w:szCs w:val="24"/>
          <w:lang w:eastAsia="en-AU"/>
        </w:rPr>
        <w:t>thorises the holder to provide the relevant assessment service, where the assessment may only be done by the licence holder.</w:t>
      </w:r>
    </w:p>
    <w:p w:rsidR="00851B6B" w:rsidRDefault="00851B6B">
      <w:pPr>
        <w:ind w:left="426"/>
        <w:rPr>
          <w:szCs w:val="24"/>
          <w:lang w:eastAsia="en-AU"/>
        </w:rPr>
      </w:pPr>
    </w:p>
    <w:p w:rsidR="00851B6B" w:rsidRDefault="00851B6B">
      <w:pPr>
        <w:pStyle w:val="Heading3"/>
        <w:numPr>
          <w:ilvl w:val="0"/>
          <w:numId w:val="3"/>
        </w:numPr>
        <w:tabs>
          <w:tab w:val="clear" w:pos="1146"/>
          <w:tab w:val="num" w:pos="993"/>
        </w:tabs>
        <w:ind w:hanging="1004"/>
        <w:rPr>
          <w:lang w:eastAsia="en-AU"/>
        </w:rPr>
      </w:pPr>
      <w:bookmarkStart w:id="15" w:name="_Toc263344700"/>
      <w:bookmarkStart w:id="16" w:name="_Toc271621019"/>
      <w:r>
        <w:rPr>
          <w:lang w:eastAsia="en-AU"/>
        </w:rPr>
        <w:t>Object of code</w:t>
      </w:r>
      <w:bookmarkEnd w:id="15"/>
      <w:bookmarkEnd w:id="16"/>
    </w:p>
    <w:p w:rsidR="00851B6B" w:rsidRDefault="00851B6B">
      <w:pPr>
        <w:rPr>
          <w:rFonts w:ascii="Arial" w:hAnsi="Arial" w:cs="Arial"/>
          <w:b/>
          <w:szCs w:val="24"/>
          <w:lang w:eastAsia="en-AU"/>
        </w:rPr>
      </w:pPr>
    </w:p>
    <w:p w:rsidR="00851B6B" w:rsidRDefault="00851B6B">
      <w:pPr>
        <w:ind w:left="993"/>
        <w:rPr>
          <w:szCs w:val="24"/>
          <w:lang w:eastAsia="en-AU"/>
        </w:rPr>
      </w:pPr>
      <w:r>
        <w:rPr>
          <w:szCs w:val="24"/>
          <w:lang w:eastAsia="en-AU"/>
        </w:rPr>
        <w:t>An object of this code is to prescribe requirements for assessing the compliance of site, how the site correlates with relevant documents, and in some cases to provide methodologies for making the assessment.</w:t>
      </w:r>
    </w:p>
    <w:p w:rsidR="00851B6B" w:rsidRDefault="00851B6B">
      <w:pPr>
        <w:ind w:left="426"/>
        <w:rPr>
          <w:szCs w:val="24"/>
          <w:lang w:eastAsia="en-AU"/>
        </w:rPr>
      </w:pPr>
    </w:p>
    <w:p w:rsidR="00851B6B" w:rsidRDefault="00851B6B">
      <w:pPr>
        <w:pStyle w:val="Heading3"/>
        <w:numPr>
          <w:ilvl w:val="0"/>
          <w:numId w:val="3"/>
        </w:numPr>
        <w:tabs>
          <w:tab w:val="clear" w:pos="1146"/>
          <w:tab w:val="num" w:pos="993"/>
        </w:tabs>
        <w:ind w:hanging="1004"/>
        <w:rPr>
          <w:lang w:eastAsia="en-AU"/>
        </w:rPr>
      </w:pPr>
      <w:bookmarkStart w:id="17" w:name="_Toc271621020"/>
      <w:r>
        <w:rPr>
          <w:lang w:eastAsia="en-AU"/>
        </w:rPr>
        <w:t>Code scope—correlation with scope of development approval</w:t>
      </w:r>
      <w:bookmarkEnd w:id="17"/>
    </w:p>
    <w:p w:rsidR="00851B6B" w:rsidRDefault="00851B6B">
      <w:pPr>
        <w:rPr>
          <w:rFonts w:ascii="Arial" w:hAnsi="Arial" w:cs="Arial"/>
          <w:b/>
          <w:szCs w:val="24"/>
          <w:lang w:eastAsia="en-AU"/>
        </w:rPr>
      </w:pPr>
    </w:p>
    <w:p w:rsidR="00851B6B" w:rsidRDefault="00851B6B">
      <w:pPr>
        <w:ind w:left="993"/>
        <w:rPr>
          <w:szCs w:val="24"/>
          <w:lang w:eastAsia="en-AU"/>
        </w:rPr>
      </w:pPr>
      <w:r>
        <w:rPr>
          <w:szCs w:val="24"/>
          <w:lang w:eastAsia="en-AU"/>
        </w:rPr>
        <w:t>If a provision of this code purports to require development to have been undertaken in a way that is in excess of the minimum requirements of a relevant development approval, the provision of this code may be taken to only require the development to have been done in accordance with the minimum requirement of the approval, unless a requirement of another law or of a lease or licence requires to the contrary.</w:t>
      </w:r>
    </w:p>
    <w:p w:rsidR="00851B6B" w:rsidRDefault="00851B6B">
      <w:pPr>
        <w:ind w:left="993"/>
        <w:rPr>
          <w:szCs w:val="24"/>
          <w:lang w:eastAsia="en-AU"/>
        </w:rPr>
      </w:pPr>
    </w:p>
    <w:p w:rsidR="00851B6B" w:rsidRDefault="00851B6B">
      <w:pPr>
        <w:ind w:left="993"/>
        <w:rPr>
          <w:rFonts w:ascii="Arial" w:hAnsi="Arial" w:cs="Arial"/>
          <w:b/>
          <w:sz w:val="20"/>
          <w:lang w:eastAsia="en-AU"/>
        </w:rPr>
      </w:pPr>
      <w:r>
        <w:rPr>
          <w:rFonts w:ascii="Arial" w:hAnsi="Arial" w:cs="Arial"/>
          <w:b/>
          <w:sz w:val="20"/>
          <w:lang w:eastAsia="en-AU"/>
        </w:rPr>
        <w:t>Examples of other law</w:t>
      </w:r>
    </w:p>
    <w:p w:rsidR="00851B6B" w:rsidRDefault="00851B6B">
      <w:pPr>
        <w:ind w:left="993"/>
        <w:rPr>
          <w:sz w:val="20"/>
          <w:lang w:eastAsia="en-AU"/>
        </w:rPr>
      </w:pPr>
    </w:p>
    <w:p w:rsidR="00851B6B" w:rsidRDefault="00851B6B">
      <w:pPr>
        <w:ind w:left="993"/>
        <w:rPr>
          <w:i/>
          <w:sz w:val="20"/>
          <w:lang w:eastAsia="en-AU"/>
        </w:rPr>
      </w:pPr>
      <w:r>
        <w:rPr>
          <w:i/>
          <w:sz w:val="20"/>
          <w:lang w:eastAsia="en-AU"/>
        </w:rPr>
        <w:t>Building Act 2004</w:t>
      </w:r>
    </w:p>
    <w:p w:rsidR="00851B6B" w:rsidRDefault="00851B6B">
      <w:pPr>
        <w:ind w:left="993"/>
        <w:rPr>
          <w:i/>
          <w:sz w:val="20"/>
          <w:lang w:eastAsia="en-AU"/>
        </w:rPr>
      </w:pPr>
      <w:r>
        <w:rPr>
          <w:i/>
          <w:sz w:val="20"/>
          <w:lang w:eastAsia="en-AU"/>
        </w:rPr>
        <w:t>Planning and Development Act 2007</w:t>
      </w:r>
    </w:p>
    <w:p w:rsidR="00851B6B" w:rsidRDefault="00851B6B">
      <w:pPr>
        <w:ind w:left="993"/>
        <w:rPr>
          <w:i/>
          <w:szCs w:val="24"/>
          <w:lang w:eastAsia="en-AU"/>
        </w:rPr>
      </w:pPr>
    </w:p>
    <w:p w:rsidR="00851B6B" w:rsidRDefault="00851B6B">
      <w:pPr>
        <w:pStyle w:val="aNote"/>
        <w:ind w:left="1418" w:hanging="482"/>
      </w:pPr>
      <w:r>
        <w:rPr>
          <w:i/>
        </w:rPr>
        <w:t>Note</w:t>
      </w:r>
      <w:r>
        <w:tab/>
        <w:t>An example is part of the code, is not exh</w:t>
      </w:r>
      <w:smartTag w:uri="urn:schemas-microsoft-com:office:smarttags" w:element="PersonName">
        <w:r>
          <w:t>au</w:t>
        </w:r>
      </w:smartTag>
      <w:r>
        <w:t>stive and may extend, but does not limit, the meaning of the provision in which it appears (see Legislation Act, s 126 and s 132).</w:t>
      </w:r>
    </w:p>
    <w:p w:rsidR="00851B6B" w:rsidRDefault="00851B6B">
      <w:pPr>
        <w:ind w:left="993"/>
        <w:rPr>
          <w:i/>
          <w:szCs w:val="24"/>
          <w:lang w:eastAsia="en-AU"/>
        </w:rPr>
      </w:pPr>
    </w:p>
    <w:p w:rsidR="00851B6B" w:rsidRDefault="00851B6B">
      <w:pPr>
        <w:pStyle w:val="Heading3"/>
        <w:numPr>
          <w:ilvl w:val="0"/>
          <w:numId w:val="3"/>
        </w:numPr>
        <w:tabs>
          <w:tab w:val="clear" w:pos="1146"/>
          <w:tab w:val="num" w:pos="993"/>
        </w:tabs>
        <w:ind w:hanging="1004"/>
        <w:rPr>
          <w:lang w:eastAsia="en-AU"/>
        </w:rPr>
      </w:pPr>
      <w:bookmarkStart w:id="18" w:name="_Toc271621021"/>
      <w:r>
        <w:rPr>
          <w:lang w:eastAsia="en-AU"/>
        </w:rPr>
        <w:t xml:space="preserve">Meaning of certain terms—correlation with </w:t>
      </w:r>
      <w:r>
        <w:rPr>
          <w:i/>
          <w:lang w:eastAsia="en-AU"/>
        </w:rPr>
        <w:t>Unit Titles Act 2001</w:t>
      </w:r>
      <w:bookmarkEnd w:id="18"/>
    </w:p>
    <w:p w:rsidR="00851B6B" w:rsidRDefault="00851B6B">
      <w:pPr>
        <w:rPr>
          <w:rFonts w:ascii="Arial" w:hAnsi="Arial" w:cs="Arial"/>
          <w:b/>
          <w:szCs w:val="24"/>
          <w:lang w:eastAsia="en-AU"/>
        </w:rPr>
      </w:pPr>
    </w:p>
    <w:p w:rsidR="00851B6B" w:rsidRDefault="00851B6B">
      <w:pPr>
        <w:ind w:left="993"/>
        <w:rPr>
          <w:szCs w:val="24"/>
          <w:lang w:eastAsia="en-AU"/>
        </w:rPr>
      </w:pPr>
      <w:r>
        <w:rPr>
          <w:szCs w:val="24"/>
          <w:lang w:eastAsia="en-AU"/>
        </w:rPr>
        <w:t xml:space="preserve">A term used in this code has the same meaning as the term has in the </w:t>
      </w:r>
      <w:r>
        <w:rPr>
          <w:i/>
          <w:szCs w:val="24"/>
          <w:lang w:eastAsia="en-AU"/>
        </w:rPr>
        <w:t>Unit Titles Act 2001</w:t>
      </w:r>
      <w:r>
        <w:rPr>
          <w:szCs w:val="24"/>
          <w:lang w:eastAsia="en-AU"/>
        </w:rPr>
        <w:t>, unless this code provides a different meaning for the term.</w:t>
      </w:r>
    </w:p>
    <w:p w:rsidR="00851B6B" w:rsidRDefault="00851B6B">
      <w:pPr>
        <w:ind w:left="993"/>
        <w:rPr>
          <w:szCs w:val="24"/>
          <w:lang w:eastAsia="en-AU"/>
        </w:rPr>
      </w:pPr>
    </w:p>
    <w:p w:rsidR="00851B6B" w:rsidRDefault="00851B6B">
      <w:pPr>
        <w:ind w:left="1701" w:hanging="708"/>
        <w:rPr>
          <w:sz w:val="20"/>
          <w:lang w:eastAsia="en-AU"/>
        </w:rPr>
      </w:pPr>
      <w:r>
        <w:rPr>
          <w:sz w:val="20"/>
          <w:lang w:eastAsia="en-AU"/>
        </w:rPr>
        <w:t>Note</w:t>
      </w:r>
      <w:r>
        <w:rPr>
          <w:sz w:val="20"/>
          <w:lang w:eastAsia="en-AU"/>
        </w:rPr>
        <w:tab/>
        <w:t xml:space="preserve">A term used in this code has the same meaning as the term has in the </w:t>
      </w:r>
      <w:r>
        <w:rPr>
          <w:i/>
          <w:sz w:val="20"/>
          <w:lang w:eastAsia="en-AU"/>
        </w:rPr>
        <w:t>Construction (Occupations) Licensing Act 2004</w:t>
      </w:r>
      <w:r>
        <w:rPr>
          <w:sz w:val="20"/>
          <w:lang w:eastAsia="en-AU"/>
        </w:rPr>
        <w:t xml:space="preserve">, (see the </w:t>
      </w:r>
      <w:r>
        <w:rPr>
          <w:i/>
          <w:sz w:val="20"/>
          <w:lang w:eastAsia="en-AU"/>
        </w:rPr>
        <w:t>Legislation Act</w:t>
      </w:r>
      <w:r>
        <w:rPr>
          <w:sz w:val="20"/>
          <w:lang w:eastAsia="en-AU"/>
        </w:rPr>
        <w:t>, s 148).</w:t>
      </w:r>
    </w:p>
    <w:p w:rsidR="00851B6B" w:rsidRDefault="00851B6B">
      <w:pPr>
        <w:ind w:left="993"/>
        <w:rPr>
          <w:szCs w:val="24"/>
          <w:lang w:eastAsia="en-AU"/>
        </w:rPr>
      </w:pPr>
    </w:p>
    <w:p w:rsidR="00851B6B" w:rsidRDefault="00851B6B">
      <w:pPr>
        <w:pStyle w:val="Heading1"/>
        <w:rPr>
          <w:sz w:val="36"/>
          <w:szCs w:val="36"/>
          <w:lang w:eastAsia="en-AU"/>
        </w:rPr>
      </w:pPr>
      <w:r>
        <w:rPr>
          <w:lang w:eastAsia="en-AU"/>
        </w:rPr>
        <w:br w:type="page"/>
      </w:r>
      <w:bookmarkStart w:id="19" w:name="_Toc263344701"/>
      <w:bookmarkStart w:id="20" w:name="_Toc271621022"/>
      <w:r>
        <w:rPr>
          <w:sz w:val="36"/>
          <w:szCs w:val="36"/>
        </w:rPr>
        <w:t xml:space="preserve">Part </w:t>
      </w:r>
      <w:r>
        <w:rPr>
          <w:sz w:val="36"/>
          <w:szCs w:val="36"/>
        </w:rPr>
        <w:fldChar w:fldCharType="begin"/>
      </w:r>
      <w:r>
        <w:rPr>
          <w:sz w:val="36"/>
          <w:szCs w:val="36"/>
        </w:rPr>
        <w:instrText xml:space="preserve"> AUTONUMLGL  \* Arabic \e </w:instrText>
      </w:r>
      <w:r>
        <w:rPr>
          <w:sz w:val="36"/>
          <w:szCs w:val="36"/>
        </w:rPr>
        <w:fldChar w:fldCharType="end"/>
      </w:r>
      <w:r>
        <w:rPr>
          <w:sz w:val="36"/>
          <w:szCs w:val="36"/>
        </w:rPr>
        <w:tab/>
      </w:r>
      <w:r>
        <w:rPr>
          <w:sz w:val="36"/>
          <w:szCs w:val="36"/>
          <w:lang w:eastAsia="en-AU"/>
        </w:rPr>
        <w:t>Site Assessment</w:t>
      </w:r>
      <w:bookmarkEnd w:id="20"/>
      <w:r>
        <w:rPr>
          <w:sz w:val="36"/>
          <w:szCs w:val="36"/>
          <w:lang w:eastAsia="en-AU"/>
        </w:rPr>
        <w:t xml:space="preserve"> </w:t>
      </w:r>
      <w:bookmarkEnd w:id="19"/>
    </w:p>
    <w:p w:rsidR="00851B6B" w:rsidRDefault="00851B6B">
      <w:pPr>
        <w:rPr>
          <w:lang w:eastAsia="en-AU"/>
        </w:rPr>
      </w:pPr>
    </w:p>
    <w:p w:rsidR="00851B6B" w:rsidRDefault="00851B6B">
      <w:pPr>
        <w:pStyle w:val="Heading3"/>
        <w:numPr>
          <w:ilvl w:val="0"/>
          <w:numId w:val="3"/>
        </w:numPr>
        <w:tabs>
          <w:tab w:val="clear" w:pos="1146"/>
          <w:tab w:val="num" w:pos="993"/>
        </w:tabs>
        <w:ind w:hanging="1004"/>
        <w:rPr>
          <w:lang w:eastAsia="en-AU"/>
        </w:rPr>
      </w:pPr>
      <w:bookmarkStart w:id="21" w:name="_Toc271621023"/>
      <w:r>
        <w:rPr>
          <w:lang w:eastAsia="en-AU"/>
        </w:rPr>
        <w:t>Parcel and documents to be assessed</w:t>
      </w:r>
      <w:bookmarkEnd w:id="21"/>
    </w:p>
    <w:p w:rsidR="00851B6B" w:rsidRDefault="00851B6B">
      <w:pPr>
        <w:tabs>
          <w:tab w:val="num" w:pos="851"/>
        </w:tabs>
        <w:ind w:left="851" w:hanging="425"/>
        <w:rPr>
          <w:szCs w:val="24"/>
          <w:lang w:eastAsia="en-AU"/>
        </w:rPr>
      </w:pPr>
    </w:p>
    <w:p w:rsidR="00851B6B" w:rsidRDefault="00851B6B">
      <w:pPr>
        <w:ind w:left="993"/>
        <w:rPr>
          <w:szCs w:val="24"/>
          <w:lang w:eastAsia="en-AU"/>
        </w:rPr>
      </w:pPr>
      <w:r>
        <w:rPr>
          <w:szCs w:val="24"/>
          <w:lang w:eastAsia="en-AU"/>
        </w:rPr>
        <w:t>The assessor must determine if the relevant parcel and the relevant planning documents relating to the parcel comply with the relevant provisions of this code.</w:t>
      </w:r>
    </w:p>
    <w:p w:rsidR="00851B6B" w:rsidRDefault="00851B6B">
      <w:pPr>
        <w:ind w:left="2340" w:hanging="1489"/>
        <w:rPr>
          <w:b/>
          <w:i/>
          <w:szCs w:val="24"/>
          <w:lang w:eastAsia="en-AU"/>
        </w:rPr>
      </w:pPr>
    </w:p>
    <w:p w:rsidR="00851B6B" w:rsidRDefault="00851B6B">
      <w:pPr>
        <w:pStyle w:val="Heading3"/>
        <w:numPr>
          <w:ilvl w:val="0"/>
          <w:numId w:val="3"/>
        </w:numPr>
        <w:tabs>
          <w:tab w:val="clear" w:pos="1146"/>
          <w:tab w:val="num" w:pos="993"/>
        </w:tabs>
        <w:ind w:hanging="1004"/>
        <w:rPr>
          <w:lang w:eastAsia="en-AU"/>
        </w:rPr>
      </w:pPr>
      <w:bookmarkStart w:id="22" w:name="_Toc271621024"/>
      <w:r>
        <w:rPr>
          <w:lang w:eastAsia="en-AU"/>
        </w:rPr>
        <w:t>Site correlation with site plan and relevant development approval</w:t>
      </w:r>
      <w:bookmarkEnd w:id="22"/>
    </w:p>
    <w:p w:rsidR="00851B6B" w:rsidRDefault="00851B6B">
      <w:pPr>
        <w:rPr>
          <w:rFonts w:ascii="Arial" w:hAnsi="Arial" w:cs="Arial"/>
          <w:szCs w:val="24"/>
          <w:lang w:eastAsia="en-AU"/>
        </w:rPr>
      </w:pPr>
    </w:p>
    <w:p w:rsidR="00851B6B" w:rsidRDefault="00851B6B">
      <w:pPr>
        <w:numPr>
          <w:ilvl w:val="1"/>
          <w:numId w:val="3"/>
        </w:numPr>
        <w:tabs>
          <w:tab w:val="num" w:pos="993"/>
        </w:tabs>
        <w:ind w:left="993" w:hanging="567"/>
        <w:rPr>
          <w:szCs w:val="24"/>
          <w:lang w:eastAsia="en-AU"/>
        </w:rPr>
      </w:pPr>
      <w:r>
        <w:rPr>
          <w:szCs w:val="24"/>
          <w:lang w:eastAsia="en-AU"/>
        </w:rPr>
        <w:t>An assessor must not take a parcel including a building’s footprint to comply with this section if the parcel, or something in relation to the parcel, does not correlate with the respective site plan and relevant development approval or if the site plan does not correlate with the relevant development approval.</w:t>
      </w:r>
    </w:p>
    <w:p w:rsidR="00851B6B" w:rsidRDefault="00851B6B">
      <w:pPr>
        <w:tabs>
          <w:tab w:val="num" w:pos="1211"/>
        </w:tabs>
        <w:ind w:left="426"/>
        <w:rPr>
          <w:szCs w:val="24"/>
          <w:lang w:eastAsia="en-AU"/>
        </w:rPr>
      </w:pPr>
    </w:p>
    <w:p w:rsidR="00851B6B" w:rsidRDefault="00851B6B">
      <w:pPr>
        <w:numPr>
          <w:ilvl w:val="1"/>
          <w:numId w:val="3"/>
        </w:numPr>
        <w:tabs>
          <w:tab w:val="num" w:pos="993"/>
        </w:tabs>
        <w:ind w:left="993" w:hanging="567"/>
        <w:rPr>
          <w:szCs w:val="24"/>
          <w:lang w:eastAsia="en-AU"/>
        </w:rPr>
      </w:pPr>
      <w:r>
        <w:rPr>
          <w:szCs w:val="24"/>
          <w:lang w:eastAsia="en-AU"/>
        </w:rPr>
        <w:t>Nothing in this section requires an assessor to measure on site where something is in relation to something else, but this section does require an assessor to look at the outside of any building and other relevant things, if any, at the parcel and to see if they appear to correlate with the site plan and relevant development approval, and to see if they correlate.</w:t>
      </w:r>
    </w:p>
    <w:p w:rsidR="00851B6B" w:rsidRDefault="00851B6B">
      <w:pPr>
        <w:tabs>
          <w:tab w:val="num" w:pos="1211"/>
        </w:tabs>
        <w:ind w:left="426"/>
        <w:rPr>
          <w:szCs w:val="24"/>
          <w:lang w:eastAsia="en-AU"/>
        </w:rPr>
      </w:pPr>
    </w:p>
    <w:p w:rsidR="00851B6B" w:rsidRDefault="00851B6B">
      <w:pPr>
        <w:ind w:left="993"/>
        <w:rPr>
          <w:sz w:val="20"/>
          <w:lang w:eastAsia="en-AU"/>
        </w:rPr>
      </w:pPr>
      <w:r>
        <w:rPr>
          <w:rFonts w:ascii="Arial" w:hAnsi="Arial" w:cs="Arial"/>
          <w:b/>
          <w:sz w:val="20"/>
          <w:lang w:eastAsia="en-AU"/>
        </w:rPr>
        <w:t>Example</w:t>
      </w:r>
    </w:p>
    <w:p w:rsidR="00851B6B" w:rsidRDefault="00851B6B">
      <w:pPr>
        <w:ind w:left="993"/>
        <w:rPr>
          <w:sz w:val="20"/>
          <w:lang w:eastAsia="en-AU"/>
        </w:rPr>
      </w:pPr>
      <w:r>
        <w:rPr>
          <w:sz w:val="20"/>
          <w:lang w:eastAsia="en-AU"/>
        </w:rPr>
        <w:t>The assessor looks at the outside wall of a block of apartments, and notes that the relevant plans show that the wall is, or was to be, located 1.55m off the adjacent block boundary, and that a fence is located on that boundary.  The assessor may take the fence as indicating the location of the boundary, unless the assessor has a reasonable suspicion that is not the case, and may take the wall as being the required 1.55m off the boundary if the assessor believes, without necessarily measuring the distance, that the wall appears to be at about that distance.</w:t>
      </w:r>
    </w:p>
    <w:p w:rsidR="00851B6B" w:rsidRDefault="00851B6B">
      <w:pPr>
        <w:ind w:left="993"/>
        <w:rPr>
          <w:sz w:val="20"/>
          <w:lang w:eastAsia="en-AU"/>
        </w:rPr>
      </w:pPr>
    </w:p>
    <w:p w:rsidR="00851B6B" w:rsidRDefault="00851B6B">
      <w:pPr>
        <w:ind w:left="993"/>
        <w:rPr>
          <w:sz w:val="20"/>
          <w:lang w:eastAsia="en-AU"/>
        </w:rPr>
      </w:pPr>
      <w:r>
        <w:rPr>
          <w:sz w:val="20"/>
          <w:lang w:eastAsia="en-AU"/>
        </w:rPr>
        <w:t>The assessor notices that the corner of a balcony projects out from the wall, but the projection is not shown on the site plan.  The assessor need not measure the location of the balcony but can deduce that its location does not correlate with the site plan.</w:t>
      </w:r>
    </w:p>
    <w:p w:rsidR="00851B6B" w:rsidRDefault="00851B6B">
      <w:pPr>
        <w:ind w:left="993"/>
        <w:rPr>
          <w:sz w:val="20"/>
          <w:lang w:eastAsia="en-AU"/>
        </w:rPr>
      </w:pPr>
    </w:p>
    <w:p w:rsidR="00851B6B" w:rsidRDefault="00851B6B">
      <w:pPr>
        <w:pStyle w:val="aNote"/>
        <w:ind w:left="1418" w:hanging="482"/>
      </w:pPr>
      <w:r>
        <w:rPr>
          <w:i/>
        </w:rPr>
        <w:t>Note</w:t>
      </w:r>
      <w:r>
        <w:tab/>
        <w:t>An example is part of the code, is not exh</w:t>
      </w:r>
      <w:smartTag w:uri="urn:schemas-microsoft-com:office:smarttags" w:element="PersonName">
        <w:r>
          <w:t>au</w:t>
        </w:r>
      </w:smartTag>
      <w:r>
        <w:t>stive and may extend, but does not limit, the meaning of the provision in which it appears (see Legislation Act, s 126 and s 132).</w:t>
      </w:r>
    </w:p>
    <w:p w:rsidR="00851B6B" w:rsidRDefault="00851B6B">
      <w:pPr>
        <w:numPr>
          <w:ilvl w:val="1"/>
          <w:numId w:val="3"/>
        </w:numPr>
        <w:tabs>
          <w:tab w:val="num" w:pos="993"/>
        </w:tabs>
        <w:ind w:left="993" w:hanging="567"/>
        <w:rPr>
          <w:szCs w:val="24"/>
          <w:lang w:eastAsia="en-AU"/>
        </w:rPr>
      </w:pPr>
      <w:r>
        <w:rPr>
          <w:szCs w:val="24"/>
          <w:lang w:eastAsia="en-AU"/>
        </w:rPr>
        <w:t xml:space="preserve">Apart from the requirements of subsection (2), nothing in this section requires an assessor to recheck matters that ought to have been checked under the </w:t>
      </w:r>
      <w:r>
        <w:rPr>
          <w:i/>
          <w:szCs w:val="24"/>
          <w:lang w:eastAsia="en-AU"/>
        </w:rPr>
        <w:t>Building Act 2004</w:t>
      </w:r>
      <w:r>
        <w:rPr>
          <w:szCs w:val="24"/>
          <w:lang w:eastAsia="en-AU"/>
        </w:rPr>
        <w:t xml:space="preserve"> or its predecessor in purpose, as part of erecting or altering a building or obtaining a certificate under that Act that permits occupancy or use of a building.  </w:t>
      </w:r>
    </w:p>
    <w:p w:rsidR="00851B6B" w:rsidRDefault="00851B6B">
      <w:pPr>
        <w:rPr>
          <w:rFonts w:ascii="Arial" w:hAnsi="Arial" w:cs="Arial"/>
          <w:szCs w:val="24"/>
          <w:lang w:eastAsia="en-AU"/>
        </w:rPr>
      </w:pPr>
      <w:r>
        <w:rPr>
          <w:rFonts w:ascii="Arial" w:hAnsi="Arial" w:cs="Arial"/>
          <w:szCs w:val="24"/>
          <w:lang w:eastAsia="en-AU"/>
        </w:rPr>
        <w:br w:type="page"/>
      </w:r>
    </w:p>
    <w:p w:rsidR="00851B6B" w:rsidRDefault="00851B6B">
      <w:pPr>
        <w:ind w:left="1560" w:hanging="567"/>
        <w:rPr>
          <w:sz w:val="20"/>
          <w:lang w:eastAsia="en-AU"/>
        </w:rPr>
      </w:pPr>
      <w:r>
        <w:rPr>
          <w:i/>
          <w:sz w:val="20"/>
          <w:lang w:eastAsia="en-AU"/>
        </w:rPr>
        <w:t>Note</w:t>
      </w:r>
      <w:r>
        <w:rPr>
          <w:sz w:val="20"/>
          <w:lang w:eastAsia="en-AU"/>
        </w:rPr>
        <w:tab/>
        <w:t xml:space="preserve">The </w:t>
      </w:r>
      <w:r>
        <w:rPr>
          <w:i/>
          <w:sz w:val="20"/>
          <w:lang w:eastAsia="en-AU"/>
        </w:rPr>
        <w:t>Building Act 2004</w:t>
      </w:r>
      <w:r>
        <w:rPr>
          <w:sz w:val="20"/>
          <w:lang w:eastAsia="en-AU"/>
        </w:rPr>
        <w:t>, requires that certain work in relation to buildings be inspected for compliance with that Act, but it does not require checks to be made on certain things that are not buildings, such as certain landscaping and paving.  That Act also exempts certain buildings from its relevant provisions.</w:t>
      </w:r>
    </w:p>
    <w:p w:rsidR="00851B6B" w:rsidRDefault="00851B6B">
      <w:pPr>
        <w:rPr>
          <w:rFonts w:ascii="Arial" w:hAnsi="Arial" w:cs="Arial"/>
          <w:szCs w:val="24"/>
          <w:lang w:eastAsia="en-AU"/>
        </w:rPr>
      </w:pPr>
    </w:p>
    <w:p w:rsidR="00851B6B" w:rsidRDefault="00851B6B">
      <w:pPr>
        <w:pStyle w:val="Heading3"/>
        <w:numPr>
          <w:ilvl w:val="0"/>
          <w:numId w:val="3"/>
        </w:numPr>
        <w:tabs>
          <w:tab w:val="clear" w:pos="1146"/>
          <w:tab w:val="num" w:pos="993"/>
        </w:tabs>
        <w:ind w:hanging="1146"/>
        <w:rPr>
          <w:lang w:eastAsia="en-AU"/>
        </w:rPr>
      </w:pPr>
      <w:bookmarkStart w:id="23" w:name="_Toc271621025"/>
      <w:r>
        <w:rPr>
          <w:lang w:eastAsia="en-AU"/>
        </w:rPr>
        <w:t>Address schedule</w:t>
      </w:r>
      <w:bookmarkEnd w:id="23"/>
    </w:p>
    <w:p w:rsidR="00851B6B" w:rsidRDefault="00851B6B">
      <w:pPr>
        <w:rPr>
          <w:lang w:eastAsia="en-AU"/>
        </w:rPr>
      </w:pPr>
    </w:p>
    <w:p w:rsidR="00851B6B" w:rsidRDefault="00851B6B">
      <w:pPr>
        <w:numPr>
          <w:ilvl w:val="0"/>
          <w:numId w:val="5"/>
        </w:numPr>
        <w:tabs>
          <w:tab w:val="clear" w:pos="2340"/>
          <w:tab w:val="num" w:pos="993"/>
        </w:tabs>
        <w:ind w:left="993" w:hanging="502"/>
        <w:rPr>
          <w:szCs w:val="24"/>
          <w:lang w:eastAsia="en-AU"/>
        </w:rPr>
      </w:pPr>
      <w:r>
        <w:rPr>
          <w:szCs w:val="24"/>
          <w:lang w:eastAsia="en-AU"/>
        </w:rPr>
        <w:t>This section applies if the numbering of a proposed unit is, or will be, different to its number shown in the site plan.</w:t>
      </w:r>
    </w:p>
    <w:p w:rsidR="00851B6B" w:rsidRDefault="00851B6B">
      <w:pPr>
        <w:tabs>
          <w:tab w:val="num" w:pos="993"/>
        </w:tabs>
        <w:ind w:left="993" w:hanging="502"/>
        <w:rPr>
          <w:szCs w:val="24"/>
          <w:lang w:eastAsia="en-AU"/>
        </w:rPr>
      </w:pPr>
    </w:p>
    <w:p w:rsidR="00851B6B" w:rsidRDefault="00851B6B">
      <w:pPr>
        <w:numPr>
          <w:ilvl w:val="0"/>
          <w:numId w:val="5"/>
        </w:numPr>
        <w:tabs>
          <w:tab w:val="clear" w:pos="2340"/>
          <w:tab w:val="num" w:pos="993"/>
        </w:tabs>
        <w:ind w:left="993" w:hanging="502"/>
        <w:rPr>
          <w:szCs w:val="24"/>
          <w:lang w:eastAsia="en-AU"/>
        </w:rPr>
      </w:pPr>
      <w:r>
        <w:rPr>
          <w:szCs w:val="24"/>
          <w:lang w:eastAsia="en-AU"/>
        </w:rPr>
        <w:t>An assessor must not take a parcel to comply with this section if the site plan for the parcel does not have attached to it a schedule stating the number of each proposed unit shown in the site plan and the corresponding number that the proposed unit has or will have.</w:t>
      </w:r>
    </w:p>
    <w:p w:rsidR="00851B6B" w:rsidRDefault="00851B6B">
      <w:pPr>
        <w:rPr>
          <w:szCs w:val="24"/>
          <w:lang w:eastAsia="en-AU"/>
        </w:rPr>
      </w:pPr>
    </w:p>
    <w:p w:rsidR="00851B6B" w:rsidRDefault="00851B6B">
      <w:pPr>
        <w:ind w:left="1701" w:hanging="708"/>
        <w:rPr>
          <w:sz w:val="20"/>
          <w:lang w:eastAsia="en-AU"/>
        </w:rPr>
      </w:pPr>
      <w:r>
        <w:rPr>
          <w:sz w:val="20"/>
          <w:lang w:eastAsia="en-AU"/>
        </w:rPr>
        <w:t>Note</w:t>
      </w:r>
      <w:r>
        <w:rPr>
          <w:sz w:val="20"/>
          <w:lang w:eastAsia="en-AU"/>
        </w:rPr>
        <w:tab/>
        <w:t>an address schedule must not be drafted onto the site plan, but may be attached separately to the site plan, and need not be prepared by a surveyor.</w:t>
      </w:r>
    </w:p>
    <w:p w:rsidR="00851B6B" w:rsidRDefault="00851B6B">
      <w:pPr>
        <w:rPr>
          <w:sz w:val="20"/>
          <w:lang w:eastAsia="en-AU"/>
        </w:rPr>
      </w:pPr>
    </w:p>
    <w:p w:rsidR="00851B6B" w:rsidRDefault="00851B6B">
      <w:pPr>
        <w:pStyle w:val="Heading3"/>
        <w:numPr>
          <w:ilvl w:val="0"/>
          <w:numId w:val="3"/>
        </w:numPr>
        <w:tabs>
          <w:tab w:val="clear" w:pos="1146"/>
          <w:tab w:val="num" w:pos="993"/>
        </w:tabs>
        <w:ind w:hanging="1146"/>
        <w:rPr>
          <w:lang w:eastAsia="en-AU"/>
        </w:rPr>
      </w:pPr>
      <w:bookmarkStart w:id="24" w:name="_Toc271621026"/>
      <w:r>
        <w:rPr>
          <w:lang w:eastAsia="en-AU"/>
        </w:rPr>
        <w:t>Survey certificate required</w:t>
      </w:r>
      <w:bookmarkEnd w:id="24"/>
    </w:p>
    <w:p w:rsidR="00851B6B" w:rsidRDefault="00851B6B">
      <w:pPr>
        <w:rPr>
          <w:lang w:eastAsia="en-AU"/>
        </w:rPr>
      </w:pPr>
    </w:p>
    <w:p w:rsidR="00851B6B" w:rsidRDefault="00851B6B">
      <w:pPr>
        <w:tabs>
          <w:tab w:val="num" w:pos="1211"/>
        </w:tabs>
        <w:ind w:left="993"/>
        <w:rPr>
          <w:szCs w:val="24"/>
          <w:lang w:eastAsia="en-AU"/>
        </w:rPr>
      </w:pPr>
      <w:r>
        <w:rPr>
          <w:szCs w:val="24"/>
          <w:lang w:eastAsia="en-AU"/>
        </w:rPr>
        <w:t>An assessor must check—</w:t>
      </w:r>
    </w:p>
    <w:p w:rsidR="00851B6B" w:rsidRDefault="00851B6B">
      <w:pPr>
        <w:tabs>
          <w:tab w:val="num" w:pos="1211"/>
        </w:tabs>
        <w:ind w:left="426"/>
        <w:rPr>
          <w:szCs w:val="24"/>
          <w:lang w:eastAsia="en-AU"/>
        </w:rPr>
      </w:pPr>
    </w:p>
    <w:p w:rsidR="00851B6B" w:rsidRDefault="00851B6B">
      <w:pPr>
        <w:numPr>
          <w:ilvl w:val="0"/>
          <w:numId w:val="19"/>
        </w:numPr>
        <w:tabs>
          <w:tab w:val="clear" w:pos="869"/>
          <w:tab w:val="num" w:pos="1418"/>
        </w:tabs>
        <w:ind w:left="1418" w:hanging="425"/>
        <w:rPr>
          <w:szCs w:val="24"/>
          <w:lang w:eastAsia="en-AU"/>
        </w:rPr>
      </w:pPr>
      <w:r>
        <w:rPr>
          <w:szCs w:val="24"/>
          <w:lang w:eastAsia="en-AU"/>
        </w:rPr>
        <w:t xml:space="preserve">if all buildings at the parcel are shown in the respective site plan, or if not in the site plan, in a registered surveyor’s certification under the </w:t>
      </w:r>
      <w:r>
        <w:rPr>
          <w:i/>
          <w:szCs w:val="24"/>
          <w:lang w:eastAsia="en-AU"/>
        </w:rPr>
        <w:t>Unit Titles Regulation 2001</w:t>
      </w:r>
      <w:r>
        <w:rPr>
          <w:szCs w:val="24"/>
          <w:lang w:eastAsia="en-AU"/>
        </w:rPr>
        <w:t>, section 2E (1) (j); and</w:t>
      </w:r>
    </w:p>
    <w:p w:rsidR="00851B6B" w:rsidRDefault="00851B6B">
      <w:pPr>
        <w:ind w:left="993"/>
        <w:rPr>
          <w:szCs w:val="24"/>
          <w:lang w:eastAsia="en-AU"/>
        </w:rPr>
      </w:pPr>
    </w:p>
    <w:p w:rsidR="00851B6B" w:rsidRDefault="00851B6B">
      <w:pPr>
        <w:numPr>
          <w:ilvl w:val="0"/>
          <w:numId w:val="19"/>
        </w:numPr>
        <w:tabs>
          <w:tab w:val="clear" w:pos="869"/>
          <w:tab w:val="num" w:pos="1418"/>
        </w:tabs>
        <w:ind w:left="1418" w:hanging="425"/>
        <w:rPr>
          <w:szCs w:val="24"/>
          <w:lang w:eastAsia="en-AU"/>
        </w:rPr>
      </w:pPr>
      <w:r>
        <w:rPr>
          <w:szCs w:val="24"/>
          <w:lang w:eastAsia="en-AU"/>
        </w:rPr>
        <w:t>if such a building is shown in a certification, the certification is attached to the relevant unit title assessment report.</w:t>
      </w:r>
    </w:p>
    <w:p w:rsidR="00851B6B" w:rsidRDefault="00851B6B">
      <w:pPr>
        <w:rPr>
          <w:rFonts w:ascii="Arial" w:hAnsi="Arial" w:cs="Arial"/>
          <w:szCs w:val="24"/>
          <w:lang w:eastAsia="en-AU"/>
        </w:rPr>
      </w:pPr>
    </w:p>
    <w:p w:rsidR="00851B6B" w:rsidRDefault="00851B6B">
      <w:pPr>
        <w:pStyle w:val="Heading3"/>
        <w:numPr>
          <w:ilvl w:val="0"/>
          <w:numId w:val="3"/>
        </w:numPr>
        <w:tabs>
          <w:tab w:val="clear" w:pos="1146"/>
          <w:tab w:val="num" w:pos="993"/>
        </w:tabs>
        <w:ind w:hanging="1146"/>
        <w:rPr>
          <w:lang w:eastAsia="en-AU"/>
        </w:rPr>
      </w:pPr>
      <w:bookmarkStart w:id="25" w:name="_Toc271621027"/>
      <w:r>
        <w:rPr>
          <w:lang w:eastAsia="en-AU"/>
        </w:rPr>
        <w:t>Encroachment beyond parcel boundaries—unleased land</w:t>
      </w:r>
      <w:bookmarkEnd w:id="25"/>
    </w:p>
    <w:p w:rsidR="00851B6B" w:rsidRDefault="00851B6B">
      <w:pPr>
        <w:tabs>
          <w:tab w:val="num" w:pos="1211"/>
        </w:tabs>
        <w:rPr>
          <w:szCs w:val="24"/>
          <w:lang w:eastAsia="en-AU"/>
        </w:rPr>
      </w:pPr>
    </w:p>
    <w:p w:rsidR="00851B6B" w:rsidRDefault="00851B6B">
      <w:pPr>
        <w:numPr>
          <w:ilvl w:val="1"/>
          <w:numId w:val="3"/>
        </w:numPr>
        <w:tabs>
          <w:tab w:val="num" w:pos="993"/>
        </w:tabs>
        <w:ind w:left="993" w:hanging="567"/>
        <w:rPr>
          <w:szCs w:val="24"/>
          <w:lang w:eastAsia="en-AU"/>
        </w:rPr>
      </w:pPr>
      <w:r>
        <w:rPr>
          <w:szCs w:val="24"/>
          <w:lang w:eastAsia="en-AU"/>
        </w:rPr>
        <w:t>An assessor must not take a building to comply with this section if—</w:t>
      </w:r>
    </w:p>
    <w:p w:rsidR="00851B6B" w:rsidRDefault="00851B6B">
      <w:pPr>
        <w:tabs>
          <w:tab w:val="num" w:pos="1211"/>
        </w:tabs>
        <w:ind w:left="426"/>
        <w:rPr>
          <w:szCs w:val="24"/>
          <w:lang w:eastAsia="en-AU"/>
        </w:rPr>
      </w:pPr>
    </w:p>
    <w:p w:rsidR="00851B6B" w:rsidRDefault="00851B6B">
      <w:pPr>
        <w:numPr>
          <w:ilvl w:val="0"/>
          <w:numId w:val="20"/>
        </w:numPr>
        <w:tabs>
          <w:tab w:val="clear" w:pos="869"/>
          <w:tab w:val="num" w:pos="1418"/>
        </w:tabs>
        <w:ind w:left="1418" w:hanging="443"/>
        <w:rPr>
          <w:szCs w:val="24"/>
          <w:lang w:eastAsia="en-AU"/>
        </w:rPr>
      </w:pPr>
      <w:r>
        <w:rPr>
          <w:szCs w:val="24"/>
          <w:lang w:eastAsia="en-AU"/>
        </w:rPr>
        <w:t>any part of the building, including a footing or basement, encroaches under, on or over unleased land; and</w:t>
      </w:r>
    </w:p>
    <w:p w:rsidR="00851B6B" w:rsidRDefault="00851B6B">
      <w:pPr>
        <w:ind w:left="993"/>
        <w:rPr>
          <w:szCs w:val="24"/>
          <w:lang w:eastAsia="en-AU"/>
        </w:rPr>
      </w:pPr>
    </w:p>
    <w:p w:rsidR="00851B6B" w:rsidRDefault="00851B6B">
      <w:pPr>
        <w:numPr>
          <w:ilvl w:val="0"/>
          <w:numId w:val="20"/>
        </w:numPr>
        <w:tabs>
          <w:tab w:val="clear" w:pos="869"/>
          <w:tab w:val="num" w:pos="1418"/>
        </w:tabs>
        <w:ind w:left="1418" w:hanging="443"/>
        <w:rPr>
          <w:szCs w:val="24"/>
          <w:lang w:eastAsia="en-AU"/>
        </w:rPr>
      </w:pPr>
      <w:r>
        <w:rPr>
          <w:szCs w:val="24"/>
          <w:lang w:eastAsia="en-AU"/>
        </w:rPr>
        <w:t xml:space="preserve">the full extent of the encroachment, other than any part that is an </w:t>
      </w:r>
      <w:smartTag w:uri="urn:schemas-microsoft-com:office:smarttags" w:element="PersonName">
        <w:r>
          <w:rPr>
            <w:szCs w:val="24"/>
            <w:lang w:eastAsia="en-AU"/>
          </w:rPr>
          <w:t>au</w:t>
        </w:r>
      </w:smartTag>
      <w:r>
        <w:rPr>
          <w:szCs w:val="24"/>
          <w:lang w:eastAsia="en-AU"/>
        </w:rPr>
        <w:t>thorised existing attachment, has not been approved.</w:t>
      </w:r>
    </w:p>
    <w:p w:rsidR="00851B6B" w:rsidRDefault="00851B6B">
      <w:pPr>
        <w:tabs>
          <w:tab w:val="num" w:pos="1211"/>
        </w:tabs>
        <w:ind w:left="426"/>
        <w:rPr>
          <w:szCs w:val="24"/>
          <w:lang w:eastAsia="en-AU"/>
        </w:rPr>
      </w:pPr>
    </w:p>
    <w:p w:rsidR="00851B6B" w:rsidRDefault="00851B6B">
      <w:pPr>
        <w:numPr>
          <w:ilvl w:val="1"/>
          <w:numId w:val="3"/>
        </w:numPr>
        <w:tabs>
          <w:tab w:val="num" w:pos="993"/>
        </w:tabs>
        <w:ind w:left="993" w:hanging="567"/>
        <w:rPr>
          <w:szCs w:val="24"/>
          <w:lang w:eastAsia="en-AU"/>
        </w:rPr>
      </w:pPr>
      <w:r>
        <w:rPr>
          <w:szCs w:val="24"/>
          <w:lang w:eastAsia="en-AU"/>
        </w:rPr>
        <w:t>Nothing in this section requires an assessor to measure on site where something is in relation to something else.</w:t>
      </w:r>
    </w:p>
    <w:p w:rsidR="00851B6B" w:rsidRDefault="00851B6B">
      <w:pPr>
        <w:tabs>
          <w:tab w:val="num" w:pos="993"/>
        </w:tabs>
        <w:ind w:left="426"/>
        <w:rPr>
          <w:szCs w:val="24"/>
          <w:lang w:eastAsia="en-AU"/>
        </w:rPr>
      </w:pPr>
    </w:p>
    <w:p w:rsidR="00851B6B" w:rsidRDefault="00851B6B">
      <w:pPr>
        <w:numPr>
          <w:ilvl w:val="1"/>
          <w:numId w:val="3"/>
        </w:numPr>
        <w:tabs>
          <w:tab w:val="num" w:pos="993"/>
        </w:tabs>
        <w:ind w:left="993" w:hanging="567"/>
        <w:rPr>
          <w:szCs w:val="24"/>
          <w:lang w:eastAsia="en-AU"/>
        </w:rPr>
      </w:pPr>
      <w:r>
        <w:rPr>
          <w:szCs w:val="24"/>
          <w:lang w:eastAsia="en-AU"/>
        </w:rPr>
        <w:t>A movable part of a building, including a door, gate, flap, hatch, retractable shading or sheltering device, encroaches for the purposes of subsection (2) if it encroaches to any extent in any of its positions of normal use even if it fails to encroach in another position, including the closed or retracted position.</w:t>
      </w:r>
    </w:p>
    <w:p w:rsidR="00851B6B" w:rsidRDefault="00851B6B">
      <w:pPr>
        <w:tabs>
          <w:tab w:val="num" w:pos="993"/>
        </w:tabs>
        <w:ind w:left="426"/>
        <w:rPr>
          <w:szCs w:val="24"/>
          <w:lang w:eastAsia="en-AU"/>
        </w:rPr>
      </w:pPr>
      <w:r>
        <w:rPr>
          <w:szCs w:val="24"/>
          <w:lang w:eastAsia="en-AU"/>
        </w:rPr>
        <w:br w:type="page"/>
      </w:r>
    </w:p>
    <w:p w:rsidR="00851B6B" w:rsidRDefault="00851B6B">
      <w:pPr>
        <w:numPr>
          <w:ilvl w:val="1"/>
          <w:numId w:val="3"/>
        </w:numPr>
        <w:tabs>
          <w:tab w:val="clear" w:pos="1211"/>
          <w:tab w:val="num" w:pos="993"/>
          <w:tab w:val="num" w:pos="1560"/>
        </w:tabs>
        <w:ind w:left="993" w:hanging="567"/>
        <w:rPr>
          <w:szCs w:val="24"/>
          <w:lang w:eastAsia="en-AU"/>
        </w:rPr>
      </w:pPr>
      <w:r>
        <w:rPr>
          <w:szCs w:val="24"/>
          <w:lang w:eastAsia="en-AU"/>
        </w:rPr>
        <w:t>In this section:</w:t>
      </w:r>
    </w:p>
    <w:p w:rsidR="00851B6B" w:rsidRDefault="00851B6B">
      <w:pPr>
        <w:tabs>
          <w:tab w:val="num" w:pos="1211"/>
        </w:tabs>
        <w:ind w:left="993"/>
        <w:rPr>
          <w:szCs w:val="24"/>
          <w:lang w:eastAsia="en-AU"/>
        </w:rPr>
      </w:pPr>
    </w:p>
    <w:p w:rsidR="00851B6B" w:rsidRDefault="00851B6B">
      <w:pPr>
        <w:tabs>
          <w:tab w:val="num" w:pos="1211"/>
        </w:tabs>
        <w:ind w:left="993"/>
        <w:rPr>
          <w:szCs w:val="24"/>
          <w:lang w:eastAsia="en-AU"/>
        </w:rPr>
      </w:pPr>
      <w:r>
        <w:rPr>
          <w:b/>
          <w:i/>
          <w:szCs w:val="24"/>
          <w:lang w:eastAsia="en-AU"/>
        </w:rPr>
        <w:t>approved,</w:t>
      </w:r>
      <w:r>
        <w:rPr>
          <w:szCs w:val="24"/>
          <w:lang w:eastAsia="en-AU"/>
        </w:rPr>
        <w:t xml:space="preserve"> for an encroachment, means in compliance with a relevant development approval and the requirements of a licence granted under </w:t>
      </w:r>
      <w:r>
        <w:rPr>
          <w:i/>
          <w:szCs w:val="24"/>
          <w:lang w:eastAsia="en-AU"/>
        </w:rPr>
        <w:t>Planning and Development Act 2007</w:t>
      </w:r>
      <w:r>
        <w:rPr>
          <w:szCs w:val="24"/>
          <w:lang w:eastAsia="en-AU"/>
        </w:rPr>
        <w:t>, permitting the use of unleased land for the encroachment.</w:t>
      </w:r>
    </w:p>
    <w:p w:rsidR="00851B6B" w:rsidRDefault="00851B6B">
      <w:pPr>
        <w:tabs>
          <w:tab w:val="num" w:pos="1211"/>
        </w:tabs>
        <w:ind w:left="426"/>
        <w:rPr>
          <w:szCs w:val="24"/>
          <w:lang w:eastAsia="en-AU"/>
        </w:rPr>
      </w:pPr>
    </w:p>
    <w:p w:rsidR="00851B6B" w:rsidRDefault="00851B6B">
      <w:pPr>
        <w:tabs>
          <w:tab w:val="num" w:pos="1211"/>
        </w:tabs>
        <w:ind w:left="993"/>
        <w:rPr>
          <w:szCs w:val="24"/>
          <w:lang w:eastAsia="en-AU"/>
        </w:rPr>
      </w:pPr>
      <w:r>
        <w:rPr>
          <w:b/>
          <w:i/>
          <w:szCs w:val="24"/>
          <w:lang w:eastAsia="en-AU"/>
        </w:rPr>
        <w:t>authorised existing attachment</w:t>
      </w:r>
      <w:r>
        <w:rPr>
          <w:szCs w:val="24"/>
          <w:lang w:eastAsia="en-AU"/>
        </w:rPr>
        <w:t xml:space="preserve">—see </w:t>
      </w:r>
      <w:r>
        <w:rPr>
          <w:i/>
          <w:szCs w:val="24"/>
          <w:lang w:eastAsia="en-AU"/>
        </w:rPr>
        <w:t>Unit Titles Act 2001</w:t>
      </w:r>
      <w:r>
        <w:rPr>
          <w:szCs w:val="24"/>
          <w:lang w:eastAsia="en-AU"/>
        </w:rPr>
        <w:t>,section 20 (7).</w:t>
      </w:r>
    </w:p>
    <w:p w:rsidR="00851B6B" w:rsidRDefault="00851B6B">
      <w:pPr>
        <w:tabs>
          <w:tab w:val="num" w:pos="1211"/>
        </w:tabs>
        <w:ind w:left="426"/>
        <w:rPr>
          <w:szCs w:val="24"/>
          <w:lang w:eastAsia="en-AU"/>
        </w:rPr>
      </w:pPr>
    </w:p>
    <w:p w:rsidR="00851B6B" w:rsidRDefault="00851B6B">
      <w:pPr>
        <w:pStyle w:val="Heading3"/>
        <w:numPr>
          <w:ilvl w:val="0"/>
          <w:numId w:val="3"/>
        </w:numPr>
        <w:tabs>
          <w:tab w:val="clear" w:pos="1146"/>
          <w:tab w:val="num" w:pos="993"/>
        </w:tabs>
        <w:ind w:hanging="1146"/>
        <w:rPr>
          <w:lang w:eastAsia="en-AU"/>
        </w:rPr>
      </w:pPr>
      <w:bookmarkStart w:id="26" w:name="_Toc271621028"/>
      <w:r>
        <w:rPr>
          <w:lang w:eastAsia="en-AU"/>
        </w:rPr>
        <w:t>Encroachment beyond parcel boundaries—leased land</w:t>
      </w:r>
      <w:bookmarkEnd w:id="26"/>
    </w:p>
    <w:p w:rsidR="00851B6B" w:rsidRDefault="00851B6B">
      <w:pPr>
        <w:ind w:left="851"/>
        <w:rPr>
          <w:szCs w:val="24"/>
          <w:lang w:eastAsia="en-AU"/>
        </w:rPr>
      </w:pPr>
    </w:p>
    <w:p w:rsidR="00851B6B" w:rsidRDefault="00851B6B">
      <w:pPr>
        <w:numPr>
          <w:ilvl w:val="1"/>
          <w:numId w:val="3"/>
        </w:numPr>
        <w:tabs>
          <w:tab w:val="num" w:pos="993"/>
        </w:tabs>
        <w:ind w:left="993" w:hanging="567"/>
        <w:rPr>
          <w:szCs w:val="24"/>
          <w:lang w:eastAsia="en-AU"/>
        </w:rPr>
      </w:pPr>
      <w:r>
        <w:rPr>
          <w:szCs w:val="24"/>
          <w:lang w:eastAsia="en-AU"/>
        </w:rPr>
        <w:t>An assessor must not take a building on a parcel to comply with this section if—</w:t>
      </w:r>
    </w:p>
    <w:p w:rsidR="00851B6B" w:rsidRDefault="00851B6B">
      <w:pPr>
        <w:tabs>
          <w:tab w:val="num" w:pos="1211"/>
        </w:tabs>
        <w:ind w:left="426"/>
        <w:rPr>
          <w:szCs w:val="24"/>
          <w:lang w:eastAsia="en-AU"/>
        </w:rPr>
      </w:pPr>
    </w:p>
    <w:p w:rsidR="00851B6B" w:rsidRDefault="00851B6B">
      <w:pPr>
        <w:numPr>
          <w:ilvl w:val="0"/>
          <w:numId w:val="10"/>
        </w:numPr>
        <w:tabs>
          <w:tab w:val="clear" w:pos="869"/>
          <w:tab w:val="num" w:pos="1418"/>
        </w:tabs>
        <w:ind w:left="1418" w:hanging="567"/>
        <w:rPr>
          <w:szCs w:val="24"/>
          <w:lang w:eastAsia="en-AU"/>
        </w:rPr>
      </w:pPr>
      <w:r>
        <w:rPr>
          <w:szCs w:val="24"/>
          <w:lang w:eastAsia="en-AU"/>
        </w:rPr>
        <w:t>any part of the building, including a footing, basement, awning, downpipe, eave, fascia, or guttering, encroaches under, on or over leased land that is not within the parcel; and</w:t>
      </w:r>
    </w:p>
    <w:p w:rsidR="00851B6B" w:rsidRDefault="00851B6B">
      <w:pPr>
        <w:tabs>
          <w:tab w:val="num" w:pos="1211"/>
          <w:tab w:val="num" w:pos="1418"/>
        </w:tabs>
        <w:ind w:left="1418" w:hanging="567"/>
        <w:rPr>
          <w:szCs w:val="24"/>
          <w:lang w:eastAsia="en-AU"/>
        </w:rPr>
      </w:pPr>
    </w:p>
    <w:p w:rsidR="00851B6B" w:rsidRDefault="00851B6B">
      <w:pPr>
        <w:numPr>
          <w:ilvl w:val="0"/>
          <w:numId w:val="10"/>
        </w:numPr>
        <w:tabs>
          <w:tab w:val="clear" w:pos="869"/>
          <w:tab w:val="num" w:pos="1418"/>
        </w:tabs>
        <w:ind w:left="1418" w:hanging="567"/>
        <w:rPr>
          <w:szCs w:val="24"/>
          <w:lang w:eastAsia="en-AU"/>
        </w:rPr>
      </w:pPr>
      <w:r>
        <w:rPr>
          <w:szCs w:val="24"/>
          <w:lang w:eastAsia="en-AU"/>
        </w:rPr>
        <w:t xml:space="preserve">the full extent of the encroachment, is not the subject of a </w:t>
      </w:r>
      <w:r>
        <w:t>transfer and grant of easement</w:t>
      </w:r>
      <w:r>
        <w:rPr>
          <w:szCs w:val="24"/>
          <w:lang w:eastAsia="en-AU"/>
        </w:rPr>
        <w:t xml:space="preserve"> </w:t>
      </w:r>
      <w:r>
        <w:t xml:space="preserve">registered by the registrar-general under the </w:t>
      </w:r>
      <w:r>
        <w:rPr>
          <w:i/>
        </w:rPr>
        <w:t xml:space="preserve">Land Titles Act 1925 </w:t>
      </w:r>
      <w:r>
        <w:t>and noted on the site plan.</w:t>
      </w:r>
    </w:p>
    <w:p w:rsidR="00851B6B" w:rsidRDefault="00851B6B">
      <w:pPr>
        <w:tabs>
          <w:tab w:val="num" w:pos="1211"/>
        </w:tabs>
        <w:ind w:left="426"/>
        <w:rPr>
          <w:szCs w:val="24"/>
          <w:lang w:eastAsia="en-AU"/>
        </w:rPr>
      </w:pPr>
    </w:p>
    <w:p w:rsidR="00851B6B" w:rsidRDefault="00851B6B">
      <w:pPr>
        <w:numPr>
          <w:ilvl w:val="1"/>
          <w:numId w:val="3"/>
        </w:numPr>
        <w:tabs>
          <w:tab w:val="num" w:pos="993"/>
        </w:tabs>
        <w:ind w:left="993" w:hanging="567"/>
        <w:rPr>
          <w:szCs w:val="24"/>
          <w:lang w:eastAsia="en-AU"/>
        </w:rPr>
      </w:pPr>
      <w:r>
        <w:rPr>
          <w:szCs w:val="24"/>
          <w:lang w:eastAsia="en-AU"/>
        </w:rPr>
        <w:t>Nothing in this section requires an assessor to measure on site where something is in relation to something else.</w:t>
      </w:r>
    </w:p>
    <w:p w:rsidR="00851B6B" w:rsidRDefault="00851B6B">
      <w:pPr>
        <w:tabs>
          <w:tab w:val="num" w:pos="993"/>
        </w:tabs>
        <w:ind w:left="426"/>
        <w:rPr>
          <w:szCs w:val="24"/>
          <w:lang w:eastAsia="en-AU"/>
        </w:rPr>
      </w:pPr>
    </w:p>
    <w:p w:rsidR="00851B6B" w:rsidRDefault="00851B6B">
      <w:pPr>
        <w:numPr>
          <w:ilvl w:val="1"/>
          <w:numId w:val="3"/>
        </w:numPr>
        <w:tabs>
          <w:tab w:val="num" w:pos="993"/>
        </w:tabs>
        <w:ind w:left="993" w:hanging="567"/>
        <w:rPr>
          <w:szCs w:val="24"/>
          <w:lang w:eastAsia="en-AU"/>
        </w:rPr>
      </w:pPr>
      <w:r>
        <w:rPr>
          <w:szCs w:val="24"/>
          <w:lang w:eastAsia="en-AU"/>
        </w:rPr>
        <w:t>A movable part of a building, including a door, gate, flap, hatch, retractable shading or sheltering device, encroaches for the purposes of section (1) (a) if it encroaches to any extent in any of its positions of normal use even if it fails to encroach in another position, including the closed or retracted position.</w:t>
      </w:r>
    </w:p>
    <w:p w:rsidR="00851B6B" w:rsidRDefault="00851B6B">
      <w:pPr>
        <w:ind w:left="851"/>
        <w:rPr>
          <w:sz w:val="20"/>
          <w:lang w:eastAsia="en-AU"/>
        </w:rPr>
      </w:pPr>
    </w:p>
    <w:p w:rsidR="00851B6B" w:rsidRDefault="00851B6B">
      <w:pPr>
        <w:pStyle w:val="Heading3"/>
        <w:numPr>
          <w:ilvl w:val="0"/>
          <w:numId w:val="3"/>
        </w:numPr>
        <w:tabs>
          <w:tab w:val="clear" w:pos="1146"/>
          <w:tab w:val="left" w:pos="993"/>
        </w:tabs>
        <w:ind w:left="993" w:hanging="993"/>
        <w:rPr>
          <w:lang w:eastAsia="en-AU"/>
        </w:rPr>
      </w:pPr>
      <w:bookmarkStart w:id="27" w:name="_Toc271621029"/>
      <w:r>
        <w:rPr>
          <w:lang w:eastAsia="en-AU"/>
        </w:rPr>
        <w:t>Proposed unit vertical dimension limitation—within a parcel and over or under a unit</w:t>
      </w:r>
      <w:bookmarkEnd w:id="27"/>
    </w:p>
    <w:p w:rsidR="00851B6B" w:rsidRDefault="00851B6B">
      <w:pPr>
        <w:ind w:left="851"/>
        <w:rPr>
          <w:szCs w:val="24"/>
          <w:lang w:eastAsia="en-AU"/>
        </w:rPr>
      </w:pPr>
    </w:p>
    <w:p w:rsidR="00851B6B" w:rsidRDefault="00851B6B">
      <w:pPr>
        <w:ind w:left="993"/>
        <w:rPr>
          <w:szCs w:val="24"/>
          <w:lang w:eastAsia="en-AU"/>
        </w:rPr>
      </w:pPr>
      <w:r>
        <w:rPr>
          <w:szCs w:val="24"/>
          <w:lang w:eastAsia="en-AU"/>
        </w:rPr>
        <w:t>An assessor must not take a parcel to comply with this section if—</w:t>
      </w:r>
    </w:p>
    <w:p w:rsidR="00851B6B" w:rsidRDefault="00851B6B">
      <w:pPr>
        <w:ind w:left="426"/>
        <w:rPr>
          <w:szCs w:val="24"/>
          <w:lang w:eastAsia="en-AU"/>
        </w:rPr>
      </w:pPr>
    </w:p>
    <w:p w:rsidR="00851B6B" w:rsidRDefault="00851B6B">
      <w:pPr>
        <w:numPr>
          <w:ilvl w:val="0"/>
          <w:numId w:val="2"/>
        </w:numPr>
        <w:tabs>
          <w:tab w:val="clear" w:pos="869"/>
          <w:tab w:val="num" w:pos="1418"/>
        </w:tabs>
        <w:ind w:left="1418" w:hanging="425"/>
        <w:rPr>
          <w:szCs w:val="24"/>
          <w:lang w:eastAsia="en-AU"/>
        </w:rPr>
      </w:pPr>
      <w:r>
        <w:rPr>
          <w:szCs w:val="24"/>
          <w:lang w:eastAsia="en-AU"/>
        </w:rPr>
        <w:t xml:space="preserve">a proposed unit for the parcel is subject to a vertical dimension limitation under the </w:t>
      </w:r>
      <w:r>
        <w:rPr>
          <w:i/>
          <w:szCs w:val="24"/>
          <w:lang w:eastAsia="en-AU"/>
        </w:rPr>
        <w:t>Unit Titles Regulation 2001</w:t>
      </w:r>
      <w:r>
        <w:rPr>
          <w:szCs w:val="24"/>
          <w:lang w:eastAsia="en-AU"/>
        </w:rPr>
        <w:t>, section 5 (Diagrams—manner of subdivision); and</w:t>
      </w:r>
    </w:p>
    <w:p w:rsidR="00851B6B" w:rsidRDefault="00851B6B">
      <w:pPr>
        <w:tabs>
          <w:tab w:val="num" w:pos="1418"/>
        </w:tabs>
        <w:ind w:left="1418" w:hanging="425"/>
        <w:rPr>
          <w:szCs w:val="24"/>
          <w:lang w:eastAsia="en-AU"/>
        </w:rPr>
      </w:pPr>
    </w:p>
    <w:p w:rsidR="00851B6B" w:rsidRDefault="00851B6B">
      <w:pPr>
        <w:numPr>
          <w:ilvl w:val="0"/>
          <w:numId w:val="2"/>
        </w:numPr>
        <w:tabs>
          <w:tab w:val="clear" w:pos="869"/>
          <w:tab w:val="num" w:pos="1418"/>
        </w:tabs>
        <w:ind w:left="1418" w:hanging="425"/>
        <w:rPr>
          <w:szCs w:val="24"/>
          <w:lang w:eastAsia="en-AU"/>
        </w:rPr>
      </w:pPr>
      <w:r>
        <w:rPr>
          <w:szCs w:val="24"/>
          <w:lang w:eastAsia="en-AU"/>
        </w:rPr>
        <w:t>the nature of the limitation is not stated on the site plan.</w:t>
      </w:r>
    </w:p>
    <w:p w:rsidR="00851B6B" w:rsidRDefault="00851B6B">
      <w:pPr>
        <w:rPr>
          <w:szCs w:val="24"/>
          <w:lang w:eastAsia="en-AU"/>
        </w:rPr>
      </w:pPr>
      <w:r>
        <w:rPr>
          <w:szCs w:val="24"/>
          <w:lang w:eastAsia="en-AU"/>
        </w:rPr>
        <w:br w:type="page"/>
      </w:r>
    </w:p>
    <w:p w:rsidR="00851B6B" w:rsidRDefault="00851B6B">
      <w:pPr>
        <w:ind w:left="833"/>
        <w:rPr>
          <w:rFonts w:ascii="Arial" w:hAnsi="Arial" w:cs="Arial"/>
          <w:b/>
          <w:sz w:val="20"/>
          <w:lang w:eastAsia="en-AU"/>
        </w:rPr>
      </w:pPr>
      <w:r>
        <w:rPr>
          <w:rFonts w:ascii="Arial" w:hAnsi="Arial" w:cs="Arial"/>
          <w:b/>
          <w:sz w:val="20"/>
          <w:lang w:eastAsia="en-AU"/>
        </w:rPr>
        <w:t>Examples—statement of nature of limitation</w:t>
      </w:r>
    </w:p>
    <w:p w:rsidR="00851B6B" w:rsidRDefault="00851B6B">
      <w:pPr>
        <w:ind w:left="833"/>
        <w:rPr>
          <w:sz w:val="20"/>
          <w:lang w:eastAsia="en-AU"/>
        </w:rPr>
      </w:pPr>
    </w:p>
    <w:p w:rsidR="00851B6B" w:rsidRDefault="00851B6B">
      <w:pPr>
        <w:numPr>
          <w:ilvl w:val="0"/>
          <w:numId w:val="21"/>
        </w:numPr>
        <w:tabs>
          <w:tab w:val="clear" w:pos="2546"/>
          <w:tab w:val="num" w:pos="1418"/>
        </w:tabs>
        <w:ind w:left="1418" w:hanging="567"/>
        <w:rPr>
          <w:sz w:val="20"/>
          <w:lang w:eastAsia="en-AU"/>
        </w:rPr>
      </w:pPr>
      <w:r>
        <w:rPr>
          <w:sz w:val="20"/>
          <w:lang w:eastAsia="en-AU"/>
        </w:rPr>
        <w:t>The site plan shows a plan view of the roof of a building encroaching into an adjoining proposed unit 3 with an accompanying notation that unit 3 is subject to a vertical dimension limitation up to the underside of that roof.</w:t>
      </w:r>
    </w:p>
    <w:p w:rsidR="00851B6B" w:rsidRDefault="00851B6B">
      <w:pPr>
        <w:tabs>
          <w:tab w:val="num" w:pos="1418"/>
        </w:tabs>
        <w:ind w:left="1418" w:hanging="567"/>
        <w:rPr>
          <w:sz w:val="20"/>
          <w:lang w:eastAsia="en-AU"/>
        </w:rPr>
      </w:pPr>
    </w:p>
    <w:p w:rsidR="00851B6B" w:rsidRDefault="00851B6B">
      <w:pPr>
        <w:numPr>
          <w:ilvl w:val="0"/>
          <w:numId w:val="21"/>
        </w:numPr>
        <w:tabs>
          <w:tab w:val="clear" w:pos="2546"/>
          <w:tab w:val="num" w:pos="1418"/>
        </w:tabs>
        <w:ind w:left="1418" w:hanging="567"/>
        <w:rPr>
          <w:sz w:val="20"/>
          <w:lang w:eastAsia="en-AU"/>
        </w:rPr>
      </w:pPr>
      <w:r>
        <w:rPr>
          <w:sz w:val="20"/>
          <w:lang w:eastAsia="en-AU"/>
        </w:rPr>
        <w:t>The site plan also shows a buried rainwater tank encroaching into proposed unit 3 with an accompanying notation that proposed unit 3 is subject to a vertical dimension limitation down to the top of that tank.</w:t>
      </w:r>
    </w:p>
    <w:p w:rsidR="00851B6B" w:rsidRDefault="00851B6B">
      <w:pPr>
        <w:rPr>
          <w:sz w:val="20"/>
          <w:lang w:eastAsia="en-AU"/>
        </w:rPr>
      </w:pPr>
    </w:p>
    <w:p w:rsidR="00851B6B" w:rsidRDefault="00851B6B">
      <w:pPr>
        <w:pStyle w:val="aNote"/>
        <w:ind w:left="1418" w:hanging="482"/>
      </w:pPr>
      <w:r>
        <w:rPr>
          <w:i/>
        </w:rPr>
        <w:t>Note</w:t>
      </w:r>
      <w:r>
        <w:tab/>
        <w:t>An example is part of the code, is not exh</w:t>
      </w:r>
      <w:smartTag w:uri="urn:schemas-microsoft-com:office:smarttags" w:element="PersonName">
        <w:r>
          <w:t>au</w:t>
        </w:r>
      </w:smartTag>
      <w:r>
        <w:t>stive and may extend, but does not limit, the meaning of the provision in which it appears (see Legislation Act, s 126 and s 132).</w:t>
      </w:r>
    </w:p>
    <w:p w:rsidR="00851B6B" w:rsidRDefault="00851B6B">
      <w:pPr>
        <w:rPr>
          <w:szCs w:val="24"/>
          <w:lang w:eastAsia="en-AU"/>
        </w:rPr>
      </w:pPr>
    </w:p>
    <w:p w:rsidR="00851B6B" w:rsidRDefault="00851B6B">
      <w:pPr>
        <w:pStyle w:val="Heading3"/>
        <w:numPr>
          <w:ilvl w:val="0"/>
          <w:numId w:val="3"/>
        </w:numPr>
        <w:tabs>
          <w:tab w:val="num" w:pos="993"/>
        </w:tabs>
        <w:ind w:hanging="1146"/>
        <w:rPr>
          <w:lang w:eastAsia="en-AU"/>
        </w:rPr>
      </w:pPr>
      <w:bookmarkStart w:id="28" w:name="_Toc263157552"/>
      <w:bookmarkStart w:id="29" w:name="_Toc263157868"/>
      <w:bookmarkStart w:id="30" w:name="_Toc263344707"/>
      <w:bookmarkStart w:id="31" w:name="_Toc271621030"/>
      <w:r>
        <w:rPr>
          <w:lang w:eastAsia="en-AU"/>
        </w:rPr>
        <w:t>Letter boxes—</w:t>
      </w:r>
      <w:bookmarkEnd w:id="28"/>
      <w:bookmarkEnd w:id="29"/>
      <w:bookmarkEnd w:id="30"/>
      <w:r>
        <w:rPr>
          <w:lang w:eastAsia="en-AU"/>
        </w:rPr>
        <w:t>compliance with plan</w:t>
      </w:r>
      <w:bookmarkEnd w:id="31"/>
    </w:p>
    <w:p w:rsidR="00851B6B" w:rsidRDefault="00851B6B">
      <w:pPr>
        <w:rPr>
          <w:szCs w:val="24"/>
          <w:lang w:eastAsia="en-AU"/>
        </w:rPr>
      </w:pPr>
    </w:p>
    <w:p w:rsidR="00851B6B" w:rsidRDefault="00851B6B">
      <w:pPr>
        <w:numPr>
          <w:ilvl w:val="0"/>
          <w:numId w:val="4"/>
        </w:numPr>
        <w:tabs>
          <w:tab w:val="clear" w:pos="2340"/>
          <w:tab w:val="num" w:pos="993"/>
        </w:tabs>
        <w:ind w:left="993" w:hanging="502"/>
        <w:rPr>
          <w:szCs w:val="24"/>
          <w:lang w:eastAsia="en-AU"/>
        </w:rPr>
      </w:pPr>
      <w:r>
        <w:rPr>
          <w:szCs w:val="24"/>
          <w:lang w:eastAsia="en-AU"/>
        </w:rPr>
        <w:t>An assessor must not take a parcel to comply with this section if—</w:t>
      </w:r>
    </w:p>
    <w:p w:rsidR="00851B6B" w:rsidRDefault="00851B6B">
      <w:pPr>
        <w:ind w:left="491"/>
        <w:rPr>
          <w:szCs w:val="24"/>
          <w:lang w:eastAsia="en-AU"/>
        </w:rPr>
      </w:pPr>
    </w:p>
    <w:p w:rsidR="00851B6B" w:rsidRDefault="00851B6B">
      <w:pPr>
        <w:numPr>
          <w:ilvl w:val="0"/>
          <w:numId w:val="11"/>
        </w:numPr>
        <w:tabs>
          <w:tab w:val="clear" w:pos="869"/>
          <w:tab w:val="num" w:pos="1418"/>
        </w:tabs>
        <w:ind w:left="1418" w:hanging="567"/>
        <w:rPr>
          <w:szCs w:val="24"/>
          <w:lang w:eastAsia="en-AU"/>
        </w:rPr>
      </w:pPr>
      <w:r>
        <w:rPr>
          <w:szCs w:val="24"/>
          <w:lang w:eastAsia="en-AU"/>
        </w:rPr>
        <w:t>letter boxes for the parcel fail to comply with relevant development approval, if any; or</w:t>
      </w:r>
    </w:p>
    <w:p w:rsidR="00851B6B" w:rsidRDefault="00851B6B">
      <w:pPr>
        <w:tabs>
          <w:tab w:val="num" w:pos="1418"/>
        </w:tabs>
        <w:ind w:left="851"/>
        <w:rPr>
          <w:szCs w:val="24"/>
          <w:lang w:eastAsia="en-AU"/>
        </w:rPr>
      </w:pPr>
    </w:p>
    <w:p w:rsidR="00851B6B" w:rsidRDefault="00851B6B">
      <w:pPr>
        <w:numPr>
          <w:ilvl w:val="0"/>
          <w:numId w:val="11"/>
        </w:numPr>
        <w:tabs>
          <w:tab w:val="clear" w:pos="869"/>
          <w:tab w:val="num" w:pos="1418"/>
        </w:tabs>
        <w:ind w:left="1418" w:hanging="567"/>
        <w:rPr>
          <w:szCs w:val="24"/>
          <w:lang w:eastAsia="en-AU"/>
        </w:rPr>
      </w:pPr>
      <w:r>
        <w:rPr>
          <w:szCs w:val="24"/>
          <w:lang w:eastAsia="en-AU"/>
        </w:rPr>
        <w:t xml:space="preserve">every letterbox for the parcel is not </w:t>
      </w:r>
      <w:r>
        <w:t>located wholly within the parcel; or</w:t>
      </w:r>
    </w:p>
    <w:p w:rsidR="00851B6B" w:rsidRDefault="00851B6B"/>
    <w:p w:rsidR="00851B6B" w:rsidRDefault="00851B6B">
      <w:pPr>
        <w:numPr>
          <w:ilvl w:val="0"/>
          <w:numId w:val="11"/>
        </w:numPr>
        <w:tabs>
          <w:tab w:val="clear" w:pos="869"/>
          <w:tab w:val="num" w:pos="1418"/>
        </w:tabs>
        <w:ind w:left="1418" w:hanging="567"/>
        <w:rPr>
          <w:szCs w:val="24"/>
          <w:lang w:eastAsia="en-AU"/>
        </w:rPr>
      </w:pPr>
      <w:r>
        <w:rPr>
          <w:szCs w:val="24"/>
          <w:lang w:eastAsia="en-AU"/>
        </w:rPr>
        <w:t xml:space="preserve">every letterbox for the parcel is not </w:t>
      </w:r>
      <w:r>
        <w:t xml:space="preserve">located wholly within its respective proposed unit boundary (the </w:t>
      </w:r>
      <w:r>
        <w:rPr>
          <w:b/>
          <w:i/>
        </w:rPr>
        <w:t>unit</w:t>
      </w:r>
      <w:r>
        <w:t>) or is not located within proposed common property, or is not partly in the respective proposed unit and partly in the proposed common property, or if mail cannot be reasonably placed into and retrieved from each letterbox without entering another proposed unit; or</w:t>
      </w:r>
    </w:p>
    <w:p w:rsidR="00851B6B" w:rsidRDefault="00851B6B">
      <w:pPr>
        <w:tabs>
          <w:tab w:val="num" w:pos="1418"/>
        </w:tabs>
        <w:rPr>
          <w:szCs w:val="24"/>
          <w:lang w:eastAsia="en-AU"/>
        </w:rPr>
      </w:pPr>
    </w:p>
    <w:p w:rsidR="00851B6B" w:rsidRDefault="00851B6B">
      <w:pPr>
        <w:numPr>
          <w:ilvl w:val="0"/>
          <w:numId w:val="11"/>
        </w:numPr>
        <w:tabs>
          <w:tab w:val="clear" w:pos="869"/>
          <w:tab w:val="num" w:pos="1418"/>
        </w:tabs>
        <w:ind w:left="1418" w:hanging="567"/>
        <w:rPr>
          <w:szCs w:val="24"/>
          <w:lang w:eastAsia="en-AU"/>
        </w:rPr>
      </w:pPr>
      <w:r>
        <w:t>the parcel does not have a letter box for every proposed unit and for the proposed owners corporation, or if each of those letterboxes is not legibly and durably labelled in accordance with the site plan or for the owners corporation, as the case requires.</w:t>
      </w:r>
    </w:p>
    <w:p w:rsidR="00851B6B" w:rsidRDefault="00851B6B">
      <w:pPr>
        <w:tabs>
          <w:tab w:val="num" w:pos="851"/>
        </w:tabs>
        <w:ind w:left="491"/>
        <w:rPr>
          <w:szCs w:val="24"/>
          <w:lang w:eastAsia="en-AU"/>
        </w:rPr>
      </w:pPr>
    </w:p>
    <w:p w:rsidR="00851B6B" w:rsidRDefault="00851B6B">
      <w:pPr>
        <w:numPr>
          <w:ilvl w:val="0"/>
          <w:numId w:val="4"/>
        </w:numPr>
        <w:tabs>
          <w:tab w:val="clear" w:pos="2340"/>
          <w:tab w:val="num" w:pos="993"/>
        </w:tabs>
        <w:ind w:left="993" w:hanging="502"/>
        <w:rPr>
          <w:szCs w:val="24"/>
          <w:lang w:eastAsia="en-AU"/>
        </w:rPr>
      </w:pPr>
      <w:r>
        <w:rPr>
          <w:szCs w:val="24"/>
          <w:lang w:eastAsia="en-AU"/>
        </w:rPr>
        <w:t>Nothing in this section requires an assessor to measure on site where something is in relation to something else, but this section does require an assessor to look at, or for, letterboxes as depicted in relevant plans to see if they comply with relevant plans and to see if the letter boxes otherwise comply with this section.</w:t>
      </w:r>
    </w:p>
    <w:p w:rsidR="00851B6B" w:rsidRDefault="00851B6B">
      <w:pPr>
        <w:rPr>
          <w:szCs w:val="24"/>
          <w:lang w:eastAsia="en-AU"/>
        </w:rPr>
      </w:pPr>
      <w:r>
        <w:rPr>
          <w:szCs w:val="24"/>
          <w:lang w:eastAsia="en-AU"/>
        </w:rPr>
        <w:br w:type="page"/>
      </w:r>
    </w:p>
    <w:p w:rsidR="00851B6B" w:rsidRDefault="00851B6B">
      <w:pPr>
        <w:pStyle w:val="Heading3"/>
        <w:numPr>
          <w:ilvl w:val="0"/>
          <w:numId w:val="3"/>
        </w:numPr>
        <w:tabs>
          <w:tab w:val="num" w:pos="993"/>
        </w:tabs>
        <w:ind w:hanging="1146"/>
        <w:rPr>
          <w:lang w:eastAsia="en-AU"/>
        </w:rPr>
      </w:pPr>
      <w:bookmarkStart w:id="32" w:name="_Toc271621031"/>
      <w:r>
        <w:rPr>
          <w:lang w:eastAsia="en-AU"/>
        </w:rPr>
        <w:t>Identification signage</w:t>
      </w:r>
      <w:bookmarkEnd w:id="32"/>
    </w:p>
    <w:p w:rsidR="00851B6B" w:rsidRDefault="00851B6B">
      <w:pPr>
        <w:rPr>
          <w:szCs w:val="24"/>
          <w:lang w:eastAsia="en-AU"/>
        </w:rPr>
      </w:pPr>
    </w:p>
    <w:p w:rsidR="00851B6B" w:rsidRDefault="00851B6B">
      <w:pPr>
        <w:numPr>
          <w:ilvl w:val="0"/>
          <w:numId w:val="12"/>
        </w:numPr>
        <w:tabs>
          <w:tab w:val="clear" w:pos="2340"/>
          <w:tab w:val="num" w:pos="993"/>
        </w:tabs>
        <w:ind w:left="851" w:hanging="425"/>
        <w:rPr>
          <w:szCs w:val="24"/>
          <w:lang w:eastAsia="en-AU"/>
        </w:rPr>
      </w:pPr>
      <w:r>
        <w:rPr>
          <w:szCs w:val="24"/>
          <w:lang w:eastAsia="en-AU"/>
        </w:rPr>
        <w:t>An assessor must not take a parcel to comply with this section if—</w:t>
      </w:r>
    </w:p>
    <w:p w:rsidR="00851B6B" w:rsidRDefault="00851B6B">
      <w:pPr>
        <w:rPr>
          <w:szCs w:val="24"/>
          <w:lang w:eastAsia="en-AU"/>
        </w:rPr>
      </w:pPr>
    </w:p>
    <w:p w:rsidR="00851B6B" w:rsidRDefault="00851B6B">
      <w:pPr>
        <w:numPr>
          <w:ilvl w:val="0"/>
          <w:numId w:val="13"/>
        </w:numPr>
        <w:tabs>
          <w:tab w:val="clear" w:pos="869"/>
          <w:tab w:val="num" w:pos="1418"/>
        </w:tabs>
        <w:ind w:left="1418"/>
        <w:rPr>
          <w:szCs w:val="24"/>
          <w:lang w:eastAsia="en-AU"/>
        </w:rPr>
      </w:pPr>
      <w:r>
        <w:rPr>
          <w:szCs w:val="24"/>
          <w:lang w:eastAsia="en-AU"/>
        </w:rPr>
        <w:t xml:space="preserve">each proposed unit, and each proposed non-adjacent unit subsidiary, (the </w:t>
      </w:r>
      <w:r>
        <w:rPr>
          <w:b/>
          <w:i/>
          <w:szCs w:val="24"/>
          <w:lang w:eastAsia="en-AU"/>
        </w:rPr>
        <w:t xml:space="preserve">unit </w:t>
      </w:r>
      <w:r>
        <w:rPr>
          <w:szCs w:val="24"/>
          <w:lang w:eastAsia="en-AU"/>
        </w:rPr>
        <w:t>and</w:t>
      </w:r>
      <w:r>
        <w:rPr>
          <w:b/>
          <w:i/>
          <w:szCs w:val="24"/>
          <w:lang w:eastAsia="en-AU"/>
        </w:rPr>
        <w:t xml:space="preserve"> subsidiary</w:t>
      </w:r>
      <w:r>
        <w:rPr>
          <w:szCs w:val="24"/>
          <w:lang w:eastAsia="en-AU"/>
        </w:rPr>
        <w:t>) do not each have a sign visible to a person standing near the main entrance to the unit and to the subsidiary indicating the proposed street address unit number for each; or</w:t>
      </w:r>
    </w:p>
    <w:p w:rsidR="00851B6B" w:rsidRDefault="00851B6B">
      <w:pPr>
        <w:rPr>
          <w:szCs w:val="24"/>
          <w:lang w:eastAsia="en-AU"/>
        </w:rPr>
      </w:pPr>
    </w:p>
    <w:p w:rsidR="00851B6B" w:rsidRDefault="00851B6B">
      <w:pPr>
        <w:numPr>
          <w:ilvl w:val="0"/>
          <w:numId w:val="13"/>
        </w:numPr>
        <w:tabs>
          <w:tab w:val="clear" w:pos="869"/>
          <w:tab w:val="num" w:pos="1418"/>
        </w:tabs>
        <w:ind w:left="1418"/>
        <w:rPr>
          <w:szCs w:val="24"/>
          <w:lang w:eastAsia="en-AU"/>
        </w:rPr>
      </w:pPr>
      <w:r>
        <w:rPr>
          <w:szCs w:val="24"/>
          <w:lang w:eastAsia="en-AU"/>
        </w:rPr>
        <w:t>each vehicle space that is shown on the site plan or relevant development approval as a visitor parking space does not have a sign visible to a person standing near the main entrance to the space indicating “visitor parking”, “visitor” or “v”.  For this paragraph, 2 or more spaces may rely on a lesser number of signs provided the signs makes it clear that the spaces are for visitors rather than being for a proposed unit subsidiary.</w:t>
      </w:r>
    </w:p>
    <w:p w:rsidR="00851B6B" w:rsidRDefault="00851B6B">
      <w:pPr>
        <w:tabs>
          <w:tab w:val="num" w:pos="851"/>
        </w:tabs>
        <w:rPr>
          <w:szCs w:val="24"/>
          <w:lang w:eastAsia="en-AU"/>
        </w:rPr>
      </w:pPr>
    </w:p>
    <w:p w:rsidR="00851B6B" w:rsidRDefault="00851B6B">
      <w:pPr>
        <w:numPr>
          <w:ilvl w:val="0"/>
          <w:numId w:val="12"/>
        </w:numPr>
        <w:tabs>
          <w:tab w:val="clear" w:pos="2340"/>
          <w:tab w:val="num" w:pos="993"/>
        </w:tabs>
        <w:ind w:left="851" w:hanging="425"/>
        <w:rPr>
          <w:szCs w:val="24"/>
          <w:lang w:eastAsia="en-AU"/>
        </w:rPr>
      </w:pPr>
      <w:r>
        <w:rPr>
          <w:szCs w:val="24"/>
          <w:lang w:eastAsia="en-AU"/>
        </w:rPr>
        <w:t>In this section:</w:t>
      </w:r>
    </w:p>
    <w:p w:rsidR="00851B6B" w:rsidRDefault="00851B6B">
      <w:pPr>
        <w:ind w:left="426"/>
        <w:rPr>
          <w:szCs w:val="24"/>
          <w:lang w:eastAsia="en-AU"/>
        </w:rPr>
      </w:pPr>
    </w:p>
    <w:p w:rsidR="00851B6B" w:rsidRDefault="00851B6B">
      <w:pPr>
        <w:ind w:left="993"/>
        <w:rPr>
          <w:szCs w:val="24"/>
          <w:lang w:eastAsia="en-AU"/>
        </w:rPr>
      </w:pPr>
      <w:r>
        <w:rPr>
          <w:b/>
          <w:i/>
          <w:szCs w:val="24"/>
          <w:lang w:eastAsia="en-AU"/>
        </w:rPr>
        <w:t>sign</w:t>
      </w:r>
      <w:r>
        <w:rPr>
          <w:szCs w:val="24"/>
          <w:lang w:eastAsia="en-AU"/>
        </w:rPr>
        <w:t xml:space="preserve"> means an indicator that is legible to a reasonable person in daylight and sufficiently durable to remain so for 30 years or more without maintenance.</w:t>
      </w:r>
    </w:p>
    <w:p w:rsidR="00851B6B" w:rsidRDefault="00851B6B">
      <w:pPr>
        <w:ind w:left="993"/>
        <w:rPr>
          <w:szCs w:val="24"/>
          <w:lang w:eastAsia="en-AU"/>
        </w:rPr>
      </w:pPr>
    </w:p>
    <w:p w:rsidR="00851B6B" w:rsidRDefault="00851B6B">
      <w:pPr>
        <w:ind w:left="993"/>
        <w:rPr>
          <w:szCs w:val="24"/>
          <w:lang w:eastAsia="en-AU"/>
        </w:rPr>
      </w:pPr>
      <w:r>
        <w:rPr>
          <w:b/>
          <w:i/>
          <w:szCs w:val="24"/>
          <w:lang w:eastAsia="en-AU"/>
        </w:rPr>
        <w:t>street address</w:t>
      </w:r>
      <w:r>
        <w:rPr>
          <w:szCs w:val="24"/>
          <w:lang w:eastAsia="en-AU"/>
        </w:rPr>
        <w:t xml:space="preserve"> means the respective number stated in the address schedule.</w:t>
      </w:r>
    </w:p>
    <w:p w:rsidR="00851B6B" w:rsidRDefault="00851B6B">
      <w:pPr>
        <w:ind w:left="993"/>
        <w:rPr>
          <w:szCs w:val="24"/>
          <w:lang w:eastAsia="en-AU"/>
        </w:rPr>
      </w:pPr>
    </w:p>
    <w:p w:rsidR="00851B6B" w:rsidRDefault="00851B6B">
      <w:pPr>
        <w:ind w:left="993"/>
        <w:rPr>
          <w:szCs w:val="24"/>
          <w:lang w:eastAsia="en-AU"/>
        </w:rPr>
      </w:pPr>
      <w:r>
        <w:rPr>
          <w:b/>
          <w:i/>
          <w:szCs w:val="24"/>
          <w:lang w:eastAsia="en-AU"/>
        </w:rPr>
        <w:t>vehicle space</w:t>
      </w:r>
      <w:r>
        <w:rPr>
          <w:szCs w:val="24"/>
          <w:lang w:eastAsia="en-AU"/>
        </w:rPr>
        <w:t>—see section 16 (Vehicle spaces and storage areas—quantity, location and delineation).</w:t>
      </w:r>
    </w:p>
    <w:p w:rsidR="00851B6B" w:rsidRDefault="00851B6B">
      <w:pPr>
        <w:ind w:left="851"/>
        <w:rPr>
          <w:szCs w:val="24"/>
          <w:lang w:eastAsia="en-AU"/>
        </w:rPr>
      </w:pPr>
    </w:p>
    <w:p w:rsidR="00851B6B" w:rsidRDefault="00851B6B">
      <w:pPr>
        <w:pStyle w:val="Heading3"/>
        <w:numPr>
          <w:ilvl w:val="0"/>
          <w:numId w:val="3"/>
        </w:numPr>
        <w:tabs>
          <w:tab w:val="num" w:pos="993"/>
        </w:tabs>
        <w:ind w:hanging="1146"/>
        <w:rPr>
          <w:lang w:eastAsia="en-AU"/>
        </w:rPr>
      </w:pPr>
      <w:bookmarkStart w:id="33" w:name="_Toc271621032"/>
      <w:r>
        <w:rPr>
          <w:lang w:eastAsia="en-AU"/>
        </w:rPr>
        <w:t>Vehicle spaces and storage areas—quantity, location and delineation</w:t>
      </w:r>
      <w:bookmarkEnd w:id="33"/>
    </w:p>
    <w:p w:rsidR="00851B6B" w:rsidRDefault="00851B6B">
      <w:pPr>
        <w:ind w:left="426"/>
        <w:rPr>
          <w:szCs w:val="24"/>
          <w:lang w:eastAsia="en-AU"/>
        </w:rPr>
      </w:pPr>
    </w:p>
    <w:p w:rsidR="00851B6B" w:rsidRDefault="00851B6B">
      <w:pPr>
        <w:numPr>
          <w:ilvl w:val="0"/>
          <w:numId w:val="15"/>
        </w:numPr>
        <w:tabs>
          <w:tab w:val="clear" w:pos="786"/>
          <w:tab w:val="num" w:pos="993"/>
        </w:tabs>
        <w:ind w:left="993" w:hanging="567"/>
        <w:rPr>
          <w:szCs w:val="24"/>
          <w:lang w:eastAsia="en-AU"/>
        </w:rPr>
      </w:pPr>
      <w:r>
        <w:rPr>
          <w:szCs w:val="24"/>
          <w:lang w:eastAsia="en-AU"/>
        </w:rPr>
        <w:t>This section applies to a parcel that is the subject of a relevant approved plan, if compliance with the plan required the provision of 1 or more of a vehicle space or a storage area.</w:t>
      </w:r>
    </w:p>
    <w:p w:rsidR="00851B6B" w:rsidRDefault="00851B6B">
      <w:pPr>
        <w:tabs>
          <w:tab w:val="num" w:pos="993"/>
        </w:tabs>
        <w:ind w:left="993" w:hanging="567"/>
        <w:rPr>
          <w:szCs w:val="24"/>
          <w:lang w:eastAsia="en-AU"/>
        </w:rPr>
      </w:pPr>
    </w:p>
    <w:p w:rsidR="00851B6B" w:rsidRDefault="00851B6B">
      <w:pPr>
        <w:numPr>
          <w:ilvl w:val="0"/>
          <w:numId w:val="15"/>
        </w:numPr>
        <w:tabs>
          <w:tab w:val="clear" w:pos="786"/>
          <w:tab w:val="num" w:pos="993"/>
        </w:tabs>
        <w:ind w:left="993" w:hanging="567"/>
        <w:rPr>
          <w:szCs w:val="24"/>
          <w:lang w:eastAsia="en-AU"/>
        </w:rPr>
      </w:pPr>
      <w:r>
        <w:rPr>
          <w:szCs w:val="24"/>
          <w:lang w:eastAsia="en-AU"/>
        </w:rPr>
        <w:t>An assessor must not take a parcel to comply with this section if the vehicle space or storage area, as the case requires, is not—</w:t>
      </w:r>
    </w:p>
    <w:p w:rsidR="00851B6B" w:rsidRDefault="00851B6B">
      <w:pPr>
        <w:rPr>
          <w:szCs w:val="24"/>
          <w:lang w:eastAsia="en-AU"/>
        </w:rPr>
      </w:pPr>
    </w:p>
    <w:p w:rsidR="00851B6B" w:rsidRDefault="00851B6B">
      <w:pPr>
        <w:numPr>
          <w:ilvl w:val="0"/>
          <w:numId w:val="14"/>
        </w:numPr>
        <w:tabs>
          <w:tab w:val="clear" w:pos="869"/>
          <w:tab w:val="num" w:pos="1418"/>
        </w:tabs>
        <w:ind w:left="1418" w:hanging="425"/>
        <w:rPr>
          <w:szCs w:val="24"/>
          <w:lang w:eastAsia="en-AU"/>
        </w:rPr>
      </w:pPr>
      <w:r>
        <w:rPr>
          <w:szCs w:val="24"/>
          <w:lang w:eastAsia="en-AU"/>
        </w:rPr>
        <w:t>provided in the quantity and location required by the approved plans; and</w:t>
      </w:r>
    </w:p>
    <w:p w:rsidR="00851B6B" w:rsidRDefault="00851B6B">
      <w:pPr>
        <w:ind w:hanging="425"/>
        <w:rPr>
          <w:szCs w:val="24"/>
          <w:lang w:eastAsia="en-AU"/>
        </w:rPr>
      </w:pPr>
    </w:p>
    <w:p w:rsidR="00851B6B" w:rsidRDefault="00851B6B">
      <w:pPr>
        <w:numPr>
          <w:ilvl w:val="0"/>
          <w:numId w:val="14"/>
        </w:numPr>
        <w:tabs>
          <w:tab w:val="clear" w:pos="869"/>
          <w:tab w:val="num" w:pos="1418"/>
        </w:tabs>
        <w:ind w:left="1418" w:hanging="425"/>
        <w:rPr>
          <w:szCs w:val="24"/>
          <w:lang w:eastAsia="en-AU"/>
        </w:rPr>
      </w:pPr>
      <w:r>
        <w:rPr>
          <w:szCs w:val="24"/>
          <w:lang w:eastAsia="en-AU"/>
        </w:rPr>
        <w:t>delineated so its boundaries or proposed boundaries are readily discernable and in compliance with the site plan.</w:t>
      </w:r>
    </w:p>
    <w:p w:rsidR="00851B6B" w:rsidRDefault="00851B6B">
      <w:pPr>
        <w:rPr>
          <w:szCs w:val="24"/>
          <w:lang w:eastAsia="en-AU"/>
        </w:rPr>
      </w:pPr>
      <w:r>
        <w:rPr>
          <w:szCs w:val="24"/>
          <w:lang w:eastAsia="en-AU"/>
        </w:rPr>
        <w:br w:type="page"/>
      </w:r>
    </w:p>
    <w:p w:rsidR="00851B6B" w:rsidRDefault="00851B6B">
      <w:pPr>
        <w:numPr>
          <w:ilvl w:val="0"/>
          <w:numId w:val="15"/>
        </w:numPr>
        <w:tabs>
          <w:tab w:val="clear" w:pos="786"/>
          <w:tab w:val="num" w:pos="993"/>
        </w:tabs>
        <w:ind w:left="993" w:hanging="567"/>
        <w:rPr>
          <w:szCs w:val="24"/>
          <w:lang w:eastAsia="en-AU"/>
        </w:rPr>
      </w:pPr>
      <w:r>
        <w:rPr>
          <w:szCs w:val="24"/>
          <w:lang w:eastAsia="en-AU"/>
        </w:rPr>
        <w:t>Nothing in this section requires an assessor to measure on site where something is in relation to something else, but this section does require an assessor to look at the vehicle spaces and storage areas to see if they correlate with the site plan and approved plans.</w:t>
      </w:r>
    </w:p>
    <w:p w:rsidR="00851B6B" w:rsidRDefault="00851B6B">
      <w:pPr>
        <w:tabs>
          <w:tab w:val="num" w:pos="993"/>
        </w:tabs>
        <w:ind w:left="993" w:hanging="567"/>
        <w:rPr>
          <w:szCs w:val="24"/>
          <w:lang w:eastAsia="en-AU"/>
        </w:rPr>
      </w:pPr>
    </w:p>
    <w:p w:rsidR="00851B6B" w:rsidRDefault="00851B6B">
      <w:pPr>
        <w:numPr>
          <w:ilvl w:val="0"/>
          <w:numId w:val="15"/>
        </w:numPr>
        <w:tabs>
          <w:tab w:val="clear" w:pos="786"/>
          <w:tab w:val="num" w:pos="993"/>
        </w:tabs>
        <w:ind w:left="993" w:hanging="567"/>
        <w:rPr>
          <w:szCs w:val="24"/>
          <w:lang w:eastAsia="en-AU"/>
        </w:rPr>
      </w:pPr>
      <w:r>
        <w:rPr>
          <w:szCs w:val="24"/>
          <w:lang w:eastAsia="en-AU"/>
        </w:rPr>
        <w:t>In this section:</w:t>
      </w:r>
    </w:p>
    <w:p w:rsidR="00851B6B" w:rsidRDefault="00851B6B">
      <w:pPr>
        <w:ind w:left="491"/>
        <w:rPr>
          <w:szCs w:val="24"/>
          <w:lang w:eastAsia="en-AU"/>
        </w:rPr>
      </w:pPr>
    </w:p>
    <w:p w:rsidR="00851B6B" w:rsidRDefault="00851B6B">
      <w:pPr>
        <w:ind w:left="993"/>
        <w:rPr>
          <w:szCs w:val="24"/>
          <w:lang w:eastAsia="en-AU"/>
        </w:rPr>
      </w:pPr>
      <w:r>
        <w:rPr>
          <w:b/>
          <w:i/>
          <w:szCs w:val="24"/>
          <w:lang w:eastAsia="en-AU"/>
        </w:rPr>
        <w:t>delineated</w:t>
      </w:r>
      <w:r>
        <w:rPr>
          <w:szCs w:val="24"/>
          <w:lang w:eastAsia="en-AU"/>
        </w:rPr>
        <w:t xml:space="preserve"> includes delineated by a wall, fence, door, screen, roof, ceiling, cage or other enclosure in the absence of other discernable indicator of a boundary, or proposed boundary, pavement markings.</w:t>
      </w:r>
    </w:p>
    <w:p w:rsidR="00851B6B" w:rsidRDefault="00851B6B">
      <w:pPr>
        <w:ind w:left="993"/>
        <w:rPr>
          <w:szCs w:val="24"/>
          <w:lang w:eastAsia="en-AU"/>
        </w:rPr>
      </w:pPr>
    </w:p>
    <w:p w:rsidR="00851B6B" w:rsidRDefault="00851B6B">
      <w:pPr>
        <w:ind w:left="993"/>
        <w:rPr>
          <w:szCs w:val="24"/>
          <w:lang w:eastAsia="en-AU"/>
        </w:rPr>
      </w:pPr>
      <w:r>
        <w:rPr>
          <w:b/>
          <w:i/>
          <w:szCs w:val="24"/>
          <w:lang w:eastAsia="en-AU"/>
        </w:rPr>
        <w:t>pavement marking</w:t>
      </w:r>
      <w:r>
        <w:rPr>
          <w:szCs w:val="24"/>
          <w:lang w:eastAsia="en-AU"/>
        </w:rPr>
        <w:t>—</w:t>
      </w:r>
    </w:p>
    <w:p w:rsidR="00851B6B" w:rsidRDefault="00851B6B">
      <w:pPr>
        <w:ind w:left="851"/>
        <w:rPr>
          <w:szCs w:val="24"/>
          <w:lang w:eastAsia="en-AU"/>
        </w:rPr>
      </w:pPr>
    </w:p>
    <w:p w:rsidR="00851B6B" w:rsidRDefault="00851B6B">
      <w:pPr>
        <w:numPr>
          <w:ilvl w:val="0"/>
          <w:numId w:val="18"/>
        </w:numPr>
        <w:tabs>
          <w:tab w:val="clear" w:pos="1295"/>
          <w:tab w:val="num" w:pos="1418"/>
        </w:tabs>
        <w:ind w:left="1418" w:hanging="425"/>
        <w:rPr>
          <w:szCs w:val="24"/>
          <w:lang w:eastAsia="en-AU"/>
        </w:rPr>
      </w:pPr>
      <w:r>
        <w:rPr>
          <w:szCs w:val="24"/>
          <w:lang w:eastAsia="en-AU"/>
        </w:rPr>
        <w:t xml:space="preserve">means a marking that has at least the same day time visibility, wear, and colour change limits as suggested in the performance limits under </w:t>
      </w:r>
      <w:r>
        <w:rPr>
          <w:i/>
          <w:szCs w:val="24"/>
          <w:lang w:eastAsia="en-AU"/>
        </w:rPr>
        <w:t>Australian Standard AS 4049.5 Paints and related materials—Pavement marking materials, Part 5: Performance assessment of pavement markings</w:t>
      </w:r>
      <w:r>
        <w:rPr>
          <w:szCs w:val="24"/>
          <w:lang w:eastAsia="en-AU"/>
        </w:rPr>
        <w:t>, as in force from time to time; and</w:t>
      </w:r>
    </w:p>
    <w:p w:rsidR="00851B6B" w:rsidRDefault="00851B6B">
      <w:pPr>
        <w:tabs>
          <w:tab w:val="num" w:pos="1418"/>
        </w:tabs>
        <w:ind w:left="1418" w:hanging="425"/>
        <w:rPr>
          <w:szCs w:val="24"/>
          <w:lang w:eastAsia="en-AU"/>
        </w:rPr>
      </w:pPr>
    </w:p>
    <w:p w:rsidR="00851B6B" w:rsidRDefault="00851B6B">
      <w:pPr>
        <w:numPr>
          <w:ilvl w:val="0"/>
          <w:numId w:val="18"/>
        </w:numPr>
        <w:tabs>
          <w:tab w:val="clear" w:pos="1295"/>
          <w:tab w:val="num" w:pos="1418"/>
        </w:tabs>
        <w:ind w:left="1418" w:hanging="425"/>
        <w:rPr>
          <w:szCs w:val="24"/>
          <w:lang w:eastAsia="en-AU"/>
        </w:rPr>
      </w:pPr>
      <w:r>
        <w:rPr>
          <w:szCs w:val="24"/>
          <w:lang w:eastAsia="en-AU"/>
        </w:rPr>
        <w:t>includes the use of compliant contrasting colours of paving, or raised dot road lane markers including raised dots, or pavement paint.</w:t>
      </w:r>
    </w:p>
    <w:p w:rsidR="00851B6B" w:rsidRDefault="00851B6B">
      <w:pPr>
        <w:ind w:left="851"/>
        <w:rPr>
          <w:szCs w:val="24"/>
          <w:lang w:eastAsia="en-AU"/>
        </w:rPr>
      </w:pPr>
    </w:p>
    <w:p w:rsidR="00851B6B" w:rsidRDefault="00851B6B">
      <w:pPr>
        <w:tabs>
          <w:tab w:val="num" w:pos="993"/>
        </w:tabs>
        <w:ind w:left="993"/>
        <w:rPr>
          <w:szCs w:val="24"/>
          <w:lang w:eastAsia="en-AU"/>
        </w:rPr>
      </w:pPr>
      <w:r>
        <w:rPr>
          <w:b/>
          <w:i/>
          <w:szCs w:val="24"/>
          <w:lang w:eastAsia="en-AU"/>
        </w:rPr>
        <w:t>sign</w:t>
      </w:r>
      <w:r>
        <w:rPr>
          <w:szCs w:val="24"/>
          <w:lang w:eastAsia="en-AU"/>
        </w:rPr>
        <w:t xml:space="preserve"> means an indicator that is legible to a reasonable person in daylight and sufficiently durable to remain so for 30 years or more without maintenance.</w:t>
      </w:r>
    </w:p>
    <w:p w:rsidR="00851B6B" w:rsidRDefault="00851B6B">
      <w:pPr>
        <w:tabs>
          <w:tab w:val="num" w:pos="993"/>
        </w:tabs>
        <w:ind w:left="993"/>
        <w:rPr>
          <w:b/>
          <w:i/>
          <w:szCs w:val="24"/>
          <w:lang w:eastAsia="en-AU"/>
        </w:rPr>
      </w:pPr>
    </w:p>
    <w:p w:rsidR="00851B6B" w:rsidRDefault="00851B6B">
      <w:pPr>
        <w:tabs>
          <w:tab w:val="num" w:pos="993"/>
        </w:tabs>
        <w:ind w:left="993"/>
        <w:rPr>
          <w:szCs w:val="24"/>
          <w:lang w:eastAsia="en-AU"/>
        </w:rPr>
      </w:pPr>
      <w:r>
        <w:rPr>
          <w:b/>
          <w:i/>
          <w:szCs w:val="24"/>
          <w:lang w:eastAsia="en-AU"/>
        </w:rPr>
        <w:t>storage area</w:t>
      </w:r>
      <w:r>
        <w:rPr>
          <w:szCs w:val="24"/>
          <w:lang w:eastAsia="en-AU"/>
        </w:rPr>
        <w:t xml:space="preserve"> means an enclosed space in a proposed non-adjacent unit subsidiary that is intended for storage, and includes a storage cage.</w:t>
      </w:r>
    </w:p>
    <w:p w:rsidR="00851B6B" w:rsidRDefault="00851B6B">
      <w:pPr>
        <w:tabs>
          <w:tab w:val="num" w:pos="993"/>
        </w:tabs>
        <w:ind w:left="993"/>
        <w:rPr>
          <w:szCs w:val="24"/>
          <w:lang w:eastAsia="en-AU"/>
        </w:rPr>
      </w:pPr>
    </w:p>
    <w:p w:rsidR="00851B6B" w:rsidRDefault="00851B6B">
      <w:pPr>
        <w:tabs>
          <w:tab w:val="num" w:pos="993"/>
        </w:tabs>
        <w:ind w:left="993"/>
        <w:rPr>
          <w:szCs w:val="24"/>
          <w:lang w:eastAsia="en-AU"/>
        </w:rPr>
      </w:pPr>
      <w:r>
        <w:rPr>
          <w:b/>
          <w:i/>
          <w:szCs w:val="24"/>
          <w:lang w:eastAsia="en-AU"/>
        </w:rPr>
        <w:t>vehicle space</w:t>
      </w:r>
      <w:r>
        <w:rPr>
          <w:szCs w:val="24"/>
          <w:lang w:eastAsia="en-AU"/>
        </w:rPr>
        <w:t xml:space="preserve"> means a space in a proposed non-adjacent unit subsidiary that is specifically intended for vehicles, and includes a car parking space or a bicycle storage space.</w:t>
      </w:r>
    </w:p>
    <w:p w:rsidR="00851B6B" w:rsidRDefault="00851B6B">
      <w:pPr>
        <w:tabs>
          <w:tab w:val="num" w:pos="851"/>
        </w:tabs>
        <w:ind w:left="851"/>
        <w:rPr>
          <w:szCs w:val="24"/>
          <w:lang w:eastAsia="en-AU"/>
        </w:rPr>
      </w:pPr>
    </w:p>
    <w:p w:rsidR="00851B6B" w:rsidRDefault="00851B6B">
      <w:pPr>
        <w:numPr>
          <w:ilvl w:val="0"/>
          <w:numId w:val="15"/>
        </w:numPr>
        <w:tabs>
          <w:tab w:val="clear" w:pos="786"/>
          <w:tab w:val="num" w:pos="993"/>
        </w:tabs>
        <w:ind w:left="993" w:hanging="567"/>
        <w:rPr>
          <w:szCs w:val="24"/>
          <w:lang w:eastAsia="en-AU"/>
        </w:rPr>
      </w:pPr>
      <w:r>
        <w:rPr>
          <w:szCs w:val="24"/>
          <w:lang w:eastAsia="en-AU"/>
        </w:rPr>
        <w:t>The Legislation Act, section 47 (6) does not apply in relation to an Australian Standard, or an Australian/New Zealand Standard, applied, adopted or incorporated as in force from time to time under this section.</w:t>
      </w:r>
    </w:p>
    <w:p w:rsidR="00851B6B" w:rsidRDefault="00851B6B">
      <w:pPr>
        <w:rPr>
          <w:szCs w:val="24"/>
          <w:lang w:eastAsia="en-AU"/>
        </w:rPr>
      </w:pPr>
    </w:p>
    <w:p w:rsidR="00851B6B" w:rsidRDefault="00851B6B">
      <w:pPr>
        <w:pStyle w:val="Heading3"/>
        <w:numPr>
          <w:ilvl w:val="0"/>
          <w:numId w:val="3"/>
        </w:numPr>
        <w:tabs>
          <w:tab w:val="num" w:pos="993"/>
        </w:tabs>
        <w:ind w:hanging="1146"/>
        <w:rPr>
          <w:lang w:eastAsia="en-AU"/>
        </w:rPr>
      </w:pPr>
      <w:bookmarkStart w:id="34" w:name="_Toc271621033"/>
      <w:r>
        <w:rPr>
          <w:lang w:eastAsia="en-AU"/>
        </w:rPr>
        <w:t>Location of certain things</w:t>
      </w:r>
      <w:bookmarkEnd w:id="34"/>
    </w:p>
    <w:p w:rsidR="00851B6B" w:rsidRDefault="00851B6B">
      <w:pPr>
        <w:ind w:left="426"/>
        <w:rPr>
          <w:szCs w:val="24"/>
          <w:lang w:eastAsia="en-AU"/>
        </w:rPr>
      </w:pPr>
    </w:p>
    <w:p w:rsidR="00851B6B" w:rsidRDefault="00851B6B">
      <w:pPr>
        <w:tabs>
          <w:tab w:val="num" w:pos="851"/>
        </w:tabs>
        <w:ind w:left="993"/>
        <w:rPr>
          <w:szCs w:val="24"/>
          <w:lang w:eastAsia="en-AU"/>
        </w:rPr>
      </w:pPr>
      <w:r>
        <w:rPr>
          <w:szCs w:val="24"/>
          <w:lang w:eastAsia="en-AU"/>
        </w:rPr>
        <w:t>An assessor must not take a parcel to comply with this section if the approved plans for the parcel requires any of the following things and 1 or more of those things is not located in accordance with the plans:</w:t>
      </w:r>
    </w:p>
    <w:p w:rsidR="00851B6B" w:rsidRDefault="00851B6B">
      <w:pPr>
        <w:ind w:left="491"/>
        <w:rPr>
          <w:szCs w:val="24"/>
          <w:lang w:eastAsia="en-AU"/>
        </w:rPr>
      </w:pPr>
    </w:p>
    <w:p w:rsidR="00851B6B" w:rsidRDefault="00851B6B">
      <w:pPr>
        <w:numPr>
          <w:ilvl w:val="1"/>
          <w:numId w:val="6"/>
        </w:numPr>
        <w:tabs>
          <w:tab w:val="clear" w:pos="1070"/>
          <w:tab w:val="num" w:pos="1418"/>
        </w:tabs>
        <w:ind w:left="1418" w:hanging="425"/>
        <w:rPr>
          <w:szCs w:val="24"/>
          <w:lang w:eastAsia="en-AU"/>
        </w:rPr>
      </w:pPr>
      <w:r>
        <w:rPr>
          <w:szCs w:val="24"/>
          <w:lang w:eastAsia="en-AU"/>
        </w:rPr>
        <w:t>outdoor lighting for an area proposed as a common area</w:t>
      </w:r>
    </w:p>
    <w:p w:rsidR="00851B6B" w:rsidRDefault="00851B6B">
      <w:pPr>
        <w:tabs>
          <w:tab w:val="num" w:pos="1418"/>
        </w:tabs>
        <w:ind w:left="1418" w:hanging="425"/>
        <w:rPr>
          <w:szCs w:val="24"/>
          <w:lang w:eastAsia="en-AU"/>
        </w:rPr>
      </w:pPr>
    </w:p>
    <w:p w:rsidR="00851B6B" w:rsidRDefault="00851B6B">
      <w:pPr>
        <w:numPr>
          <w:ilvl w:val="1"/>
          <w:numId w:val="6"/>
        </w:numPr>
        <w:tabs>
          <w:tab w:val="clear" w:pos="1070"/>
          <w:tab w:val="num" w:pos="1418"/>
        </w:tabs>
        <w:ind w:left="1418" w:hanging="425"/>
        <w:rPr>
          <w:szCs w:val="24"/>
          <w:lang w:eastAsia="en-AU"/>
        </w:rPr>
      </w:pPr>
      <w:r>
        <w:rPr>
          <w:szCs w:val="24"/>
          <w:lang w:eastAsia="en-AU"/>
        </w:rPr>
        <w:t>a fence, including a gate, for a boundary or a proposed boundary</w:t>
      </w:r>
    </w:p>
    <w:p w:rsidR="00851B6B" w:rsidRDefault="00851B6B">
      <w:pPr>
        <w:tabs>
          <w:tab w:val="num" w:pos="1418"/>
        </w:tabs>
        <w:ind w:left="1418" w:hanging="425"/>
        <w:rPr>
          <w:szCs w:val="24"/>
          <w:lang w:eastAsia="en-AU"/>
        </w:rPr>
      </w:pPr>
    </w:p>
    <w:p w:rsidR="00851B6B" w:rsidRDefault="00851B6B">
      <w:pPr>
        <w:numPr>
          <w:ilvl w:val="1"/>
          <w:numId w:val="6"/>
        </w:numPr>
        <w:tabs>
          <w:tab w:val="clear" w:pos="1070"/>
          <w:tab w:val="num" w:pos="1418"/>
        </w:tabs>
        <w:ind w:left="1418" w:hanging="425"/>
        <w:rPr>
          <w:szCs w:val="24"/>
          <w:lang w:eastAsia="en-AU"/>
        </w:rPr>
      </w:pPr>
      <w:r>
        <w:rPr>
          <w:szCs w:val="24"/>
          <w:lang w:eastAsia="en-AU"/>
        </w:rPr>
        <w:t>an outdoor waste enclosure or area designated for storage of rubbish or waste for recycling, intended for use by occupants of 2 or more proposed units.</w:t>
      </w:r>
    </w:p>
    <w:p w:rsidR="00851B6B" w:rsidRDefault="00851B6B">
      <w:pPr>
        <w:rPr>
          <w:szCs w:val="24"/>
          <w:lang w:eastAsia="en-AU"/>
        </w:rPr>
      </w:pPr>
    </w:p>
    <w:p w:rsidR="00851B6B" w:rsidRDefault="00851B6B">
      <w:pPr>
        <w:pStyle w:val="Heading3"/>
        <w:numPr>
          <w:ilvl w:val="0"/>
          <w:numId w:val="3"/>
        </w:numPr>
        <w:tabs>
          <w:tab w:val="num" w:pos="993"/>
        </w:tabs>
        <w:ind w:hanging="1146"/>
        <w:rPr>
          <w:lang w:eastAsia="en-AU"/>
        </w:rPr>
      </w:pPr>
      <w:bookmarkStart w:id="35" w:name="_Toc271621034"/>
      <w:r>
        <w:rPr>
          <w:lang w:eastAsia="en-AU"/>
        </w:rPr>
        <w:t>Tank for multiple units—additional requirements</w:t>
      </w:r>
      <w:bookmarkEnd w:id="35"/>
    </w:p>
    <w:p w:rsidR="00851B6B" w:rsidRDefault="00851B6B">
      <w:pPr>
        <w:ind w:left="426"/>
        <w:rPr>
          <w:szCs w:val="24"/>
          <w:lang w:eastAsia="en-AU"/>
        </w:rPr>
      </w:pPr>
    </w:p>
    <w:p w:rsidR="00851B6B" w:rsidRDefault="00851B6B">
      <w:pPr>
        <w:numPr>
          <w:ilvl w:val="0"/>
          <w:numId w:val="7"/>
        </w:numPr>
        <w:tabs>
          <w:tab w:val="clear" w:pos="2340"/>
          <w:tab w:val="num" w:pos="993"/>
        </w:tabs>
        <w:ind w:left="993" w:hanging="567"/>
        <w:rPr>
          <w:szCs w:val="24"/>
          <w:lang w:eastAsia="en-AU"/>
        </w:rPr>
      </w:pPr>
      <w:r>
        <w:rPr>
          <w:szCs w:val="24"/>
          <w:lang w:eastAsia="en-AU"/>
        </w:rPr>
        <w:t>This section applies to a parcel that has a tank intended for use by occupants of 2 or more proposed units.</w:t>
      </w:r>
    </w:p>
    <w:p w:rsidR="00851B6B" w:rsidRDefault="00851B6B">
      <w:pPr>
        <w:tabs>
          <w:tab w:val="num" w:pos="993"/>
        </w:tabs>
        <w:ind w:left="993" w:hanging="567"/>
        <w:rPr>
          <w:szCs w:val="24"/>
          <w:lang w:eastAsia="en-AU"/>
        </w:rPr>
      </w:pPr>
    </w:p>
    <w:p w:rsidR="00851B6B" w:rsidRDefault="00851B6B">
      <w:pPr>
        <w:numPr>
          <w:ilvl w:val="0"/>
          <w:numId w:val="7"/>
        </w:numPr>
        <w:tabs>
          <w:tab w:val="clear" w:pos="2340"/>
          <w:tab w:val="num" w:pos="993"/>
        </w:tabs>
        <w:ind w:left="993" w:hanging="567"/>
        <w:rPr>
          <w:szCs w:val="24"/>
          <w:lang w:eastAsia="en-AU"/>
        </w:rPr>
      </w:pPr>
      <w:r>
        <w:rPr>
          <w:szCs w:val="24"/>
          <w:lang w:eastAsia="en-AU"/>
        </w:rPr>
        <w:t>An assessor must not take the parcel to comply with this section if—</w:t>
      </w:r>
    </w:p>
    <w:p w:rsidR="00851B6B" w:rsidRDefault="00851B6B">
      <w:pPr>
        <w:tabs>
          <w:tab w:val="num" w:pos="993"/>
        </w:tabs>
        <w:ind w:left="993" w:hanging="567"/>
        <w:rPr>
          <w:szCs w:val="24"/>
          <w:lang w:eastAsia="en-AU"/>
        </w:rPr>
      </w:pPr>
    </w:p>
    <w:p w:rsidR="00851B6B" w:rsidRDefault="00851B6B">
      <w:pPr>
        <w:numPr>
          <w:ilvl w:val="4"/>
          <w:numId w:val="1"/>
        </w:numPr>
        <w:tabs>
          <w:tab w:val="clear" w:pos="3600"/>
          <w:tab w:val="num" w:pos="1418"/>
        </w:tabs>
        <w:ind w:left="1418" w:hanging="425"/>
        <w:rPr>
          <w:szCs w:val="24"/>
          <w:lang w:eastAsia="en-AU"/>
        </w:rPr>
      </w:pPr>
      <w:r>
        <w:rPr>
          <w:szCs w:val="24"/>
          <w:lang w:eastAsia="en-AU"/>
        </w:rPr>
        <w:t>the tank is not located wholly within the parcel; and</w:t>
      </w:r>
    </w:p>
    <w:p w:rsidR="00851B6B" w:rsidRDefault="00851B6B">
      <w:pPr>
        <w:ind w:left="993"/>
        <w:rPr>
          <w:szCs w:val="24"/>
          <w:lang w:eastAsia="en-AU"/>
        </w:rPr>
      </w:pPr>
    </w:p>
    <w:p w:rsidR="00851B6B" w:rsidRDefault="00851B6B">
      <w:pPr>
        <w:numPr>
          <w:ilvl w:val="4"/>
          <w:numId w:val="1"/>
        </w:numPr>
        <w:tabs>
          <w:tab w:val="clear" w:pos="3600"/>
          <w:tab w:val="num" w:pos="1418"/>
        </w:tabs>
        <w:ind w:left="1418" w:hanging="425"/>
        <w:rPr>
          <w:szCs w:val="24"/>
          <w:lang w:eastAsia="en-AU"/>
        </w:rPr>
      </w:pPr>
      <w:r>
        <w:rPr>
          <w:szCs w:val="24"/>
          <w:lang w:eastAsia="en-AU"/>
        </w:rPr>
        <w:t>the tank is not located wholly in proposed common property; or</w:t>
      </w:r>
    </w:p>
    <w:p w:rsidR="00851B6B" w:rsidRDefault="00851B6B">
      <w:pPr>
        <w:tabs>
          <w:tab w:val="num" w:pos="1418"/>
        </w:tabs>
        <w:ind w:left="1418" w:hanging="425"/>
        <w:rPr>
          <w:szCs w:val="24"/>
          <w:lang w:eastAsia="en-AU"/>
        </w:rPr>
      </w:pPr>
    </w:p>
    <w:p w:rsidR="00851B6B" w:rsidRDefault="00851B6B">
      <w:pPr>
        <w:numPr>
          <w:ilvl w:val="4"/>
          <w:numId w:val="1"/>
        </w:numPr>
        <w:tabs>
          <w:tab w:val="clear" w:pos="3600"/>
          <w:tab w:val="num" w:pos="1418"/>
        </w:tabs>
        <w:ind w:left="1418" w:hanging="425"/>
        <w:rPr>
          <w:szCs w:val="24"/>
          <w:lang w:eastAsia="en-AU"/>
        </w:rPr>
      </w:pPr>
      <w:r>
        <w:t>if located within, or partly within, a proposed unit, the tank’s location is not noted on the site plan</w:t>
      </w:r>
      <w:r>
        <w:rPr>
          <w:szCs w:val="24"/>
          <w:lang w:eastAsia="en-AU"/>
        </w:rPr>
        <w:t>; and</w:t>
      </w:r>
    </w:p>
    <w:p w:rsidR="00851B6B" w:rsidRDefault="00851B6B">
      <w:pPr>
        <w:tabs>
          <w:tab w:val="num" w:pos="1418"/>
        </w:tabs>
        <w:ind w:left="1418" w:hanging="425"/>
        <w:rPr>
          <w:szCs w:val="24"/>
          <w:lang w:eastAsia="en-AU"/>
        </w:rPr>
      </w:pPr>
    </w:p>
    <w:p w:rsidR="00851B6B" w:rsidRDefault="00851B6B">
      <w:pPr>
        <w:numPr>
          <w:ilvl w:val="4"/>
          <w:numId w:val="1"/>
        </w:numPr>
        <w:tabs>
          <w:tab w:val="clear" w:pos="3600"/>
          <w:tab w:val="num" w:pos="1418"/>
        </w:tabs>
        <w:ind w:left="1418" w:hanging="425"/>
        <w:rPr>
          <w:szCs w:val="24"/>
          <w:lang w:eastAsia="en-AU"/>
        </w:rPr>
      </w:pPr>
      <w:r>
        <w:rPr>
          <w:szCs w:val="24"/>
          <w:lang w:eastAsia="en-AU"/>
        </w:rPr>
        <w:t>the tank imposes on the proposed unit a vertical dimension limitation without compliance with section 13 (Proposed unit vertical dimension limitation—within a parcel and over or under a unit).</w:t>
      </w:r>
    </w:p>
    <w:p w:rsidR="00851B6B" w:rsidRDefault="00851B6B">
      <w:pPr>
        <w:rPr>
          <w:szCs w:val="24"/>
          <w:lang w:eastAsia="en-AU"/>
        </w:rPr>
      </w:pPr>
    </w:p>
    <w:p w:rsidR="00851B6B" w:rsidRDefault="00851B6B">
      <w:pPr>
        <w:pStyle w:val="Heading3"/>
        <w:numPr>
          <w:ilvl w:val="0"/>
          <w:numId w:val="3"/>
        </w:numPr>
        <w:tabs>
          <w:tab w:val="num" w:pos="993"/>
        </w:tabs>
        <w:ind w:hanging="1146"/>
        <w:rPr>
          <w:lang w:eastAsia="en-AU"/>
        </w:rPr>
      </w:pPr>
      <w:bookmarkStart w:id="36" w:name="_Toc271621035"/>
      <w:r>
        <w:rPr>
          <w:lang w:eastAsia="en-AU"/>
        </w:rPr>
        <w:t>Service areas to be screened</w:t>
      </w:r>
      <w:bookmarkEnd w:id="36"/>
    </w:p>
    <w:p w:rsidR="00851B6B" w:rsidRDefault="00851B6B">
      <w:pPr>
        <w:ind w:left="426"/>
        <w:rPr>
          <w:szCs w:val="24"/>
          <w:lang w:eastAsia="en-AU"/>
        </w:rPr>
      </w:pPr>
    </w:p>
    <w:p w:rsidR="00851B6B" w:rsidRDefault="00851B6B">
      <w:pPr>
        <w:numPr>
          <w:ilvl w:val="0"/>
          <w:numId w:val="16"/>
        </w:numPr>
        <w:tabs>
          <w:tab w:val="clear" w:pos="786"/>
          <w:tab w:val="num" w:pos="993"/>
        </w:tabs>
        <w:ind w:left="993"/>
        <w:rPr>
          <w:szCs w:val="24"/>
          <w:lang w:eastAsia="en-AU"/>
        </w:rPr>
      </w:pPr>
      <w:r>
        <w:rPr>
          <w:szCs w:val="24"/>
          <w:lang w:eastAsia="en-AU"/>
        </w:rPr>
        <w:t>An assessor must not take a parcel to comply with this section if the parcel has a service area that is not screened from public view.</w:t>
      </w:r>
    </w:p>
    <w:p w:rsidR="00851B6B" w:rsidRDefault="00851B6B">
      <w:pPr>
        <w:tabs>
          <w:tab w:val="num" w:pos="993"/>
        </w:tabs>
        <w:ind w:left="993"/>
        <w:rPr>
          <w:szCs w:val="24"/>
          <w:lang w:eastAsia="en-AU"/>
        </w:rPr>
      </w:pPr>
    </w:p>
    <w:p w:rsidR="00851B6B" w:rsidRDefault="00851B6B">
      <w:pPr>
        <w:numPr>
          <w:ilvl w:val="0"/>
          <w:numId w:val="16"/>
        </w:numPr>
        <w:tabs>
          <w:tab w:val="clear" w:pos="786"/>
          <w:tab w:val="num" w:pos="993"/>
        </w:tabs>
        <w:ind w:left="993"/>
        <w:rPr>
          <w:szCs w:val="24"/>
          <w:lang w:eastAsia="en-AU"/>
        </w:rPr>
      </w:pPr>
      <w:r>
        <w:rPr>
          <w:szCs w:val="24"/>
          <w:lang w:eastAsia="en-AU"/>
        </w:rPr>
        <w:t>In this section:</w:t>
      </w:r>
    </w:p>
    <w:p w:rsidR="00851B6B" w:rsidRDefault="00851B6B">
      <w:pPr>
        <w:rPr>
          <w:szCs w:val="24"/>
          <w:lang w:eastAsia="en-AU"/>
        </w:rPr>
      </w:pPr>
    </w:p>
    <w:p w:rsidR="00851B6B" w:rsidRDefault="00851B6B">
      <w:pPr>
        <w:ind w:left="993"/>
        <w:rPr>
          <w:szCs w:val="24"/>
          <w:lang w:eastAsia="en-AU"/>
        </w:rPr>
      </w:pPr>
      <w:r>
        <w:rPr>
          <w:b/>
          <w:i/>
          <w:szCs w:val="24"/>
          <w:lang w:eastAsia="en-AU"/>
        </w:rPr>
        <w:t>screened from public view</w:t>
      </w:r>
      <w:r>
        <w:rPr>
          <w:szCs w:val="24"/>
          <w:lang w:eastAsia="en-AU"/>
        </w:rPr>
        <w:t>, for a thing, means the thing is not readily visually discernable to a person standing at any point on the ground of a road within 100m of the thing in daylight, bec</w:t>
      </w:r>
      <w:smartTag w:uri="urn:schemas-microsoft-com:office:smarttags" w:element="PersonName">
        <w:r>
          <w:rPr>
            <w:szCs w:val="24"/>
            <w:lang w:eastAsia="en-AU"/>
          </w:rPr>
          <w:t>au</w:t>
        </w:r>
      </w:smartTag>
      <w:r>
        <w:rPr>
          <w:szCs w:val="24"/>
          <w:lang w:eastAsia="en-AU"/>
        </w:rPr>
        <w:t>se of a visual barrier that is opaque or translucent but sufficiently visually obscuring, or perforated but sufficiently visually obscuring.</w:t>
      </w:r>
    </w:p>
    <w:p w:rsidR="00851B6B" w:rsidRDefault="00851B6B">
      <w:pPr>
        <w:ind w:left="993"/>
        <w:rPr>
          <w:szCs w:val="24"/>
          <w:lang w:eastAsia="en-AU"/>
        </w:rPr>
      </w:pPr>
    </w:p>
    <w:p w:rsidR="00851B6B" w:rsidRDefault="00851B6B">
      <w:pPr>
        <w:ind w:left="993"/>
        <w:rPr>
          <w:szCs w:val="24"/>
          <w:lang w:eastAsia="en-AU"/>
        </w:rPr>
      </w:pPr>
      <w:r>
        <w:rPr>
          <w:b/>
          <w:i/>
          <w:szCs w:val="24"/>
          <w:lang w:eastAsia="en-AU"/>
        </w:rPr>
        <w:t xml:space="preserve">service area </w:t>
      </w:r>
      <w:r>
        <w:rPr>
          <w:szCs w:val="24"/>
          <w:lang w:eastAsia="en-AU"/>
        </w:rPr>
        <w:t>means an area for building plant and building services, waste collection, clothes drying, and includes the area occupied by a:</w:t>
      </w:r>
    </w:p>
    <w:p w:rsidR="00851B6B" w:rsidRDefault="00851B6B">
      <w:pPr>
        <w:numPr>
          <w:ilvl w:val="0"/>
          <w:numId w:val="22"/>
        </w:numPr>
        <w:rPr>
          <w:szCs w:val="24"/>
          <w:lang w:eastAsia="en-AU"/>
        </w:rPr>
      </w:pPr>
      <w:r>
        <w:rPr>
          <w:szCs w:val="24"/>
          <w:lang w:eastAsia="en-AU"/>
        </w:rPr>
        <w:t>water heater</w:t>
      </w:r>
    </w:p>
    <w:p w:rsidR="00851B6B" w:rsidRDefault="00851B6B">
      <w:pPr>
        <w:numPr>
          <w:ilvl w:val="0"/>
          <w:numId w:val="22"/>
        </w:numPr>
        <w:rPr>
          <w:szCs w:val="24"/>
          <w:lang w:eastAsia="en-AU"/>
        </w:rPr>
      </w:pPr>
      <w:r>
        <w:rPr>
          <w:szCs w:val="24"/>
          <w:lang w:eastAsia="en-AU"/>
        </w:rPr>
        <w:t>air conditioner</w:t>
      </w:r>
    </w:p>
    <w:p w:rsidR="00851B6B" w:rsidRDefault="00851B6B">
      <w:pPr>
        <w:numPr>
          <w:ilvl w:val="0"/>
          <w:numId w:val="22"/>
        </w:numPr>
        <w:rPr>
          <w:szCs w:val="24"/>
          <w:lang w:eastAsia="en-AU"/>
        </w:rPr>
      </w:pPr>
      <w:r>
        <w:rPr>
          <w:szCs w:val="24"/>
          <w:lang w:eastAsia="en-AU"/>
        </w:rPr>
        <w:t>plant room</w:t>
      </w:r>
    </w:p>
    <w:p w:rsidR="00851B6B" w:rsidRDefault="00851B6B">
      <w:pPr>
        <w:numPr>
          <w:ilvl w:val="0"/>
          <w:numId w:val="22"/>
        </w:numPr>
        <w:rPr>
          <w:szCs w:val="24"/>
          <w:lang w:eastAsia="en-AU"/>
        </w:rPr>
      </w:pPr>
      <w:r>
        <w:rPr>
          <w:szCs w:val="24"/>
          <w:lang w:eastAsia="en-AU"/>
        </w:rPr>
        <w:t>lift motor room</w:t>
      </w:r>
    </w:p>
    <w:p w:rsidR="00851B6B" w:rsidRDefault="00851B6B">
      <w:pPr>
        <w:numPr>
          <w:ilvl w:val="0"/>
          <w:numId w:val="22"/>
        </w:numPr>
        <w:rPr>
          <w:szCs w:val="24"/>
          <w:lang w:eastAsia="en-AU"/>
        </w:rPr>
      </w:pPr>
      <w:r>
        <w:rPr>
          <w:szCs w:val="24"/>
          <w:lang w:eastAsia="en-AU"/>
        </w:rPr>
        <w:t>waste hopper enclosure</w:t>
      </w:r>
    </w:p>
    <w:p w:rsidR="00851B6B" w:rsidRDefault="00851B6B">
      <w:pPr>
        <w:numPr>
          <w:ilvl w:val="0"/>
          <w:numId w:val="22"/>
        </w:numPr>
        <w:rPr>
          <w:szCs w:val="24"/>
          <w:lang w:eastAsia="en-AU"/>
        </w:rPr>
      </w:pPr>
      <w:r>
        <w:rPr>
          <w:szCs w:val="24"/>
          <w:lang w:eastAsia="en-AU"/>
        </w:rPr>
        <w:t>bin enclosure</w:t>
      </w:r>
    </w:p>
    <w:p w:rsidR="00851B6B" w:rsidRDefault="00851B6B">
      <w:pPr>
        <w:numPr>
          <w:ilvl w:val="0"/>
          <w:numId w:val="22"/>
        </w:numPr>
        <w:rPr>
          <w:szCs w:val="24"/>
          <w:lang w:eastAsia="en-AU"/>
        </w:rPr>
      </w:pPr>
      <w:r>
        <w:rPr>
          <w:szCs w:val="24"/>
          <w:lang w:eastAsia="en-AU"/>
        </w:rPr>
        <w:t>clothes line.</w:t>
      </w:r>
    </w:p>
    <w:p w:rsidR="00851B6B" w:rsidRDefault="00851B6B">
      <w:pPr>
        <w:ind w:left="709"/>
        <w:rPr>
          <w:szCs w:val="24"/>
          <w:lang w:eastAsia="en-AU"/>
        </w:rPr>
      </w:pPr>
      <w:r>
        <w:rPr>
          <w:szCs w:val="24"/>
          <w:lang w:eastAsia="en-AU"/>
        </w:rPr>
        <w:br w:type="page"/>
      </w:r>
    </w:p>
    <w:p w:rsidR="00851B6B" w:rsidRDefault="00851B6B">
      <w:pPr>
        <w:pStyle w:val="Heading3"/>
        <w:numPr>
          <w:ilvl w:val="0"/>
          <w:numId w:val="3"/>
        </w:numPr>
        <w:tabs>
          <w:tab w:val="num" w:pos="993"/>
        </w:tabs>
        <w:ind w:hanging="1146"/>
        <w:rPr>
          <w:lang w:eastAsia="en-AU"/>
        </w:rPr>
      </w:pPr>
      <w:bookmarkStart w:id="37" w:name="_Toc271621036"/>
      <w:r>
        <w:rPr>
          <w:lang w:eastAsia="en-AU"/>
        </w:rPr>
        <w:t>Access</w:t>
      </w:r>
      <w:bookmarkEnd w:id="37"/>
      <w:r>
        <w:rPr>
          <w:lang w:eastAsia="en-AU"/>
        </w:rPr>
        <w:t xml:space="preserve"> </w:t>
      </w:r>
    </w:p>
    <w:p w:rsidR="00851B6B" w:rsidRDefault="00851B6B">
      <w:pPr>
        <w:ind w:left="851"/>
        <w:rPr>
          <w:szCs w:val="24"/>
          <w:lang w:eastAsia="en-AU"/>
        </w:rPr>
      </w:pPr>
    </w:p>
    <w:p w:rsidR="00851B6B" w:rsidRDefault="00851B6B">
      <w:pPr>
        <w:numPr>
          <w:ilvl w:val="0"/>
          <w:numId w:val="8"/>
        </w:numPr>
        <w:tabs>
          <w:tab w:val="num" w:pos="993"/>
        </w:tabs>
        <w:ind w:left="993" w:hanging="426"/>
        <w:rPr>
          <w:szCs w:val="24"/>
          <w:lang w:eastAsia="en-AU"/>
        </w:rPr>
      </w:pPr>
      <w:r>
        <w:rPr>
          <w:szCs w:val="24"/>
          <w:lang w:eastAsia="en-AU"/>
        </w:rPr>
        <w:t>An assessor must not take a parcel to comply with this section if—</w:t>
      </w:r>
    </w:p>
    <w:p w:rsidR="00851B6B" w:rsidRDefault="00851B6B">
      <w:pPr>
        <w:ind w:left="491"/>
        <w:rPr>
          <w:szCs w:val="24"/>
          <w:lang w:eastAsia="en-AU"/>
        </w:rPr>
      </w:pPr>
    </w:p>
    <w:p w:rsidR="00851B6B" w:rsidRDefault="00851B6B">
      <w:pPr>
        <w:numPr>
          <w:ilvl w:val="0"/>
          <w:numId w:val="17"/>
        </w:numPr>
        <w:tabs>
          <w:tab w:val="clear" w:pos="1211"/>
          <w:tab w:val="num" w:pos="1418"/>
        </w:tabs>
        <w:ind w:left="1418" w:hanging="425"/>
        <w:rPr>
          <w:szCs w:val="24"/>
          <w:lang w:eastAsia="en-AU"/>
        </w:rPr>
      </w:pPr>
      <w:r>
        <w:rPr>
          <w:szCs w:val="24"/>
          <w:lang w:eastAsia="en-AU"/>
        </w:rPr>
        <w:t>the parcel has a proposed trafficable common area that cannot be readily walked into without walking within another block or within a proposed unit; or</w:t>
      </w:r>
    </w:p>
    <w:p w:rsidR="00851B6B" w:rsidRDefault="00851B6B">
      <w:pPr>
        <w:tabs>
          <w:tab w:val="num" w:pos="1418"/>
        </w:tabs>
        <w:ind w:left="1418" w:hanging="425"/>
        <w:rPr>
          <w:szCs w:val="24"/>
          <w:lang w:eastAsia="en-AU"/>
        </w:rPr>
      </w:pPr>
    </w:p>
    <w:p w:rsidR="00851B6B" w:rsidRDefault="00851B6B">
      <w:pPr>
        <w:numPr>
          <w:ilvl w:val="0"/>
          <w:numId w:val="17"/>
        </w:numPr>
        <w:tabs>
          <w:tab w:val="clear" w:pos="1211"/>
          <w:tab w:val="num" w:pos="1418"/>
        </w:tabs>
        <w:ind w:left="1418" w:hanging="425"/>
        <w:rPr>
          <w:szCs w:val="24"/>
          <w:lang w:eastAsia="en-AU"/>
        </w:rPr>
      </w:pPr>
      <w:r>
        <w:rPr>
          <w:szCs w:val="24"/>
          <w:lang w:eastAsia="en-AU"/>
        </w:rPr>
        <w:t>each proposed unit for the parcel is not accessible by walking directly from adjacent common property or from unleased land; or</w:t>
      </w:r>
    </w:p>
    <w:p w:rsidR="00851B6B" w:rsidRDefault="00851B6B">
      <w:pPr>
        <w:tabs>
          <w:tab w:val="num" w:pos="1418"/>
        </w:tabs>
        <w:ind w:left="1418" w:hanging="425"/>
        <w:rPr>
          <w:szCs w:val="24"/>
          <w:lang w:eastAsia="en-AU"/>
        </w:rPr>
      </w:pPr>
    </w:p>
    <w:p w:rsidR="00851B6B" w:rsidRDefault="00851B6B">
      <w:pPr>
        <w:numPr>
          <w:ilvl w:val="0"/>
          <w:numId w:val="17"/>
        </w:numPr>
        <w:tabs>
          <w:tab w:val="clear" w:pos="1211"/>
          <w:tab w:val="num" w:pos="1418"/>
        </w:tabs>
        <w:ind w:left="1418" w:hanging="425"/>
        <w:rPr>
          <w:szCs w:val="24"/>
          <w:lang w:eastAsia="en-AU"/>
        </w:rPr>
      </w:pPr>
      <w:r>
        <w:rPr>
          <w:szCs w:val="24"/>
          <w:lang w:eastAsia="en-AU"/>
        </w:rPr>
        <w:t xml:space="preserve">each proposed non-adjacent unit subsidiary (a </w:t>
      </w:r>
      <w:r>
        <w:rPr>
          <w:b/>
          <w:i/>
          <w:szCs w:val="24"/>
          <w:lang w:eastAsia="en-AU"/>
        </w:rPr>
        <w:t>single</w:t>
      </w:r>
      <w:r>
        <w:rPr>
          <w:szCs w:val="24"/>
          <w:lang w:eastAsia="en-AU"/>
        </w:rPr>
        <w:t xml:space="preserve">) is not accessible by walking directly from adjacent common property, or, for 2 or more singles that adjoin each other and are for the same proposed unit (a </w:t>
      </w:r>
      <w:r>
        <w:rPr>
          <w:b/>
          <w:i/>
          <w:szCs w:val="24"/>
          <w:lang w:eastAsia="en-AU"/>
        </w:rPr>
        <w:t>multiple</w:t>
      </w:r>
      <w:r>
        <w:rPr>
          <w:szCs w:val="24"/>
          <w:lang w:eastAsia="en-AU"/>
        </w:rPr>
        <w:t>) at least 1 single comprising the multiple is not accessible as for a single if all singles comprising the multiple are accessible by walking from that 1 single.</w:t>
      </w:r>
    </w:p>
    <w:p w:rsidR="00851B6B" w:rsidRDefault="00851B6B">
      <w:pPr>
        <w:tabs>
          <w:tab w:val="num" w:pos="851"/>
        </w:tabs>
        <w:ind w:left="851"/>
        <w:rPr>
          <w:szCs w:val="24"/>
          <w:lang w:eastAsia="en-AU"/>
        </w:rPr>
      </w:pPr>
    </w:p>
    <w:p w:rsidR="00851B6B" w:rsidRDefault="00851B6B">
      <w:pPr>
        <w:numPr>
          <w:ilvl w:val="0"/>
          <w:numId w:val="8"/>
        </w:numPr>
        <w:tabs>
          <w:tab w:val="num" w:pos="993"/>
        </w:tabs>
        <w:ind w:left="851" w:hanging="426"/>
        <w:rPr>
          <w:szCs w:val="24"/>
          <w:lang w:eastAsia="en-AU"/>
        </w:rPr>
      </w:pPr>
      <w:r>
        <w:rPr>
          <w:szCs w:val="24"/>
          <w:lang w:eastAsia="en-AU"/>
        </w:rPr>
        <w:t>In this section:</w:t>
      </w:r>
    </w:p>
    <w:p w:rsidR="00851B6B" w:rsidRDefault="00851B6B">
      <w:pPr>
        <w:ind w:left="709"/>
        <w:rPr>
          <w:szCs w:val="24"/>
          <w:lang w:eastAsia="en-AU"/>
        </w:rPr>
      </w:pPr>
    </w:p>
    <w:p w:rsidR="00851B6B" w:rsidRDefault="00851B6B">
      <w:pPr>
        <w:ind w:left="993"/>
        <w:rPr>
          <w:szCs w:val="24"/>
          <w:lang w:eastAsia="en-AU"/>
        </w:rPr>
      </w:pPr>
      <w:r>
        <w:rPr>
          <w:b/>
          <w:i/>
          <w:szCs w:val="24"/>
          <w:lang w:eastAsia="en-AU"/>
        </w:rPr>
        <w:t xml:space="preserve">trafficable, </w:t>
      </w:r>
      <w:r>
        <w:rPr>
          <w:szCs w:val="24"/>
          <w:lang w:eastAsia="en-AU"/>
        </w:rPr>
        <w:t>in relation to an area, means the area would normally be accessible to people to walk to and around in.</w:t>
      </w:r>
    </w:p>
    <w:p w:rsidR="00851B6B" w:rsidRDefault="00851B6B">
      <w:pPr>
        <w:ind w:left="851"/>
        <w:rPr>
          <w:szCs w:val="24"/>
          <w:lang w:eastAsia="en-AU"/>
        </w:rPr>
      </w:pPr>
    </w:p>
    <w:p w:rsidR="00851B6B" w:rsidRDefault="00851B6B"/>
    <w:sectPr w:rsidR="00851B6B">
      <w:headerReference w:type="default" r:id="rId14"/>
      <w:footerReference w:type="default" r:id="rId15"/>
      <w:type w:val="continuous"/>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1B" w:rsidRDefault="00110D1B">
      <w:pPr>
        <w:rPr>
          <w:rFonts w:ascii="Arial" w:hAnsi="Arial"/>
          <w:sz w:val="16"/>
        </w:rPr>
      </w:pPr>
      <w:r>
        <w:separator/>
      </w:r>
    </w:p>
  </w:endnote>
  <w:endnote w:type="continuationSeparator" w:id="0">
    <w:p w:rsidR="00110D1B" w:rsidRDefault="00110D1B">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New (W1)">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03" w:rsidRDefault="002D0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03" w:rsidRPr="002D0E03" w:rsidRDefault="002D0E03" w:rsidP="002D0E03">
    <w:pPr>
      <w:pStyle w:val="Footer"/>
      <w:jc w:val="center"/>
      <w:rPr>
        <w:rFonts w:ascii="Arial" w:hAnsi="Arial" w:cs="Arial"/>
        <w:sz w:val="14"/>
      </w:rPr>
    </w:pPr>
    <w:r w:rsidRPr="002D0E03">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03" w:rsidRDefault="002D0E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6B" w:rsidRDefault="00851B6B">
    <w:pPr>
      <w:pStyle w:val="Footer"/>
      <w:pBdr>
        <w:bottom w:val="single" w:sz="12" w:space="1" w:color="auto"/>
      </w:pBdr>
      <w:jc w:val="center"/>
      <w:rPr>
        <w:rFonts w:ascii="Arial" w:hAnsi="Arial" w:cs="Arial"/>
        <w:sz w:val="20"/>
      </w:rPr>
    </w:pPr>
  </w:p>
  <w:p w:rsidR="00851B6B" w:rsidRDefault="00851B6B">
    <w:pPr>
      <w:pStyle w:val="Footer"/>
      <w:jc w:val="center"/>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0461C">
      <w:rPr>
        <w:rStyle w:val="PageNumber"/>
        <w:rFonts w:ascii="Arial" w:hAnsi="Arial" w:cs="Arial"/>
        <w:noProof/>
        <w:sz w:val="20"/>
      </w:rPr>
      <w:t>11</w:t>
    </w:r>
    <w:r>
      <w:rPr>
        <w:rStyle w:val="PageNumber"/>
        <w:rFonts w:ascii="Arial" w:hAnsi="Arial" w:cs="Arial"/>
        <w:sz w:val="20"/>
      </w:rPr>
      <w:fldChar w:fldCharType="end"/>
    </w:r>
  </w:p>
  <w:p w:rsidR="00851B6B" w:rsidRDefault="00851B6B">
    <w:pPr>
      <w:pStyle w:val="Footer"/>
      <w:jc w:val="center"/>
      <w:rPr>
        <w:rFonts w:ascii="Arial" w:hAnsi="Arial" w:cs="Arial"/>
        <w:sz w:val="20"/>
      </w:rPr>
    </w:pPr>
    <w:r>
      <w:rPr>
        <w:rFonts w:ascii="Arial" w:hAnsi="Arial" w:cs="Arial"/>
        <w:sz w:val="20"/>
      </w:rPr>
      <w:t>Unit title site assessment code of practice</w:t>
    </w:r>
  </w:p>
  <w:p w:rsidR="002D0E03" w:rsidRPr="002D0E03" w:rsidRDefault="002D0E03" w:rsidP="002D0E03">
    <w:pPr>
      <w:pStyle w:val="Footer"/>
      <w:jc w:val="center"/>
      <w:rPr>
        <w:rFonts w:ascii="Arial" w:hAnsi="Arial" w:cs="Arial"/>
        <w:sz w:val="14"/>
      </w:rPr>
    </w:pPr>
    <w:r w:rsidRPr="002D0E0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1B" w:rsidRDefault="00110D1B">
      <w:pPr>
        <w:rPr>
          <w:rFonts w:ascii="Arial" w:hAnsi="Arial"/>
          <w:sz w:val="16"/>
        </w:rPr>
      </w:pPr>
      <w:r>
        <w:separator/>
      </w:r>
    </w:p>
  </w:footnote>
  <w:footnote w:type="continuationSeparator" w:id="0">
    <w:p w:rsidR="00110D1B" w:rsidRDefault="00110D1B">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03" w:rsidRDefault="002D0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03" w:rsidRDefault="002D0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03" w:rsidRDefault="002D0E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6B" w:rsidRDefault="00851B6B">
    <w:pPr>
      <w:pStyle w:val="Header"/>
      <w:jc w:val="center"/>
      <w:rPr>
        <w:rFonts w:ascii="Arial" w:hAnsi="Arial" w:cs="Arial"/>
        <w:b/>
        <w:sz w:val="20"/>
      </w:rPr>
    </w:pPr>
  </w:p>
  <w:p w:rsidR="00851B6B" w:rsidRDefault="00851B6B">
    <w:pPr>
      <w:pStyle w:val="Header"/>
      <w:pBdr>
        <w:bottom w:val="single" w:sz="12" w:space="1" w:color="auto"/>
      </w:pBdr>
      <w:jc w:val="center"/>
      <w:rPr>
        <w:rFonts w:ascii="Arial" w:hAnsi="Arial" w:cs="Arial"/>
        <w:sz w:val="20"/>
      </w:rPr>
    </w:pPr>
  </w:p>
  <w:p w:rsidR="00851B6B" w:rsidRDefault="00851B6B">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12A"/>
    <w:multiLevelType w:val="hybridMultilevel"/>
    <w:tmpl w:val="98928256"/>
    <w:lvl w:ilvl="0" w:tplc="CFBCD97A">
      <w:start w:val="1"/>
      <w:numFmt w:val="lowerLetter"/>
      <w:lvlText w:val="(%1)"/>
      <w:lvlJc w:val="left"/>
      <w:pPr>
        <w:tabs>
          <w:tab w:val="num" w:pos="869"/>
        </w:tabs>
        <w:ind w:left="869" w:hanging="58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0623B6"/>
    <w:multiLevelType w:val="hybridMultilevel"/>
    <w:tmpl w:val="7EAE67EE"/>
    <w:lvl w:ilvl="0" w:tplc="CFBCD97A">
      <w:start w:val="1"/>
      <w:numFmt w:val="lowerLetter"/>
      <w:lvlText w:val="(%1)"/>
      <w:lvlJc w:val="left"/>
      <w:pPr>
        <w:tabs>
          <w:tab w:val="num" w:pos="869"/>
        </w:tabs>
        <w:ind w:left="869" w:hanging="585"/>
      </w:pPr>
      <w:rPr>
        <w:rFonts w:hint="default"/>
      </w:rPr>
    </w:lvl>
    <w:lvl w:ilvl="1" w:tplc="0C090019" w:tentative="1">
      <w:start w:val="1"/>
      <w:numFmt w:val="lowerLetter"/>
      <w:lvlText w:val="%2."/>
      <w:lvlJc w:val="left"/>
      <w:pPr>
        <w:tabs>
          <w:tab w:val="num" w:pos="731"/>
        </w:tabs>
        <w:ind w:left="731" w:hanging="360"/>
      </w:pPr>
    </w:lvl>
    <w:lvl w:ilvl="2" w:tplc="0C09001B" w:tentative="1">
      <w:start w:val="1"/>
      <w:numFmt w:val="lowerRoman"/>
      <w:lvlText w:val="%3."/>
      <w:lvlJc w:val="right"/>
      <w:pPr>
        <w:tabs>
          <w:tab w:val="num" w:pos="1451"/>
        </w:tabs>
        <w:ind w:left="1451" w:hanging="180"/>
      </w:pPr>
    </w:lvl>
    <w:lvl w:ilvl="3" w:tplc="0C09000F" w:tentative="1">
      <w:start w:val="1"/>
      <w:numFmt w:val="decimal"/>
      <w:lvlText w:val="%4."/>
      <w:lvlJc w:val="left"/>
      <w:pPr>
        <w:tabs>
          <w:tab w:val="num" w:pos="2171"/>
        </w:tabs>
        <w:ind w:left="2171" w:hanging="360"/>
      </w:pPr>
    </w:lvl>
    <w:lvl w:ilvl="4" w:tplc="0C090019" w:tentative="1">
      <w:start w:val="1"/>
      <w:numFmt w:val="lowerLetter"/>
      <w:lvlText w:val="%5."/>
      <w:lvlJc w:val="left"/>
      <w:pPr>
        <w:tabs>
          <w:tab w:val="num" w:pos="2891"/>
        </w:tabs>
        <w:ind w:left="2891" w:hanging="360"/>
      </w:pPr>
    </w:lvl>
    <w:lvl w:ilvl="5" w:tplc="0C09001B" w:tentative="1">
      <w:start w:val="1"/>
      <w:numFmt w:val="lowerRoman"/>
      <w:lvlText w:val="%6."/>
      <w:lvlJc w:val="right"/>
      <w:pPr>
        <w:tabs>
          <w:tab w:val="num" w:pos="3611"/>
        </w:tabs>
        <w:ind w:left="3611" w:hanging="180"/>
      </w:pPr>
    </w:lvl>
    <w:lvl w:ilvl="6" w:tplc="0C09000F" w:tentative="1">
      <w:start w:val="1"/>
      <w:numFmt w:val="decimal"/>
      <w:lvlText w:val="%7."/>
      <w:lvlJc w:val="left"/>
      <w:pPr>
        <w:tabs>
          <w:tab w:val="num" w:pos="4331"/>
        </w:tabs>
        <w:ind w:left="4331" w:hanging="360"/>
      </w:pPr>
    </w:lvl>
    <w:lvl w:ilvl="7" w:tplc="0C090019" w:tentative="1">
      <w:start w:val="1"/>
      <w:numFmt w:val="lowerLetter"/>
      <w:lvlText w:val="%8."/>
      <w:lvlJc w:val="left"/>
      <w:pPr>
        <w:tabs>
          <w:tab w:val="num" w:pos="5051"/>
        </w:tabs>
        <w:ind w:left="5051" w:hanging="360"/>
      </w:pPr>
    </w:lvl>
    <w:lvl w:ilvl="8" w:tplc="0C09001B" w:tentative="1">
      <w:start w:val="1"/>
      <w:numFmt w:val="lowerRoman"/>
      <w:lvlText w:val="%9."/>
      <w:lvlJc w:val="right"/>
      <w:pPr>
        <w:tabs>
          <w:tab w:val="num" w:pos="5771"/>
        </w:tabs>
        <w:ind w:left="5771" w:hanging="180"/>
      </w:pPr>
    </w:lvl>
  </w:abstractNum>
  <w:abstractNum w:abstractNumId="2" w15:restartNumberingAfterBreak="0">
    <w:nsid w:val="3080530B"/>
    <w:multiLevelType w:val="hybridMultilevel"/>
    <w:tmpl w:val="33B4E87A"/>
    <w:lvl w:ilvl="0" w:tplc="32484974">
      <w:start w:val="1"/>
      <w:numFmt w:val="decimal"/>
      <w:lvlText w:val="(%1)"/>
      <w:lvlJc w:val="left"/>
      <w:pPr>
        <w:tabs>
          <w:tab w:val="num" w:pos="786"/>
        </w:tabs>
        <w:ind w:left="786" w:hanging="360"/>
      </w:pPr>
      <w:rPr>
        <w:rFonts w:hint="default"/>
      </w:rPr>
    </w:lvl>
    <w:lvl w:ilvl="1" w:tplc="0C090019" w:tentative="1">
      <w:start w:val="1"/>
      <w:numFmt w:val="lowerLetter"/>
      <w:lvlText w:val="%2."/>
      <w:lvlJc w:val="left"/>
      <w:pPr>
        <w:tabs>
          <w:tab w:val="num" w:pos="-114"/>
        </w:tabs>
        <w:ind w:left="-114" w:hanging="360"/>
      </w:pPr>
    </w:lvl>
    <w:lvl w:ilvl="2" w:tplc="0C09001B" w:tentative="1">
      <w:start w:val="1"/>
      <w:numFmt w:val="lowerRoman"/>
      <w:lvlText w:val="%3."/>
      <w:lvlJc w:val="right"/>
      <w:pPr>
        <w:tabs>
          <w:tab w:val="num" w:pos="606"/>
        </w:tabs>
        <w:ind w:left="606" w:hanging="180"/>
      </w:pPr>
    </w:lvl>
    <w:lvl w:ilvl="3" w:tplc="0C09000F" w:tentative="1">
      <w:start w:val="1"/>
      <w:numFmt w:val="decimal"/>
      <w:lvlText w:val="%4."/>
      <w:lvlJc w:val="left"/>
      <w:pPr>
        <w:tabs>
          <w:tab w:val="num" w:pos="1326"/>
        </w:tabs>
        <w:ind w:left="1326" w:hanging="360"/>
      </w:pPr>
    </w:lvl>
    <w:lvl w:ilvl="4" w:tplc="0C090019" w:tentative="1">
      <w:start w:val="1"/>
      <w:numFmt w:val="lowerLetter"/>
      <w:lvlText w:val="%5."/>
      <w:lvlJc w:val="left"/>
      <w:pPr>
        <w:tabs>
          <w:tab w:val="num" w:pos="2046"/>
        </w:tabs>
        <w:ind w:left="2046" w:hanging="360"/>
      </w:pPr>
    </w:lvl>
    <w:lvl w:ilvl="5" w:tplc="0C09001B" w:tentative="1">
      <w:start w:val="1"/>
      <w:numFmt w:val="lowerRoman"/>
      <w:lvlText w:val="%6."/>
      <w:lvlJc w:val="right"/>
      <w:pPr>
        <w:tabs>
          <w:tab w:val="num" w:pos="2766"/>
        </w:tabs>
        <w:ind w:left="2766" w:hanging="180"/>
      </w:pPr>
    </w:lvl>
    <w:lvl w:ilvl="6" w:tplc="0C09000F" w:tentative="1">
      <w:start w:val="1"/>
      <w:numFmt w:val="decimal"/>
      <w:lvlText w:val="%7."/>
      <w:lvlJc w:val="left"/>
      <w:pPr>
        <w:tabs>
          <w:tab w:val="num" w:pos="3486"/>
        </w:tabs>
        <w:ind w:left="3486" w:hanging="360"/>
      </w:pPr>
    </w:lvl>
    <w:lvl w:ilvl="7" w:tplc="0C090019" w:tentative="1">
      <w:start w:val="1"/>
      <w:numFmt w:val="lowerLetter"/>
      <w:lvlText w:val="%8."/>
      <w:lvlJc w:val="left"/>
      <w:pPr>
        <w:tabs>
          <w:tab w:val="num" w:pos="4206"/>
        </w:tabs>
        <w:ind w:left="4206" w:hanging="360"/>
      </w:pPr>
    </w:lvl>
    <w:lvl w:ilvl="8" w:tplc="0C09001B" w:tentative="1">
      <w:start w:val="1"/>
      <w:numFmt w:val="lowerRoman"/>
      <w:lvlText w:val="%9."/>
      <w:lvlJc w:val="right"/>
      <w:pPr>
        <w:tabs>
          <w:tab w:val="num" w:pos="4926"/>
        </w:tabs>
        <w:ind w:left="4926" w:hanging="180"/>
      </w:pPr>
    </w:lvl>
  </w:abstractNum>
  <w:abstractNum w:abstractNumId="3" w15:restartNumberingAfterBreak="0">
    <w:nsid w:val="35BD48E7"/>
    <w:multiLevelType w:val="hybridMultilevel"/>
    <w:tmpl w:val="0750D19E"/>
    <w:lvl w:ilvl="0" w:tplc="04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7823702"/>
    <w:multiLevelType w:val="hybridMultilevel"/>
    <w:tmpl w:val="0EC8676A"/>
    <w:lvl w:ilvl="0" w:tplc="32484974">
      <w:start w:val="1"/>
      <w:numFmt w:val="decimal"/>
      <w:lvlText w:val="(%1)"/>
      <w:lvlJc w:val="left"/>
      <w:pPr>
        <w:tabs>
          <w:tab w:val="num" w:pos="2340"/>
        </w:tabs>
        <w:ind w:left="23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93E36E2"/>
    <w:multiLevelType w:val="hybridMultilevel"/>
    <w:tmpl w:val="4F8E79B4"/>
    <w:lvl w:ilvl="0" w:tplc="CFBCD97A">
      <w:start w:val="1"/>
      <w:numFmt w:val="lowerLetter"/>
      <w:lvlText w:val="(%1)"/>
      <w:lvlJc w:val="left"/>
      <w:pPr>
        <w:tabs>
          <w:tab w:val="num" w:pos="869"/>
        </w:tabs>
        <w:ind w:left="869" w:hanging="58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C764CAD"/>
    <w:multiLevelType w:val="hybridMultilevel"/>
    <w:tmpl w:val="A4DAB9BC"/>
    <w:lvl w:ilvl="0" w:tplc="32484974">
      <w:start w:val="1"/>
      <w:numFmt w:val="decimal"/>
      <w:lvlText w:val="(%1)"/>
      <w:lvlJc w:val="left"/>
      <w:pPr>
        <w:tabs>
          <w:tab w:val="num" w:pos="2340"/>
        </w:tabs>
        <w:ind w:left="23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44436D3"/>
    <w:multiLevelType w:val="hybridMultilevel"/>
    <w:tmpl w:val="D58C124A"/>
    <w:lvl w:ilvl="0" w:tplc="32484974">
      <w:start w:val="1"/>
      <w:numFmt w:val="decimal"/>
      <w:lvlText w:val="(%1)"/>
      <w:lvlJc w:val="left"/>
      <w:pPr>
        <w:tabs>
          <w:tab w:val="num" w:pos="2340"/>
        </w:tabs>
        <w:ind w:left="23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7850FAF"/>
    <w:multiLevelType w:val="hybridMultilevel"/>
    <w:tmpl w:val="B52E33B4"/>
    <w:lvl w:ilvl="0" w:tplc="CFBCD97A">
      <w:start w:val="1"/>
      <w:numFmt w:val="lowerLetter"/>
      <w:lvlText w:val="(%1)"/>
      <w:lvlJc w:val="left"/>
      <w:pPr>
        <w:tabs>
          <w:tab w:val="num" w:pos="869"/>
        </w:tabs>
        <w:ind w:left="869" w:hanging="58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A66778C"/>
    <w:multiLevelType w:val="hybridMultilevel"/>
    <w:tmpl w:val="8B780634"/>
    <w:lvl w:ilvl="0" w:tplc="32484974">
      <w:start w:val="1"/>
      <w:numFmt w:val="decimal"/>
      <w:lvlText w:val="(%1)"/>
      <w:lvlJc w:val="left"/>
      <w:pPr>
        <w:tabs>
          <w:tab w:val="num" w:pos="502"/>
        </w:tabs>
        <w:ind w:left="502" w:hanging="360"/>
      </w:pPr>
      <w:rPr>
        <w:rFonts w:hint="default"/>
      </w:rPr>
    </w:lvl>
    <w:lvl w:ilvl="1" w:tplc="04090001">
      <w:start w:val="1"/>
      <w:numFmt w:val="bullet"/>
      <w:lvlText w:val=""/>
      <w:lvlJc w:val="left"/>
      <w:pPr>
        <w:tabs>
          <w:tab w:val="num" w:pos="1070"/>
        </w:tabs>
        <w:ind w:left="107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E2B135E"/>
    <w:multiLevelType w:val="hybridMultilevel"/>
    <w:tmpl w:val="73D8B89E"/>
    <w:lvl w:ilvl="0" w:tplc="32484974">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256"/>
        </w:tabs>
        <w:ind w:left="-256" w:hanging="360"/>
      </w:pPr>
    </w:lvl>
    <w:lvl w:ilvl="2" w:tplc="0C09001B" w:tentative="1">
      <w:start w:val="1"/>
      <w:numFmt w:val="lowerRoman"/>
      <w:lvlText w:val="%3."/>
      <w:lvlJc w:val="right"/>
      <w:pPr>
        <w:tabs>
          <w:tab w:val="num" w:pos="464"/>
        </w:tabs>
        <w:ind w:left="464" w:hanging="180"/>
      </w:pPr>
    </w:lvl>
    <w:lvl w:ilvl="3" w:tplc="0C09000F" w:tentative="1">
      <w:start w:val="1"/>
      <w:numFmt w:val="decimal"/>
      <w:lvlText w:val="%4."/>
      <w:lvlJc w:val="left"/>
      <w:pPr>
        <w:tabs>
          <w:tab w:val="num" w:pos="1184"/>
        </w:tabs>
        <w:ind w:left="1184" w:hanging="360"/>
      </w:pPr>
    </w:lvl>
    <w:lvl w:ilvl="4" w:tplc="0C090019" w:tentative="1">
      <w:start w:val="1"/>
      <w:numFmt w:val="lowerLetter"/>
      <w:lvlText w:val="%5."/>
      <w:lvlJc w:val="left"/>
      <w:pPr>
        <w:tabs>
          <w:tab w:val="num" w:pos="1904"/>
        </w:tabs>
        <w:ind w:left="1904" w:hanging="360"/>
      </w:pPr>
    </w:lvl>
    <w:lvl w:ilvl="5" w:tplc="0C09001B" w:tentative="1">
      <w:start w:val="1"/>
      <w:numFmt w:val="lowerRoman"/>
      <w:lvlText w:val="%6."/>
      <w:lvlJc w:val="right"/>
      <w:pPr>
        <w:tabs>
          <w:tab w:val="num" w:pos="2624"/>
        </w:tabs>
        <w:ind w:left="2624" w:hanging="180"/>
      </w:pPr>
    </w:lvl>
    <w:lvl w:ilvl="6" w:tplc="0C09000F" w:tentative="1">
      <w:start w:val="1"/>
      <w:numFmt w:val="decimal"/>
      <w:lvlText w:val="%7."/>
      <w:lvlJc w:val="left"/>
      <w:pPr>
        <w:tabs>
          <w:tab w:val="num" w:pos="3344"/>
        </w:tabs>
        <w:ind w:left="3344" w:hanging="360"/>
      </w:pPr>
    </w:lvl>
    <w:lvl w:ilvl="7" w:tplc="0C090019" w:tentative="1">
      <w:start w:val="1"/>
      <w:numFmt w:val="lowerLetter"/>
      <w:lvlText w:val="%8."/>
      <w:lvlJc w:val="left"/>
      <w:pPr>
        <w:tabs>
          <w:tab w:val="num" w:pos="4064"/>
        </w:tabs>
        <w:ind w:left="4064" w:hanging="360"/>
      </w:pPr>
    </w:lvl>
    <w:lvl w:ilvl="8" w:tplc="0C09001B" w:tentative="1">
      <w:start w:val="1"/>
      <w:numFmt w:val="lowerRoman"/>
      <w:lvlText w:val="%9."/>
      <w:lvlJc w:val="right"/>
      <w:pPr>
        <w:tabs>
          <w:tab w:val="num" w:pos="4784"/>
        </w:tabs>
        <w:ind w:left="4784" w:hanging="180"/>
      </w:pPr>
    </w:lvl>
  </w:abstractNum>
  <w:abstractNum w:abstractNumId="11" w15:restartNumberingAfterBreak="0">
    <w:nsid w:val="4E5B2E46"/>
    <w:multiLevelType w:val="hybridMultilevel"/>
    <w:tmpl w:val="014E7E0A"/>
    <w:lvl w:ilvl="0" w:tplc="CFBCD97A">
      <w:start w:val="1"/>
      <w:numFmt w:val="lowerLetter"/>
      <w:lvlText w:val="(%1)"/>
      <w:lvlJc w:val="left"/>
      <w:pPr>
        <w:tabs>
          <w:tab w:val="num" w:pos="869"/>
        </w:tabs>
        <w:ind w:left="869" w:hanging="58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1295E36"/>
    <w:multiLevelType w:val="hybridMultilevel"/>
    <w:tmpl w:val="11401F78"/>
    <w:lvl w:ilvl="0" w:tplc="F062858C">
      <w:start w:val="1"/>
      <w:numFmt w:val="decimal"/>
      <w:lvlText w:val="%1"/>
      <w:lvlJc w:val="left"/>
      <w:pPr>
        <w:tabs>
          <w:tab w:val="num" w:pos="1146"/>
        </w:tabs>
        <w:ind w:left="1146" w:hanging="720"/>
      </w:pPr>
      <w:rPr>
        <w:rFonts w:hint="default"/>
      </w:rPr>
    </w:lvl>
    <w:lvl w:ilvl="1" w:tplc="5C1287A2">
      <w:start w:val="1"/>
      <w:numFmt w:val="decimal"/>
      <w:lvlText w:val="(%2)"/>
      <w:lvlJc w:val="left"/>
      <w:pPr>
        <w:tabs>
          <w:tab w:val="num" w:pos="1211"/>
        </w:tabs>
        <w:ind w:left="1211"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3E961C8"/>
    <w:multiLevelType w:val="hybridMultilevel"/>
    <w:tmpl w:val="347CF02C"/>
    <w:lvl w:ilvl="0" w:tplc="C1126922">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32484974">
      <w:start w:val="1"/>
      <w:numFmt w:val="decimal"/>
      <w:lvlText w:val="(%3)"/>
      <w:lvlJc w:val="left"/>
      <w:pPr>
        <w:tabs>
          <w:tab w:val="num" w:pos="2340"/>
        </w:tabs>
        <w:ind w:left="2340" w:hanging="360"/>
      </w:pPr>
      <w:rPr>
        <w:rFonts w:hint="default"/>
      </w:rPr>
    </w:lvl>
    <w:lvl w:ilvl="3" w:tplc="0C09000F">
      <w:start w:val="1"/>
      <w:numFmt w:val="decimal"/>
      <w:lvlText w:val="%4."/>
      <w:lvlJc w:val="left"/>
      <w:pPr>
        <w:tabs>
          <w:tab w:val="num" w:pos="2880"/>
        </w:tabs>
        <w:ind w:left="2880" w:hanging="360"/>
      </w:pPr>
    </w:lvl>
    <w:lvl w:ilvl="4" w:tplc="785CC00A">
      <w:start w:val="1"/>
      <w:numFmt w:val="lowerLetter"/>
      <w:lvlText w:val="(%5)"/>
      <w:lvlJc w:val="left"/>
      <w:pPr>
        <w:tabs>
          <w:tab w:val="num" w:pos="3600"/>
        </w:tabs>
        <w:ind w:left="3600" w:hanging="36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59613B4"/>
    <w:multiLevelType w:val="hybridMultilevel"/>
    <w:tmpl w:val="BB2C2778"/>
    <w:lvl w:ilvl="0" w:tplc="1C6A7240">
      <w:start w:val="1"/>
      <w:numFmt w:val="decimal"/>
      <w:lvlText w:val="%1."/>
      <w:lvlJc w:val="left"/>
      <w:pPr>
        <w:tabs>
          <w:tab w:val="num" w:pos="2546"/>
        </w:tabs>
        <w:ind w:left="2546" w:hanging="720"/>
      </w:pPr>
      <w:rPr>
        <w:rFonts w:hint="default"/>
      </w:rPr>
    </w:lvl>
    <w:lvl w:ilvl="1" w:tplc="0C090019" w:tentative="1">
      <w:start w:val="1"/>
      <w:numFmt w:val="lowerLetter"/>
      <w:lvlText w:val="%2."/>
      <w:lvlJc w:val="left"/>
      <w:pPr>
        <w:tabs>
          <w:tab w:val="num" w:pos="2273"/>
        </w:tabs>
        <w:ind w:left="2273" w:hanging="360"/>
      </w:pPr>
    </w:lvl>
    <w:lvl w:ilvl="2" w:tplc="0C09001B" w:tentative="1">
      <w:start w:val="1"/>
      <w:numFmt w:val="lowerRoman"/>
      <w:lvlText w:val="%3."/>
      <w:lvlJc w:val="right"/>
      <w:pPr>
        <w:tabs>
          <w:tab w:val="num" w:pos="2993"/>
        </w:tabs>
        <w:ind w:left="2993" w:hanging="180"/>
      </w:pPr>
    </w:lvl>
    <w:lvl w:ilvl="3" w:tplc="0C09000F" w:tentative="1">
      <w:start w:val="1"/>
      <w:numFmt w:val="decimal"/>
      <w:lvlText w:val="%4."/>
      <w:lvlJc w:val="left"/>
      <w:pPr>
        <w:tabs>
          <w:tab w:val="num" w:pos="3713"/>
        </w:tabs>
        <w:ind w:left="3713" w:hanging="360"/>
      </w:pPr>
    </w:lvl>
    <w:lvl w:ilvl="4" w:tplc="0C090019" w:tentative="1">
      <w:start w:val="1"/>
      <w:numFmt w:val="lowerLetter"/>
      <w:lvlText w:val="%5."/>
      <w:lvlJc w:val="left"/>
      <w:pPr>
        <w:tabs>
          <w:tab w:val="num" w:pos="4433"/>
        </w:tabs>
        <w:ind w:left="4433" w:hanging="360"/>
      </w:pPr>
    </w:lvl>
    <w:lvl w:ilvl="5" w:tplc="0C09001B" w:tentative="1">
      <w:start w:val="1"/>
      <w:numFmt w:val="lowerRoman"/>
      <w:lvlText w:val="%6."/>
      <w:lvlJc w:val="right"/>
      <w:pPr>
        <w:tabs>
          <w:tab w:val="num" w:pos="5153"/>
        </w:tabs>
        <w:ind w:left="5153" w:hanging="180"/>
      </w:pPr>
    </w:lvl>
    <w:lvl w:ilvl="6" w:tplc="0C09000F" w:tentative="1">
      <w:start w:val="1"/>
      <w:numFmt w:val="decimal"/>
      <w:lvlText w:val="%7."/>
      <w:lvlJc w:val="left"/>
      <w:pPr>
        <w:tabs>
          <w:tab w:val="num" w:pos="5873"/>
        </w:tabs>
        <w:ind w:left="5873" w:hanging="360"/>
      </w:pPr>
    </w:lvl>
    <w:lvl w:ilvl="7" w:tplc="0C090019" w:tentative="1">
      <w:start w:val="1"/>
      <w:numFmt w:val="lowerLetter"/>
      <w:lvlText w:val="%8."/>
      <w:lvlJc w:val="left"/>
      <w:pPr>
        <w:tabs>
          <w:tab w:val="num" w:pos="6593"/>
        </w:tabs>
        <w:ind w:left="6593" w:hanging="360"/>
      </w:pPr>
    </w:lvl>
    <w:lvl w:ilvl="8" w:tplc="0C09001B" w:tentative="1">
      <w:start w:val="1"/>
      <w:numFmt w:val="lowerRoman"/>
      <w:lvlText w:val="%9."/>
      <w:lvlJc w:val="right"/>
      <w:pPr>
        <w:tabs>
          <w:tab w:val="num" w:pos="7313"/>
        </w:tabs>
        <w:ind w:left="7313" w:hanging="180"/>
      </w:pPr>
    </w:lvl>
  </w:abstractNum>
  <w:abstractNum w:abstractNumId="15" w15:restartNumberingAfterBreak="0">
    <w:nsid w:val="57FA5273"/>
    <w:multiLevelType w:val="hybridMultilevel"/>
    <w:tmpl w:val="9D7C0B8C"/>
    <w:lvl w:ilvl="0" w:tplc="CFBCD97A">
      <w:start w:val="1"/>
      <w:numFmt w:val="lowerLetter"/>
      <w:lvlText w:val="(%1)"/>
      <w:lvlJc w:val="left"/>
      <w:pPr>
        <w:tabs>
          <w:tab w:val="num" w:pos="869"/>
        </w:tabs>
        <w:ind w:left="869" w:hanging="58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2231F77"/>
    <w:multiLevelType w:val="hybridMultilevel"/>
    <w:tmpl w:val="80B62790"/>
    <w:lvl w:ilvl="0" w:tplc="CFBCD97A">
      <w:start w:val="1"/>
      <w:numFmt w:val="lowerLetter"/>
      <w:lvlText w:val="(%1)"/>
      <w:lvlJc w:val="left"/>
      <w:pPr>
        <w:tabs>
          <w:tab w:val="num" w:pos="1295"/>
        </w:tabs>
        <w:ind w:left="1295" w:hanging="585"/>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17" w15:restartNumberingAfterBreak="0">
    <w:nsid w:val="65833051"/>
    <w:multiLevelType w:val="hybridMultilevel"/>
    <w:tmpl w:val="A98E25DC"/>
    <w:lvl w:ilvl="0" w:tplc="CFBCD97A">
      <w:start w:val="1"/>
      <w:numFmt w:val="lowerLetter"/>
      <w:lvlText w:val="(%1)"/>
      <w:lvlJc w:val="left"/>
      <w:pPr>
        <w:tabs>
          <w:tab w:val="num" w:pos="869"/>
        </w:tabs>
        <w:ind w:left="869" w:hanging="58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73E0A0B"/>
    <w:multiLevelType w:val="hybridMultilevel"/>
    <w:tmpl w:val="16C87F94"/>
    <w:lvl w:ilvl="0" w:tplc="CFBCD97A">
      <w:start w:val="1"/>
      <w:numFmt w:val="lowerLetter"/>
      <w:lvlText w:val="(%1)"/>
      <w:lvlJc w:val="left"/>
      <w:pPr>
        <w:tabs>
          <w:tab w:val="num" w:pos="869"/>
        </w:tabs>
        <w:ind w:left="869" w:hanging="585"/>
      </w:pPr>
      <w:rPr>
        <w:rFonts w:hint="default"/>
      </w:rPr>
    </w:lvl>
    <w:lvl w:ilvl="1" w:tplc="0C090019" w:tentative="1">
      <w:start w:val="1"/>
      <w:numFmt w:val="lowerLetter"/>
      <w:lvlText w:val="%2."/>
      <w:lvlJc w:val="left"/>
      <w:pPr>
        <w:tabs>
          <w:tab w:val="num" w:pos="731"/>
        </w:tabs>
        <w:ind w:left="731" w:hanging="360"/>
      </w:pPr>
    </w:lvl>
    <w:lvl w:ilvl="2" w:tplc="0C09001B" w:tentative="1">
      <w:start w:val="1"/>
      <w:numFmt w:val="lowerRoman"/>
      <w:lvlText w:val="%3."/>
      <w:lvlJc w:val="right"/>
      <w:pPr>
        <w:tabs>
          <w:tab w:val="num" w:pos="1451"/>
        </w:tabs>
        <w:ind w:left="1451" w:hanging="180"/>
      </w:pPr>
    </w:lvl>
    <w:lvl w:ilvl="3" w:tplc="0C09000F" w:tentative="1">
      <w:start w:val="1"/>
      <w:numFmt w:val="decimal"/>
      <w:lvlText w:val="%4."/>
      <w:lvlJc w:val="left"/>
      <w:pPr>
        <w:tabs>
          <w:tab w:val="num" w:pos="2171"/>
        </w:tabs>
        <w:ind w:left="2171" w:hanging="360"/>
      </w:pPr>
    </w:lvl>
    <w:lvl w:ilvl="4" w:tplc="0C090019" w:tentative="1">
      <w:start w:val="1"/>
      <w:numFmt w:val="lowerLetter"/>
      <w:lvlText w:val="%5."/>
      <w:lvlJc w:val="left"/>
      <w:pPr>
        <w:tabs>
          <w:tab w:val="num" w:pos="2891"/>
        </w:tabs>
        <w:ind w:left="2891" w:hanging="360"/>
      </w:pPr>
    </w:lvl>
    <w:lvl w:ilvl="5" w:tplc="0C09001B" w:tentative="1">
      <w:start w:val="1"/>
      <w:numFmt w:val="lowerRoman"/>
      <w:lvlText w:val="%6."/>
      <w:lvlJc w:val="right"/>
      <w:pPr>
        <w:tabs>
          <w:tab w:val="num" w:pos="3611"/>
        </w:tabs>
        <w:ind w:left="3611" w:hanging="180"/>
      </w:pPr>
    </w:lvl>
    <w:lvl w:ilvl="6" w:tplc="0C09000F" w:tentative="1">
      <w:start w:val="1"/>
      <w:numFmt w:val="decimal"/>
      <w:lvlText w:val="%7."/>
      <w:lvlJc w:val="left"/>
      <w:pPr>
        <w:tabs>
          <w:tab w:val="num" w:pos="4331"/>
        </w:tabs>
        <w:ind w:left="4331" w:hanging="360"/>
      </w:pPr>
    </w:lvl>
    <w:lvl w:ilvl="7" w:tplc="0C090019" w:tentative="1">
      <w:start w:val="1"/>
      <w:numFmt w:val="lowerLetter"/>
      <w:lvlText w:val="%8."/>
      <w:lvlJc w:val="left"/>
      <w:pPr>
        <w:tabs>
          <w:tab w:val="num" w:pos="5051"/>
        </w:tabs>
        <w:ind w:left="5051" w:hanging="360"/>
      </w:pPr>
    </w:lvl>
    <w:lvl w:ilvl="8" w:tplc="0C09001B" w:tentative="1">
      <w:start w:val="1"/>
      <w:numFmt w:val="lowerRoman"/>
      <w:lvlText w:val="%9."/>
      <w:lvlJc w:val="right"/>
      <w:pPr>
        <w:tabs>
          <w:tab w:val="num" w:pos="5771"/>
        </w:tabs>
        <w:ind w:left="5771" w:hanging="180"/>
      </w:pPr>
    </w:lvl>
  </w:abstractNum>
  <w:abstractNum w:abstractNumId="19" w15:restartNumberingAfterBreak="0">
    <w:nsid w:val="6A447546"/>
    <w:multiLevelType w:val="hybridMultilevel"/>
    <w:tmpl w:val="AB7A04C2"/>
    <w:lvl w:ilvl="0" w:tplc="32484974">
      <w:start w:val="1"/>
      <w:numFmt w:val="decimal"/>
      <w:lvlText w:val="(%1)"/>
      <w:lvlJc w:val="left"/>
      <w:pPr>
        <w:tabs>
          <w:tab w:val="num" w:pos="786"/>
        </w:tabs>
        <w:ind w:left="786" w:hanging="360"/>
      </w:pPr>
      <w:rPr>
        <w:rFonts w:hint="default"/>
      </w:rPr>
    </w:lvl>
    <w:lvl w:ilvl="1" w:tplc="0C090019" w:tentative="1">
      <w:start w:val="1"/>
      <w:numFmt w:val="lowerLetter"/>
      <w:lvlText w:val="%2."/>
      <w:lvlJc w:val="left"/>
      <w:pPr>
        <w:tabs>
          <w:tab w:val="num" w:pos="-114"/>
        </w:tabs>
        <w:ind w:left="-114" w:hanging="360"/>
      </w:pPr>
    </w:lvl>
    <w:lvl w:ilvl="2" w:tplc="0C09001B" w:tentative="1">
      <w:start w:val="1"/>
      <w:numFmt w:val="lowerRoman"/>
      <w:lvlText w:val="%3."/>
      <w:lvlJc w:val="right"/>
      <w:pPr>
        <w:tabs>
          <w:tab w:val="num" w:pos="606"/>
        </w:tabs>
        <w:ind w:left="606" w:hanging="180"/>
      </w:pPr>
    </w:lvl>
    <w:lvl w:ilvl="3" w:tplc="0C09000F" w:tentative="1">
      <w:start w:val="1"/>
      <w:numFmt w:val="decimal"/>
      <w:lvlText w:val="%4."/>
      <w:lvlJc w:val="left"/>
      <w:pPr>
        <w:tabs>
          <w:tab w:val="num" w:pos="1326"/>
        </w:tabs>
        <w:ind w:left="1326" w:hanging="360"/>
      </w:pPr>
    </w:lvl>
    <w:lvl w:ilvl="4" w:tplc="0C090019" w:tentative="1">
      <w:start w:val="1"/>
      <w:numFmt w:val="lowerLetter"/>
      <w:lvlText w:val="%5."/>
      <w:lvlJc w:val="left"/>
      <w:pPr>
        <w:tabs>
          <w:tab w:val="num" w:pos="2046"/>
        </w:tabs>
        <w:ind w:left="2046" w:hanging="360"/>
      </w:pPr>
    </w:lvl>
    <w:lvl w:ilvl="5" w:tplc="0C09001B" w:tentative="1">
      <w:start w:val="1"/>
      <w:numFmt w:val="lowerRoman"/>
      <w:lvlText w:val="%6."/>
      <w:lvlJc w:val="right"/>
      <w:pPr>
        <w:tabs>
          <w:tab w:val="num" w:pos="2766"/>
        </w:tabs>
        <w:ind w:left="2766" w:hanging="180"/>
      </w:pPr>
    </w:lvl>
    <w:lvl w:ilvl="6" w:tplc="0C09000F" w:tentative="1">
      <w:start w:val="1"/>
      <w:numFmt w:val="decimal"/>
      <w:lvlText w:val="%7."/>
      <w:lvlJc w:val="left"/>
      <w:pPr>
        <w:tabs>
          <w:tab w:val="num" w:pos="3486"/>
        </w:tabs>
        <w:ind w:left="3486" w:hanging="360"/>
      </w:pPr>
    </w:lvl>
    <w:lvl w:ilvl="7" w:tplc="0C090019" w:tentative="1">
      <w:start w:val="1"/>
      <w:numFmt w:val="lowerLetter"/>
      <w:lvlText w:val="%8."/>
      <w:lvlJc w:val="left"/>
      <w:pPr>
        <w:tabs>
          <w:tab w:val="num" w:pos="4206"/>
        </w:tabs>
        <w:ind w:left="4206" w:hanging="360"/>
      </w:pPr>
    </w:lvl>
    <w:lvl w:ilvl="8" w:tplc="0C09001B" w:tentative="1">
      <w:start w:val="1"/>
      <w:numFmt w:val="lowerRoman"/>
      <w:lvlText w:val="%9."/>
      <w:lvlJc w:val="right"/>
      <w:pPr>
        <w:tabs>
          <w:tab w:val="num" w:pos="4926"/>
        </w:tabs>
        <w:ind w:left="4926" w:hanging="180"/>
      </w:pPr>
    </w:lvl>
  </w:abstractNum>
  <w:abstractNum w:abstractNumId="20" w15:restartNumberingAfterBreak="0">
    <w:nsid w:val="70FA7EDB"/>
    <w:multiLevelType w:val="hybridMultilevel"/>
    <w:tmpl w:val="EB7A620A"/>
    <w:lvl w:ilvl="0" w:tplc="32484974">
      <w:start w:val="1"/>
      <w:numFmt w:val="decimal"/>
      <w:lvlText w:val="(%1)"/>
      <w:lvlJc w:val="left"/>
      <w:pPr>
        <w:tabs>
          <w:tab w:val="num" w:pos="2340"/>
        </w:tabs>
        <w:ind w:left="23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C436866"/>
    <w:multiLevelType w:val="hybridMultilevel"/>
    <w:tmpl w:val="A134B7EA"/>
    <w:lvl w:ilvl="0" w:tplc="785CC00A">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949"/>
        </w:tabs>
        <w:ind w:left="-949" w:hanging="360"/>
      </w:pPr>
    </w:lvl>
    <w:lvl w:ilvl="2" w:tplc="0C09001B" w:tentative="1">
      <w:start w:val="1"/>
      <w:numFmt w:val="lowerRoman"/>
      <w:lvlText w:val="%3."/>
      <w:lvlJc w:val="right"/>
      <w:pPr>
        <w:tabs>
          <w:tab w:val="num" w:pos="-229"/>
        </w:tabs>
        <w:ind w:left="-229" w:hanging="180"/>
      </w:pPr>
    </w:lvl>
    <w:lvl w:ilvl="3" w:tplc="0C09000F" w:tentative="1">
      <w:start w:val="1"/>
      <w:numFmt w:val="decimal"/>
      <w:lvlText w:val="%4."/>
      <w:lvlJc w:val="left"/>
      <w:pPr>
        <w:tabs>
          <w:tab w:val="num" w:pos="491"/>
        </w:tabs>
        <w:ind w:left="491" w:hanging="360"/>
      </w:pPr>
    </w:lvl>
    <w:lvl w:ilvl="4" w:tplc="0C090019" w:tentative="1">
      <w:start w:val="1"/>
      <w:numFmt w:val="lowerLetter"/>
      <w:lvlText w:val="%5."/>
      <w:lvlJc w:val="left"/>
      <w:pPr>
        <w:tabs>
          <w:tab w:val="num" w:pos="1211"/>
        </w:tabs>
        <w:ind w:left="1211" w:hanging="360"/>
      </w:pPr>
    </w:lvl>
    <w:lvl w:ilvl="5" w:tplc="0C09001B" w:tentative="1">
      <w:start w:val="1"/>
      <w:numFmt w:val="lowerRoman"/>
      <w:lvlText w:val="%6."/>
      <w:lvlJc w:val="right"/>
      <w:pPr>
        <w:tabs>
          <w:tab w:val="num" w:pos="1931"/>
        </w:tabs>
        <w:ind w:left="1931" w:hanging="180"/>
      </w:pPr>
    </w:lvl>
    <w:lvl w:ilvl="6" w:tplc="0C09000F" w:tentative="1">
      <w:start w:val="1"/>
      <w:numFmt w:val="decimal"/>
      <w:lvlText w:val="%7."/>
      <w:lvlJc w:val="left"/>
      <w:pPr>
        <w:tabs>
          <w:tab w:val="num" w:pos="2651"/>
        </w:tabs>
        <w:ind w:left="2651" w:hanging="360"/>
      </w:pPr>
    </w:lvl>
    <w:lvl w:ilvl="7" w:tplc="0C090019" w:tentative="1">
      <w:start w:val="1"/>
      <w:numFmt w:val="lowerLetter"/>
      <w:lvlText w:val="%8."/>
      <w:lvlJc w:val="left"/>
      <w:pPr>
        <w:tabs>
          <w:tab w:val="num" w:pos="3371"/>
        </w:tabs>
        <w:ind w:left="3371" w:hanging="360"/>
      </w:pPr>
    </w:lvl>
    <w:lvl w:ilvl="8" w:tplc="0C09001B" w:tentative="1">
      <w:start w:val="1"/>
      <w:numFmt w:val="lowerRoman"/>
      <w:lvlText w:val="%9."/>
      <w:lvlJc w:val="right"/>
      <w:pPr>
        <w:tabs>
          <w:tab w:val="num" w:pos="4091"/>
        </w:tabs>
        <w:ind w:left="4091" w:hanging="180"/>
      </w:pPr>
    </w:lvl>
  </w:abstractNum>
  <w:num w:numId="1">
    <w:abstractNumId w:val="13"/>
  </w:num>
  <w:num w:numId="2">
    <w:abstractNumId w:val="11"/>
  </w:num>
  <w:num w:numId="3">
    <w:abstractNumId w:val="12"/>
  </w:num>
  <w:num w:numId="4">
    <w:abstractNumId w:val="7"/>
  </w:num>
  <w:num w:numId="5">
    <w:abstractNumId w:val="20"/>
  </w:num>
  <w:num w:numId="6">
    <w:abstractNumId w:val="9"/>
  </w:num>
  <w:num w:numId="7">
    <w:abstractNumId w:val="4"/>
  </w:num>
  <w:num w:numId="8">
    <w:abstractNumId w:val="10"/>
  </w:num>
  <w:num w:numId="9">
    <w:abstractNumId w:val="8"/>
  </w:num>
  <w:num w:numId="10">
    <w:abstractNumId w:val="5"/>
  </w:num>
  <w:num w:numId="11">
    <w:abstractNumId w:val="17"/>
  </w:num>
  <w:num w:numId="12">
    <w:abstractNumId w:val="6"/>
  </w:num>
  <w:num w:numId="13">
    <w:abstractNumId w:val="0"/>
  </w:num>
  <w:num w:numId="14">
    <w:abstractNumId w:val="15"/>
  </w:num>
  <w:num w:numId="15">
    <w:abstractNumId w:val="2"/>
  </w:num>
  <w:num w:numId="16">
    <w:abstractNumId w:val="19"/>
  </w:num>
  <w:num w:numId="17">
    <w:abstractNumId w:val="21"/>
  </w:num>
  <w:num w:numId="18">
    <w:abstractNumId w:val="16"/>
  </w:num>
  <w:num w:numId="19">
    <w:abstractNumId w:val="18"/>
  </w:num>
  <w:num w:numId="20">
    <w:abstractNumId w:val="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469"/>
    <w:rsid w:val="000E4469"/>
    <w:rsid w:val="00110D1B"/>
    <w:rsid w:val="002D0E03"/>
    <w:rsid w:val="002F0E10"/>
    <w:rsid w:val="00792A2C"/>
    <w:rsid w:val="0080461C"/>
    <w:rsid w:val="00851B6B"/>
    <w:rsid w:val="008A266E"/>
    <w:rsid w:val="00D60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C7452CC-FD3B-49A6-B9C3-67B74C72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spacing w:before="600" w:after="120"/>
      <w:outlineLvl w:val="0"/>
    </w:pPr>
    <w:rPr>
      <w:rFonts w:ascii="Arial" w:hAnsi="Arial" w:cs="Arial"/>
      <w:b/>
      <w:color w:val="000000"/>
      <w:sz w:val="40"/>
      <w:szCs w:val="40"/>
    </w:rPr>
  </w:style>
  <w:style w:type="paragraph" w:styleId="Heading3">
    <w:name w:val="heading 3"/>
    <w:basedOn w:val="Normal"/>
    <w:next w:val="Normal"/>
    <w:qFormat/>
    <w:pPr>
      <w:keepNext/>
      <w:spacing w:before="120" w:after="60"/>
      <w:outlineLvl w:val="2"/>
    </w:pPr>
    <w:rPr>
      <w:rFonts w:ascii="Arial" w:hAnsi="Arial" w:cs="Arial"/>
      <w:b/>
      <w:bCs/>
      <w:color w:val="000000"/>
      <w:szCs w:val="26"/>
    </w:rPr>
  </w:style>
  <w:style w:type="paragraph" w:styleId="Heading4">
    <w:name w:val="heading 4"/>
    <w:basedOn w:val="Normal"/>
    <w:next w:val="Normal"/>
    <w:qFormat/>
    <w:pPr>
      <w:keepNext/>
      <w:spacing w:before="240" w:after="60"/>
      <w:outlineLvl w:val="3"/>
    </w:pPr>
    <w:rPr>
      <w:rFonts w:ascii="Arial" w:hAnsi="Arial" w:cs="Arial"/>
      <w:b/>
      <w:bCs/>
      <w:i/>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aNote">
    <w:name w:val="aNote"/>
    <w:basedOn w:val="Normal"/>
    <w:pPr>
      <w:spacing w:before="80" w:after="60"/>
      <w:ind w:left="1900" w:hanging="800"/>
      <w:jc w:val="both"/>
    </w:pPr>
    <w:rPr>
      <w:sz w:val="20"/>
    </w:rPr>
  </w:style>
  <w:style w:type="character" w:styleId="Hyperlink">
    <w:name w:val="Hyperlink"/>
    <w:basedOn w:val="DefaultParagraphFont"/>
    <w:rPr>
      <w:strike w:val="0"/>
      <w:dstrike w:val="0"/>
      <w:color w:val="333399"/>
      <w:u w:val="none"/>
      <w:effect w:val="none"/>
    </w:rPr>
  </w:style>
  <w:style w:type="paragraph" w:customStyle="1" w:styleId="AustralianCapitalTerritory">
    <w:name w:val="Australian Capital Territory"/>
    <w:basedOn w:val="Normal"/>
    <w:rPr>
      <w:rFonts w:ascii="Arial" w:hAnsi="Arial" w:cs="Arial"/>
      <w:color w:val="000000"/>
      <w:szCs w:val="24"/>
    </w:rPr>
  </w:style>
  <w:style w:type="paragraph" w:styleId="TOC1">
    <w:name w:val="toc 1"/>
    <w:basedOn w:val="Normal"/>
    <w:next w:val="Normal"/>
    <w:autoRedefine/>
    <w:semiHidden/>
    <w:pPr>
      <w:spacing w:before="360"/>
    </w:pPr>
    <w:rPr>
      <w:rFonts w:ascii="Arial" w:hAnsi="Arial" w:cs="Arial"/>
      <w:b/>
      <w:bCs/>
      <w:caps/>
      <w:szCs w:val="24"/>
    </w:rPr>
  </w:style>
  <w:style w:type="paragraph" w:styleId="TOC3">
    <w:name w:val="toc 3"/>
    <w:basedOn w:val="Normal"/>
    <w:next w:val="Normal"/>
    <w:autoRedefine/>
    <w:semiHidden/>
    <w:pPr>
      <w:ind w:left="240"/>
    </w:pPr>
    <w:rPr>
      <w:sz w:val="20"/>
    </w:rPr>
  </w:style>
  <w:style w:type="paragraph" w:customStyle="1" w:styleId="N-9pt">
    <w:name w:val="N-9pt"/>
    <w:basedOn w:val="Normal"/>
    <w:next w:val="Normal"/>
    <w:pPr>
      <w:keepNext/>
      <w:tabs>
        <w:tab w:val="right" w:pos="7707"/>
      </w:tabs>
      <w:spacing w:before="120" w:after="20"/>
      <w:jc w:val="both"/>
    </w:pPr>
    <w:rPr>
      <w:rFonts w:ascii="Arial" w:hAnsi="Arial"/>
      <w:sz w:val="18"/>
    </w:rPr>
  </w:style>
  <w:style w:type="paragraph" w:customStyle="1" w:styleId="N-TOCheading">
    <w:name w:val="N-TOCheading"/>
    <w:basedOn w:val="Normal"/>
    <w:next w:val="N-9pt"/>
    <w:pPr>
      <w:keepNext/>
      <w:pBdr>
        <w:bottom w:val="single" w:sz="4" w:space="1" w:color="auto"/>
      </w:pBdr>
      <w:tabs>
        <w:tab w:val="left" w:pos="2600"/>
      </w:tabs>
      <w:spacing w:before="800" w:after="20"/>
    </w:pPr>
    <w:rPr>
      <w:rFonts w:ascii="Arial" w:hAnsi="Arial"/>
      <w:b/>
      <w:sz w:val="32"/>
    </w:rPr>
  </w:style>
  <w:style w:type="character" w:customStyle="1" w:styleId="charContents">
    <w:name w:val="charContents"/>
    <w:basedOn w:val="DefaultParagraphFont"/>
    <w:rPr>
      <w:rFonts w:cs="Times New Roman"/>
    </w:rPr>
  </w:style>
  <w:style w:type="character" w:customStyle="1" w:styleId="charPage">
    <w:name w:val="charPage"/>
    <w:basedOn w:val="DefaultParagraphFont"/>
    <w:rPr>
      <w:rFonts w:cs="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charItals">
    <w:name w:val="charItals"/>
    <w:basedOn w:val="DefaultParagraphFont"/>
    <w:rPr>
      <w:rFonts w:cs="Times New Roman"/>
      <w:i/>
    </w:rPr>
  </w:style>
  <w:style w:type="paragraph" w:customStyle="1" w:styleId="aNotepar">
    <w:name w:val="aNotepar"/>
    <w:basedOn w:val="Normal"/>
    <w:next w:val="Normal"/>
    <w:pPr>
      <w:spacing w:before="80" w:after="60"/>
      <w:ind w:left="2400" w:hanging="800"/>
      <w:jc w:val="both"/>
    </w:pPr>
    <w:rPr>
      <w:rFonts w:ascii="Times New (W1)" w:hAnsi="Times New (W1)"/>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3117</Words>
  <Characters>15343</Characters>
  <Application>Microsoft Office Word</Application>
  <DocSecurity>0</DocSecurity>
  <Lines>466</Lines>
  <Paragraphs>171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18288</CharactersWithSpaces>
  <SharedDoc>false</SharedDoc>
  <HLinks>
    <vt:vector size="138" baseType="variant">
      <vt:variant>
        <vt:i4>1310769</vt:i4>
      </vt:variant>
      <vt:variant>
        <vt:i4>134</vt:i4>
      </vt:variant>
      <vt:variant>
        <vt:i4>0</vt:i4>
      </vt:variant>
      <vt:variant>
        <vt:i4>5</vt:i4>
      </vt:variant>
      <vt:variant>
        <vt:lpwstr/>
      </vt:variant>
      <vt:variant>
        <vt:lpwstr>_Toc271621036</vt:lpwstr>
      </vt:variant>
      <vt:variant>
        <vt:i4>1310769</vt:i4>
      </vt:variant>
      <vt:variant>
        <vt:i4>128</vt:i4>
      </vt:variant>
      <vt:variant>
        <vt:i4>0</vt:i4>
      </vt:variant>
      <vt:variant>
        <vt:i4>5</vt:i4>
      </vt:variant>
      <vt:variant>
        <vt:lpwstr/>
      </vt:variant>
      <vt:variant>
        <vt:lpwstr>_Toc271621035</vt:lpwstr>
      </vt:variant>
      <vt:variant>
        <vt:i4>1310769</vt:i4>
      </vt:variant>
      <vt:variant>
        <vt:i4>122</vt:i4>
      </vt:variant>
      <vt:variant>
        <vt:i4>0</vt:i4>
      </vt:variant>
      <vt:variant>
        <vt:i4>5</vt:i4>
      </vt:variant>
      <vt:variant>
        <vt:lpwstr/>
      </vt:variant>
      <vt:variant>
        <vt:lpwstr>_Toc271621034</vt:lpwstr>
      </vt:variant>
      <vt:variant>
        <vt:i4>1310769</vt:i4>
      </vt:variant>
      <vt:variant>
        <vt:i4>116</vt:i4>
      </vt:variant>
      <vt:variant>
        <vt:i4>0</vt:i4>
      </vt:variant>
      <vt:variant>
        <vt:i4>5</vt:i4>
      </vt:variant>
      <vt:variant>
        <vt:lpwstr/>
      </vt:variant>
      <vt:variant>
        <vt:lpwstr>_Toc271621033</vt:lpwstr>
      </vt:variant>
      <vt:variant>
        <vt:i4>1310769</vt:i4>
      </vt:variant>
      <vt:variant>
        <vt:i4>110</vt:i4>
      </vt:variant>
      <vt:variant>
        <vt:i4>0</vt:i4>
      </vt:variant>
      <vt:variant>
        <vt:i4>5</vt:i4>
      </vt:variant>
      <vt:variant>
        <vt:lpwstr/>
      </vt:variant>
      <vt:variant>
        <vt:lpwstr>_Toc271621032</vt:lpwstr>
      </vt:variant>
      <vt:variant>
        <vt:i4>1310769</vt:i4>
      </vt:variant>
      <vt:variant>
        <vt:i4>104</vt:i4>
      </vt:variant>
      <vt:variant>
        <vt:i4>0</vt:i4>
      </vt:variant>
      <vt:variant>
        <vt:i4>5</vt:i4>
      </vt:variant>
      <vt:variant>
        <vt:lpwstr/>
      </vt:variant>
      <vt:variant>
        <vt:lpwstr>_Toc271621031</vt:lpwstr>
      </vt:variant>
      <vt:variant>
        <vt:i4>1310769</vt:i4>
      </vt:variant>
      <vt:variant>
        <vt:i4>98</vt:i4>
      </vt:variant>
      <vt:variant>
        <vt:i4>0</vt:i4>
      </vt:variant>
      <vt:variant>
        <vt:i4>5</vt:i4>
      </vt:variant>
      <vt:variant>
        <vt:lpwstr/>
      </vt:variant>
      <vt:variant>
        <vt:lpwstr>_Toc271621030</vt:lpwstr>
      </vt:variant>
      <vt:variant>
        <vt:i4>1376305</vt:i4>
      </vt:variant>
      <vt:variant>
        <vt:i4>92</vt:i4>
      </vt:variant>
      <vt:variant>
        <vt:i4>0</vt:i4>
      </vt:variant>
      <vt:variant>
        <vt:i4>5</vt:i4>
      </vt:variant>
      <vt:variant>
        <vt:lpwstr/>
      </vt:variant>
      <vt:variant>
        <vt:lpwstr>_Toc271621029</vt:lpwstr>
      </vt:variant>
      <vt:variant>
        <vt:i4>1376305</vt:i4>
      </vt:variant>
      <vt:variant>
        <vt:i4>86</vt:i4>
      </vt:variant>
      <vt:variant>
        <vt:i4>0</vt:i4>
      </vt:variant>
      <vt:variant>
        <vt:i4>5</vt:i4>
      </vt:variant>
      <vt:variant>
        <vt:lpwstr/>
      </vt:variant>
      <vt:variant>
        <vt:lpwstr>_Toc271621028</vt:lpwstr>
      </vt:variant>
      <vt:variant>
        <vt:i4>1376305</vt:i4>
      </vt:variant>
      <vt:variant>
        <vt:i4>80</vt:i4>
      </vt:variant>
      <vt:variant>
        <vt:i4>0</vt:i4>
      </vt:variant>
      <vt:variant>
        <vt:i4>5</vt:i4>
      </vt:variant>
      <vt:variant>
        <vt:lpwstr/>
      </vt:variant>
      <vt:variant>
        <vt:lpwstr>_Toc271621027</vt:lpwstr>
      </vt:variant>
      <vt:variant>
        <vt:i4>1376305</vt:i4>
      </vt:variant>
      <vt:variant>
        <vt:i4>74</vt:i4>
      </vt:variant>
      <vt:variant>
        <vt:i4>0</vt:i4>
      </vt:variant>
      <vt:variant>
        <vt:i4>5</vt:i4>
      </vt:variant>
      <vt:variant>
        <vt:lpwstr/>
      </vt:variant>
      <vt:variant>
        <vt:lpwstr>_Toc271621026</vt:lpwstr>
      </vt:variant>
      <vt:variant>
        <vt:i4>1376305</vt:i4>
      </vt:variant>
      <vt:variant>
        <vt:i4>68</vt:i4>
      </vt:variant>
      <vt:variant>
        <vt:i4>0</vt:i4>
      </vt:variant>
      <vt:variant>
        <vt:i4>5</vt:i4>
      </vt:variant>
      <vt:variant>
        <vt:lpwstr/>
      </vt:variant>
      <vt:variant>
        <vt:lpwstr>_Toc271621025</vt:lpwstr>
      </vt:variant>
      <vt:variant>
        <vt:i4>1376305</vt:i4>
      </vt:variant>
      <vt:variant>
        <vt:i4>62</vt:i4>
      </vt:variant>
      <vt:variant>
        <vt:i4>0</vt:i4>
      </vt:variant>
      <vt:variant>
        <vt:i4>5</vt:i4>
      </vt:variant>
      <vt:variant>
        <vt:lpwstr/>
      </vt:variant>
      <vt:variant>
        <vt:lpwstr>_Toc271621024</vt:lpwstr>
      </vt:variant>
      <vt:variant>
        <vt:i4>1376305</vt:i4>
      </vt:variant>
      <vt:variant>
        <vt:i4>56</vt:i4>
      </vt:variant>
      <vt:variant>
        <vt:i4>0</vt:i4>
      </vt:variant>
      <vt:variant>
        <vt:i4>5</vt:i4>
      </vt:variant>
      <vt:variant>
        <vt:lpwstr/>
      </vt:variant>
      <vt:variant>
        <vt:lpwstr>_Toc271621023</vt:lpwstr>
      </vt:variant>
      <vt:variant>
        <vt:i4>1376305</vt:i4>
      </vt:variant>
      <vt:variant>
        <vt:i4>50</vt:i4>
      </vt:variant>
      <vt:variant>
        <vt:i4>0</vt:i4>
      </vt:variant>
      <vt:variant>
        <vt:i4>5</vt:i4>
      </vt:variant>
      <vt:variant>
        <vt:lpwstr/>
      </vt:variant>
      <vt:variant>
        <vt:lpwstr>_Toc271621022</vt:lpwstr>
      </vt:variant>
      <vt:variant>
        <vt:i4>1376305</vt:i4>
      </vt:variant>
      <vt:variant>
        <vt:i4>44</vt:i4>
      </vt:variant>
      <vt:variant>
        <vt:i4>0</vt:i4>
      </vt:variant>
      <vt:variant>
        <vt:i4>5</vt:i4>
      </vt:variant>
      <vt:variant>
        <vt:lpwstr/>
      </vt:variant>
      <vt:variant>
        <vt:lpwstr>_Toc271621021</vt:lpwstr>
      </vt:variant>
      <vt:variant>
        <vt:i4>1376305</vt:i4>
      </vt:variant>
      <vt:variant>
        <vt:i4>38</vt:i4>
      </vt:variant>
      <vt:variant>
        <vt:i4>0</vt:i4>
      </vt:variant>
      <vt:variant>
        <vt:i4>5</vt:i4>
      </vt:variant>
      <vt:variant>
        <vt:lpwstr/>
      </vt:variant>
      <vt:variant>
        <vt:lpwstr>_Toc271621020</vt:lpwstr>
      </vt:variant>
      <vt:variant>
        <vt:i4>1441841</vt:i4>
      </vt:variant>
      <vt:variant>
        <vt:i4>32</vt:i4>
      </vt:variant>
      <vt:variant>
        <vt:i4>0</vt:i4>
      </vt:variant>
      <vt:variant>
        <vt:i4>5</vt:i4>
      </vt:variant>
      <vt:variant>
        <vt:lpwstr/>
      </vt:variant>
      <vt:variant>
        <vt:lpwstr>_Toc271621019</vt:lpwstr>
      </vt:variant>
      <vt:variant>
        <vt:i4>1441841</vt:i4>
      </vt:variant>
      <vt:variant>
        <vt:i4>26</vt:i4>
      </vt:variant>
      <vt:variant>
        <vt:i4>0</vt:i4>
      </vt:variant>
      <vt:variant>
        <vt:i4>5</vt:i4>
      </vt:variant>
      <vt:variant>
        <vt:lpwstr/>
      </vt:variant>
      <vt:variant>
        <vt:lpwstr>_Toc271621018</vt:lpwstr>
      </vt:variant>
      <vt:variant>
        <vt:i4>1441841</vt:i4>
      </vt:variant>
      <vt:variant>
        <vt:i4>20</vt:i4>
      </vt:variant>
      <vt:variant>
        <vt:i4>0</vt:i4>
      </vt:variant>
      <vt:variant>
        <vt:i4>5</vt:i4>
      </vt:variant>
      <vt:variant>
        <vt:lpwstr/>
      </vt:variant>
      <vt:variant>
        <vt:lpwstr>_Toc271621017</vt:lpwstr>
      </vt:variant>
      <vt:variant>
        <vt:i4>1441841</vt:i4>
      </vt:variant>
      <vt:variant>
        <vt:i4>14</vt:i4>
      </vt:variant>
      <vt:variant>
        <vt:i4>0</vt:i4>
      </vt:variant>
      <vt:variant>
        <vt:i4>5</vt:i4>
      </vt:variant>
      <vt:variant>
        <vt:lpwstr/>
      </vt:variant>
      <vt:variant>
        <vt:lpwstr>_Toc271621016</vt:lpwstr>
      </vt:variant>
      <vt:variant>
        <vt:i4>1441841</vt:i4>
      </vt:variant>
      <vt:variant>
        <vt:i4>8</vt:i4>
      </vt:variant>
      <vt:variant>
        <vt:i4>0</vt:i4>
      </vt:variant>
      <vt:variant>
        <vt:i4>5</vt:i4>
      </vt:variant>
      <vt:variant>
        <vt:lpwstr/>
      </vt:variant>
      <vt:variant>
        <vt:lpwstr>_Toc271621015</vt:lpwstr>
      </vt:variant>
      <vt:variant>
        <vt:i4>1441841</vt:i4>
      </vt:variant>
      <vt:variant>
        <vt:i4>2</vt:i4>
      </vt:variant>
      <vt:variant>
        <vt:i4>0</vt:i4>
      </vt:variant>
      <vt:variant>
        <vt:i4>5</vt:i4>
      </vt:variant>
      <vt:variant>
        <vt:lpwstr/>
      </vt:variant>
      <vt:variant>
        <vt:lpwstr>_Toc271621014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2010-09-13T01:48:00Z</cp:lastPrinted>
  <dcterms:created xsi:type="dcterms:W3CDTF">2018-10-19T02:08:00Z</dcterms:created>
  <dcterms:modified xsi:type="dcterms:W3CDTF">2018-10-19T02:08:00Z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A5838855</vt:lpwstr>
  </property>
  <property fmtid="{D5CDD505-2E9C-101B-9397-08002B2CF9AE}" pid="3" name="Objective-Title">
    <vt:lpwstr>code of practice site assessment - edited 11/10/2010</vt:lpwstr>
  </property>
  <property fmtid="{D5CDD505-2E9C-101B-9397-08002B2CF9AE}" pid="4" name="Objective-Comment">
    <vt:lpwstr> </vt:lpwstr>
  </property>
  <property fmtid="{D5CDD505-2E9C-101B-9397-08002B2CF9AE}" pid="5" name="Objective-CreationStamp">
    <vt:filetime>2010-09-10T01:43:54Z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2010-10-11T05:10:13Z</vt:filetime>
  </property>
  <property fmtid="{D5CDD505-2E9C-101B-9397-08002B2CF9AE}" pid="9" name="Objective-ModificationStamp">
    <vt:filetime>2010-10-11T05:10:13Z</vt:filetime>
  </property>
  <property fmtid="{D5CDD505-2E9C-101B-9397-08002B2CF9AE}" pid="10" name="Objective-Owner">
    <vt:lpwstr>Sherridan Steele</vt:lpwstr>
  </property>
  <property fmtid="{D5CDD505-2E9C-101B-9397-08002B2CF9AE}" pid="11" name="Objective-Path">
    <vt:lpwstr>Whole of ACT Government:ACTPLA:BRANCH - Client Services:LEGISLATION TEAM:New Structure:Legislation Development:2010 Autumn Legislation Program:Regulations and other instruments:Tabled:2010:COLA Reforms:COLA -  Part 1 - Unit Title Reforms - Locke/Steele:Un</vt:lpwstr>
  </property>
  <property fmtid="{D5CDD505-2E9C-101B-9397-08002B2CF9AE}" pid="12" name="Objective-Parent">
    <vt:lpwstr>Final</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i4>5</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