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9D" w:rsidRDefault="00E74C9D">
      <w:pPr>
        <w:pStyle w:val="Title"/>
      </w:pPr>
      <w:bookmarkStart w:id="0" w:name="_GoBack"/>
      <w:bookmarkEnd w:id="0"/>
    </w:p>
    <w:p w:rsidR="00E74C9D" w:rsidRDefault="00E74C9D">
      <w:pPr>
        <w:pStyle w:val="Title"/>
        <w:jc w:val="left"/>
        <w:rPr>
          <w:b w:val="0"/>
          <w:bCs w:val="0"/>
          <w:sz w:val="20"/>
        </w:rPr>
      </w:pPr>
      <w:r>
        <w:rPr>
          <w:b w:val="0"/>
          <w:bCs w:val="0"/>
          <w:sz w:val="20"/>
        </w:rPr>
        <w:t>Australian Capital Territory</w:t>
      </w:r>
    </w:p>
    <w:p w:rsidR="00E74C9D" w:rsidRDefault="00E74C9D">
      <w:pPr>
        <w:spacing w:after="120"/>
        <w:jc w:val="center"/>
        <w:rPr>
          <w:rFonts w:ascii="Arial" w:hAnsi="Arial"/>
        </w:rPr>
      </w:pPr>
    </w:p>
    <w:p w:rsidR="00E74C9D" w:rsidRDefault="00E74C9D">
      <w:pPr>
        <w:pStyle w:val="Billname"/>
        <w:spacing w:before="120" w:after="120"/>
        <w:rPr>
          <w:sz w:val="30"/>
        </w:rPr>
      </w:pPr>
      <w:r>
        <w:rPr>
          <w:sz w:val="30"/>
        </w:rPr>
        <w:t>Electoral (</w:t>
      </w:r>
      <w:r w:rsidR="001D346A">
        <w:rPr>
          <w:sz w:val="30"/>
        </w:rPr>
        <w:t xml:space="preserve">Proposed </w:t>
      </w:r>
      <w:r w:rsidR="00E60803">
        <w:rPr>
          <w:sz w:val="30"/>
        </w:rPr>
        <w:t>r</w:t>
      </w:r>
      <w:r w:rsidR="001D346A">
        <w:rPr>
          <w:sz w:val="30"/>
        </w:rPr>
        <w:t xml:space="preserve">edistribution of </w:t>
      </w:r>
      <w:r w:rsidR="00E60803">
        <w:rPr>
          <w:sz w:val="30"/>
        </w:rPr>
        <w:t>e</w:t>
      </w:r>
      <w:r>
        <w:rPr>
          <w:sz w:val="30"/>
        </w:rPr>
        <w:t xml:space="preserve">lectoral </w:t>
      </w:r>
      <w:r w:rsidR="00E60803">
        <w:rPr>
          <w:sz w:val="30"/>
        </w:rPr>
        <w:t>b</w:t>
      </w:r>
      <w:r>
        <w:rPr>
          <w:sz w:val="30"/>
        </w:rPr>
        <w:t xml:space="preserve">oundaries </w:t>
      </w:r>
      <w:r w:rsidR="001D346A">
        <w:rPr>
          <w:sz w:val="30"/>
        </w:rPr>
        <w:t>for the ACT Legislative Assembly</w:t>
      </w:r>
      <w:r>
        <w:rPr>
          <w:sz w:val="30"/>
        </w:rPr>
        <w:t>) Notice 2011</w:t>
      </w:r>
    </w:p>
    <w:p w:rsidR="00E74C9D" w:rsidRDefault="00E74C9D">
      <w:pPr>
        <w:pStyle w:val="Billname"/>
        <w:spacing w:before="120" w:after="120"/>
        <w:rPr>
          <w:sz w:val="32"/>
        </w:rPr>
      </w:pPr>
    </w:p>
    <w:p w:rsidR="00E74C9D" w:rsidRDefault="00E74C9D">
      <w:pPr>
        <w:spacing w:before="240" w:after="60"/>
        <w:rPr>
          <w:rFonts w:ascii="Arial" w:hAnsi="Arial"/>
          <w:b/>
          <w:vertAlign w:val="superscript"/>
        </w:rPr>
      </w:pPr>
      <w:r>
        <w:rPr>
          <w:rFonts w:ascii="Arial" w:hAnsi="Arial"/>
          <w:b/>
        </w:rPr>
        <w:t>Notifiable instrument NI 2011 —</w:t>
      </w:r>
      <w:r w:rsidR="004F0526">
        <w:rPr>
          <w:rFonts w:ascii="Arial" w:hAnsi="Arial"/>
          <w:b/>
        </w:rPr>
        <w:t>223</w:t>
      </w:r>
    </w:p>
    <w:p w:rsidR="00E74C9D" w:rsidRDefault="00E74C9D">
      <w:pPr>
        <w:pStyle w:val="madeunder"/>
      </w:pPr>
      <w:r>
        <w:t>made under the</w:t>
      </w:r>
    </w:p>
    <w:p w:rsidR="00E74C9D" w:rsidRDefault="00E74C9D">
      <w:pPr>
        <w:pStyle w:val="CoverActName"/>
        <w:rPr>
          <w:rFonts w:ascii="Times New Roman" w:hAnsi="Times New Roman"/>
          <w:vertAlign w:val="superscript"/>
        </w:rPr>
      </w:pPr>
      <w:r>
        <w:rPr>
          <w:rFonts w:ascii="Times New Roman" w:hAnsi="Times New Roman"/>
          <w:i/>
        </w:rPr>
        <w:t>Electoral Act 1992</w:t>
      </w:r>
      <w:r w:rsidR="001D346A">
        <w:rPr>
          <w:rFonts w:ascii="Times New Roman" w:hAnsi="Times New Roman"/>
        </w:rPr>
        <w:t>, s 44</w:t>
      </w:r>
      <w:r>
        <w:rPr>
          <w:rFonts w:ascii="Times New Roman" w:hAnsi="Times New Roman"/>
        </w:rPr>
        <w:t xml:space="preserve"> (</w:t>
      </w:r>
      <w:r w:rsidR="001D346A">
        <w:rPr>
          <w:rFonts w:ascii="Times New Roman" w:hAnsi="Times New Roman"/>
        </w:rPr>
        <w:t>Notification</w:t>
      </w:r>
      <w:r>
        <w:rPr>
          <w:rFonts w:ascii="Times New Roman" w:hAnsi="Times New Roman"/>
        </w:rPr>
        <w:t xml:space="preserve"> and </w:t>
      </w:r>
      <w:r w:rsidR="001D346A">
        <w:rPr>
          <w:rFonts w:ascii="Times New Roman" w:hAnsi="Times New Roman"/>
        </w:rPr>
        <w:t>publication of proposal</w:t>
      </w:r>
      <w:r>
        <w:rPr>
          <w:rFonts w:ascii="Times New Roman" w:hAnsi="Times New Roman"/>
        </w:rPr>
        <w:t>)</w:t>
      </w:r>
    </w:p>
    <w:p w:rsidR="00E74C9D" w:rsidRDefault="00E74C9D">
      <w:pPr>
        <w:pStyle w:val="N-line3"/>
        <w:pBdr>
          <w:bottom w:val="none" w:sz="0" w:space="0" w:color="auto"/>
        </w:pBdr>
      </w:pPr>
    </w:p>
    <w:p w:rsidR="00E74C9D" w:rsidRDefault="00E74C9D">
      <w:pPr>
        <w:pStyle w:val="N-line3"/>
        <w:pBdr>
          <w:top w:val="single" w:sz="12" w:space="1" w:color="auto"/>
          <w:bottom w:val="none" w:sz="0" w:space="0" w:color="auto"/>
        </w:pBdr>
        <w:spacing w:after="120"/>
      </w:pPr>
    </w:p>
    <w:p w:rsidR="00E60803" w:rsidRPr="00F349F4" w:rsidRDefault="00E60803" w:rsidP="00E60803">
      <w:pPr>
        <w:pStyle w:val="AH5Sec"/>
        <w:rPr>
          <w:snapToGrid w:val="0"/>
        </w:rPr>
      </w:pPr>
      <w:r w:rsidRPr="00F349F4">
        <w:rPr>
          <w:snapToGrid w:val="0"/>
        </w:rPr>
        <w:t>Name of instrument</w:t>
      </w:r>
    </w:p>
    <w:p w:rsidR="00E60803" w:rsidRDefault="00E60803" w:rsidP="00E60803">
      <w:pPr>
        <w:pStyle w:val="Amainreturn"/>
        <w:jc w:val="left"/>
        <w:rPr>
          <w:snapToGrid w:val="0"/>
        </w:rPr>
      </w:pPr>
      <w:r w:rsidRPr="00F349F4">
        <w:rPr>
          <w:snapToGrid w:val="0"/>
        </w:rPr>
        <w:t xml:space="preserve">This instrument is the </w:t>
      </w:r>
      <w:r w:rsidRPr="00F349F4">
        <w:rPr>
          <w:i/>
          <w:snapToGrid w:val="0"/>
        </w:rPr>
        <w:t>Electoral (</w:t>
      </w:r>
      <w:r>
        <w:rPr>
          <w:i/>
          <w:snapToGrid w:val="0"/>
        </w:rPr>
        <w:t>Proposed r</w:t>
      </w:r>
      <w:r w:rsidRPr="00F349F4">
        <w:rPr>
          <w:i/>
          <w:snapToGrid w:val="0"/>
        </w:rPr>
        <w:t xml:space="preserve">edistribution </w:t>
      </w:r>
      <w:r>
        <w:rPr>
          <w:i/>
          <w:snapToGrid w:val="0"/>
        </w:rPr>
        <w:t>of electoral boundaries</w:t>
      </w:r>
      <w:r w:rsidRPr="00F349F4">
        <w:rPr>
          <w:i/>
          <w:snapToGrid w:val="0"/>
        </w:rPr>
        <w:t>) Notice 2011</w:t>
      </w:r>
      <w:r w:rsidRPr="00F349F4">
        <w:rPr>
          <w:snapToGrid w:val="0"/>
        </w:rPr>
        <w:t>.</w:t>
      </w:r>
    </w:p>
    <w:p w:rsidR="00E6780F" w:rsidRPr="00F349F4" w:rsidRDefault="00E6780F" w:rsidP="00E60803">
      <w:pPr>
        <w:pStyle w:val="Amainreturn"/>
        <w:jc w:val="left"/>
        <w:rPr>
          <w:snapToGrid w:val="0"/>
        </w:rPr>
      </w:pPr>
    </w:p>
    <w:p w:rsidR="00E60803" w:rsidRPr="00F349F4" w:rsidRDefault="00E60803" w:rsidP="00E60803">
      <w:pPr>
        <w:pStyle w:val="AH5Sec"/>
        <w:rPr>
          <w:snapToGrid w:val="0"/>
        </w:rPr>
      </w:pPr>
      <w:r w:rsidRPr="00F349F4">
        <w:rPr>
          <w:snapToGrid w:val="0"/>
        </w:rPr>
        <w:t xml:space="preserve">Commencement </w:t>
      </w:r>
    </w:p>
    <w:p w:rsidR="00E60803" w:rsidRDefault="00E60803" w:rsidP="00E60803">
      <w:pPr>
        <w:pStyle w:val="Amainreturn"/>
        <w:jc w:val="left"/>
        <w:rPr>
          <w:snapToGrid w:val="0"/>
        </w:rPr>
      </w:pPr>
      <w:r w:rsidRPr="00F349F4">
        <w:rPr>
          <w:snapToGrid w:val="0"/>
        </w:rPr>
        <w:t xml:space="preserve">This instrument commences on the day after it is notified. </w:t>
      </w:r>
    </w:p>
    <w:p w:rsidR="00E6780F" w:rsidRPr="00F349F4" w:rsidRDefault="00E6780F" w:rsidP="00E60803">
      <w:pPr>
        <w:pStyle w:val="Amainreturn"/>
        <w:jc w:val="left"/>
        <w:rPr>
          <w:snapToGrid w:val="0"/>
        </w:rPr>
      </w:pPr>
    </w:p>
    <w:p w:rsidR="00E74C9D" w:rsidRPr="00E60803" w:rsidRDefault="00966D32" w:rsidP="00E60803">
      <w:pPr>
        <w:pStyle w:val="AH5Sec"/>
        <w:rPr>
          <w:snapToGrid w:val="0"/>
        </w:rPr>
      </w:pPr>
      <w:r>
        <w:rPr>
          <w:snapToGrid w:val="0"/>
        </w:rPr>
        <w:t>P</w:t>
      </w:r>
      <w:r w:rsidR="001D346A" w:rsidRPr="00E60803">
        <w:rPr>
          <w:snapToGrid w:val="0"/>
        </w:rPr>
        <w:t xml:space="preserve">roposed </w:t>
      </w:r>
      <w:r w:rsidR="00E60803" w:rsidRPr="00E60803">
        <w:rPr>
          <w:snapToGrid w:val="0"/>
        </w:rPr>
        <w:t>r</w:t>
      </w:r>
      <w:r w:rsidR="003F37E4">
        <w:rPr>
          <w:snapToGrid w:val="0"/>
        </w:rPr>
        <w:t>edistribution of electoral b</w:t>
      </w:r>
      <w:r w:rsidR="001D346A" w:rsidRPr="00E60803">
        <w:rPr>
          <w:snapToGrid w:val="0"/>
        </w:rPr>
        <w:t>oundaries for the ACT Legislative Assembly</w:t>
      </w:r>
    </w:p>
    <w:p w:rsidR="001D346A" w:rsidRPr="00E60803" w:rsidRDefault="001D346A" w:rsidP="00E60803">
      <w:pPr>
        <w:pStyle w:val="Amainreturn"/>
        <w:jc w:val="left"/>
        <w:rPr>
          <w:snapToGrid w:val="0"/>
        </w:rPr>
      </w:pPr>
      <w:r w:rsidRPr="00E60803">
        <w:rPr>
          <w:snapToGrid w:val="0"/>
        </w:rPr>
        <w:t>The 2011 ACT Redistribution Committee has prepared a proposed redistribution of the ACT Legislative Assembly electoral boundaries.</w:t>
      </w:r>
    </w:p>
    <w:p w:rsidR="001D346A" w:rsidRDefault="001D346A" w:rsidP="00E60803">
      <w:pPr>
        <w:pStyle w:val="Amainreturn"/>
        <w:jc w:val="left"/>
        <w:rPr>
          <w:snapToGrid w:val="0"/>
        </w:rPr>
      </w:pPr>
      <w:r w:rsidRPr="00E60803">
        <w:rPr>
          <w:snapToGrid w:val="0"/>
        </w:rPr>
        <w:t>This notice shows a map of the proposed electorates.  Members of the public, political parties and other organisations may make objections to the proposed electoral boundaries to the ACT Electoral Commission.</w:t>
      </w:r>
    </w:p>
    <w:p w:rsidR="001D346A" w:rsidRPr="009E1FB6" w:rsidRDefault="001D346A" w:rsidP="009E1FB6">
      <w:pPr>
        <w:pStyle w:val="Heading4"/>
        <w:ind w:left="709"/>
        <w:rPr>
          <w:rFonts w:ascii="Times New Roman" w:hAnsi="Times New Roman"/>
          <w:sz w:val="24"/>
          <w:szCs w:val="24"/>
        </w:rPr>
      </w:pPr>
      <w:r w:rsidRPr="009E1FB6">
        <w:rPr>
          <w:rFonts w:ascii="Times New Roman" w:hAnsi="Times New Roman"/>
          <w:sz w:val="24"/>
          <w:szCs w:val="24"/>
        </w:rPr>
        <w:t>Proposed Redistribution</w:t>
      </w:r>
    </w:p>
    <w:p w:rsidR="001D346A" w:rsidRPr="00E60803" w:rsidRDefault="001D346A" w:rsidP="00E60803">
      <w:pPr>
        <w:pStyle w:val="Amainreturn"/>
        <w:jc w:val="left"/>
        <w:rPr>
          <w:snapToGrid w:val="0"/>
        </w:rPr>
      </w:pPr>
      <w:r w:rsidRPr="00E60803">
        <w:rPr>
          <w:snapToGrid w:val="0"/>
        </w:rPr>
        <w:t>The Committee proposes that the current electoral boundaries for the ACT Legislative Assembly be altered as follows:</w:t>
      </w:r>
    </w:p>
    <w:p w:rsidR="001D346A" w:rsidRPr="001D346A" w:rsidRDefault="001D346A" w:rsidP="00E6780F">
      <w:pPr>
        <w:pStyle w:val="Amainreturn"/>
        <w:numPr>
          <w:ilvl w:val="0"/>
          <w:numId w:val="4"/>
        </w:numPr>
        <w:tabs>
          <w:tab w:val="clear" w:pos="720"/>
          <w:tab w:val="num" w:pos="1134"/>
        </w:tabs>
        <w:ind w:left="1134" w:hanging="425"/>
        <w:rPr>
          <w:szCs w:val="24"/>
        </w:rPr>
      </w:pPr>
      <w:r w:rsidRPr="001D346A">
        <w:rPr>
          <w:szCs w:val="24"/>
        </w:rPr>
        <w:t>The suburbs of Palmerston and Crace be transferred from Molonglo to Ginninderra;</w:t>
      </w:r>
    </w:p>
    <w:p w:rsidR="001D346A" w:rsidRPr="001D346A" w:rsidRDefault="001D346A" w:rsidP="00E6780F">
      <w:pPr>
        <w:pStyle w:val="Amainreturn"/>
        <w:numPr>
          <w:ilvl w:val="0"/>
          <w:numId w:val="4"/>
        </w:numPr>
        <w:tabs>
          <w:tab w:val="clear" w:pos="720"/>
          <w:tab w:val="num" w:pos="709"/>
          <w:tab w:val="num" w:pos="1134"/>
        </w:tabs>
        <w:ind w:left="1134" w:hanging="425"/>
        <w:rPr>
          <w:szCs w:val="24"/>
        </w:rPr>
      </w:pPr>
      <w:r w:rsidRPr="001D346A">
        <w:rPr>
          <w:szCs w:val="24"/>
        </w:rPr>
        <w:t>The portion of the district of Gungahlin bounded by the suburbs of Palmerston and Crace and Barton Highway and Gungahlin Drive be transferred from Molonglo to Ginninderra; and</w:t>
      </w:r>
    </w:p>
    <w:p w:rsidR="001D346A" w:rsidRPr="001D346A" w:rsidRDefault="001D346A" w:rsidP="00E6780F">
      <w:pPr>
        <w:pStyle w:val="Amainreturn"/>
        <w:numPr>
          <w:ilvl w:val="0"/>
          <w:numId w:val="4"/>
        </w:numPr>
        <w:tabs>
          <w:tab w:val="clear" w:pos="720"/>
          <w:tab w:val="num" w:pos="1134"/>
        </w:tabs>
        <w:ind w:left="1134" w:hanging="425"/>
        <w:rPr>
          <w:szCs w:val="24"/>
        </w:rPr>
      </w:pPr>
      <w:r w:rsidRPr="001D346A">
        <w:rPr>
          <w:szCs w:val="24"/>
        </w:rPr>
        <w:t>The portion of the district of Molonglo Valley north of the Molonglo River be transferred from Ginninderra to Molonglo.</w:t>
      </w:r>
    </w:p>
    <w:p w:rsidR="001D346A" w:rsidRPr="00A20C0B" w:rsidRDefault="001D346A" w:rsidP="00E6780F">
      <w:pPr>
        <w:pStyle w:val="Amainreturn"/>
        <w:ind w:left="709"/>
        <w:rPr>
          <w:b/>
          <w:szCs w:val="24"/>
        </w:rPr>
      </w:pPr>
      <w:r w:rsidRPr="00A20C0B">
        <w:rPr>
          <w:b/>
          <w:szCs w:val="24"/>
        </w:rPr>
        <w:lastRenderedPageBreak/>
        <w:t>The proposed electorates are as follows:</w:t>
      </w:r>
    </w:p>
    <w:p w:rsidR="001D346A" w:rsidRPr="001D346A" w:rsidRDefault="001D346A" w:rsidP="00E6780F">
      <w:pPr>
        <w:pStyle w:val="Amainreturn"/>
        <w:ind w:left="709"/>
        <w:rPr>
          <w:szCs w:val="24"/>
        </w:rPr>
      </w:pPr>
      <w:r w:rsidRPr="00A20C0B">
        <w:rPr>
          <w:b/>
          <w:szCs w:val="24"/>
        </w:rPr>
        <w:t>BRINDABELLA</w:t>
      </w:r>
      <w:r w:rsidRPr="001D346A">
        <w:rPr>
          <w:szCs w:val="24"/>
        </w:rPr>
        <w:t>, a five member electorate comprising the district of Tuggeranong (excluding the suburb of Hume), the Woden Valley suburbs of Chifley, Farrer, Pearce and Torrens and the districts of Booth, Coree, Cotter River, Paddys River, Rendezvous Creek, Tennent and Mount Clear;</w:t>
      </w:r>
    </w:p>
    <w:p w:rsidR="001D346A" w:rsidRPr="001D346A" w:rsidRDefault="001D346A" w:rsidP="00E6780F">
      <w:pPr>
        <w:pStyle w:val="Amainreturn"/>
        <w:ind w:left="709"/>
        <w:rPr>
          <w:szCs w:val="24"/>
        </w:rPr>
      </w:pPr>
      <w:r w:rsidRPr="00A20C0B">
        <w:rPr>
          <w:b/>
          <w:szCs w:val="24"/>
        </w:rPr>
        <w:t>GINNINDERRA</w:t>
      </w:r>
      <w:r w:rsidRPr="001D346A">
        <w:rPr>
          <w:szCs w:val="24"/>
        </w:rPr>
        <w:t>, a five member electorate comprising the districts of Belconnen and Hall (including the entire village of Hall) and the Gungahlin suburbs of Crace, Nicholls and Palmerston; and</w:t>
      </w:r>
    </w:p>
    <w:p w:rsidR="001D346A" w:rsidRPr="001D346A" w:rsidRDefault="001D346A" w:rsidP="00E6780F">
      <w:pPr>
        <w:pStyle w:val="Amainreturn"/>
        <w:ind w:left="709"/>
        <w:rPr>
          <w:szCs w:val="24"/>
        </w:rPr>
      </w:pPr>
      <w:r w:rsidRPr="00A20C0B">
        <w:rPr>
          <w:b/>
          <w:szCs w:val="24"/>
        </w:rPr>
        <w:t>MOLONGLO</w:t>
      </w:r>
      <w:r w:rsidRPr="001D346A">
        <w:rPr>
          <w:szCs w:val="24"/>
        </w:rPr>
        <w:t>, a seven member electorate comprising the districts of Gungahlin (excluding the suburbs of Crace, Nicholls and Palmerston), Canberra Central, Molonglo Valley, Weston Creek, Woden Valley (excluding the suburbs of Chifley, Farrer, Pearce and Torrens), Jerrabomberra (including the entire suburb of Hume), Kowen, Majura, and Stromlo.</w:t>
      </w:r>
    </w:p>
    <w:p w:rsidR="001D346A" w:rsidRPr="001D346A" w:rsidRDefault="001D346A" w:rsidP="00E6780F">
      <w:pPr>
        <w:pStyle w:val="Amainreturn"/>
        <w:ind w:left="709"/>
        <w:rPr>
          <w:szCs w:val="24"/>
        </w:rPr>
      </w:pPr>
      <w:r w:rsidRPr="001D346A">
        <w:rPr>
          <w:szCs w:val="24"/>
        </w:rPr>
        <w:t xml:space="preserve">The redistribution is being carried out in accordance with the </w:t>
      </w:r>
      <w:r w:rsidRPr="001D346A">
        <w:rPr>
          <w:i/>
          <w:iCs/>
          <w:szCs w:val="24"/>
        </w:rPr>
        <w:t>Electoral Act 1992</w:t>
      </w:r>
      <w:r w:rsidRPr="001D346A">
        <w:rPr>
          <w:szCs w:val="24"/>
        </w:rPr>
        <w:t>.</w:t>
      </w:r>
    </w:p>
    <w:p w:rsidR="001D346A" w:rsidRPr="001D346A" w:rsidRDefault="001D346A" w:rsidP="00E6780F">
      <w:pPr>
        <w:pStyle w:val="Amainreturn"/>
        <w:ind w:left="709"/>
        <w:rPr>
          <w:szCs w:val="24"/>
        </w:rPr>
      </w:pPr>
      <w:r w:rsidRPr="001D346A">
        <w:rPr>
          <w:szCs w:val="24"/>
        </w:rPr>
        <w:t>More detailed information, including a statement by the Committee giving reasons for its proposed redistribution, a map showing the names and boundaries of the proposed electorates and a statistical summary showing the composition of each proposed electorate can be obtained from the office of the ACT Electoral Commission, or from the Commission’s</w:t>
      </w:r>
      <w:r>
        <w:rPr>
          <w:sz w:val="20"/>
        </w:rPr>
        <w:t xml:space="preserve"> </w:t>
      </w:r>
      <w:r w:rsidRPr="001D346A">
        <w:rPr>
          <w:szCs w:val="24"/>
        </w:rPr>
        <w:t>website at www.elections.act.gov.au.  Also available are copies of the suggestions provided to the Committee by members of the public.</w:t>
      </w:r>
    </w:p>
    <w:p w:rsidR="001D346A" w:rsidRPr="0041455A" w:rsidRDefault="001D346A" w:rsidP="00E6780F">
      <w:pPr>
        <w:pStyle w:val="Heading4"/>
        <w:ind w:left="709"/>
        <w:rPr>
          <w:rFonts w:ascii="Times New Roman" w:hAnsi="Times New Roman"/>
          <w:sz w:val="24"/>
          <w:szCs w:val="24"/>
        </w:rPr>
      </w:pPr>
      <w:r w:rsidRPr="0041455A">
        <w:rPr>
          <w:rFonts w:ascii="Times New Roman" w:hAnsi="Times New Roman"/>
          <w:sz w:val="24"/>
          <w:szCs w:val="24"/>
        </w:rPr>
        <w:t>Objections</w:t>
      </w:r>
    </w:p>
    <w:p w:rsidR="001D346A" w:rsidRPr="001D346A" w:rsidRDefault="001D346A" w:rsidP="00E6780F">
      <w:pPr>
        <w:pStyle w:val="Amainreturn"/>
        <w:ind w:left="709"/>
        <w:rPr>
          <w:b/>
          <w:szCs w:val="24"/>
        </w:rPr>
      </w:pPr>
      <w:r w:rsidRPr="001D346A">
        <w:rPr>
          <w:szCs w:val="24"/>
        </w:rPr>
        <w:t xml:space="preserve">Written objections must be lodged with the ACT Electoral Commission by </w:t>
      </w:r>
      <w:r w:rsidRPr="001D346A">
        <w:rPr>
          <w:b/>
          <w:bCs/>
          <w:szCs w:val="24"/>
        </w:rPr>
        <w:t>2</w:t>
      </w:r>
      <w:r w:rsidRPr="001D346A">
        <w:rPr>
          <w:b/>
          <w:szCs w:val="24"/>
        </w:rPr>
        <w:t> June 2011.</w:t>
      </w:r>
    </w:p>
    <w:p w:rsidR="001D346A" w:rsidRPr="001D346A" w:rsidRDefault="001D346A" w:rsidP="00E6780F">
      <w:pPr>
        <w:pStyle w:val="Amainreturn"/>
        <w:ind w:left="709"/>
        <w:rPr>
          <w:szCs w:val="24"/>
        </w:rPr>
      </w:pPr>
      <w:r w:rsidRPr="001D346A">
        <w:rPr>
          <w:szCs w:val="24"/>
        </w:rPr>
        <w:t>Objections should be lodged at:</w:t>
      </w:r>
    </w:p>
    <w:p w:rsidR="001D346A" w:rsidRPr="001D346A" w:rsidRDefault="001D346A" w:rsidP="00E6780F">
      <w:pPr>
        <w:pStyle w:val="Amainreturn"/>
        <w:spacing w:before="0" w:after="0"/>
        <w:ind w:left="709"/>
        <w:jc w:val="left"/>
        <w:rPr>
          <w:b/>
          <w:bCs/>
          <w:szCs w:val="24"/>
        </w:rPr>
      </w:pPr>
      <w:r w:rsidRPr="001D346A">
        <w:rPr>
          <w:b/>
          <w:bCs/>
          <w:szCs w:val="24"/>
        </w:rPr>
        <w:t>ACT Electoral Commission</w:t>
      </w:r>
      <w:r w:rsidRPr="001D346A">
        <w:rPr>
          <w:b/>
          <w:bCs/>
          <w:szCs w:val="24"/>
        </w:rPr>
        <w:br/>
        <w:t>Ground floor, North Building</w:t>
      </w:r>
    </w:p>
    <w:p w:rsidR="001D346A" w:rsidRPr="001D346A" w:rsidRDefault="001D346A" w:rsidP="00E6780F">
      <w:pPr>
        <w:pStyle w:val="Amainreturn"/>
        <w:spacing w:before="0" w:after="0"/>
        <w:ind w:left="709"/>
        <w:jc w:val="left"/>
        <w:rPr>
          <w:b/>
          <w:bCs/>
          <w:szCs w:val="24"/>
        </w:rPr>
      </w:pPr>
      <w:r w:rsidRPr="001D346A">
        <w:rPr>
          <w:b/>
          <w:bCs/>
          <w:szCs w:val="24"/>
        </w:rPr>
        <w:t>Civic Square, London C</w:t>
      </w:r>
      <w:r w:rsidR="00A20C0B">
        <w:rPr>
          <w:b/>
          <w:bCs/>
          <w:szCs w:val="24"/>
        </w:rPr>
        <w:t>ir</w:t>
      </w:r>
      <w:r w:rsidRPr="001D346A">
        <w:rPr>
          <w:b/>
          <w:bCs/>
          <w:szCs w:val="24"/>
        </w:rPr>
        <w:t>c</w:t>
      </w:r>
      <w:r w:rsidR="00A20C0B">
        <w:rPr>
          <w:b/>
          <w:bCs/>
          <w:szCs w:val="24"/>
        </w:rPr>
        <w:t>ui</w:t>
      </w:r>
      <w:r w:rsidRPr="001D346A">
        <w:rPr>
          <w:b/>
          <w:bCs/>
          <w:szCs w:val="24"/>
        </w:rPr>
        <w:t>t</w:t>
      </w:r>
      <w:r w:rsidRPr="001D346A">
        <w:rPr>
          <w:b/>
          <w:bCs/>
          <w:szCs w:val="24"/>
        </w:rPr>
        <w:br/>
        <w:t>CANBERRA  ACT  2601</w:t>
      </w:r>
    </w:p>
    <w:p w:rsidR="001D346A" w:rsidRPr="001D346A" w:rsidRDefault="001D346A" w:rsidP="00E6780F">
      <w:pPr>
        <w:pStyle w:val="Amainreturn"/>
        <w:ind w:left="709"/>
        <w:rPr>
          <w:b/>
          <w:szCs w:val="24"/>
        </w:rPr>
      </w:pPr>
      <w:r w:rsidRPr="001D346A">
        <w:rPr>
          <w:b/>
          <w:szCs w:val="24"/>
        </w:rPr>
        <w:t>Phone:  (02) 6205 0033   Fax:  (02) 6205 0382</w:t>
      </w:r>
    </w:p>
    <w:p w:rsidR="001D346A" w:rsidRPr="001D346A" w:rsidRDefault="001D346A" w:rsidP="00E6780F">
      <w:pPr>
        <w:pStyle w:val="Amainreturn"/>
        <w:ind w:left="709"/>
        <w:rPr>
          <w:b/>
          <w:szCs w:val="24"/>
        </w:rPr>
      </w:pPr>
      <w:r w:rsidRPr="001D346A">
        <w:rPr>
          <w:b/>
          <w:szCs w:val="24"/>
        </w:rPr>
        <w:t>Email:  elections@act.gov.au</w:t>
      </w:r>
    </w:p>
    <w:p w:rsidR="001D346A" w:rsidRPr="001D346A" w:rsidRDefault="001D346A" w:rsidP="00E6780F">
      <w:pPr>
        <w:pStyle w:val="Amainreturn"/>
        <w:ind w:left="709"/>
        <w:rPr>
          <w:b/>
          <w:bCs/>
          <w:szCs w:val="24"/>
        </w:rPr>
      </w:pPr>
      <w:r w:rsidRPr="001D346A">
        <w:rPr>
          <w:b/>
          <w:bCs/>
          <w:szCs w:val="24"/>
        </w:rPr>
        <w:t>Postal Addr</w:t>
      </w:r>
      <w:r>
        <w:rPr>
          <w:b/>
          <w:bCs/>
          <w:szCs w:val="24"/>
        </w:rPr>
        <w:t xml:space="preserve">ess:  PO Box 272, CIVIC SQUARE ACT </w:t>
      </w:r>
      <w:r w:rsidRPr="001D346A">
        <w:rPr>
          <w:b/>
          <w:bCs/>
          <w:szCs w:val="24"/>
        </w:rPr>
        <w:t>2608</w:t>
      </w:r>
    </w:p>
    <w:p w:rsidR="001D346A" w:rsidRPr="0041455A" w:rsidRDefault="001D346A" w:rsidP="00E6780F">
      <w:pPr>
        <w:pStyle w:val="Heading4"/>
        <w:ind w:left="709"/>
        <w:rPr>
          <w:rFonts w:ascii="Times New Roman" w:hAnsi="Times New Roman"/>
          <w:sz w:val="24"/>
          <w:szCs w:val="24"/>
        </w:rPr>
      </w:pPr>
      <w:r w:rsidRPr="0041455A">
        <w:rPr>
          <w:rFonts w:ascii="Times New Roman" w:hAnsi="Times New Roman"/>
          <w:sz w:val="24"/>
          <w:szCs w:val="24"/>
        </w:rPr>
        <w:t>Who considers objections?</w:t>
      </w:r>
    </w:p>
    <w:p w:rsidR="00E6780F" w:rsidRDefault="001D346A" w:rsidP="00E6780F">
      <w:pPr>
        <w:pStyle w:val="BodyText"/>
        <w:ind w:left="709"/>
        <w:rPr>
          <w:szCs w:val="24"/>
        </w:rPr>
      </w:pPr>
      <w:r w:rsidRPr="001D346A">
        <w:rPr>
          <w:szCs w:val="24"/>
        </w:rPr>
        <w:t xml:space="preserve">Objections to the Redistribution Committee’s proposal will be considered by the </w:t>
      </w:r>
      <w:r w:rsidR="00A20C0B" w:rsidRPr="001D346A">
        <w:rPr>
          <w:szCs w:val="24"/>
        </w:rPr>
        <w:t xml:space="preserve">Augmented </w:t>
      </w:r>
      <w:r w:rsidRPr="001D346A">
        <w:rPr>
          <w:szCs w:val="24"/>
        </w:rPr>
        <w:t xml:space="preserve">ACT Electoral Commission.  The </w:t>
      </w:r>
      <w:r w:rsidR="00A20C0B" w:rsidRPr="001D346A">
        <w:rPr>
          <w:szCs w:val="24"/>
        </w:rPr>
        <w:t xml:space="preserve">Augmented </w:t>
      </w:r>
      <w:r w:rsidRPr="001D346A">
        <w:rPr>
          <w:szCs w:val="24"/>
        </w:rPr>
        <w:t>Commission consists of the Chairperson of the ACT Electoral Commission (Mr Roger Beale), the Electoral Commissioner (Mr Phillip Green, who is chairperson of the Redistribution Committee), the third member of the ACT Electoral Commission (Ms Dawn Casey) and the other members of</w:t>
      </w:r>
      <w:r w:rsidR="00A20C0B">
        <w:rPr>
          <w:szCs w:val="24"/>
        </w:rPr>
        <w:t xml:space="preserve"> the Redistribution Committee: </w:t>
      </w:r>
      <w:r w:rsidRPr="001D346A">
        <w:rPr>
          <w:szCs w:val="24"/>
        </w:rPr>
        <w:t xml:space="preserve">the Chief Planning Executive, ACT Planning and Land Authority (Mr Neil </w:t>
      </w:r>
    </w:p>
    <w:p w:rsidR="001D346A" w:rsidRPr="001D346A" w:rsidRDefault="00E6780F" w:rsidP="00E6780F">
      <w:pPr>
        <w:pStyle w:val="BodyText"/>
        <w:ind w:left="709"/>
        <w:rPr>
          <w:szCs w:val="24"/>
        </w:rPr>
      </w:pPr>
      <w:r>
        <w:rPr>
          <w:szCs w:val="24"/>
        </w:rPr>
        <w:br w:type="page"/>
      </w:r>
      <w:r w:rsidR="001D346A" w:rsidRPr="001D346A">
        <w:rPr>
          <w:szCs w:val="24"/>
        </w:rPr>
        <w:lastRenderedPageBreak/>
        <w:t xml:space="preserve">Savery), the </w:t>
      </w:r>
      <w:r w:rsidR="00A20C0B">
        <w:rPr>
          <w:szCs w:val="24"/>
        </w:rPr>
        <w:t xml:space="preserve">ACT </w:t>
      </w:r>
      <w:r w:rsidR="001D346A" w:rsidRPr="001D346A">
        <w:rPr>
          <w:szCs w:val="24"/>
        </w:rPr>
        <w:t xml:space="preserve">Surveyor-General (Mr Bill Hirst) and the Regional Director, ACT Office, Australian Bureau of Statistics (Mr Stephen Collett).  The </w:t>
      </w:r>
      <w:r w:rsidR="00A20C0B" w:rsidRPr="001D346A">
        <w:rPr>
          <w:szCs w:val="24"/>
        </w:rPr>
        <w:t xml:space="preserve">Augmented </w:t>
      </w:r>
      <w:r w:rsidR="001D346A" w:rsidRPr="001D346A">
        <w:rPr>
          <w:szCs w:val="24"/>
        </w:rPr>
        <w:t>Commission may hold public hearings into objections to the proposed redistribution.</w:t>
      </w:r>
    </w:p>
    <w:p w:rsidR="001D346A" w:rsidRPr="001D346A" w:rsidRDefault="001D346A" w:rsidP="001D346A">
      <w:pPr>
        <w:jc w:val="center"/>
        <w:rPr>
          <w:b/>
          <w:sz w:val="24"/>
          <w:szCs w:val="24"/>
        </w:rPr>
      </w:pPr>
    </w:p>
    <w:p w:rsidR="001D346A" w:rsidRPr="001D346A" w:rsidRDefault="001D346A" w:rsidP="001D346A">
      <w:pPr>
        <w:jc w:val="center"/>
        <w:rPr>
          <w:b/>
          <w:sz w:val="24"/>
          <w:szCs w:val="24"/>
        </w:rPr>
      </w:pPr>
    </w:p>
    <w:p w:rsidR="00E74C9D" w:rsidRDefault="00E74C9D" w:rsidP="0041455A">
      <w:pPr>
        <w:rPr>
          <w:b/>
        </w:rPr>
      </w:pPr>
    </w:p>
    <w:p w:rsidR="00E74C9D" w:rsidRDefault="00E74C9D" w:rsidP="00E178C4">
      <w:pPr>
        <w:rPr>
          <w:b/>
        </w:rPr>
      </w:pPr>
    </w:p>
    <w:p w:rsidR="00E74C9D" w:rsidRPr="001D346A" w:rsidRDefault="00E74C9D">
      <w:pPr>
        <w:jc w:val="center"/>
        <w:rPr>
          <w:b/>
          <w:sz w:val="24"/>
          <w:szCs w:val="24"/>
        </w:rPr>
      </w:pPr>
      <w:r w:rsidRPr="001D346A">
        <w:rPr>
          <w:b/>
          <w:sz w:val="24"/>
          <w:szCs w:val="24"/>
        </w:rPr>
        <w:t>Phillip Green</w:t>
      </w:r>
      <w:r w:rsidRPr="001D346A">
        <w:rPr>
          <w:b/>
          <w:sz w:val="24"/>
          <w:szCs w:val="24"/>
        </w:rPr>
        <w:tab/>
      </w:r>
      <w:r w:rsidRPr="001D346A">
        <w:rPr>
          <w:b/>
          <w:sz w:val="24"/>
          <w:szCs w:val="24"/>
        </w:rPr>
        <w:tab/>
        <w:t>Neil Savery</w:t>
      </w:r>
      <w:r w:rsidRPr="001D346A">
        <w:rPr>
          <w:b/>
          <w:sz w:val="24"/>
          <w:szCs w:val="24"/>
        </w:rPr>
        <w:tab/>
      </w:r>
      <w:r w:rsidRPr="001D346A">
        <w:rPr>
          <w:b/>
          <w:sz w:val="24"/>
          <w:szCs w:val="24"/>
        </w:rPr>
        <w:tab/>
        <w:t>Bill Hirst</w:t>
      </w:r>
      <w:r w:rsidRPr="001D346A">
        <w:rPr>
          <w:b/>
          <w:sz w:val="24"/>
          <w:szCs w:val="24"/>
        </w:rPr>
        <w:tab/>
      </w:r>
      <w:r w:rsidRPr="001D346A">
        <w:rPr>
          <w:b/>
          <w:sz w:val="24"/>
          <w:szCs w:val="24"/>
        </w:rPr>
        <w:tab/>
        <w:t>Stephen Collett</w:t>
      </w:r>
    </w:p>
    <w:p w:rsidR="00E74C9D" w:rsidRPr="001D346A" w:rsidRDefault="00E74C9D">
      <w:pPr>
        <w:jc w:val="center"/>
        <w:rPr>
          <w:b/>
          <w:sz w:val="24"/>
          <w:szCs w:val="24"/>
        </w:rPr>
      </w:pPr>
    </w:p>
    <w:p w:rsidR="00E74C9D" w:rsidRPr="001D346A" w:rsidRDefault="00E74C9D">
      <w:pPr>
        <w:pStyle w:val="Heading3"/>
        <w:jc w:val="center"/>
        <w:rPr>
          <w:sz w:val="24"/>
          <w:szCs w:val="24"/>
        </w:rPr>
      </w:pPr>
      <w:r w:rsidRPr="001D346A">
        <w:rPr>
          <w:sz w:val="24"/>
          <w:szCs w:val="24"/>
        </w:rPr>
        <w:t>Redistribution Committee for the Australian Capital Territory</w:t>
      </w:r>
    </w:p>
    <w:p w:rsidR="00906040" w:rsidRDefault="00E178C4" w:rsidP="007F495E">
      <w:pPr>
        <w:jc w:val="center"/>
        <w:rPr>
          <w:b/>
          <w:sz w:val="24"/>
          <w:szCs w:val="24"/>
        </w:rPr>
      </w:pPr>
      <w:r>
        <w:rPr>
          <w:b/>
          <w:sz w:val="24"/>
          <w:szCs w:val="24"/>
        </w:rPr>
        <w:t>2 May</w:t>
      </w:r>
      <w:r w:rsidR="007F495E" w:rsidRPr="001D346A">
        <w:rPr>
          <w:b/>
          <w:sz w:val="24"/>
          <w:szCs w:val="24"/>
        </w:rPr>
        <w:t xml:space="preserve"> 2011 </w:t>
      </w:r>
    </w:p>
    <w:p w:rsidR="007F495E" w:rsidRPr="001D346A" w:rsidRDefault="00906040" w:rsidP="007F495E">
      <w:pPr>
        <w:jc w:val="center"/>
        <w:rPr>
          <w:b/>
          <w:sz w:val="24"/>
          <w:szCs w:val="24"/>
        </w:rPr>
      </w:pPr>
      <w:r>
        <w:rPr>
          <w:b/>
          <w:sz w:val="24"/>
          <w:szCs w:val="24"/>
        </w:rPr>
        <w:br w:type="page"/>
      </w:r>
      <w:r w:rsidR="00702B46">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73.5pt">
            <v:imagedata r:id="rId7" o:title=""/>
          </v:shape>
        </w:pict>
      </w:r>
    </w:p>
    <w:sectPr w:rsidR="007F495E" w:rsidRPr="001D346A">
      <w:headerReference w:type="even" r:id="rId8"/>
      <w:headerReference w:type="default" r:id="rId9"/>
      <w:footerReference w:type="even" r:id="rId10"/>
      <w:footerReference w:type="default" r:id="rId11"/>
      <w:headerReference w:type="first" r:id="rId12"/>
      <w:footerReference w:type="first" r:id="rId13"/>
      <w:pgSz w:w="11904" w:h="16834" w:code="9"/>
      <w:pgMar w:top="170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A3" w:rsidRDefault="005569A3" w:rsidP="005569A3">
      <w:r>
        <w:separator/>
      </w:r>
    </w:p>
  </w:endnote>
  <w:endnote w:type="continuationSeparator" w:id="0">
    <w:p w:rsidR="005569A3" w:rsidRDefault="005569A3" w:rsidP="0055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71" w:rsidRDefault="008C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A3" w:rsidRPr="00BC5523" w:rsidRDefault="00BC5523" w:rsidP="00BC5523">
    <w:pPr>
      <w:pStyle w:val="Footer"/>
      <w:spacing w:before="240"/>
      <w:jc w:val="center"/>
      <w:rPr>
        <w:rFonts w:ascii="Arial" w:hAnsi="Arial" w:cs="Arial"/>
        <w:sz w:val="14"/>
        <w:szCs w:val="14"/>
      </w:rPr>
    </w:pPr>
    <w:r w:rsidRPr="00BC552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71" w:rsidRDefault="008C7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A3" w:rsidRDefault="005569A3" w:rsidP="005569A3">
      <w:r>
        <w:separator/>
      </w:r>
    </w:p>
  </w:footnote>
  <w:footnote w:type="continuationSeparator" w:id="0">
    <w:p w:rsidR="005569A3" w:rsidRDefault="005569A3" w:rsidP="0055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71" w:rsidRDefault="008C7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71" w:rsidRDefault="008C7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71" w:rsidRDefault="008C7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658"/>
    <w:multiLevelType w:val="multilevel"/>
    <w:tmpl w:val="6B9801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pStyle w:val="Amain"/>
      <w:lvlText w:val="(%6)"/>
      <w:lvlJc w:val="right"/>
      <w:pPr>
        <w:tabs>
          <w:tab w:val="num" w:pos="700"/>
        </w:tabs>
        <w:ind w:left="700" w:hanging="200"/>
      </w:pPr>
      <w:rPr>
        <w:rFonts w:cs="Times New Roman"/>
        <w:b w:val="0"/>
      </w:rPr>
    </w:lvl>
    <w:lvl w:ilvl="6">
      <w:start w:val="1"/>
      <w:numFmt w:val="lowerLetter"/>
      <w:pStyle w:val="Apara"/>
      <w:lvlText w:val="(%7)"/>
      <w:lvlJc w:val="right"/>
      <w:pPr>
        <w:tabs>
          <w:tab w:val="num" w:pos="1200"/>
        </w:tabs>
        <w:ind w:left="1200" w:hanging="200"/>
      </w:pPr>
      <w:rPr>
        <w:rFonts w:cs="Times New Roman"/>
        <w:b w:val="0"/>
        <w:i w:val="0"/>
      </w:rPr>
    </w:lvl>
    <w:lvl w:ilvl="7">
      <w:start w:val="1"/>
      <w:numFmt w:val="lowerRoman"/>
      <w:pStyle w:val="Asubpara"/>
      <w:lvlText w:val="(%8)"/>
      <w:lvlJc w:val="right"/>
      <w:pPr>
        <w:tabs>
          <w:tab w:val="num" w:pos="1740"/>
        </w:tabs>
        <w:ind w:left="1740" w:hanging="200"/>
      </w:pPr>
      <w:rPr>
        <w:rFonts w:cs="Times New Roman"/>
        <w:b w:val="0"/>
        <w:i w:val="0"/>
      </w:rPr>
    </w:lvl>
    <w:lvl w:ilvl="8">
      <w:start w:val="1"/>
      <w:numFmt w:val="upperLetter"/>
      <w:pStyle w:val="Asubsubpara"/>
      <w:lvlText w:val="(%9)"/>
      <w:lvlJc w:val="right"/>
      <w:pPr>
        <w:tabs>
          <w:tab w:val="num" w:pos="2260"/>
        </w:tabs>
        <w:ind w:left="2260" w:hanging="200"/>
      </w:pPr>
      <w:rPr>
        <w:rFonts w:cs="Times New Roman"/>
        <w:b w:val="0"/>
        <w:i w:val="0"/>
      </w:rPr>
    </w:lvl>
  </w:abstractNum>
  <w:abstractNum w:abstractNumId="1" w15:restartNumberingAfterBreak="0">
    <w:nsid w:val="5FBC783B"/>
    <w:multiLevelType w:val="singleLevel"/>
    <w:tmpl w:val="6B204AE0"/>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74547F7F"/>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 w15:restartNumberingAfterBreak="0">
    <w:nsid w:val="749E33EB"/>
    <w:multiLevelType w:val="hybridMultilevel"/>
    <w:tmpl w:val="1B2AA35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0E2"/>
    <w:rsid w:val="00007EB8"/>
    <w:rsid w:val="000762F1"/>
    <w:rsid w:val="001220E2"/>
    <w:rsid w:val="001D346A"/>
    <w:rsid w:val="003F37E4"/>
    <w:rsid w:val="0041455A"/>
    <w:rsid w:val="004F0526"/>
    <w:rsid w:val="005569A3"/>
    <w:rsid w:val="00581BEB"/>
    <w:rsid w:val="00702B46"/>
    <w:rsid w:val="007F495E"/>
    <w:rsid w:val="008C7F71"/>
    <w:rsid w:val="00906040"/>
    <w:rsid w:val="00936D10"/>
    <w:rsid w:val="00966D32"/>
    <w:rsid w:val="009E1FB6"/>
    <w:rsid w:val="00A20C0B"/>
    <w:rsid w:val="00B02292"/>
    <w:rsid w:val="00B46AF5"/>
    <w:rsid w:val="00BC5523"/>
    <w:rsid w:val="00E178C4"/>
    <w:rsid w:val="00E60803"/>
    <w:rsid w:val="00E6780F"/>
    <w:rsid w:val="00E74C9D"/>
    <w:rsid w:val="00F34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E692646-44D7-498C-B385-1CC44398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tabs>
        <w:tab w:val="left" w:pos="2835"/>
        <w:tab w:val="left" w:pos="6237"/>
        <w:tab w:val="left" w:pos="10206"/>
      </w:tabs>
      <w:outlineLvl w:val="0"/>
    </w:pPr>
    <w:rPr>
      <w:sz w:val="24"/>
    </w:rPr>
  </w:style>
  <w:style w:type="paragraph" w:styleId="Heading2">
    <w:name w:val="heading 2"/>
    <w:basedOn w:val="Normal"/>
    <w:next w:val="Normal"/>
    <w:link w:val="Heading2Char"/>
    <w:uiPriority w:val="9"/>
    <w:qFormat/>
    <w:pPr>
      <w:keepNext/>
      <w:tabs>
        <w:tab w:val="left" w:pos="2835"/>
        <w:tab w:val="left" w:pos="6237"/>
        <w:tab w:val="left" w:pos="10206"/>
      </w:tabs>
      <w:spacing w:after="240"/>
      <w:ind w:left="709"/>
      <w:outlineLvl w:val="1"/>
    </w:pPr>
    <w:rPr>
      <w:sz w:val="24"/>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semiHidden/>
    <w:unhideWhenUsed/>
    <w:qFormat/>
    <w:rsid w:val="001D34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1D346A"/>
    <w:rPr>
      <w:rFonts w:ascii="Calibri" w:hAnsi="Calibri" w:cs="Times New Roman"/>
      <w:b/>
      <w:bCs/>
      <w:sz w:val="28"/>
      <w:szCs w:val="28"/>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madeunder">
    <w:name w:val="made under"/>
    <w:basedOn w:val="Normal"/>
    <w:pPr>
      <w:spacing w:before="180" w:after="60"/>
      <w:jc w:val="both"/>
    </w:pPr>
    <w:rPr>
      <w:sz w:val="24"/>
    </w:rPr>
  </w:style>
  <w:style w:type="paragraph" w:customStyle="1" w:styleId="CoverActName">
    <w:name w:val="CoverActName"/>
    <w:basedOn w:val="Normal"/>
    <w:pPr>
      <w:tabs>
        <w:tab w:val="left" w:pos="2600"/>
      </w:tabs>
      <w:spacing w:before="200" w:after="60"/>
      <w:jc w:val="both"/>
    </w:pPr>
    <w:rPr>
      <w:rFonts w:ascii="Arial" w:hAnsi="Arial"/>
      <w:b/>
      <w:sz w:val="24"/>
    </w:rPr>
  </w:style>
  <w:style w:type="paragraph" w:customStyle="1" w:styleId="N-line3">
    <w:name w:val="N-line3"/>
    <w:basedOn w:val="Normal"/>
    <w:next w:val="Normal"/>
    <w:pPr>
      <w:pBdr>
        <w:bottom w:val="single" w:sz="12" w:space="1" w:color="auto"/>
      </w:pBdr>
      <w:jc w:val="both"/>
    </w:pPr>
    <w:rPr>
      <w:sz w:val="24"/>
    </w:rPr>
  </w:style>
  <w:style w:type="paragraph" w:customStyle="1" w:styleId="Amain">
    <w:name w:val="A main"/>
    <w:basedOn w:val="Normal"/>
    <w:uiPriority w:val="99"/>
    <w:pPr>
      <w:numPr>
        <w:ilvl w:val="5"/>
        <w:numId w:val="2"/>
      </w:numPr>
      <w:spacing w:before="80" w:after="60"/>
      <w:jc w:val="both"/>
      <w:outlineLvl w:val="5"/>
    </w:pPr>
    <w:rPr>
      <w:sz w:val="24"/>
    </w:rPr>
  </w:style>
  <w:style w:type="paragraph" w:customStyle="1" w:styleId="Apara">
    <w:name w:val="A para"/>
    <w:basedOn w:val="Normal"/>
    <w:uiPriority w:val="99"/>
    <w:pPr>
      <w:numPr>
        <w:ilvl w:val="6"/>
        <w:numId w:val="2"/>
      </w:numPr>
      <w:spacing w:before="80" w:after="60"/>
      <w:jc w:val="both"/>
      <w:outlineLvl w:val="6"/>
    </w:pPr>
    <w:rPr>
      <w:sz w:val="24"/>
    </w:rPr>
  </w:style>
  <w:style w:type="paragraph" w:customStyle="1" w:styleId="Asubpara">
    <w:name w:val="A subpara"/>
    <w:basedOn w:val="Normal"/>
    <w:uiPriority w:val="99"/>
    <w:pPr>
      <w:numPr>
        <w:ilvl w:val="7"/>
        <w:numId w:val="2"/>
      </w:numPr>
      <w:spacing w:before="80" w:after="60"/>
      <w:jc w:val="both"/>
      <w:outlineLvl w:val="7"/>
    </w:pPr>
    <w:rPr>
      <w:sz w:val="24"/>
    </w:rPr>
  </w:style>
  <w:style w:type="paragraph" w:customStyle="1" w:styleId="Asubsubpara">
    <w:name w:val="A subsubpara"/>
    <w:basedOn w:val="Normal"/>
    <w:uiPriority w:val="99"/>
    <w:pPr>
      <w:numPr>
        <w:ilvl w:val="8"/>
        <w:numId w:val="2"/>
      </w:numPr>
      <w:spacing w:before="80" w:after="60"/>
      <w:jc w:val="both"/>
      <w:outlineLvl w:val="8"/>
    </w:pPr>
    <w:rPr>
      <w:sz w:val="24"/>
    </w:rPr>
  </w:style>
  <w:style w:type="paragraph" w:customStyle="1" w:styleId="AH5Sec">
    <w:name w:val="A H5 Sec"/>
    <w:basedOn w:val="Normal"/>
    <w:next w:val="Amain"/>
    <w:uiPriority w:val="99"/>
    <w:pPr>
      <w:keepNext/>
      <w:numPr>
        <w:ilvl w:val="4"/>
        <w:numId w:val="2"/>
      </w:numPr>
      <w:spacing w:before="180" w:after="60"/>
      <w:outlineLvl w:val="4"/>
    </w:pPr>
    <w:rPr>
      <w:rFonts w:ascii="Arial" w:hAnsi="Arial"/>
      <w:b/>
      <w:sz w:val="24"/>
    </w:rPr>
  </w:style>
  <w:style w:type="paragraph" w:customStyle="1" w:styleId="Amainreturn">
    <w:name w:val="A main return"/>
    <w:basedOn w:val="Normal"/>
    <w:uiPriority w:val="99"/>
    <w:pPr>
      <w:spacing w:before="80" w:after="60"/>
      <w:ind w:left="700"/>
      <w:jc w:val="both"/>
    </w:pPr>
    <w:rPr>
      <w:sz w:val="24"/>
    </w:rPr>
  </w:style>
  <w:style w:type="paragraph" w:styleId="Title">
    <w:name w:val="Title"/>
    <w:basedOn w:val="Normal"/>
    <w:link w:val="TitleChar"/>
    <w:uiPriority w:val="10"/>
    <w:qFormat/>
    <w:pPr>
      <w:spacing w:after="120"/>
      <w:jc w:val="center"/>
    </w:pPr>
    <w:rPr>
      <w:rFonts w:ascii="Arial" w:hAnsi="Arial"/>
      <w:b/>
      <w:bCs/>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unhideWhenUsed/>
    <w:rsid w:val="00E74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C9D"/>
    <w:rPr>
      <w:rFonts w:ascii="Tahoma" w:hAnsi="Tahoma" w:cs="Tahoma"/>
      <w:sz w:val="16"/>
      <w:szCs w:val="16"/>
      <w:lang w:val="x-none" w:eastAsia="en-US"/>
    </w:rPr>
  </w:style>
  <w:style w:type="paragraph" w:styleId="BodyText">
    <w:name w:val="Body Text"/>
    <w:basedOn w:val="Normal"/>
    <w:link w:val="BodyTextChar"/>
    <w:autoRedefine/>
    <w:uiPriority w:val="99"/>
    <w:rsid w:val="001D346A"/>
    <w:pPr>
      <w:spacing w:before="120" w:after="120"/>
      <w:jc w:val="both"/>
    </w:pPr>
    <w:rPr>
      <w:sz w:val="24"/>
    </w:rPr>
  </w:style>
  <w:style w:type="character" w:customStyle="1" w:styleId="BodyTextChar">
    <w:name w:val="Body Text Char"/>
    <w:basedOn w:val="DefaultParagraphFont"/>
    <w:link w:val="BodyText"/>
    <w:uiPriority w:val="99"/>
    <w:locked/>
    <w:rsid w:val="001D346A"/>
    <w:rPr>
      <w:rFonts w:cs="Times New Roman"/>
      <w:sz w:val="24"/>
      <w:lang w:val="x-none" w:eastAsia="en-US"/>
    </w:rPr>
  </w:style>
  <w:style w:type="paragraph" w:styleId="Header">
    <w:name w:val="header"/>
    <w:basedOn w:val="Normal"/>
    <w:link w:val="HeaderChar"/>
    <w:uiPriority w:val="99"/>
    <w:unhideWhenUsed/>
    <w:rsid w:val="005569A3"/>
    <w:pPr>
      <w:tabs>
        <w:tab w:val="center" w:pos="4513"/>
        <w:tab w:val="right" w:pos="9026"/>
      </w:tabs>
    </w:pPr>
  </w:style>
  <w:style w:type="character" w:customStyle="1" w:styleId="HeaderChar">
    <w:name w:val="Header Char"/>
    <w:basedOn w:val="DefaultParagraphFont"/>
    <w:link w:val="Header"/>
    <w:uiPriority w:val="99"/>
    <w:locked/>
    <w:rsid w:val="005569A3"/>
    <w:rPr>
      <w:rFonts w:cs="Times New Roman"/>
      <w:lang w:val="x-none" w:eastAsia="en-US"/>
    </w:rPr>
  </w:style>
  <w:style w:type="paragraph" w:styleId="Footer">
    <w:name w:val="footer"/>
    <w:basedOn w:val="Normal"/>
    <w:link w:val="FooterChar"/>
    <w:uiPriority w:val="99"/>
    <w:unhideWhenUsed/>
    <w:rsid w:val="005569A3"/>
    <w:pPr>
      <w:tabs>
        <w:tab w:val="center" w:pos="4513"/>
        <w:tab w:val="right" w:pos="9026"/>
      </w:tabs>
    </w:pPr>
  </w:style>
  <w:style w:type="character" w:customStyle="1" w:styleId="FooterChar">
    <w:name w:val="Footer Char"/>
    <w:basedOn w:val="DefaultParagraphFont"/>
    <w:link w:val="Footer"/>
    <w:uiPriority w:val="99"/>
    <w:locked/>
    <w:rsid w:val="005569A3"/>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3467</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2011-04-19T23:28:00Z</cp:lastPrinted>
  <dcterms:created xsi:type="dcterms:W3CDTF">2018-09-11T23:21:00Z</dcterms:created>
  <dcterms:modified xsi:type="dcterms:W3CDTF">2018-09-11T23:21:00Z</dcterms:modified>
</cp:coreProperties>
</file>