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51B2" w:rsidRDefault="00B151B2">
      <w:pPr>
        <w:pStyle w:val="Header"/>
        <w:spacing w:before="120"/>
        <w:rPr>
          <w:rFonts w:cs="Arial"/>
        </w:rPr>
      </w:pPr>
      <w:bookmarkStart w:id="0" w:name="_GoBack"/>
      <w:bookmarkEnd w:id="0"/>
      <w:smartTag w:uri="urn:schemas-microsoft-com:office:smarttags" w:element="State">
        <w:smartTag w:uri="urn:schemas-microsoft-com:office:smarttags" w:element="place">
          <w:r>
            <w:rPr>
              <w:rFonts w:cs="Arial"/>
            </w:rPr>
            <w:t>Australian Capital Territory</w:t>
          </w:r>
        </w:smartTag>
      </w:smartTag>
    </w:p>
    <w:p w:rsidR="00B151B2" w:rsidRDefault="00B151B2">
      <w:pPr>
        <w:pStyle w:val="Header"/>
        <w:spacing w:before="120"/>
        <w:rPr>
          <w:rFonts w:cs="Arial"/>
        </w:rPr>
      </w:pPr>
    </w:p>
    <w:p w:rsidR="00B151B2" w:rsidRDefault="00B151B2">
      <w:pPr>
        <w:pStyle w:val="TAheading"/>
        <w:rPr>
          <w:rFonts w:cs="Arial"/>
        </w:rPr>
      </w:pPr>
      <w:r>
        <w:rPr>
          <w:rFonts w:cs="Arial"/>
        </w:rPr>
        <w:t>Planning and Development (Technical Amendment</w:t>
      </w:r>
      <w:r>
        <w:rPr>
          <w:rFonts w:cs="Arial"/>
          <w:color w:val="000000"/>
        </w:rPr>
        <w:t>—Code amendment to the Group Centres Development Code – Proposed supermarket site Chisholm section 598 block 7</w:t>
      </w:r>
      <w:r>
        <w:rPr>
          <w:rFonts w:cs="Arial"/>
        </w:rPr>
        <w:t xml:space="preserve">) Plan Variation 2011 </w:t>
      </w:r>
    </w:p>
    <w:p w:rsidR="00B151B2" w:rsidRDefault="00B151B2">
      <w:pPr>
        <w:rPr>
          <w:rStyle w:val="TAannexureAtext"/>
          <w:rFonts w:cs="Arial"/>
        </w:rPr>
      </w:pPr>
      <w:r>
        <w:rPr>
          <w:rStyle w:val="TAannexureAtext"/>
          <w:rFonts w:cs="Arial"/>
        </w:rPr>
        <w:t>Notifiable instrument NI2011– 353</w:t>
      </w:r>
    </w:p>
    <w:p w:rsidR="00B151B2" w:rsidRDefault="00B151B2">
      <w:pPr>
        <w:rPr>
          <w:rStyle w:val="TAannexureAtext"/>
          <w:rFonts w:cs="Arial"/>
        </w:rPr>
      </w:pPr>
      <w:r>
        <w:rPr>
          <w:rStyle w:val="TAannexureAtext"/>
          <w:rFonts w:cs="Arial"/>
        </w:rPr>
        <w:t>Technical Amendment No. 2011–17</w:t>
      </w:r>
    </w:p>
    <w:p w:rsidR="00B151B2" w:rsidRDefault="00B151B2">
      <w:pPr>
        <w:pStyle w:val="TALAtext"/>
        <w:rPr>
          <w:rFonts w:cs="Arial"/>
        </w:rPr>
      </w:pPr>
      <w:r>
        <w:rPr>
          <w:rFonts w:cs="Arial"/>
        </w:rPr>
        <w:t>made under the</w:t>
      </w:r>
    </w:p>
    <w:p w:rsidR="00B151B2" w:rsidRDefault="00B151B2">
      <w:pPr>
        <w:pStyle w:val="TA-LAitalicstext"/>
        <w:rPr>
          <w:rFonts w:cs="Arial"/>
        </w:rPr>
      </w:pPr>
      <w:r>
        <w:rPr>
          <w:rFonts w:cs="Arial"/>
        </w:rPr>
        <w:t xml:space="preserve">Planning and Development Act 2007, section 89 (Making technical amendments)   </w:t>
      </w:r>
    </w:p>
    <w:p w:rsidR="00B151B2" w:rsidRDefault="00B151B2">
      <w:pPr>
        <w:pStyle w:val="TAline"/>
        <w:rPr>
          <w:rFonts w:cs="Arial"/>
        </w:rPr>
      </w:pPr>
    </w:p>
    <w:p w:rsidR="00B151B2" w:rsidRDefault="00B151B2">
      <w:pPr>
        <w:pStyle w:val="TAbody"/>
        <w:rPr>
          <w:rFonts w:cs="Arial"/>
          <w:color w:val="000000"/>
        </w:rPr>
      </w:pPr>
      <w:r>
        <w:rPr>
          <w:rFonts w:cs="Arial"/>
          <w:color w:val="000000"/>
        </w:rPr>
        <w:t>This technical amendment commences on 8 July 2011.</w:t>
      </w:r>
    </w:p>
    <w:p w:rsidR="00B151B2" w:rsidRDefault="00B151B2">
      <w:pPr>
        <w:pStyle w:val="TAbody"/>
        <w:rPr>
          <w:rFonts w:cs="Arial"/>
          <w:color w:val="000000"/>
        </w:rPr>
      </w:pPr>
    </w:p>
    <w:p w:rsidR="00B151B2" w:rsidRDefault="00B151B2">
      <w:pPr>
        <w:pStyle w:val="TAbody"/>
        <w:rPr>
          <w:rFonts w:cs="Arial"/>
          <w:color w:val="000000"/>
        </w:rPr>
      </w:pPr>
      <w:r>
        <w:rPr>
          <w:rFonts w:cs="Arial"/>
          <w:color w:val="000000"/>
        </w:rPr>
        <w:t>Technical amendment number 2011-17 to the Territory Plan has been approved by the Planning and Land Authority.</w:t>
      </w:r>
    </w:p>
    <w:p w:rsidR="00B151B2" w:rsidRDefault="00B151B2">
      <w:pPr>
        <w:pStyle w:val="TAbody"/>
        <w:rPr>
          <w:rFonts w:cs="Arial"/>
          <w:color w:val="000000"/>
        </w:rPr>
      </w:pPr>
    </w:p>
    <w:p w:rsidR="00B151B2" w:rsidRDefault="00B151B2">
      <w:pPr>
        <w:pStyle w:val="TAbody"/>
        <w:rPr>
          <w:rFonts w:cs="Arial"/>
          <w:color w:val="000000"/>
          <w:szCs w:val="24"/>
        </w:rPr>
      </w:pPr>
    </w:p>
    <w:p w:rsidR="00B151B2" w:rsidRDefault="00B151B2">
      <w:pPr>
        <w:pStyle w:val="TAbody"/>
        <w:rPr>
          <w:rFonts w:cs="Arial"/>
          <w:color w:val="000000"/>
          <w:szCs w:val="24"/>
        </w:rPr>
      </w:pPr>
    </w:p>
    <w:p w:rsidR="00B151B2" w:rsidRDefault="00B151B2">
      <w:pPr>
        <w:pStyle w:val="TAbody"/>
        <w:rPr>
          <w:rFonts w:cs="Arial"/>
          <w:color w:val="000000"/>
        </w:rPr>
      </w:pPr>
    </w:p>
    <w:p w:rsidR="00B151B2" w:rsidRDefault="00B151B2">
      <w:pPr>
        <w:pStyle w:val="TAbody"/>
        <w:rPr>
          <w:rFonts w:cs="Arial"/>
          <w:color w:val="000000"/>
        </w:rPr>
      </w:pPr>
    </w:p>
    <w:p w:rsidR="00B151B2" w:rsidRDefault="00B151B2">
      <w:pPr>
        <w:pStyle w:val="TAbody"/>
        <w:rPr>
          <w:rFonts w:cs="Arial"/>
          <w:color w:val="000000"/>
        </w:rPr>
      </w:pPr>
    </w:p>
    <w:p w:rsidR="00B151B2" w:rsidRDefault="00B151B2">
      <w:pPr>
        <w:pStyle w:val="TAbody"/>
        <w:rPr>
          <w:rFonts w:cs="Arial"/>
          <w:color w:val="000000"/>
        </w:rPr>
      </w:pPr>
      <w:r>
        <w:rPr>
          <w:rFonts w:cs="Arial"/>
          <w:color w:val="000000"/>
        </w:rPr>
        <w:t>Ben Ponton</w:t>
      </w:r>
    </w:p>
    <w:p w:rsidR="00B151B2" w:rsidRDefault="00B151B2">
      <w:pPr>
        <w:pStyle w:val="TAbody"/>
        <w:rPr>
          <w:rFonts w:cs="Arial"/>
          <w:color w:val="000000"/>
        </w:rPr>
      </w:pPr>
      <w:r>
        <w:rPr>
          <w:rFonts w:cs="Arial"/>
          <w:color w:val="000000"/>
        </w:rPr>
        <w:t>Delegate of Planning and Land Authority</w:t>
      </w:r>
    </w:p>
    <w:p w:rsidR="00B151B2" w:rsidRDefault="00B151B2">
      <w:pPr>
        <w:pStyle w:val="TAbody"/>
        <w:rPr>
          <w:rFonts w:cs="Arial"/>
          <w:color w:val="000000"/>
        </w:rPr>
      </w:pPr>
    </w:p>
    <w:p w:rsidR="00B151B2" w:rsidRDefault="00B151B2">
      <w:pPr>
        <w:pStyle w:val="TAbody"/>
        <w:rPr>
          <w:rFonts w:cs="Arial"/>
          <w:color w:val="000000"/>
        </w:rPr>
      </w:pPr>
      <w:r>
        <w:rPr>
          <w:rFonts w:cs="Arial"/>
          <w:color w:val="000000"/>
        </w:rPr>
        <w:t>30 June 2011</w:t>
      </w:r>
    </w:p>
    <w:p w:rsidR="00B151B2" w:rsidRDefault="00B151B2">
      <w:pPr>
        <w:pStyle w:val="Heading1"/>
        <w:numPr>
          <w:ilvl w:val="0"/>
          <w:numId w:val="0"/>
        </w:numPr>
      </w:pPr>
    </w:p>
    <w:p w:rsidR="00B151B2" w:rsidRDefault="00B151B2">
      <w:pPr>
        <w:pStyle w:val="TAtitlepageplanninganddevelopmentact"/>
      </w:pPr>
      <w:r>
        <w:br w:type="page"/>
      </w:r>
      <w:r w:rsidR="00543B14">
        <w:lastRenderedPageBreak/>
        <w:pict>
          <v:shape id="_x0000_i1026" type="#_x0000_t75" style="width:93.75pt;height:93.75pt" o:bordertopcolor="this" o:borderleftcolor="this" o:borderbottomcolor="this" o:borderrightcolor="this">
            <v:imagedata r:id="rId7" o:title=""/>
          </v:shape>
        </w:pict>
      </w:r>
    </w:p>
    <w:p w:rsidR="00B151B2" w:rsidRDefault="00B151B2">
      <w:pPr>
        <w:pStyle w:val="TAtitlepageplanninganddevelopmentact"/>
      </w:pPr>
      <w:r>
        <w:t>Planning &amp; Development Act 2007</w:t>
      </w:r>
    </w:p>
    <w:p w:rsidR="00B151B2" w:rsidRDefault="00B151B2">
      <w:pPr>
        <w:pStyle w:val="TAbodytext"/>
      </w:pPr>
    </w:p>
    <w:p w:rsidR="00B151B2" w:rsidRDefault="00B151B2">
      <w:pPr>
        <w:pStyle w:val="TAbodytext"/>
      </w:pPr>
    </w:p>
    <w:p w:rsidR="00B151B2" w:rsidRDefault="00B151B2">
      <w:pPr>
        <w:pStyle w:val="TAbodytext"/>
      </w:pPr>
    </w:p>
    <w:p w:rsidR="00B151B2" w:rsidRDefault="00B151B2">
      <w:pPr>
        <w:pStyle w:val="TAbodytext"/>
      </w:pPr>
    </w:p>
    <w:p w:rsidR="00B151B2" w:rsidRDefault="00B151B2">
      <w:pPr>
        <w:pStyle w:val="TAbodytext"/>
      </w:pPr>
    </w:p>
    <w:p w:rsidR="00B151B2" w:rsidRDefault="00B151B2">
      <w:pPr>
        <w:pStyle w:val="TATitlepagedocumenttitle"/>
      </w:pPr>
      <w:r>
        <w:t>Technical Amendment</w:t>
      </w:r>
    </w:p>
    <w:p w:rsidR="00B151B2" w:rsidRDefault="00B151B2">
      <w:pPr>
        <w:pStyle w:val="TATitlepagedocumenttitle"/>
      </w:pPr>
      <w:r>
        <w:t>to the Territory Plan</w:t>
      </w:r>
    </w:p>
    <w:p w:rsidR="00B151B2" w:rsidRDefault="00B151B2">
      <w:pPr>
        <w:pStyle w:val="TATitlepagedocumenttitle"/>
      </w:pPr>
      <w:bookmarkStart w:id="1" w:name="Variation_number"/>
      <w:r>
        <w:t>Variation 2011-17</w:t>
      </w:r>
      <w:bookmarkEnd w:id="1"/>
    </w:p>
    <w:p w:rsidR="00B151B2" w:rsidRDefault="00B151B2">
      <w:pPr>
        <w:pStyle w:val="TAbodytext"/>
      </w:pPr>
    </w:p>
    <w:p w:rsidR="00B151B2" w:rsidRDefault="00B151B2">
      <w:pPr>
        <w:pStyle w:val="TAbodytext"/>
      </w:pPr>
    </w:p>
    <w:p w:rsidR="00B151B2" w:rsidRDefault="00B151B2">
      <w:pPr>
        <w:pStyle w:val="TATitleexplanatoryheading"/>
      </w:pPr>
      <w:r>
        <w:t>Code amendment to the Group Centres Development Code—Proposed Supermarket Site Chisholm (section 598 block 7)</w:t>
      </w:r>
    </w:p>
    <w:p w:rsidR="00B151B2" w:rsidRDefault="00B151B2">
      <w:pPr>
        <w:pStyle w:val="TAbodytext"/>
      </w:pPr>
    </w:p>
    <w:p w:rsidR="00B151B2" w:rsidRDefault="00B151B2">
      <w:pPr>
        <w:pStyle w:val="TAbodytext"/>
        <w:jc w:val="center"/>
        <w:rPr>
          <w:sz w:val="40"/>
          <w:szCs w:val="40"/>
        </w:rPr>
      </w:pPr>
      <w:bookmarkStart w:id="2" w:name="Month_year"/>
    </w:p>
    <w:p w:rsidR="00B151B2" w:rsidRDefault="00B151B2">
      <w:pPr>
        <w:pStyle w:val="TAbodytext"/>
        <w:jc w:val="center"/>
        <w:rPr>
          <w:sz w:val="40"/>
          <w:szCs w:val="40"/>
        </w:rPr>
      </w:pPr>
      <w:r>
        <w:rPr>
          <w:sz w:val="40"/>
          <w:szCs w:val="40"/>
        </w:rPr>
        <w:t>July 2011</w:t>
      </w:r>
      <w:bookmarkEnd w:id="2"/>
    </w:p>
    <w:p w:rsidR="00B151B2" w:rsidRDefault="00B151B2">
      <w:pPr>
        <w:pStyle w:val="TAbodytext"/>
      </w:pPr>
    </w:p>
    <w:p w:rsidR="00B151B2" w:rsidRDefault="00B151B2">
      <w:pPr>
        <w:pStyle w:val="TATitlepagemonthandyear"/>
        <w:sectPr w:rsidR="00B151B2">
          <w:headerReference w:type="even" r:id="rId8"/>
          <w:headerReference w:type="default" r:id="rId9"/>
          <w:footerReference w:type="even" r:id="rId10"/>
          <w:footerReference w:type="default" r:id="rId11"/>
          <w:headerReference w:type="first" r:id="rId12"/>
          <w:footerReference w:type="first" r:id="rId13"/>
          <w:pgSz w:w="11907" w:h="16840"/>
          <w:pgMar w:top="1361" w:right="1531" w:bottom="1559" w:left="1531" w:header="720" w:footer="1009" w:gutter="0"/>
          <w:pgNumType w:start="1"/>
          <w:cols w:space="720"/>
          <w:titlePg/>
        </w:sectPr>
      </w:pPr>
    </w:p>
    <w:p w:rsidR="00B151B2" w:rsidRDefault="00B151B2">
      <w:pPr>
        <w:pStyle w:val="TAbodytext"/>
      </w:pPr>
    </w:p>
    <w:p w:rsidR="00B151B2" w:rsidRDefault="00B151B2">
      <w:pPr>
        <w:pStyle w:val="TAbodytext"/>
      </w:pPr>
    </w:p>
    <w:p w:rsidR="00B151B2" w:rsidRDefault="00B151B2">
      <w:pPr>
        <w:pStyle w:val="TATableofcontentsTitle"/>
      </w:pPr>
      <w:r>
        <w:t>Table of Contents</w:t>
      </w:r>
    </w:p>
    <w:p w:rsidR="00B151B2" w:rsidRDefault="00B151B2">
      <w:pPr>
        <w:pStyle w:val="TAbodytext"/>
      </w:pPr>
    </w:p>
    <w:p w:rsidR="00B151B2" w:rsidRDefault="00B151B2">
      <w:pPr>
        <w:pStyle w:val="TOC1"/>
        <w:tabs>
          <w:tab w:val="right" w:leader="dot" w:pos="8835"/>
        </w:tabs>
        <w:rPr>
          <w:rFonts w:ascii="Times New Roman" w:hAnsi="Times New Roman"/>
          <w:caps w:val="0"/>
        </w:rPr>
      </w:pPr>
      <w:r>
        <w:fldChar w:fldCharType="begin"/>
      </w:r>
      <w:r>
        <w:instrText xml:space="preserve"> TOC \h \z \t "TA Appendix heading,3,TA section heading,1,TA section heading 2,2,TA section heading 3,3" </w:instrText>
      </w:r>
      <w:r>
        <w:fldChar w:fldCharType="separate"/>
      </w:r>
      <w:hyperlink w:anchor="_Toc296608477" w:history="1">
        <w:r>
          <w:rPr>
            <w:rStyle w:val="Hyperlink"/>
          </w:rPr>
          <w:t>1. INTRODUCTION</w:t>
        </w:r>
        <w:r>
          <w:rPr>
            <w:webHidden/>
          </w:rPr>
          <w:tab/>
        </w:r>
        <w:r>
          <w:rPr>
            <w:webHidden/>
          </w:rPr>
          <w:fldChar w:fldCharType="begin"/>
        </w:r>
        <w:r>
          <w:rPr>
            <w:webHidden/>
          </w:rPr>
          <w:instrText xml:space="preserve"> PAGEREF _Toc296608477 \h </w:instrText>
        </w:r>
        <w:r>
          <w:rPr>
            <w:webHidden/>
          </w:rPr>
        </w:r>
        <w:r>
          <w:rPr>
            <w:webHidden/>
          </w:rPr>
          <w:fldChar w:fldCharType="separate"/>
        </w:r>
        <w:r>
          <w:rPr>
            <w:webHidden/>
          </w:rPr>
          <w:t>1</w:t>
        </w:r>
        <w:r>
          <w:rPr>
            <w:webHidden/>
          </w:rPr>
          <w:fldChar w:fldCharType="end"/>
        </w:r>
      </w:hyperlink>
    </w:p>
    <w:p w:rsidR="00B151B2" w:rsidRDefault="005569F0">
      <w:pPr>
        <w:pStyle w:val="TOC2"/>
        <w:tabs>
          <w:tab w:val="right" w:leader="dot" w:pos="8835"/>
        </w:tabs>
        <w:rPr>
          <w:rFonts w:ascii="Times New Roman" w:hAnsi="Times New Roman"/>
          <w:noProof/>
        </w:rPr>
      </w:pPr>
      <w:hyperlink w:anchor="_Toc296608478" w:history="1">
        <w:r w:rsidR="00B151B2">
          <w:rPr>
            <w:rStyle w:val="Hyperlink"/>
            <w:noProof/>
          </w:rPr>
          <w:t>Outline of the process</w:t>
        </w:r>
        <w:r w:rsidR="00B151B2">
          <w:rPr>
            <w:noProof/>
            <w:webHidden/>
          </w:rPr>
          <w:tab/>
        </w:r>
        <w:r w:rsidR="00B151B2">
          <w:rPr>
            <w:noProof/>
            <w:webHidden/>
          </w:rPr>
          <w:fldChar w:fldCharType="begin"/>
        </w:r>
        <w:r w:rsidR="00B151B2">
          <w:rPr>
            <w:noProof/>
            <w:webHidden/>
          </w:rPr>
          <w:instrText xml:space="preserve"> PAGEREF _Toc296608478 \h </w:instrText>
        </w:r>
        <w:r w:rsidR="00B151B2">
          <w:rPr>
            <w:noProof/>
            <w:webHidden/>
          </w:rPr>
        </w:r>
        <w:r w:rsidR="00B151B2">
          <w:rPr>
            <w:noProof/>
            <w:webHidden/>
          </w:rPr>
          <w:fldChar w:fldCharType="separate"/>
        </w:r>
        <w:r w:rsidR="00B151B2">
          <w:rPr>
            <w:noProof/>
            <w:webHidden/>
          </w:rPr>
          <w:t>1</w:t>
        </w:r>
        <w:r w:rsidR="00B151B2">
          <w:rPr>
            <w:noProof/>
            <w:webHidden/>
          </w:rPr>
          <w:fldChar w:fldCharType="end"/>
        </w:r>
      </w:hyperlink>
    </w:p>
    <w:p w:rsidR="00B151B2" w:rsidRDefault="005569F0">
      <w:pPr>
        <w:pStyle w:val="TOC1"/>
        <w:tabs>
          <w:tab w:val="right" w:leader="dot" w:pos="8835"/>
        </w:tabs>
        <w:rPr>
          <w:rFonts w:ascii="Times New Roman" w:hAnsi="Times New Roman"/>
          <w:caps w:val="0"/>
        </w:rPr>
      </w:pPr>
      <w:hyperlink w:anchor="_Toc296608479" w:history="1">
        <w:r w:rsidR="00B151B2">
          <w:rPr>
            <w:rStyle w:val="Hyperlink"/>
          </w:rPr>
          <w:t>2. EXPLANATORY STATEMENT</w:t>
        </w:r>
        <w:r w:rsidR="00B151B2">
          <w:rPr>
            <w:webHidden/>
          </w:rPr>
          <w:tab/>
        </w:r>
        <w:r w:rsidR="00B151B2">
          <w:rPr>
            <w:webHidden/>
          </w:rPr>
          <w:fldChar w:fldCharType="begin"/>
        </w:r>
        <w:r w:rsidR="00B151B2">
          <w:rPr>
            <w:webHidden/>
          </w:rPr>
          <w:instrText xml:space="preserve"> PAGEREF _Toc296608479 \h </w:instrText>
        </w:r>
        <w:r w:rsidR="00B151B2">
          <w:rPr>
            <w:webHidden/>
          </w:rPr>
        </w:r>
        <w:r w:rsidR="00B151B2">
          <w:rPr>
            <w:webHidden/>
          </w:rPr>
          <w:fldChar w:fldCharType="separate"/>
        </w:r>
        <w:r w:rsidR="00B151B2">
          <w:rPr>
            <w:webHidden/>
          </w:rPr>
          <w:t>1</w:t>
        </w:r>
        <w:r w:rsidR="00B151B2">
          <w:rPr>
            <w:webHidden/>
          </w:rPr>
          <w:fldChar w:fldCharType="end"/>
        </w:r>
      </w:hyperlink>
    </w:p>
    <w:p w:rsidR="00B151B2" w:rsidRDefault="005569F0">
      <w:pPr>
        <w:pStyle w:val="TOC2"/>
        <w:tabs>
          <w:tab w:val="right" w:leader="dot" w:pos="8835"/>
        </w:tabs>
        <w:rPr>
          <w:rFonts w:ascii="Times New Roman" w:hAnsi="Times New Roman"/>
          <w:noProof/>
        </w:rPr>
      </w:pPr>
      <w:hyperlink w:anchor="_Toc296608480" w:history="1">
        <w:r w:rsidR="00B151B2">
          <w:rPr>
            <w:rStyle w:val="Hyperlink"/>
            <w:noProof/>
          </w:rPr>
          <w:t>Background</w:t>
        </w:r>
        <w:r w:rsidR="00B151B2">
          <w:rPr>
            <w:noProof/>
            <w:webHidden/>
          </w:rPr>
          <w:tab/>
        </w:r>
        <w:r w:rsidR="00B151B2">
          <w:rPr>
            <w:noProof/>
            <w:webHidden/>
          </w:rPr>
          <w:fldChar w:fldCharType="begin"/>
        </w:r>
        <w:r w:rsidR="00B151B2">
          <w:rPr>
            <w:noProof/>
            <w:webHidden/>
          </w:rPr>
          <w:instrText xml:space="preserve"> PAGEREF _Toc296608480 \h </w:instrText>
        </w:r>
        <w:r w:rsidR="00B151B2">
          <w:rPr>
            <w:noProof/>
            <w:webHidden/>
          </w:rPr>
        </w:r>
        <w:r w:rsidR="00B151B2">
          <w:rPr>
            <w:noProof/>
            <w:webHidden/>
          </w:rPr>
          <w:fldChar w:fldCharType="separate"/>
        </w:r>
        <w:r w:rsidR="00B151B2">
          <w:rPr>
            <w:noProof/>
            <w:webHidden/>
          </w:rPr>
          <w:t>1</w:t>
        </w:r>
        <w:r w:rsidR="00B151B2">
          <w:rPr>
            <w:noProof/>
            <w:webHidden/>
          </w:rPr>
          <w:fldChar w:fldCharType="end"/>
        </w:r>
      </w:hyperlink>
    </w:p>
    <w:p w:rsidR="00B151B2" w:rsidRDefault="005569F0">
      <w:pPr>
        <w:pStyle w:val="TOC2"/>
        <w:tabs>
          <w:tab w:val="right" w:leader="dot" w:pos="8835"/>
        </w:tabs>
        <w:rPr>
          <w:rFonts w:ascii="Times New Roman" w:hAnsi="Times New Roman"/>
          <w:noProof/>
        </w:rPr>
      </w:pPr>
      <w:hyperlink w:anchor="_Toc296608481" w:history="1">
        <w:r w:rsidR="00B151B2">
          <w:rPr>
            <w:rStyle w:val="Hyperlink"/>
            <w:noProof/>
          </w:rPr>
          <w:t>Proposed Changes and Reasons</w:t>
        </w:r>
        <w:r w:rsidR="00B151B2">
          <w:rPr>
            <w:noProof/>
            <w:webHidden/>
          </w:rPr>
          <w:tab/>
        </w:r>
        <w:r w:rsidR="00B151B2">
          <w:rPr>
            <w:noProof/>
            <w:webHidden/>
          </w:rPr>
          <w:fldChar w:fldCharType="begin"/>
        </w:r>
        <w:r w:rsidR="00B151B2">
          <w:rPr>
            <w:noProof/>
            <w:webHidden/>
          </w:rPr>
          <w:instrText xml:space="preserve"> PAGEREF _Toc296608481 \h </w:instrText>
        </w:r>
        <w:r w:rsidR="00B151B2">
          <w:rPr>
            <w:noProof/>
            <w:webHidden/>
          </w:rPr>
        </w:r>
        <w:r w:rsidR="00B151B2">
          <w:rPr>
            <w:noProof/>
            <w:webHidden/>
          </w:rPr>
          <w:fldChar w:fldCharType="separate"/>
        </w:r>
        <w:r w:rsidR="00B151B2">
          <w:rPr>
            <w:noProof/>
            <w:webHidden/>
          </w:rPr>
          <w:t>1</w:t>
        </w:r>
        <w:r w:rsidR="00B151B2">
          <w:rPr>
            <w:noProof/>
            <w:webHidden/>
          </w:rPr>
          <w:fldChar w:fldCharType="end"/>
        </w:r>
      </w:hyperlink>
    </w:p>
    <w:p w:rsidR="00B151B2" w:rsidRDefault="005569F0">
      <w:pPr>
        <w:pStyle w:val="TOC1"/>
        <w:tabs>
          <w:tab w:val="right" w:leader="dot" w:pos="8835"/>
        </w:tabs>
        <w:rPr>
          <w:rFonts w:ascii="Times New Roman" w:hAnsi="Times New Roman"/>
          <w:caps w:val="0"/>
        </w:rPr>
      </w:pPr>
      <w:hyperlink w:anchor="_Toc296608482" w:history="1">
        <w:r w:rsidR="00B151B2">
          <w:rPr>
            <w:rStyle w:val="Hyperlink"/>
          </w:rPr>
          <w:t>3. TECHNICAL AMENDMENT</w:t>
        </w:r>
        <w:r w:rsidR="00B151B2">
          <w:rPr>
            <w:webHidden/>
          </w:rPr>
          <w:tab/>
        </w:r>
        <w:r w:rsidR="00B151B2">
          <w:rPr>
            <w:webHidden/>
          </w:rPr>
          <w:fldChar w:fldCharType="begin"/>
        </w:r>
        <w:r w:rsidR="00B151B2">
          <w:rPr>
            <w:webHidden/>
          </w:rPr>
          <w:instrText xml:space="preserve"> PAGEREF _Toc296608482 \h </w:instrText>
        </w:r>
        <w:r w:rsidR="00B151B2">
          <w:rPr>
            <w:webHidden/>
          </w:rPr>
        </w:r>
        <w:r w:rsidR="00B151B2">
          <w:rPr>
            <w:webHidden/>
          </w:rPr>
          <w:fldChar w:fldCharType="separate"/>
        </w:r>
        <w:r w:rsidR="00B151B2">
          <w:rPr>
            <w:webHidden/>
          </w:rPr>
          <w:t>1</w:t>
        </w:r>
        <w:r w:rsidR="00B151B2">
          <w:rPr>
            <w:webHidden/>
          </w:rPr>
          <w:fldChar w:fldCharType="end"/>
        </w:r>
      </w:hyperlink>
    </w:p>
    <w:p w:rsidR="00B151B2" w:rsidRDefault="005569F0">
      <w:pPr>
        <w:pStyle w:val="TOC3"/>
        <w:rPr>
          <w:rFonts w:ascii="Times New Roman" w:hAnsi="Times New Roman"/>
          <w:noProof/>
        </w:rPr>
      </w:pPr>
      <w:hyperlink w:anchor="_Toc296608483" w:history="1">
        <w:r w:rsidR="00B151B2">
          <w:rPr>
            <w:rStyle w:val="Hyperlink"/>
            <w:noProof/>
          </w:rPr>
          <w:t>3.1 Code Amendment</w:t>
        </w:r>
        <w:r w:rsidR="00B151B2">
          <w:rPr>
            <w:noProof/>
            <w:webHidden/>
          </w:rPr>
          <w:tab/>
        </w:r>
        <w:r w:rsidR="00B151B2">
          <w:rPr>
            <w:noProof/>
            <w:webHidden/>
          </w:rPr>
          <w:fldChar w:fldCharType="begin"/>
        </w:r>
        <w:r w:rsidR="00B151B2">
          <w:rPr>
            <w:noProof/>
            <w:webHidden/>
          </w:rPr>
          <w:instrText xml:space="preserve"> PAGEREF _Toc296608483 \h </w:instrText>
        </w:r>
        <w:r w:rsidR="00B151B2">
          <w:rPr>
            <w:noProof/>
            <w:webHidden/>
          </w:rPr>
        </w:r>
        <w:r w:rsidR="00B151B2">
          <w:rPr>
            <w:noProof/>
            <w:webHidden/>
          </w:rPr>
          <w:fldChar w:fldCharType="separate"/>
        </w:r>
        <w:r w:rsidR="00B151B2">
          <w:rPr>
            <w:noProof/>
            <w:webHidden/>
          </w:rPr>
          <w:t>1</w:t>
        </w:r>
        <w:r w:rsidR="00B151B2">
          <w:rPr>
            <w:noProof/>
            <w:webHidden/>
          </w:rPr>
          <w:fldChar w:fldCharType="end"/>
        </w:r>
      </w:hyperlink>
    </w:p>
    <w:p w:rsidR="00B151B2" w:rsidRDefault="00B151B2">
      <w:pPr>
        <w:pStyle w:val="TAbodytext"/>
      </w:pPr>
      <w:r>
        <w:fldChar w:fldCharType="end"/>
      </w:r>
    </w:p>
    <w:p w:rsidR="00B151B2" w:rsidRDefault="00B151B2">
      <w:pPr>
        <w:pStyle w:val="TAbodytext"/>
      </w:pPr>
    </w:p>
    <w:p w:rsidR="00B151B2" w:rsidRDefault="00B151B2">
      <w:pPr>
        <w:pStyle w:val="TAbodytext"/>
        <w:sectPr w:rsidR="00B151B2">
          <w:footerReference w:type="default" r:id="rId14"/>
          <w:pgSz w:w="11907" w:h="16840"/>
          <w:pgMar w:top="1361" w:right="1531" w:bottom="1559" w:left="1531" w:header="720" w:footer="1009" w:gutter="0"/>
          <w:pgNumType w:fmt="lowerRoman" w:start="1"/>
          <w:cols w:space="720"/>
        </w:sectPr>
      </w:pPr>
    </w:p>
    <w:p w:rsidR="00B151B2" w:rsidRDefault="00B151B2">
      <w:pPr>
        <w:pStyle w:val="TAsectionheading"/>
      </w:pPr>
      <w:bookmarkStart w:id="3" w:name="_Toc254851535"/>
      <w:bookmarkStart w:id="4" w:name="_Toc296608477"/>
      <w:r>
        <w:lastRenderedPageBreak/>
        <w:t>INTRODUCTION</w:t>
      </w:r>
      <w:bookmarkEnd w:id="3"/>
      <w:bookmarkEnd w:id="4"/>
    </w:p>
    <w:p w:rsidR="00B151B2" w:rsidRDefault="00B151B2">
      <w:pPr>
        <w:pStyle w:val="TAsectionheading2"/>
      </w:pPr>
      <w:bookmarkStart w:id="5" w:name="_Toc254851536"/>
      <w:bookmarkStart w:id="6" w:name="_Toc296608478"/>
      <w:r>
        <w:t>Outline of the process</w:t>
      </w:r>
      <w:bookmarkEnd w:id="5"/>
      <w:bookmarkEnd w:id="6"/>
    </w:p>
    <w:p w:rsidR="00B151B2" w:rsidRDefault="00B151B2">
      <w:pPr>
        <w:autoSpaceDE w:val="0"/>
        <w:autoSpaceDN w:val="0"/>
        <w:adjustRightInd w:val="0"/>
        <w:rPr>
          <w:rFonts w:cs="Arial"/>
        </w:rPr>
      </w:pPr>
      <w:bookmarkStart w:id="7" w:name="_Toc214687943"/>
      <w:r>
        <w:rPr>
          <w:rFonts w:cs="Arial"/>
        </w:rPr>
        <w:t xml:space="preserve">The Commonwealth’s </w:t>
      </w:r>
      <w:smartTag w:uri="urn:schemas-microsoft-com:office:smarttags" w:element="State">
        <w:smartTag w:uri="urn:schemas-microsoft-com:office:smarttags" w:element="place">
          <w:r>
            <w:rPr>
              <w:rFonts w:cs="Arial"/>
              <w:i/>
              <w:iCs/>
            </w:rPr>
            <w:t>Australian Capital Territory</w:t>
          </w:r>
        </w:smartTag>
      </w:smartTag>
      <w:r>
        <w:rPr>
          <w:rFonts w:cs="Arial"/>
          <w:i/>
          <w:iCs/>
        </w:rPr>
        <w:t xml:space="preserve"> (Planning and Land Management) Act 1988 </w:t>
      </w:r>
      <w:r>
        <w:rPr>
          <w:rFonts w:cs="Arial"/>
        </w:rPr>
        <w:t xml:space="preserve">allows for the Legislative Assembly to make laws to establish a Territory Planning Authority and for that Authority to prepare and administer a territory plan. </w:t>
      </w:r>
    </w:p>
    <w:p w:rsidR="00B151B2" w:rsidRDefault="00B151B2">
      <w:pPr>
        <w:autoSpaceDE w:val="0"/>
        <w:autoSpaceDN w:val="0"/>
        <w:adjustRightInd w:val="0"/>
        <w:spacing w:before="120"/>
        <w:rPr>
          <w:rFonts w:cs="Arial"/>
        </w:rPr>
      </w:pPr>
      <w:r>
        <w:rPr>
          <w:rFonts w:cs="Arial"/>
        </w:rPr>
        <w:t xml:space="preserve">The </w:t>
      </w:r>
      <w:r>
        <w:rPr>
          <w:rFonts w:cs="Arial"/>
          <w:i/>
          <w:iCs/>
        </w:rPr>
        <w:t>Planning and Development Act 2007</w:t>
      </w:r>
      <w:r>
        <w:rPr>
          <w:rFonts w:cs="Arial"/>
          <w:iCs/>
        </w:rPr>
        <w:t xml:space="preserve"> (the Act)</w:t>
      </w:r>
      <w:r>
        <w:rPr>
          <w:rFonts w:cs="Arial"/>
          <w:i/>
          <w:iCs/>
        </w:rPr>
        <w:t xml:space="preserve"> </w:t>
      </w:r>
      <w:r>
        <w:rPr>
          <w:rFonts w:cs="Arial"/>
        </w:rPr>
        <w:t>establishes the ACT Planning and Land Authority as the Authority which prepares and administers the territory plan, including continually reviewing and proposing amendments as necessary.</w:t>
      </w:r>
    </w:p>
    <w:p w:rsidR="00B151B2" w:rsidRDefault="00B151B2">
      <w:pPr>
        <w:pStyle w:val="BodyText"/>
        <w:autoSpaceDE w:val="0"/>
        <w:autoSpaceDN w:val="0"/>
        <w:adjustRightInd w:val="0"/>
        <w:spacing w:before="120" w:after="0"/>
        <w:rPr>
          <w:rFonts w:cs="Arial"/>
        </w:rPr>
      </w:pPr>
      <w:r>
        <w:rPr>
          <w:rFonts w:cs="Arial"/>
        </w:rPr>
        <w:t xml:space="preserve">Technical amendments to the territory plan are prepared in accordance with the </w:t>
      </w:r>
      <w:r>
        <w:rPr>
          <w:rFonts w:cs="Arial"/>
          <w:iCs/>
        </w:rPr>
        <w:t>Act</w:t>
      </w:r>
      <w:r>
        <w:rPr>
          <w:rFonts w:cs="Arial"/>
        </w:rPr>
        <w:t>.  This technical amendment has been prepared in accordance with the following two sections of the Act:</w:t>
      </w:r>
    </w:p>
    <w:p w:rsidR="00B151B2" w:rsidRDefault="00B151B2">
      <w:pPr>
        <w:pStyle w:val="BodyText"/>
        <w:spacing w:before="120"/>
        <w:rPr>
          <w:rFonts w:cs="Arial"/>
        </w:rPr>
      </w:pPr>
      <w:r>
        <w:rPr>
          <w:rFonts w:cs="Arial"/>
        </w:rPr>
        <w:t>A code variation (section 87(b) of the Act) is a technical amendment that</w:t>
      </w:r>
    </w:p>
    <w:p w:rsidR="00B151B2" w:rsidRDefault="00B151B2">
      <w:pPr>
        <w:pStyle w:val="BodyText"/>
        <w:numPr>
          <w:ilvl w:val="0"/>
          <w:numId w:val="2"/>
        </w:numPr>
        <w:tabs>
          <w:tab w:val="left" w:pos="1440"/>
        </w:tabs>
        <w:ind w:left="1287"/>
        <w:rPr>
          <w:rFonts w:cs="Arial"/>
        </w:rPr>
      </w:pPr>
      <w:r>
        <w:rPr>
          <w:rFonts w:cs="Arial"/>
        </w:rPr>
        <w:t>would only change a code; and</w:t>
      </w:r>
    </w:p>
    <w:p w:rsidR="00B151B2" w:rsidRDefault="00B151B2">
      <w:pPr>
        <w:pStyle w:val="BodyText"/>
        <w:numPr>
          <w:ilvl w:val="0"/>
          <w:numId w:val="2"/>
        </w:numPr>
        <w:tabs>
          <w:tab w:val="left" w:pos="1440"/>
        </w:tabs>
        <w:ind w:left="1440" w:hanging="873"/>
        <w:rPr>
          <w:rFonts w:cs="Arial"/>
        </w:rPr>
      </w:pPr>
      <w:r>
        <w:rPr>
          <w:rFonts w:cs="Arial"/>
        </w:rPr>
        <w:t xml:space="preserve">is consistent with the policy purpose and policy framework of the code; and </w:t>
      </w:r>
    </w:p>
    <w:p w:rsidR="00B151B2" w:rsidRDefault="00B151B2">
      <w:pPr>
        <w:pStyle w:val="BodyText"/>
        <w:numPr>
          <w:ilvl w:val="0"/>
          <w:numId w:val="2"/>
        </w:numPr>
        <w:tabs>
          <w:tab w:val="left" w:pos="1440"/>
        </w:tabs>
        <w:spacing w:after="0"/>
        <w:ind w:left="1287"/>
        <w:rPr>
          <w:rFonts w:cs="Arial"/>
        </w:rPr>
      </w:pPr>
      <w:r>
        <w:rPr>
          <w:rFonts w:cs="Arial"/>
        </w:rPr>
        <w:t>is not an error variation.</w:t>
      </w:r>
    </w:p>
    <w:p w:rsidR="00B151B2" w:rsidRDefault="00B151B2">
      <w:pPr>
        <w:pStyle w:val="BodyText"/>
        <w:tabs>
          <w:tab w:val="left" w:pos="1440"/>
        </w:tabs>
        <w:spacing w:after="0"/>
        <w:rPr>
          <w:rFonts w:cs="Arial"/>
        </w:rPr>
      </w:pPr>
    </w:p>
    <w:p w:rsidR="00B151B2" w:rsidRDefault="00B151B2">
      <w:pPr>
        <w:pStyle w:val="BodyText"/>
        <w:spacing w:after="0"/>
        <w:jc w:val="both"/>
        <w:rPr>
          <w:rFonts w:cs="Arial"/>
        </w:rPr>
      </w:pPr>
      <w:r>
        <w:rPr>
          <w:rFonts w:cs="Arial"/>
        </w:rPr>
        <w:t>Following the release of the variation under section 90 of the Act, submissions from the public were invited.  At the conclusion of the limited consultation period, representations (if any) were considered by the ACT Planning and Land Authority (the Authority).  The Authority then determines a day when the code variation commences by way of a commencement notice.  The date of commencement is provided on the attached notifiable instrument (commencement notice).</w:t>
      </w:r>
    </w:p>
    <w:p w:rsidR="00B151B2" w:rsidRDefault="00B151B2">
      <w:pPr>
        <w:pStyle w:val="BodyText"/>
        <w:tabs>
          <w:tab w:val="left" w:pos="1440"/>
        </w:tabs>
        <w:rPr>
          <w:rFonts w:cs="Arial"/>
        </w:rPr>
      </w:pPr>
    </w:p>
    <w:p w:rsidR="00B151B2" w:rsidRDefault="00B151B2">
      <w:pPr>
        <w:pStyle w:val="BodyText"/>
        <w:spacing w:after="0"/>
        <w:jc w:val="both"/>
      </w:pPr>
    </w:p>
    <w:p w:rsidR="00B151B2" w:rsidRDefault="00B151B2">
      <w:pPr>
        <w:spacing w:after="120"/>
        <w:rPr>
          <w:rFonts w:cs="Arial"/>
          <w:bCs/>
        </w:rPr>
      </w:pPr>
    </w:p>
    <w:p w:rsidR="00B151B2" w:rsidRDefault="00B151B2">
      <w:pPr>
        <w:pStyle w:val="TAbodytext"/>
      </w:pPr>
      <w:r>
        <w:t xml:space="preserve"> </w:t>
      </w:r>
    </w:p>
    <w:p w:rsidR="00B151B2" w:rsidRDefault="00B151B2">
      <w:pPr>
        <w:pStyle w:val="TAbodytext"/>
      </w:pPr>
    </w:p>
    <w:bookmarkEnd w:id="7"/>
    <w:p w:rsidR="00B151B2" w:rsidRDefault="00B151B2">
      <w:pPr>
        <w:pStyle w:val="TAsectionheading"/>
      </w:pPr>
      <w:r>
        <w:br w:type="page"/>
      </w:r>
      <w:bookmarkStart w:id="8" w:name="_Toc254851537"/>
      <w:bookmarkStart w:id="9" w:name="_Toc296608479"/>
      <w:r>
        <w:lastRenderedPageBreak/>
        <w:t>EXPLANATORY STATEMENT</w:t>
      </w:r>
      <w:bookmarkEnd w:id="8"/>
      <w:bookmarkEnd w:id="9"/>
    </w:p>
    <w:p w:rsidR="00B151B2" w:rsidRDefault="00B151B2">
      <w:pPr>
        <w:pStyle w:val="TAsectionheading2"/>
      </w:pPr>
      <w:bookmarkStart w:id="10" w:name="_Toc296608480"/>
      <w:bookmarkStart w:id="11" w:name="_Toc254851538"/>
      <w:r>
        <w:t>Background</w:t>
      </w:r>
      <w:bookmarkEnd w:id="10"/>
    </w:p>
    <w:p w:rsidR="00B151B2" w:rsidRDefault="00B151B2">
      <w:pPr>
        <w:pStyle w:val="TAbodytext"/>
        <w:spacing w:after="0"/>
      </w:pPr>
      <w:r>
        <w:t xml:space="preserve">The ACT Planning and Land Authority is undertaking a review of the commercial zones and has released a </w:t>
      </w:r>
      <w:r>
        <w:rPr>
          <w:i/>
        </w:rPr>
        <w:t xml:space="preserve">Commercial zones policy review Discussion Paper, Phase 1 </w:t>
      </w:r>
      <w:r>
        <w:t>dated May 2011.  Comments on this paper are invited until 4 July 2011.</w:t>
      </w:r>
    </w:p>
    <w:p w:rsidR="00B151B2" w:rsidRDefault="00B151B2">
      <w:pPr>
        <w:pStyle w:val="TAbodytext"/>
        <w:spacing w:after="0"/>
      </w:pPr>
      <w:r>
        <w:t>The discussion paper focuses on:</w:t>
      </w:r>
    </w:p>
    <w:p w:rsidR="00B151B2" w:rsidRDefault="00B151B2">
      <w:pPr>
        <w:pStyle w:val="TAbodytext"/>
        <w:spacing w:after="0"/>
      </w:pPr>
    </w:p>
    <w:p w:rsidR="00B151B2" w:rsidRDefault="00B151B2">
      <w:pPr>
        <w:pStyle w:val="TAbodytext"/>
        <w:numPr>
          <w:ilvl w:val="0"/>
          <w:numId w:val="16"/>
        </w:numPr>
        <w:spacing w:after="0"/>
        <w:ind w:left="714" w:hanging="357"/>
      </w:pPr>
      <w:r>
        <w:t xml:space="preserve">the objectives and development table of the commercial zones </w:t>
      </w:r>
    </w:p>
    <w:p w:rsidR="00B151B2" w:rsidRDefault="00B151B2">
      <w:pPr>
        <w:pStyle w:val="TAbodytext"/>
        <w:numPr>
          <w:ilvl w:val="0"/>
          <w:numId w:val="16"/>
        </w:numPr>
        <w:spacing w:after="0"/>
        <w:ind w:left="714" w:hanging="357"/>
      </w:pPr>
      <w:r>
        <w:t xml:space="preserve">the group centre development code </w:t>
      </w:r>
    </w:p>
    <w:p w:rsidR="00B151B2" w:rsidRDefault="00B151B2">
      <w:pPr>
        <w:pStyle w:val="TAbodytext"/>
        <w:numPr>
          <w:ilvl w:val="0"/>
          <w:numId w:val="16"/>
        </w:numPr>
        <w:spacing w:after="0"/>
        <w:ind w:left="714" w:hanging="357"/>
      </w:pPr>
      <w:r>
        <w:t>the local centre development code</w:t>
      </w:r>
    </w:p>
    <w:p w:rsidR="00B151B2" w:rsidRDefault="00B151B2">
      <w:pPr>
        <w:pStyle w:val="TAbodytext"/>
        <w:spacing w:after="0"/>
        <w:ind w:left="357"/>
      </w:pPr>
    </w:p>
    <w:p w:rsidR="00B151B2" w:rsidRDefault="00B151B2">
      <w:pPr>
        <w:pStyle w:val="TAbodytext"/>
        <w:spacing w:after="0"/>
      </w:pPr>
      <w:r>
        <w:t xml:space="preserve">The discussion paper responds to the </w:t>
      </w:r>
      <w:r>
        <w:rPr>
          <w:i/>
        </w:rPr>
        <w:t xml:space="preserve">Review of ACT Supermarket Competition Policy, September 2009 </w:t>
      </w:r>
      <w:r>
        <w:t xml:space="preserve">prepared by John Martin (known as the Martin Report) which calls for ‘zoning reform’ generally across commercial centres to increase potential land supply for new supermarkets. </w:t>
      </w:r>
    </w:p>
    <w:p w:rsidR="00B151B2" w:rsidRDefault="00B151B2">
      <w:pPr>
        <w:pStyle w:val="TAbodytext"/>
        <w:spacing w:after="0"/>
      </w:pPr>
    </w:p>
    <w:p w:rsidR="00B151B2" w:rsidRDefault="00B151B2">
      <w:pPr>
        <w:pStyle w:val="TAfiguretext"/>
        <w:spacing w:after="0"/>
        <w:rPr>
          <w:sz w:val="24"/>
        </w:rPr>
      </w:pPr>
      <w:r>
        <w:rPr>
          <w:sz w:val="24"/>
        </w:rPr>
        <w:t xml:space="preserve">On 10 January 2011 the Chief Minister announced in-principle support to the direct sale of land to ALDI at various sites, including at the Chisholm Group Centre to increase choice and value for money for </w:t>
      </w:r>
      <w:smartTag w:uri="urn:schemas-microsoft-com:office:smarttags" w:element="City">
        <w:smartTag w:uri="urn:schemas-microsoft-com:office:smarttags" w:element="place">
          <w:r>
            <w:rPr>
              <w:sz w:val="24"/>
            </w:rPr>
            <w:t>Canberra</w:t>
          </w:r>
        </w:smartTag>
      </w:smartTag>
      <w:r>
        <w:rPr>
          <w:sz w:val="24"/>
        </w:rPr>
        <w:t xml:space="preserve"> residents.</w:t>
      </w:r>
    </w:p>
    <w:p w:rsidR="00B151B2" w:rsidRDefault="00B151B2">
      <w:pPr>
        <w:pStyle w:val="TAbodytext"/>
        <w:spacing w:after="0"/>
      </w:pPr>
    </w:p>
    <w:p w:rsidR="00B151B2" w:rsidRDefault="00B151B2">
      <w:pPr>
        <w:pStyle w:val="TAbodytext"/>
        <w:spacing w:after="0"/>
      </w:pPr>
      <w:r>
        <w:t>It is in the context of this review and the Government’s in-principle decision that the decision to undertake this technical amendment has been made.   The technical amendment will enable the development of a 1500 m</w:t>
      </w:r>
      <w:r>
        <w:rPr>
          <w:vertAlign w:val="superscript"/>
        </w:rPr>
        <w:t>2</w:t>
      </w:r>
      <w:r>
        <w:t xml:space="preserve"> supermarket at a site in the commercial CZ3 services zone at Chisholm.</w:t>
      </w:r>
    </w:p>
    <w:p w:rsidR="00B151B2" w:rsidRDefault="00B151B2">
      <w:pPr>
        <w:pStyle w:val="TAbodytext"/>
        <w:spacing w:after="0"/>
      </w:pPr>
    </w:p>
    <w:p w:rsidR="00B151B2" w:rsidRDefault="00B151B2">
      <w:pPr>
        <w:pStyle w:val="TAfiguretext"/>
        <w:spacing w:after="0"/>
        <w:rPr>
          <w:sz w:val="24"/>
        </w:rPr>
      </w:pPr>
      <w:r>
        <w:rPr>
          <w:sz w:val="24"/>
        </w:rPr>
        <w:t>The core area of the group centre at Chisholm was developed from 1986.  The main shopping area was developed in the commercial CZ1 core zone and contains an anchor supermarket, being Coles and a variety of smaller shops, including a bakery, butcher, fruit and vegetable store, chemist and newsagency.  The development also includes a medical facility, restaurants and other associated uses.  These facilities are grouped around a central shared car park.  Some tenancies are currently vacant.</w:t>
      </w:r>
    </w:p>
    <w:p w:rsidR="00B151B2" w:rsidRDefault="00B151B2">
      <w:pPr>
        <w:pStyle w:val="TAfiguretext"/>
        <w:spacing w:after="0"/>
        <w:rPr>
          <w:sz w:val="24"/>
        </w:rPr>
      </w:pPr>
    </w:p>
    <w:p w:rsidR="00B151B2" w:rsidRDefault="00B151B2">
      <w:pPr>
        <w:pStyle w:val="TAfiguretext"/>
        <w:spacing w:after="0"/>
        <w:rPr>
          <w:sz w:val="24"/>
        </w:rPr>
      </w:pPr>
      <w:r>
        <w:rPr>
          <w:sz w:val="24"/>
        </w:rPr>
        <w:t>The remainder of the group centre is located within the commercial CZ3 zone.  The uses in this zone include a petrol station, the Vikings Club, a park and ride facility a fire station and a multi unit housing development.  There are tenancy vacancies in a commercial building within the zone.  There is one remaining vacant site in the CZ3 zone which is the subject of this variation.</w:t>
      </w:r>
    </w:p>
    <w:p w:rsidR="00B151B2" w:rsidRDefault="00B151B2">
      <w:pPr>
        <w:pStyle w:val="TAfiguretext"/>
        <w:spacing w:after="0"/>
        <w:rPr>
          <w:sz w:val="24"/>
        </w:rPr>
      </w:pPr>
    </w:p>
    <w:p w:rsidR="00B151B2" w:rsidRDefault="00B151B2">
      <w:pPr>
        <w:pStyle w:val="TAfiguretext"/>
        <w:spacing w:after="0"/>
        <w:rPr>
          <w:sz w:val="24"/>
        </w:rPr>
      </w:pPr>
      <w:r>
        <w:rPr>
          <w:sz w:val="24"/>
        </w:rPr>
        <w:t>Surrounding the Chisholm Group Centre are number of community facilities, including a child care centre and a church.  These facilities are contained within the community facilities zone (CFZ).</w:t>
      </w:r>
    </w:p>
    <w:p w:rsidR="00B151B2" w:rsidRDefault="00B151B2">
      <w:pPr>
        <w:pStyle w:val="TAbodytext"/>
      </w:pPr>
    </w:p>
    <w:p w:rsidR="00B151B2" w:rsidRDefault="00B151B2">
      <w:pPr>
        <w:pStyle w:val="TAsectionheading2"/>
      </w:pPr>
      <w:r>
        <w:br w:type="page"/>
      </w:r>
      <w:bookmarkStart w:id="12" w:name="_Toc296608481"/>
      <w:r>
        <w:lastRenderedPageBreak/>
        <w:t>Proposed Changes and Reasons</w:t>
      </w:r>
      <w:bookmarkEnd w:id="11"/>
      <w:bookmarkEnd w:id="12"/>
    </w:p>
    <w:p w:rsidR="00B151B2" w:rsidRDefault="00B151B2">
      <w:pPr>
        <w:pStyle w:val="TAexplanatorystatementsubheading"/>
        <w:numPr>
          <w:ilvl w:val="0"/>
          <w:numId w:val="0"/>
        </w:numPr>
      </w:pPr>
      <w:r>
        <w:t>Area specific principle to enable the development of a supermarket of up to 1500m</w:t>
      </w:r>
      <w:r>
        <w:rPr>
          <w:vertAlign w:val="superscript"/>
        </w:rPr>
        <w:t>2</w:t>
      </w:r>
    </w:p>
    <w:p w:rsidR="00B151B2" w:rsidRDefault="00B151B2">
      <w:pPr>
        <w:pStyle w:val="TAfiguretext"/>
        <w:spacing w:after="0"/>
        <w:rPr>
          <w:sz w:val="24"/>
        </w:rPr>
      </w:pPr>
    </w:p>
    <w:p w:rsidR="00B151B2" w:rsidRDefault="00B151B2">
      <w:pPr>
        <w:pStyle w:val="TAfiguretext"/>
        <w:spacing w:after="0"/>
        <w:rPr>
          <w:sz w:val="24"/>
        </w:rPr>
      </w:pPr>
      <w:r>
        <w:rPr>
          <w:sz w:val="24"/>
        </w:rPr>
        <w:t>The site identified for a small supermarket at the Chisholm Group Centre is section 598 block 7 (see Figure 1 below).  It is within the commercial CZ3 services zone which is intended to support the retail core by providing a mix of uses which contribute to an active and diverse character.  The zone objectives are located within the CZ1 – CZ6 objectives and development tables in the Territory Plan.  The provisions which guide development, including objectives for group centres and rules and criterion for the Chisholm Group Centre are contained within the group centres development code.  The Chisholm Group Centre comprises the commercial CZ1 core and CZ3 services zones.</w:t>
      </w:r>
    </w:p>
    <w:p w:rsidR="00B151B2" w:rsidRDefault="00B151B2">
      <w:pPr>
        <w:pStyle w:val="TAfiguretext"/>
        <w:spacing w:after="0"/>
        <w:rPr>
          <w:sz w:val="24"/>
        </w:rPr>
      </w:pPr>
    </w:p>
    <w:p w:rsidR="00B151B2" w:rsidRDefault="00B151B2">
      <w:pPr>
        <w:pStyle w:val="TAfiguretext"/>
        <w:spacing w:after="0"/>
        <w:rPr>
          <w:sz w:val="24"/>
        </w:rPr>
      </w:pPr>
      <w:r>
        <w:rPr>
          <w:sz w:val="24"/>
        </w:rPr>
        <w:t>The group centres development code indicates that the CZ3 zone is intended for:</w:t>
      </w:r>
    </w:p>
    <w:p w:rsidR="00B151B2" w:rsidRDefault="00B151B2">
      <w:pPr>
        <w:pStyle w:val="TAfiguretext"/>
        <w:spacing w:after="0"/>
        <w:rPr>
          <w:sz w:val="24"/>
        </w:rPr>
      </w:pPr>
    </w:p>
    <w:p w:rsidR="00B151B2" w:rsidRDefault="00B151B2">
      <w:pPr>
        <w:autoSpaceDE w:val="0"/>
        <w:autoSpaceDN w:val="0"/>
        <w:adjustRightInd w:val="0"/>
        <w:ind w:left="720"/>
        <w:rPr>
          <w:rFonts w:cs="Arial"/>
          <w:i/>
        </w:rPr>
      </w:pPr>
      <w:r>
        <w:rPr>
          <w:rFonts w:cs="Arial"/>
          <w:i/>
        </w:rPr>
        <w:t>more fringe commercial activities, primarily non-retail commercial uses,</w:t>
      </w:r>
    </w:p>
    <w:p w:rsidR="00B151B2" w:rsidRDefault="00B151B2">
      <w:pPr>
        <w:autoSpaceDE w:val="0"/>
        <w:autoSpaceDN w:val="0"/>
        <w:adjustRightInd w:val="0"/>
        <w:ind w:left="720"/>
        <w:rPr>
          <w:rFonts w:cs="Arial"/>
          <w:i/>
        </w:rPr>
      </w:pPr>
      <w:r>
        <w:rPr>
          <w:rFonts w:cs="Arial"/>
          <w:i/>
        </w:rPr>
        <w:t>commercial accommodation, and some restaurants and indoor entertainment and recreation facilities.  Residential and community uses are also permissible, subject to design and siting, provided they are</w:t>
      </w:r>
    </w:p>
    <w:p w:rsidR="00B151B2" w:rsidRDefault="00B151B2">
      <w:pPr>
        <w:pStyle w:val="TAfiguretext"/>
        <w:spacing w:after="0"/>
        <w:ind w:left="720"/>
        <w:rPr>
          <w:i/>
          <w:sz w:val="24"/>
        </w:rPr>
      </w:pPr>
      <w:r>
        <w:rPr>
          <w:rFonts w:cs="Arial"/>
          <w:i/>
          <w:sz w:val="24"/>
        </w:rPr>
        <w:t>not incompatible with primary uses.</w:t>
      </w:r>
    </w:p>
    <w:p w:rsidR="00B151B2" w:rsidRDefault="00B151B2">
      <w:pPr>
        <w:pStyle w:val="TAfiguretext"/>
        <w:spacing w:after="0"/>
        <w:rPr>
          <w:sz w:val="24"/>
        </w:rPr>
      </w:pPr>
    </w:p>
    <w:p w:rsidR="00B151B2" w:rsidRDefault="00B151B2">
      <w:pPr>
        <w:pStyle w:val="TAfiguretext"/>
        <w:spacing w:after="0"/>
        <w:rPr>
          <w:sz w:val="24"/>
        </w:rPr>
      </w:pPr>
      <w:r>
        <w:rPr>
          <w:sz w:val="24"/>
        </w:rPr>
        <w:t xml:space="preserve">The CZ3 zone is designed to support rather than contain core retail anchor stores, so as not to unduly restrict the development of the retail core contained in the CZ1 core zone.  In this instance, however, the core zone has been developed and the only undeveloped land is the subject site.  Enabling the development of a small supermarket (being an anchor store) may assist to draw pedestrians from the core area across </w:t>
      </w:r>
      <w:smartTag w:uri="urn:schemas-microsoft-com:office:smarttags" w:element="Street">
        <w:smartTag w:uri="urn:schemas-microsoft-com:office:smarttags" w:element="address">
          <w:r>
            <w:rPr>
              <w:sz w:val="24"/>
            </w:rPr>
            <w:t>Benham Street</w:t>
          </w:r>
        </w:smartTag>
      </w:smartTag>
      <w:r>
        <w:rPr>
          <w:sz w:val="24"/>
        </w:rPr>
        <w:t xml:space="preserve"> and encourage the filling of the current vacant sites both within the core area and the partially vacant building in the CZ3 zone.  The subject site has remained vacant since the development of the centre.</w:t>
      </w:r>
    </w:p>
    <w:p w:rsidR="00B151B2" w:rsidRDefault="00B151B2">
      <w:pPr>
        <w:pStyle w:val="TAfiguretext"/>
        <w:spacing w:after="0"/>
        <w:rPr>
          <w:sz w:val="24"/>
        </w:rPr>
      </w:pPr>
    </w:p>
    <w:p w:rsidR="00B151B2" w:rsidRDefault="00B151B2">
      <w:pPr>
        <w:pStyle w:val="TAfiguretext"/>
        <w:spacing w:after="0"/>
        <w:rPr>
          <w:sz w:val="24"/>
        </w:rPr>
      </w:pPr>
      <w:r>
        <w:rPr>
          <w:sz w:val="24"/>
        </w:rPr>
        <w:t xml:space="preserve">An analysis of the car parking requirements for the site and traffic management report indicates that traffic would be able to be managed appropriately.  Some car parking would be provided on-site with additional parking being available within the existing centre.  It is noted that as ALDI is not a full line supermarket it is likely that many visitors to the centre would visit both supermarkets, thereby limiting the additional number of vehicular trips generated.  There are currently good pedestrian links provided between the existing core of the centre and the subject site.  Consideration of their further enhancement to meet additional use needs would be made at the development application stage. </w:t>
      </w:r>
    </w:p>
    <w:p w:rsidR="00B151B2" w:rsidRDefault="00B151B2">
      <w:pPr>
        <w:pStyle w:val="TAfiguretext"/>
        <w:spacing w:after="0"/>
        <w:rPr>
          <w:sz w:val="24"/>
        </w:rPr>
      </w:pPr>
    </w:p>
    <w:p w:rsidR="00B151B2" w:rsidRDefault="00B151B2">
      <w:pPr>
        <w:pStyle w:val="TAfiguretext"/>
        <w:spacing w:after="0"/>
        <w:rPr>
          <w:sz w:val="24"/>
        </w:rPr>
      </w:pPr>
      <w:r>
        <w:rPr>
          <w:sz w:val="24"/>
        </w:rPr>
        <w:t>This technical amendment was prepared in the context of the broader commercial zones review, which is considering group centres in a more holistic manner, especially relating to restrictions on supermarkets (see under heading Background above).</w:t>
      </w:r>
    </w:p>
    <w:p w:rsidR="00B151B2" w:rsidRDefault="00B151B2">
      <w:pPr>
        <w:pStyle w:val="TAfiguretext"/>
        <w:spacing w:after="0"/>
        <w:rPr>
          <w:sz w:val="24"/>
        </w:rPr>
      </w:pPr>
    </w:p>
    <w:p w:rsidR="00B151B2" w:rsidRDefault="00B151B2">
      <w:pPr>
        <w:pStyle w:val="TAfiguretext"/>
        <w:spacing w:after="0"/>
        <w:rPr>
          <w:sz w:val="24"/>
        </w:rPr>
      </w:pPr>
    </w:p>
    <w:p w:rsidR="00B151B2" w:rsidRDefault="00B151B2">
      <w:pPr>
        <w:pStyle w:val="TAfiguretext"/>
        <w:spacing w:after="0"/>
        <w:rPr>
          <w:sz w:val="24"/>
        </w:rPr>
      </w:pPr>
      <w:r>
        <w:rPr>
          <w:sz w:val="24"/>
        </w:rPr>
        <w:t>Mandatory rule R25 in the group centres development code restricts a supermarket and a shop selling food to a maximum of 300m</w:t>
      </w:r>
      <w:r>
        <w:rPr>
          <w:sz w:val="24"/>
          <w:vertAlign w:val="superscript"/>
        </w:rPr>
        <w:t>2</w:t>
      </w:r>
      <w:r>
        <w:rPr>
          <w:sz w:val="24"/>
        </w:rPr>
        <w:t xml:space="preserve"> per shop.  Accordingly, the Territory Plan requires amendment to allow for a supermarket on this site of up to 1500m</w:t>
      </w:r>
      <w:r>
        <w:rPr>
          <w:sz w:val="24"/>
          <w:vertAlign w:val="superscript"/>
        </w:rPr>
        <w:t>2</w:t>
      </w:r>
      <w:r>
        <w:rPr>
          <w:sz w:val="24"/>
        </w:rPr>
        <w:t>.</w:t>
      </w:r>
    </w:p>
    <w:p w:rsidR="00B151B2" w:rsidRDefault="00B151B2">
      <w:pPr>
        <w:pStyle w:val="TAfiguretext"/>
        <w:spacing w:after="0"/>
        <w:rPr>
          <w:sz w:val="24"/>
        </w:rPr>
      </w:pPr>
    </w:p>
    <w:p w:rsidR="00B151B2" w:rsidRDefault="00B151B2">
      <w:pPr>
        <w:pStyle w:val="TAfiguretext"/>
        <w:spacing w:after="0"/>
        <w:rPr>
          <w:sz w:val="24"/>
        </w:rPr>
      </w:pPr>
    </w:p>
    <w:p w:rsidR="00B151B2" w:rsidRDefault="00B151B2">
      <w:pPr>
        <w:pStyle w:val="TAfiguretext"/>
        <w:spacing w:after="0"/>
        <w:rPr>
          <w:sz w:val="24"/>
        </w:rPr>
      </w:pPr>
    </w:p>
    <w:p w:rsidR="00B151B2" w:rsidRDefault="00B151B2">
      <w:pPr>
        <w:pStyle w:val="TAfiguretext"/>
        <w:spacing w:after="0"/>
        <w:rPr>
          <w:sz w:val="24"/>
        </w:rPr>
      </w:pPr>
    </w:p>
    <w:p w:rsidR="00B151B2" w:rsidRDefault="00B151B2">
      <w:pPr>
        <w:pStyle w:val="TAfiguretext"/>
        <w:spacing w:after="0"/>
        <w:rPr>
          <w:sz w:val="24"/>
        </w:rPr>
      </w:pPr>
    </w:p>
    <w:p w:rsidR="00B151B2" w:rsidRDefault="00B151B2">
      <w:pPr>
        <w:pStyle w:val="TAfiguretext"/>
        <w:spacing w:after="0"/>
        <w:rPr>
          <w:sz w:val="24"/>
        </w:rPr>
      </w:pPr>
    </w:p>
    <w:p w:rsidR="00B151B2" w:rsidRDefault="00543B14">
      <w:pPr>
        <w:pStyle w:val="TAfiguretext"/>
        <w:spacing w:after="0"/>
        <w:jc w:val="center"/>
        <w:rPr>
          <w:sz w:val="24"/>
        </w:rPr>
      </w:pPr>
      <w:r>
        <w:rPr>
          <w:sz w:val="24"/>
        </w:rPr>
        <w:pict>
          <v:shape id="_x0000_i1028" type="#_x0000_t75" style="width:316.5pt;height:324pt">
            <v:imagedata r:id="rId15" o:title=""/>
          </v:shape>
        </w:pict>
      </w:r>
    </w:p>
    <w:p w:rsidR="00B151B2" w:rsidRDefault="00B151B2">
      <w:pPr>
        <w:pStyle w:val="TAfiguretext"/>
        <w:spacing w:after="0"/>
        <w:rPr>
          <w:sz w:val="24"/>
        </w:rPr>
      </w:pPr>
    </w:p>
    <w:p w:rsidR="00B151B2" w:rsidRDefault="00B151B2">
      <w:pPr>
        <w:pStyle w:val="TAbodytext"/>
        <w:jc w:val="center"/>
        <w:rPr>
          <w:b/>
        </w:rPr>
      </w:pPr>
      <w:r>
        <w:rPr>
          <w:b/>
        </w:rPr>
        <w:t>Figure 1 Area subject to the variation—Chisholm Group Centre</w:t>
      </w:r>
    </w:p>
    <w:p w:rsidR="00B151B2" w:rsidRDefault="00B151B2">
      <w:pPr>
        <w:pStyle w:val="TAbodytext"/>
      </w:pPr>
    </w:p>
    <w:p w:rsidR="00B151B2" w:rsidRDefault="00B151B2">
      <w:pPr>
        <w:pStyle w:val="TAbodytext"/>
      </w:pP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35"/>
        <w:gridCol w:w="7051"/>
      </w:tblGrid>
      <w:tr w:rsidR="00B151B2" w:rsidRPr="00B151B2" w:rsidTr="00B151B2">
        <w:tc>
          <w:tcPr>
            <w:tcW w:w="2235" w:type="dxa"/>
          </w:tcPr>
          <w:p w:rsidR="00B151B2" w:rsidRPr="00B151B2" w:rsidRDefault="00B151B2">
            <w:pPr>
              <w:rPr>
                <w:rFonts w:cs="Arial"/>
                <w:b/>
              </w:rPr>
            </w:pPr>
            <w:r w:rsidRPr="00B151B2">
              <w:rPr>
                <w:rFonts w:cs="Arial"/>
                <w:b/>
              </w:rPr>
              <w:t>Section of Act</w:t>
            </w:r>
          </w:p>
        </w:tc>
        <w:tc>
          <w:tcPr>
            <w:tcW w:w="7051" w:type="dxa"/>
          </w:tcPr>
          <w:p w:rsidR="00B151B2" w:rsidRPr="00B151B2" w:rsidRDefault="00B151B2">
            <w:pPr>
              <w:rPr>
                <w:rFonts w:cs="Arial"/>
                <w:b/>
              </w:rPr>
            </w:pPr>
            <w:r w:rsidRPr="00B151B2">
              <w:rPr>
                <w:rFonts w:cs="Arial"/>
                <w:b/>
              </w:rPr>
              <w:t xml:space="preserve">Statement of compliance with </w:t>
            </w:r>
          </w:p>
          <w:p w:rsidR="00B151B2" w:rsidRPr="00B151B2" w:rsidRDefault="00B151B2">
            <w:pPr>
              <w:rPr>
                <w:rFonts w:cs="Arial"/>
                <w:b/>
              </w:rPr>
            </w:pPr>
            <w:r w:rsidRPr="00B151B2">
              <w:rPr>
                <w:rFonts w:cs="Arial"/>
                <w:b/>
                <w:i/>
              </w:rPr>
              <w:t>Planning and Development Act, 2007</w:t>
            </w:r>
          </w:p>
        </w:tc>
      </w:tr>
      <w:tr w:rsidR="00B151B2" w:rsidRPr="00B151B2" w:rsidTr="00B151B2">
        <w:tc>
          <w:tcPr>
            <w:tcW w:w="2235" w:type="dxa"/>
          </w:tcPr>
          <w:p w:rsidR="00B151B2" w:rsidRPr="00B151B2" w:rsidRDefault="00B151B2">
            <w:pPr>
              <w:rPr>
                <w:rFonts w:cs="Arial"/>
              </w:rPr>
            </w:pPr>
            <w:r w:rsidRPr="00B151B2">
              <w:rPr>
                <w:rFonts w:cs="Arial"/>
              </w:rPr>
              <w:t xml:space="preserve">s87(b) a variation (a code variation) that - </w:t>
            </w:r>
          </w:p>
        </w:tc>
        <w:tc>
          <w:tcPr>
            <w:tcW w:w="7051" w:type="dxa"/>
          </w:tcPr>
          <w:p w:rsidR="00B151B2" w:rsidRPr="00B151B2" w:rsidRDefault="00B151B2">
            <w:pPr>
              <w:rPr>
                <w:rFonts w:cs="Arial"/>
              </w:rPr>
            </w:pPr>
          </w:p>
        </w:tc>
      </w:tr>
      <w:tr w:rsidR="00B151B2" w:rsidRPr="00B151B2" w:rsidTr="00B151B2">
        <w:tc>
          <w:tcPr>
            <w:tcW w:w="2235" w:type="dxa"/>
          </w:tcPr>
          <w:p w:rsidR="00B151B2" w:rsidRPr="00B151B2" w:rsidRDefault="00B151B2">
            <w:pPr>
              <w:rPr>
                <w:rFonts w:cs="Arial"/>
              </w:rPr>
            </w:pPr>
            <w:r w:rsidRPr="00B151B2">
              <w:rPr>
                <w:rFonts w:cs="Arial"/>
              </w:rPr>
              <w:t>(i) would only change a code; and</w:t>
            </w:r>
          </w:p>
        </w:tc>
        <w:tc>
          <w:tcPr>
            <w:tcW w:w="7051" w:type="dxa"/>
          </w:tcPr>
          <w:p w:rsidR="00B151B2" w:rsidRPr="00B151B2" w:rsidRDefault="00B151B2">
            <w:pPr>
              <w:rPr>
                <w:rFonts w:cs="Arial"/>
              </w:rPr>
            </w:pPr>
            <w:r w:rsidRPr="00B151B2">
              <w:rPr>
                <w:rFonts w:cs="Arial"/>
              </w:rPr>
              <w:t>Would only modify a rule in the group centres development code</w:t>
            </w:r>
          </w:p>
        </w:tc>
      </w:tr>
      <w:tr w:rsidR="00B151B2" w:rsidRPr="00B151B2" w:rsidTr="00B151B2">
        <w:tc>
          <w:tcPr>
            <w:tcW w:w="2235" w:type="dxa"/>
          </w:tcPr>
          <w:p w:rsidR="00B151B2" w:rsidRPr="00B151B2" w:rsidRDefault="00B151B2">
            <w:pPr>
              <w:rPr>
                <w:rFonts w:cs="Arial"/>
              </w:rPr>
            </w:pPr>
            <w:r w:rsidRPr="00B151B2">
              <w:rPr>
                <w:rFonts w:cs="Arial"/>
              </w:rPr>
              <w:t>(ii) is consistent with the policy purpose and policy framework of the code; and</w:t>
            </w:r>
          </w:p>
        </w:tc>
        <w:tc>
          <w:tcPr>
            <w:tcW w:w="7051" w:type="dxa"/>
          </w:tcPr>
          <w:p w:rsidR="00B151B2" w:rsidRPr="00B151B2" w:rsidRDefault="00B151B2">
            <w:pPr>
              <w:rPr>
                <w:rFonts w:cs="Arial"/>
              </w:rPr>
            </w:pPr>
            <w:r w:rsidRPr="00B151B2">
              <w:rPr>
                <w:rFonts w:cs="Arial"/>
              </w:rPr>
              <w:t>The purpose of the code is to provide additional planning, design and environmental controls to support the zone objectives and assessable uses in the Development Tables.  The amendment is considered to be consistent with the purpose of the group centres development code.</w:t>
            </w:r>
          </w:p>
          <w:p w:rsidR="00B151B2" w:rsidRPr="00B151B2" w:rsidRDefault="00B151B2">
            <w:pPr>
              <w:rPr>
                <w:rFonts w:cs="Arial"/>
              </w:rPr>
            </w:pPr>
          </w:p>
          <w:p w:rsidR="00B151B2" w:rsidRPr="00B151B2" w:rsidRDefault="00B151B2">
            <w:pPr>
              <w:rPr>
                <w:rFonts w:cs="Arial"/>
              </w:rPr>
            </w:pPr>
            <w:r w:rsidRPr="00B151B2">
              <w:rPr>
                <w:rFonts w:cs="Arial"/>
              </w:rPr>
              <w:t>The proposed additional provision which will enable a development of a supermarket of up to 1500 m</w:t>
            </w:r>
            <w:r w:rsidRPr="00B151B2">
              <w:rPr>
                <w:rFonts w:cs="Arial"/>
                <w:vertAlign w:val="superscript"/>
              </w:rPr>
              <w:t>2</w:t>
            </w:r>
            <w:r w:rsidRPr="00B151B2">
              <w:rPr>
                <w:rFonts w:cs="Arial"/>
              </w:rPr>
              <w:t xml:space="preserve"> in the commercial CZ3 services area supports the policy purpose of the code as expressed in the objectives for group centres, especially the first objective which is to:</w:t>
            </w:r>
          </w:p>
          <w:p w:rsidR="00B151B2" w:rsidRPr="00B151B2" w:rsidRDefault="00B151B2">
            <w:pPr>
              <w:rPr>
                <w:rFonts w:cs="Arial"/>
              </w:rPr>
            </w:pPr>
          </w:p>
          <w:p w:rsidR="00B151B2" w:rsidRPr="00B151B2" w:rsidRDefault="00B151B2" w:rsidP="00B151B2">
            <w:pPr>
              <w:autoSpaceDE w:val="0"/>
              <w:autoSpaceDN w:val="0"/>
              <w:adjustRightInd w:val="0"/>
              <w:ind w:left="720"/>
              <w:rPr>
                <w:rFonts w:cs="Arial"/>
                <w:i/>
              </w:rPr>
            </w:pPr>
            <w:r w:rsidRPr="00B151B2">
              <w:rPr>
                <w:rFonts w:cs="Arial"/>
                <w:i/>
              </w:rPr>
              <w:t>Provide for a wide range of shopping, community, business and recreation facilities predominantly serving the surrounding or nearby suburbs</w:t>
            </w:r>
          </w:p>
          <w:p w:rsidR="00B151B2" w:rsidRPr="00B151B2" w:rsidRDefault="00B151B2">
            <w:pPr>
              <w:rPr>
                <w:rFonts w:cs="Arial"/>
              </w:rPr>
            </w:pPr>
          </w:p>
        </w:tc>
      </w:tr>
      <w:tr w:rsidR="00B151B2" w:rsidRPr="00B151B2" w:rsidTr="00B151B2">
        <w:tc>
          <w:tcPr>
            <w:tcW w:w="2235" w:type="dxa"/>
          </w:tcPr>
          <w:p w:rsidR="00B151B2" w:rsidRPr="00B151B2" w:rsidRDefault="00B151B2">
            <w:pPr>
              <w:rPr>
                <w:rFonts w:cs="Arial"/>
              </w:rPr>
            </w:pPr>
            <w:r w:rsidRPr="00B151B2">
              <w:rPr>
                <w:rFonts w:cs="Arial"/>
              </w:rPr>
              <w:t>(iii) is not an error variation</w:t>
            </w:r>
          </w:p>
        </w:tc>
        <w:tc>
          <w:tcPr>
            <w:tcW w:w="7051" w:type="dxa"/>
          </w:tcPr>
          <w:p w:rsidR="00B151B2" w:rsidRPr="00B151B2" w:rsidRDefault="00B151B2">
            <w:pPr>
              <w:rPr>
                <w:rFonts w:cs="Arial"/>
              </w:rPr>
            </w:pPr>
            <w:r w:rsidRPr="00B151B2">
              <w:rPr>
                <w:rFonts w:cs="Arial"/>
              </w:rPr>
              <w:t>Is not a formal error</w:t>
            </w:r>
          </w:p>
        </w:tc>
      </w:tr>
    </w:tbl>
    <w:p w:rsidR="00B151B2" w:rsidRDefault="00B151B2">
      <w:pPr>
        <w:pStyle w:val="TAbodytext"/>
      </w:pPr>
    </w:p>
    <w:p w:rsidR="00B151B2" w:rsidRDefault="00B151B2">
      <w:pPr>
        <w:pStyle w:val="TAbodytext"/>
        <w:jc w:val="center"/>
      </w:pPr>
    </w:p>
    <w:p w:rsidR="00B151B2" w:rsidRDefault="00B151B2">
      <w:pPr>
        <w:pStyle w:val="TAbodytext"/>
      </w:pPr>
      <w:r>
        <w:br w:type="page"/>
      </w:r>
    </w:p>
    <w:p w:rsidR="00B151B2" w:rsidRDefault="00B151B2">
      <w:pPr>
        <w:pStyle w:val="TAsectionheading"/>
      </w:pPr>
      <w:bookmarkStart w:id="13" w:name="_Toc254851539"/>
      <w:bookmarkStart w:id="14" w:name="_Toc296608482"/>
      <w:r>
        <w:t>TECHNICAL AMENDMENT</w:t>
      </w:r>
      <w:bookmarkEnd w:id="13"/>
      <w:bookmarkEnd w:id="14"/>
    </w:p>
    <w:p w:rsidR="00B151B2" w:rsidRDefault="00B151B2">
      <w:pPr>
        <w:pStyle w:val="TAsectionheading3"/>
        <w:numPr>
          <w:ilvl w:val="2"/>
          <w:numId w:val="8"/>
        </w:numPr>
      </w:pPr>
      <w:r>
        <w:t xml:space="preserve">  </w:t>
      </w:r>
      <w:bookmarkStart w:id="15" w:name="_Toc296608483"/>
      <w:r>
        <w:t>Code Amendment</w:t>
      </w:r>
      <w:bookmarkEnd w:id="15"/>
    </w:p>
    <w:p w:rsidR="00B151B2" w:rsidRDefault="00B151B2">
      <w:pPr>
        <w:pStyle w:val="TAsubheadinglocationinterritoryplan"/>
      </w:pPr>
      <w:r>
        <w:t>Variation to Group Centres Development Code</w:t>
      </w:r>
    </w:p>
    <w:p w:rsidR="00B151B2" w:rsidRDefault="00B151B2">
      <w:pPr>
        <w:pStyle w:val="TAeditorialitemgeneralheading"/>
      </w:pPr>
      <w:r>
        <w:t>Part A (3) – Group Centres – CZ3 Services Zone, Element 1:  Restrictions on Use, 1.3 Supermarket, R25</w:t>
      </w:r>
    </w:p>
    <w:p w:rsidR="00B151B2" w:rsidRDefault="00B151B2">
      <w:pPr>
        <w:pStyle w:val="TAbodytext"/>
      </w:pPr>
    </w:p>
    <w:p w:rsidR="00B151B2" w:rsidRDefault="00B151B2">
      <w:pPr>
        <w:pStyle w:val="TAeditorialinstructions"/>
      </w:pPr>
      <w:r>
        <w:t>Substitute R25 with</w:t>
      </w:r>
    </w:p>
    <w:p w:rsidR="00B151B2" w:rsidRDefault="00B151B2">
      <w:pPr>
        <w:pStyle w:val="TAbodytext"/>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21"/>
        <w:gridCol w:w="4622"/>
      </w:tblGrid>
      <w:tr w:rsidR="00B151B2">
        <w:trPr>
          <w:hidden w:val="0"/>
        </w:trPr>
        <w:tc>
          <w:tcPr>
            <w:tcW w:w="2500" w:type="pct"/>
            <w:shd w:val="clear" w:color="auto" w:fill="FFFFFF"/>
          </w:tcPr>
          <w:p w:rsidR="00B151B2" w:rsidRDefault="00B151B2">
            <w:pPr>
              <w:pStyle w:val="hiddenText"/>
              <w:rPr>
                <w:vanish w:val="0"/>
              </w:rPr>
            </w:pPr>
            <w:r>
              <w:rPr>
                <w:vanish w:val="0"/>
              </w:rPr>
              <w:t>R25</w:t>
            </w:r>
          </w:p>
          <w:p w:rsidR="00B151B2" w:rsidRDefault="00B151B2">
            <w:pPr>
              <w:pStyle w:val="codeList"/>
              <w:numPr>
                <w:ilvl w:val="0"/>
                <w:numId w:val="0"/>
              </w:numPr>
            </w:pPr>
            <w:r>
              <w:t>The following GFA restrictions apply:</w:t>
            </w:r>
          </w:p>
          <w:p w:rsidR="00B151B2" w:rsidRDefault="00B151B2">
            <w:pPr>
              <w:pStyle w:val="codeList"/>
              <w:numPr>
                <w:ilvl w:val="0"/>
                <w:numId w:val="0"/>
              </w:numPr>
            </w:pPr>
          </w:p>
          <w:p w:rsidR="00B151B2" w:rsidRDefault="00B151B2">
            <w:pPr>
              <w:pStyle w:val="codeList"/>
              <w:numPr>
                <w:ilvl w:val="0"/>
                <w:numId w:val="15"/>
              </w:numPr>
              <w:tabs>
                <w:tab w:val="clear" w:pos="720"/>
                <w:tab w:val="num" w:pos="0"/>
              </w:tabs>
              <w:ind w:left="432" w:hanging="432"/>
            </w:pPr>
            <w:r>
              <w:t>supermarket or shop selling food maximum  300 m</w:t>
            </w:r>
            <w:r>
              <w:rPr>
                <w:vertAlign w:val="superscript"/>
              </w:rPr>
              <w:t xml:space="preserve">2 </w:t>
            </w:r>
            <w:r>
              <w:t xml:space="preserve"> per shop, except for:</w:t>
            </w:r>
          </w:p>
          <w:p w:rsidR="00B151B2" w:rsidRDefault="00B151B2">
            <w:pPr>
              <w:pStyle w:val="codeList"/>
              <w:numPr>
                <w:ilvl w:val="0"/>
                <w:numId w:val="0"/>
              </w:numPr>
              <w:ind w:left="360"/>
            </w:pPr>
          </w:p>
          <w:p w:rsidR="00B151B2" w:rsidRDefault="00B151B2">
            <w:pPr>
              <w:pStyle w:val="codeList"/>
              <w:numPr>
                <w:ilvl w:val="0"/>
                <w:numId w:val="0"/>
              </w:numPr>
              <w:ind w:left="432"/>
            </w:pPr>
            <w:r>
              <w:t>Chisholm Section 598 Block 7 maximum 1500 m</w:t>
            </w:r>
            <w:r>
              <w:rPr>
                <w:vertAlign w:val="superscript"/>
              </w:rPr>
              <w:t xml:space="preserve">2 </w:t>
            </w:r>
            <w:r>
              <w:t>(Figure 1).</w:t>
            </w:r>
          </w:p>
        </w:tc>
        <w:tc>
          <w:tcPr>
            <w:tcW w:w="2500" w:type="pct"/>
            <w:shd w:val="clear" w:color="auto" w:fill="FFFFFF"/>
          </w:tcPr>
          <w:p w:rsidR="00B151B2" w:rsidRDefault="00B151B2">
            <w:pPr>
              <w:pStyle w:val="codeRuleNone"/>
            </w:pPr>
          </w:p>
          <w:p w:rsidR="00B151B2" w:rsidRDefault="00B151B2">
            <w:pPr>
              <w:pStyle w:val="hiddenText"/>
              <w:rPr>
                <w:vanish w:val="0"/>
              </w:rPr>
            </w:pPr>
          </w:p>
          <w:p w:rsidR="00B151B2" w:rsidRDefault="00B151B2">
            <w:pPr>
              <w:pStyle w:val="codeRuleCriteria"/>
            </w:pPr>
            <w:r>
              <w:t>This is a mandatory requirement.  There is no applicable criterion.</w:t>
            </w:r>
          </w:p>
        </w:tc>
      </w:tr>
    </w:tbl>
    <w:p w:rsidR="00B151B2" w:rsidRDefault="00B151B2">
      <w:pPr>
        <w:pStyle w:val="TAbodytext"/>
      </w:pPr>
      <w:r>
        <w:t xml:space="preserve"> </w:t>
      </w:r>
    </w:p>
    <w:p w:rsidR="00B151B2" w:rsidRDefault="00B151B2">
      <w:pPr>
        <w:pStyle w:val="TAeditorialinstructions"/>
      </w:pPr>
      <w:r>
        <w:t>Insert after rule R29:</w:t>
      </w:r>
    </w:p>
    <w:p w:rsidR="00B151B2" w:rsidRDefault="00B151B2">
      <w:pPr>
        <w:pStyle w:val="TAeditorialinstructions"/>
      </w:pPr>
    </w:p>
    <w:p w:rsidR="00B151B2" w:rsidRDefault="00543B14">
      <w:pPr>
        <w:pStyle w:val="TAeditorialinstructions"/>
      </w:pPr>
      <w:r>
        <w:pict>
          <v:shape id="_x0000_i1029" type="#_x0000_t75" style="width:258.75pt;height:295.5pt">
            <v:imagedata r:id="rId16" o:title=""/>
          </v:shape>
        </w:pict>
      </w:r>
    </w:p>
    <w:p w:rsidR="00B151B2" w:rsidRDefault="00B151B2">
      <w:pPr>
        <w:pStyle w:val="TAbodytext"/>
        <w:spacing w:after="0"/>
        <w:rPr>
          <w:rFonts w:ascii="Arial Bold" w:hAnsi="Arial Bold"/>
          <w:b/>
          <w:sz w:val="16"/>
          <w:szCs w:val="16"/>
        </w:rPr>
      </w:pPr>
      <w:r>
        <w:rPr>
          <w:rFonts w:ascii="Arial Bold" w:hAnsi="Arial Bold"/>
          <w:b/>
          <w:sz w:val="16"/>
          <w:szCs w:val="20"/>
        </w:rPr>
        <w:tab/>
      </w:r>
      <w:r>
        <w:rPr>
          <w:rFonts w:ascii="Arial Bold" w:hAnsi="Arial Bold"/>
          <w:b/>
          <w:sz w:val="16"/>
          <w:szCs w:val="16"/>
        </w:rPr>
        <w:t xml:space="preserve">   </w:t>
      </w:r>
    </w:p>
    <w:p w:rsidR="00B151B2" w:rsidRDefault="00B151B2">
      <w:pPr>
        <w:pStyle w:val="TAbodytext"/>
        <w:tabs>
          <w:tab w:val="clear" w:pos="1440"/>
          <w:tab w:val="left" w:pos="1620"/>
          <w:tab w:val="left" w:pos="2160"/>
        </w:tabs>
        <w:rPr>
          <w:b/>
          <w:sz w:val="16"/>
          <w:szCs w:val="16"/>
        </w:rPr>
      </w:pPr>
      <w:r>
        <w:rPr>
          <w:b/>
          <w:sz w:val="16"/>
          <w:szCs w:val="16"/>
        </w:rPr>
        <w:tab/>
        <w:t xml:space="preserve">   </w:t>
      </w:r>
      <w:r>
        <w:rPr>
          <w:b/>
          <w:sz w:val="20"/>
          <w:szCs w:val="20"/>
        </w:rPr>
        <w:t>Figure 1</w:t>
      </w:r>
      <w:r>
        <w:rPr>
          <w:b/>
          <w:sz w:val="20"/>
          <w:szCs w:val="20"/>
        </w:rPr>
        <w:tab/>
        <w:t>Chisholm</w:t>
      </w:r>
    </w:p>
    <w:p w:rsidR="00B151B2" w:rsidRDefault="00B151B2">
      <w:pPr>
        <w:pStyle w:val="TAbodytext"/>
        <w:sectPr w:rsidR="00B151B2">
          <w:headerReference w:type="default" r:id="rId17"/>
          <w:footerReference w:type="default" r:id="rId18"/>
          <w:type w:val="continuous"/>
          <w:pgSz w:w="11906" w:h="16838"/>
          <w:pgMar w:top="1440" w:right="1418" w:bottom="1440" w:left="1418" w:header="709" w:footer="709" w:gutter="0"/>
          <w:cols w:space="708"/>
          <w:docGrid w:linePitch="360"/>
        </w:sectPr>
      </w:pPr>
    </w:p>
    <w:p w:rsidR="00B151B2" w:rsidRDefault="00B151B2">
      <w:pPr>
        <w:pStyle w:val="TAbodytext"/>
      </w:pPr>
    </w:p>
    <w:p w:rsidR="00B151B2" w:rsidRDefault="00B151B2">
      <w:pPr>
        <w:pStyle w:val="TAinterpretationservicetitle"/>
      </w:pPr>
      <w:r>
        <w:t>Interpretation service</w:t>
      </w:r>
    </w:p>
    <w:p w:rsidR="00B151B2" w:rsidRDefault="00543B14">
      <w:pPr>
        <w:pStyle w:val="BodyText"/>
      </w:pPr>
      <w:r>
        <w:pict>
          <v:shape id="_x0000_i1030" type="#_x0000_t75" style="width:425.25pt;height:280.5pt" o:bordertopcolor="this" o:borderleftcolor="this" o:borderbottomcolor="this" o:borderrightcolor="this" fillcolor="window">
            <v:imagedata r:id="rId19" o:title=""/>
          </v:shape>
        </w:pict>
      </w:r>
    </w:p>
    <w:p w:rsidR="00B151B2" w:rsidRDefault="00B151B2">
      <w:pPr>
        <w:pStyle w:val="BodyText"/>
      </w:pPr>
    </w:p>
    <w:p w:rsidR="00B151B2" w:rsidRDefault="00B151B2">
      <w:pPr>
        <w:pStyle w:val="BodyText"/>
      </w:pPr>
    </w:p>
    <w:p w:rsidR="00B151B2" w:rsidRDefault="00B151B2">
      <w:pPr>
        <w:pStyle w:val="BodyText"/>
      </w:pPr>
    </w:p>
    <w:sectPr w:rsidR="00B151B2">
      <w:pgSz w:w="11906" w:h="16838"/>
      <w:pgMar w:top="1440" w:right="1418" w:bottom="1440"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03B8" w:rsidRDefault="00AB03B8">
      <w:r>
        <w:separator/>
      </w:r>
    </w:p>
  </w:endnote>
  <w:endnote w:type="continuationSeparator" w:id="0">
    <w:p w:rsidR="00AB03B8" w:rsidRDefault="00AB03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3823" w:rsidRDefault="00DC382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4E3B" w:rsidRDefault="00DC6BDD">
    <w:pPr>
      <w:pStyle w:val="TAACTPLAlogo"/>
    </w:pPr>
    <w:r>
      <w:object w:dxaOrig="2622" w:dyaOrig="14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9.75pt;height:1in" o:ole="" o:bordertopcolor="this" o:borderleftcolor="this" o:borderbottomcolor="this" o:borderrightcolor="this">
          <v:imagedata r:id="rId1" o:title="" croptop="5139f" cropleft="5549f"/>
        </v:shape>
        <o:OLEObject Type="Embed" ProgID="Imaging.Document" ShapeID="_x0000_i1027" DrawAspect="Content" ObjectID="_1598250697" r:id="rId2"/>
      </w:object>
    </w:r>
  </w:p>
  <w:p w:rsidR="00B151B2" w:rsidRPr="00DC3823" w:rsidRDefault="00DC3823" w:rsidP="00DC3823">
    <w:pPr>
      <w:pStyle w:val="TAACTPLAlogo"/>
      <w:rPr>
        <w:rFonts w:cs="Arial"/>
        <w:sz w:val="14"/>
        <w:szCs w:val="20"/>
      </w:rPr>
    </w:pPr>
    <w:r w:rsidRPr="00DC3823">
      <w:rPr>
        <w:rFonts w:cs="Arial"/>
        <w:sz w:val="14"/>
        <w:szCs w:val="20"/>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54E3B" w:rsidRPr="00DC3823" w:rsidRDefault="00DC3823" w:rsidP="00DC3823">
    <w:pPr>
      <w:pStyle w:val="Footer"/>
      <w:jc w:val="center"/>
      <w:rPr>
        <w:rFonts w:cs="Arial"/>
        <w:sz w:val="14"/>
      </w:rPr>
    </w:pPr>
    <w:r w:rsidRPr="00DC3823">
      <w:rPr>
        <w:rFonts w:cs="Arial"/>
        <w:sz w:val="14"/>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1B2" w:rsidRPr="00DC3823" w:rsidRDefault="00DC3823" w:rsidP="00DC3823">
    <w:pPr>
      <w:pStyle w:val="TAfooter"/>
      <w:rPr>
        <w:sz w:val="14"/>
      </w:rPr>
    </w:pPr>
    <w:r w:rsidRPr="00DC3823">
      <w:rPr>
        <w:sz w:val="14"/>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1B2" w:rsidRDefault="00B151B2">
    <w:pPr>
      <w:pStyle w:val="TApagenumber"/>
    </w:pPr>
    <w:r>
      <w:t xml:space="preserve">TA2011-17 </w:t>
    </w:r>
  </w:p>
  <w:p w:rsidR="00B151B2" w:rsidRDefault="00B151B2">
    <w:pPr>
      <w:pStyle w:val="TApagenumber"/>
    </w:pPr>
    <w:r>
      <w:t xml:space="preserve">Page </w:t>
    </w:r>
    <w:r>
      <w:fldChar w:fldCharType="begin"/>
    </w:r>
    <w:r>
      <w:instrText xml:space="preserve"> PAGE </w:instrText>
    </w:r>
    <w:r>
      <w:fldChar w:fldCharType="separate"/>
    </w:r>
    <w:r w:rsidR="00DC3823">
      <w:rPr>
        <w:noProof/>
      </w:rPr>
      <w:t>2</w:t>
    </w:r>
    <w:r>
      <w:fldChar w:fldCharType="end"/>
    </w:r>
    <w:r>
      <w:t xml:space="preserve"> of 8</w:t>
    </w:r>
  </w:p>
  <w:p w:rsidR="00B151B2" w:rsidRPr="00DC3823" w:rsidRDefault="00DC3823" w:rsidP="00DC3823">
    <w:pPr>
      <w:pStyle w:val="TApagenumber"/>
      <w:rPr>
        <w:sz w:val="14"/>
      </w:rPr>
    </w:pPr>
    <w:r w:rsidRPr="00DC3823">
      <w:rPr>
        <w:sz w:val="14"/>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03B8" w:rsidRDefault="00AB03B8">
      <w:r>
        <w:separator/>
      </w:r>
    </w:p>
  </w:footnote>
  <w:footnote w:type="continuationSeparator" w:id="0">
    <w:p w:rsidR="00AB03B8" w:rsidRDefault="00AB03B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3823" w:rsidRDefault="00DC382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3823" w:rsidRDefault="00DC382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3823" w:rsidRDefault="00DC3823">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151B2" w:rsidRDefault="00B151B2">
    <w:pPr>
      <w:pStyle w:val="TA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25pt;height:14.25pt" o:bullet="t">
        <v:imagedata r:id="rId1" o:title=""/>
      </v:shape>
    </w:pict>
  </w:numPicBullet>
  <w:abstractNum w:abstractNumId="0" w15:restartNumberingAfterBreak="0">
    <w:nsid w:val="0AEB7A52"/>
    <w:multiLevelType w:val="hybridMultilevel"/>
    <w:tmpl w:val="73B8DCE4"/>
    <w:lvl w:ilvl="0" w:tplc="FFFFFFFF">
      <w:start w:val="1"/>
      <w:numFmt w:val="decimal"/>
      <w:pStyle w:val="TAeditorialitemgeneralheading"/>
      <w:lvlText w:val="%1."/>
      <w:lvlJc w:val="left"/>
      <w:pPr>
        <w:tabs>
          <w:tab w:val="num" w:pos="720"/>
        </w:tabs>
        <w:ind w:left="720" w:hanging="360"/>
      </w:pPr>
      <w:rPr>
        <w:rFonts w:cs="Times New Roman"/>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 w15:restartNumberingAfterBreak="0">
    <w:nsid w:val="0C1B1363"/>
    <w:multiLevelType w:val="hybridMultilevel"/>
    <w:tmpl w:val="E42295E0"/>
    <w:lvl w:ilvl="0" w:tplc="FFFFFFFF">
      <w:start w:val="1"/>
      <w:numFmt w:val="lowerRoman"/>
      <w:lvlText w:val="(%1)"/>
      <w:lvlJc w:val="left"/>
      <w:pPr>
        <w:tabs>
          <w:tab w:val="num" w:pos="2061"/>
        </w:tabs>
        <w:ind w:left="2061" w:hanging="720"/>
      </w:pPr>
      <w:rPr>
        <w:rFonts w:cs="Times New Roman"/>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2" w15:restartNumberingAfterBreak="0">
    <w:nsid w:val="23A81188"/>
    <w:multiLevelType w:val="hybridMultilevel"/>
    <w:tmpl w:val="E9AE39D2"/>
    <w:lvl w:ilvl="0" w:tplc="FFFFFFFF">
      <w:start w:val="1"/>
      <w:numFmt w:val="upperLetter"/>
      <w:pStyle w:val="TAexplanatorystatementsubheading"/>
      <w:lvlText w:val="%1."/>
      <w:lvlJc w:val="left"/>
      <w:pPr>
        <w:tabs>
          <w:tab w:val="num" w:pos="360"/>
        </w:tabs>
        <w:ind w:left="720" w:hanging="72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 w15:restartNumberingAfterBreak="0">
    <w:nsid w:val="25526DC9"/>
    <w:multiLevelType w:val="hybridMultilevel"/>
    <w:tmpl w:val="6C00C9C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DFA182E"/>
    <w:multiLevelType w:val="multilevel"/>
    <w:tmpl w:val="6930F656"/>
    <w:lvl w:ilvl="0">
      <w:start w:val="1"/>
      <w:numFmt w:val="decimal"/>
      <w:pStyle w:val="CodeItem"/>
      <w:lvlText w:val="Element %1:"/>
      <w:lvlJc w:val="left"/>
      <w:pPr>
        <w:tabs>
          <w:tab w:val="num" w:pos="2880"/>
        </w:tabs>
      </w:pPr>
      <w:rPr>
        <w:rFonts w:ascii="Arial Bold" w:hAnsi="Arial Bold" w:cs="Times New Roman" w:hint="default"/>
        <w:b/>
        <w:i w:val="0"/>
        <w:color w:val="auto"/>
      </w:rPr>
    </w:lvl>
    <w:lvl w:ilvl="1">
      <w:start w:val="1"/>
      <w:numFmt w:val="decimal"/>
      <w:pStyle w:val="CodeItem"/>
      <w:lvlText w:val="%2"/>
      <w:lvlJc w:val="left"/>
      <w:pPr>
        <w:tabs>
          <w:tab w:val="num" w:pos="1364"/>
        </w:tabs>
        <w:ind w:left="732" w:hanging="448"/>
      </w:pPr>
      <w:rPr>
        <w:rFonts w:cs="Times New Roman" w:hint="default"/>
        <w:color w:val="auto"/>
      </w:rPr>
    </w:lvl>
    <w:lvl w:ilvl="2">
      <w:start w:val="1"/>
      <w:numFmt w:val="decimal"/>
      <w:lvlText w:val="C%1.%2.%3."/>
      <w:lvlJc w:val="left"/>
      <w:pPr>
        <w:tabs>
          <w:tab w:val="num" w:pos="1224"/>
        </w:tabs>
        <w:ind w:left="1224" w:hanging="1224"/>
      </w:pPr>
      <w:rPr>
        <w:rFonts w:cs="Times New Roman" w:hint="default"/>
        <w:color w:val="666699"/>
      </w:rPr>
    </w:lvl>
    <w:lvl w:ilvl="3">
      <w:start w:val="1"/>
      <w:numFmt w:val="decimal"/>
      <w:lvlRestart w:val="0"/>
      <w:lvlText w:val="M%1.%2.%4."/>
      <w:lvlJc w:val="left"/>
      <w:pPr>
        <w:tabs>
          <w:tab w:val="num" w:pos="1225"/>
        </w:tabs>
        <w:ind w:left="1225" w:hanging="1225"/>
      </w:pPr>
      <w:rPr>
        <w:rFonts w:cs="Times New Roman" w:hint="default"/>
        <w:color w:val="666699"/>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5" w15:restartNumberingAfterBreak="0">
    <w:nsid w:val="2F4A5AD2"/>
    <w:multiLevelType w:val="hybridMultilevel"/>
    <w:tmpl w:val="C980F1AE"/>
    <w:lvl w:ilvl="0" w:tplc="C4DA613A">
      <w:start w:val="1"/>
      <w:numFmt w:val="lowerLetter"/>
      <w:lvlText w:val="%1)"/>
      <w:lvlJc w:val="left"/>
      <w:pPr>
        <w:tabs>
          <w:tab w:val="num" w:pos="720"/>
        </w:tabs>
        <w:ind w:left="720" w:hanging="360"/>
      </w:pPr>
      <w:rPr>
        <w:rFonts w:cs="Times New Roman" w:hint="default"/>
      </w:rPr>
    </w:lvl>
    <w:lvl w:ilvl="1" w:tplc="4FFA8990">
      <w:start w:val="1"/>
      <w:numFmt w:val="lowerRoman"/>
      <w:lvlText w:val="(%2)"/>
      <w:lvlJc w:val="left"/>
      <w:pPr>
        <w:tabs>
          <w:tab w:val="num" w:pos="1800"/>
        </w:tabs>
        <w:ind w:left="1800" w:hanging="720"/>
      </w:pPr>
      <w:rPr>
        <w:rFonts w:cs="Times New Roman" w:hint="default"/>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6" w15:restartNumberingAfterBreak="0">
    <w:nsid w:val="2F755832"/>
    <w:multiLevelType w:val="hybridMultilevel"/>
    <w:tmpl w:val="C23E6F62"/>
    <w:lvl w:ilvl="0" w:tplc="FFFFFFFF">
      <w:start w:val="1"/>
      <w:numFmt w:val="bulle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360"/>
        </w:tabs>
        <w:ind w:left="360" w:hanging="360"/>
      </w:pPr>
      <w:rPr>
        <w:rFonts w:ascii="Courier New" w:hAnsi="Courier New" w:hint="default"/>
      </w:rPr>
    </w:lvl>
    <w:lvl w:ilvl="2" w:tplc="FFFFFFFF">
      <w:start w:val="1"/>
      <w:numFmt w:val="bullet"/>
      <w:lvlText w:val=""/>
      <w:lvlJc w:val="left"/>
      <w:pPr>
        <w:tabs>
          <w:tab w:val="num" w:pos="1080"/>
        </w:tabs>
        <w:ind w:left="1080" w:hanging="360"/>
      </w:pPr>
      <w:rPr>
        <w:rFonts w:ascii="Wingdings" w:hAnsi="Wingdings" w:hint="default"/>
      </w:rPr>
    </w:lvl>
    <w:lvl w:ilvl="3" w:tplc="FFFFFFFF">
      <w:start w:val="1"/>
      <w:numFmt w:val="bullet"/>
      <w:lvlText w:val=""/>
      <w:lvlJc w:val="left"/>
      <w:pPr>
        <w:tabs>
          <w:tab w:val="num" w:pos="1800"/>
        </w:tabs>
        <w:ind w:left="1800" w:hanging="360"/>
      </w:pPr>
      <w:rPr>
        <w:rFonts w:ascii="Symbol" w:hAnsi="Symbol" w:hint="default"/>
      </w:rPr>
    </w:lvl>
    <w:lvl w:ilvl="4" w:tplc="FFFFFFFF">
      <w:start w:val="1"/>
      <w:numFmt w:val="bullet"/>
      <w:lvlText w:val="o"/>
      <w:lvlJc w:val="left"/>
      <w:pPr>
        <w:tabs>
          <w:tab w:val="num" w:pos="2520"/>
        </w:tabs>
        <w:ind w:left="2520" w:hanging="360"/>
      </w:pPr>
      <w:rPr>
        <w:rFonts w:ascii="Courier New" w:hAnsi="Courier New" w:hint="default"/>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7" w15:restartNumberingAfterBreak="0">
    <w:nsid w:val="2FDA765D"/>
    <w:multiLevelType w:val="multilevel"/>
    <w:tmpl w:val="12BACE1A"/>
    <w:lvl w:ilvl="0">
      <w:start w:val="1"/>
      <w:numFmt w:val="lowerLetter"/>
      <w:pStyle w:val="codeList"/>
      <w:lvlText w:val="%1."/>
      <w:lvlJc w:val="left"/>
      <w:pPr>
        <w:tabs>
          <w:tab w:val="num" w:pos="454"/>
        </w:tabs>
        <w:ind w:left="454" w:hanging="454"/>
      </w:pPr>
      <w:rPr>
        <w:rFonts w:cs="Times New Roman" w:hint="default"/>
        <w:color w:val="auto"/>
      </w:rPr>
    </w:lvl>
    <w:lvl w:ilvl="1">
      <w:start w:val="1"/>
      <w:numFmt w:val="lowerRoman"/>
      <w:pStyle w:val="codeList2"/>
      <w:lvlText w:val="%2)"/>
      <w:lvlJc w:val="left"/>
      <w:pPr>
        <w:tabs>
          <w:tab w:val="num" w:pos="907"/>
        </w:tabs>
        <w:ind w:left="454"/>
      </w:pPr>
      <w:rPr>
        <w:rFonts w:cs="Times New Roman" w:hint="default"/>
        <w:color w:val="auto"/>
      </w:rPr>
    </w:lvl>
    <w:lvl w:ilvl="2">
      <w:start w:val="1"/>
      <w:numFmt w:val="decimal"/>
      <w:lvlText w:val="%1.%2.%3."/>
      <w:lvlJc w:val="left"/>
      <w:pPr>
        <w:tabs>
          <w:tab w:val="num" w:pos="373"/>
        </w:tabs>
        <w:ind w:left="373" w:hanging="504"/>
      </w:pPr>
      <w:rPr>
        <w:rFonts w:cs="Times New Roman" w:hint="default"/>
      </w:rPr>
    </w:lvl>
    <w:lvl w:ilvl="3">
      <w:start w:val="1"/>
      <w:numFmt w:val="decimal"/>
      <w:lvlText w:val="%1.%2.%3.%4."/>
      <w:lvlJc w:val="left"/>
      <w:pPr>
        <w:tabs>
          <w:tab w:val="num" w:pos="877"/>
        </w:tabs>
        <w:ind w:left="877" w:hanging="648"/>
      </w:pPr>
      <w:rPr>
        <w:rFonts w:cs="Times New Roman" w:hint="default"/>
      </w:rPr>
    </w:lvl>
    <w:lvl w:ilvl="4">
      <w:start w:val="1"/>
      <w:numFmt w:val="decimal"/>
      <w:lvlText w:val="%1.%2.%3.%4.%5."/>
      <w:lvlJc w:val="left"/>
      <w:pPr>
        <w:tabs>
          <w:tab w:val="num" w:pos="1381"/>
        </w:tabs>
        <w:ind w:left="1381" w:hanging="792"/>
      </w:pPr>
      <w:rPr>
        <w:rFonts w:cs="Times New Roman" w:hint="default"/>
      </w:rPr>
    </w:lvl>
    <w:lvl w:ilvl="5">
      <w:start w:val="1"/>
      <w:numFmt w:val="decimal"/>
      <w:lvlText w:val="%1.%2.%3.%4.%5.%6."/>
      <w:lvlJc w:val="left"/>
      <w:pPr>
        <w:tabs>
          <w:tab w:val="num" w:pos="1885"/>
        </w:tabs>
        <w:ind w:left="1885" w:hanging="936"/>
      </w:pPr>
      <w:rPr>
        <w:rFonts w:cs="Times New Roman" w:hint="default"/>
      </w:rPr>
    </w:lvl>
    <w:lvl w:ilvl="6">
      <w:start w:val="1"/>
      <w:numFmt w:val="decimal"/>
      <w:lvlText w:val="%1.%2.%3.%4.%5.%6.%7."/>
      <w:lvlJc w:val="left"/>
      <w:pPr>
        <w:tabs>
          <w:tab w:val="num" w:pos="2389"/>
        </w:tabs>
        <w:ind w:left="2389" w:hanging="1080"/>
      </w:pPr>
      <w:rPr>
        <w:rFonts w:cs="Times New Roman" w:hint="default"/>
      </w:rPr>
    </w:lvl>
    <w:lvl w:ilvl="7">
      <w:start w:val="1"/>
      <w:numFmt w:val="decimal"/>
      <w:lvlText w:val="%1.%2.%3.%4.%5.%6.%7.%8."/>
      <w:lvlJc w:val="left"/>
      <w:pPr>
        <w:tabs>
          <w:tab w:val="num" w:pos="2893"/>
        </w:tabs>
        <w:ind w:left="2893" w:hanging="1224"/>
      </w:pPr>
      <w:rPr>
        <w:rFonts w:cs="Times New Roman" w:hint="default"/>
      </w:rPr>
    </w:lvl>
    <w:lvl w:ilvl="8">
      <w:start w:val="1"/>
      <w:numFmt w:val="decimal"/>
      <w:lvlText w:val="%1.%2.%3.%4.%5.%6.%7.%8.%9."/>
      <w:lvlJc w:val="left"/>
      <w:pPr>
        <w:tabs>
          <w:tab w:val="num" w:pos="3469"/>
        </w:tabs>
        <w:ind w:left="3469" w:hanging="1440"/>
      </w:pPr>
      <w:rPr>
        <w:rFonts w:cs="Times New Roman" w:hint="default"/>
      </w:rPr>
    </w:lvl>
  </w:abstractNum>
  <w:abstractNum w:abstractNumId="8" w15:restartNumberingAfterBreak="0">
    <w:nsid w:val="327030A9"/>
    <w:multiLevelType w:val="hybridMultilevel"/>
    <w:tmpl w:val="E29C3266"/>
    <w:lvl w:ilvl="0" w:tplc="04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4F14045"/>
    <w:multiLevelType w:val="hybridMultilevel"/>
    <w:tmpl w:val="2DF42E20"/>
    <w:lvl w:ilvl="0" w:tplc="04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89D7719"/>
    <w:multiLevelType w:val="hybridMultilevel"/>
    <w:tmpl w:val="A2A62AC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E3E71F1"/>
    <w:multiLevelType w:val="multilevel"/>
    <w:tmpl w:val="530694B6"/>
    <w:lvl w:ilvl="0">
      <w:start w:val="1"/>
      <w:numFmt w:val="decimal"/>
      <w:pStyle w:val="Head1"/>
      <w:lvlText w:val="%1."/>
      <w:lvlJc w:val="left"/>
      <w:pPr>
        <w:tabs>
          <w:tab w:val="num" w:pos="709"/>
        </w:tabs>
        <w:ind w:left="709" w:hanging="567"/>
      </w:pPr>
      <w:rPr>
        <w:rFonts w:cs="Times New Roman"/>
      </w:rPr>
    </w:lvl>
    <w:lvl w:ilvl="1">
      <w:start w:val="1"/>
      <w:numFmt w:val="decimal"/>
      <w:pStyle w:val="Head2"/>
      <w:lvlText w:val="%1.%2"/>
      <w:lvlJc w:val="left"/>
      <w:pPr>
        <w:tabs>
          <w:tab w:val="num" w:pos="567"/>
        </w:tabs>
        <w:ind w:left="567" w:hanging="567"/>
      </w:pPr>
      <w:rPr>
        <w:rFonts w:cs="Times New Roman"/>
      </w:rPr>
    </w:lvl>
    <w:lvl w:ilvl="2">
      <w:start w:val="1"/>
      <w:numFmt w:val="decimal"/>
      <w:pStyle w:val="Head3"/>
      <w:lvlText w:val="%1.%2.%3"/>
      <w:lvlJc w:val="left"/>
      <w:pPr>
        <w:tabs>
          <w:tab w:val="num" w:pos="567"/>
        </w:tabs>
        <w:ind w:left="567" w:hanging="567"/>
      </w:pPr>
      <w:rPr>
        <w:rFonts w:cs="Times New Roman"/>
      </w:rPr>
    </w:lvl>
    <w:lvl w:ilvl="3">
      <w:start w:val="1"/>
      <w:numFmt w:val="decimal"/>
      <w:lvlText w:val="%1.%2.%3.%4"/>
      <w:lvlJc w:val="left"/>
      <w:pPr>
        <w:tabs>
          <w:tab w:val="num" w:pos="1440"/>
        </w:tabs>
        <w:ind w:left="567" w:hanging="567"/>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12" w15:restartNumberingAfterBreak="0">
    <w:nsid w:val="4FE95ECD"/>
    <w:multiLevelType w:val="hybridMultilevel"/>
    <w:tmpl w:val="4D58B528"/>
    <w:lvl w:ilvl="0" w:tplc="FFFFFFFF">
      <w:start w:val="1"/>
      <w:numFmt w:val="bullet"/>
      <w:lvlText w:val="·"/>
      <w:lvlJc w:val="left"/>
      <w:pPr>
        <w:tabs>
          <w:tab w:val="num" w:pos="360"/>
        </w:tabs>
        <w:ind w:left="360" w:hanging="360"/>
      </w:pPr>
      <w:rPr>
        <w:rFonts w:ascii="Symbol" w:hAnsi="Symbol"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3" w15:restartNumberingAfterBreak="0">
    <w:nsid w:val="77A36D01"/>
    <w:multiLevelType w:val="multilevel"/>
    <w:tmpl w:val="8D22DC4C"/>
    <w:lvl w:ilvl="0">
      <w:start w:val="1"/>
      <w:numFmt w:val="decimal"/>
      <w:pStyle w:val="Heading1"/>
      <w:suff w:val="space"/>
      <w:lvlText w:val="%1."/>
      <w:lvlJc w:val="left"/>
      <w:pPr>
        <w:ind w:left="720" w:hanging="720"/>
      </w:pPr>
      <w:rPr>
        <w:rFonts w:cs="Times New Roman" w:hint="default"/>
      </w:rPr>
    </w:lvl>
    <w:lvl w:ilvl="1">
      <w:start w:val="1"/>
      <w:numFmt w:val="decimal"/>
      <w:lvlRestart w:val="0"/>
      <w:suff w:val="space"/>
      <w:lvlText w:val="%1.%2"/>
      <w:lvlJc w:val="left"/>
      <w:pPr>
        <w:ind w:left="720" w:hanging="720"/>
      </w:pPr>
      <w:rPr>
        <w:rFonts w:cs="Times New Roman" w:hint="default"/>
      </w:rPr>
    </w:lvl>
    <w:lvl w:ilvl="2">
      <w:start w:val="1"/>
      <w:numFmt w:val="decimal"/>
      <w:lvlRestart w:val="0"/>
      <w:pStyle w:val="TAsectionheading3"/>
      <w:suff w:val="nothing"/>
      <w:lvlText w:val="%1.%3"/>
      <w:lvlJc w:val="left"/>
      <w:pPr>
        <w:ind w:left="720" w:hanging="720"/>
      </w:pPr>
      <w:rPr>
        <w:rFonts w:cs="Times New Roman" w:hint="default"/>
      </w:rPr>
    </w:lvl>
    <w:lvl w:ilvl="3">
      <w:start w:val="1"/>
      <w:numFmt w:val="decimal"/>
      <w:lvlText w:val="%1.%2.%3.%4"/>
      <w:lvlJc w:val="left"/>
      <w:pPr>
        <w:tabs>
          <w:tab w:val="num" w:pos="1440"/>
        </w:tabs>
        <w:ind w:left="567" w:hanging="567"/>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14" w15:restartNumberingAfterBreak="0">
    <w:nsid w:val="7929793F"/>
    <w:multiLevelType w:val="hybridMultilevel"/>
    <w:tmpl w:val="4D120970"/>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 w:numId="5">
    <w:abstractNumId w:val="3"/>
  </w:num>
  <w:num w:numId="6">
    <w:abstractNumId w:val="10"/>
  </w:num>
  <w:num w:numId="7">
    <w:abstractNumId w:val="13"/>
  </w:num>
  <w:num w:numId="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7"/>
  </w:num>
  <w:num w:numId="11">
    <w:abstractNumId w:val="0"/>
  </w:num>
  <w:num w:numId="12">
    <w:abstractNumId w:val="2"/>
  </w:num>
  <w:num w:numId="13">
    <w:abstractNumId w:val="9"/>
  </w:num>
  <w:num w:numId="14">
    <w:abstractNumId w:val="8"/>
  </w:num>
  <w:num w:numId="15">
    <w:abstractNumId w:val="5"/>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hdrShapeDefaults>
    <o:shapedefaults v:ext="edit" spidmax="2050"/>
  </w:hdrShapeDefaults>
  <w:footnotePr>
    <w:footnote w:id="-1"/>
    <w:footnote w:id="0"/>
  </w:footnotePr>
  <w:endnotePr>
    <w:endnote w:id="-1"/>
    <w:endnote w:id="0"/>
  </w:endnotePr>
  <w:compat>
    <w:doNotUseHTMLParagraphAutoSpacing/>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54E3B"/>
    <w:rsid w:val="00543B14"/>
    <w:rsid w:val="005569F0"/>
    <w:rsid w:val="00683A75"/>
    <w:rsid w:val="00754E3B"/>
    <w:rsid w:val="00AB03B8"/>
    <w:rsid w:val="00B151B2"/>
    <w:rsid w:val="00CB274D"/>
    <w:rsid w:val="00DC3823"/>
    <w:rsid w:val="00DC6BDD"/>
    <w:rsid w:val="00EC0EE9"/>
    <w:rsid w:val="00F96D30"/>
    <w:rsid w:val="00FA0C8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ate"/>
  <w:smartTagType w:namespaceuri="urn:schemas-microsoft-com:office:smarttags" w:name="address"/>
  <w:smartTagType w:namespaceuri="urn:schemas-microsoft-com:office:smarttags" w:name="City"/>
  <w:smartTagType w:namespaceuri="urn:schemas-microsoft-com:office:smarttags" w:name="Street"/>
  <w:smartTagType w:namespaceuri="urn:schemas-microsoft-com:office:smarttags" w:name="place"/>
  <w:shapeDefaults>
    <o:shapedefaults v:ext="edit" spidmax="2050"/>
    <o:shapelayout v:ext="edit">
      <o:idmap v:ext="edit" data="1"/>
    </o:shapelayout>
  </w:shapeDefaults>
  <w:decimalSymbol w:val="."/>
  <w:listSeparator w:val=","/>
  <w14:defaultImageDpi w14:val="0"/>
  <w15:docId w15:val="{055E56C0-60B6-4265-9780-88C052597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sz w:val="24"/>
      <w:szCs w:val="24"/>
    </w:rPr>
  </w:style>
  <w:style w:type="paragraph" w:styleId="Heading1">
    <w:name w:val="heading 1"/>
    <w:basedOn w:val="Normal"/>
    <w:next w:val="Normal"/>
    <w:link w:val="Heading1Char"/>
    <w:uiPriority w:val="9"/>
    <w:qFormat/>
    <w:pPr>
      <w:keepNext/>
      <w:numPr>
        <w:numId w:val="7"/>
      </w:numPr>
      <w:tabs>
        <w:tab w:val="left" w:pos="720"/>
      </w:tabs>
      <w:spacing w:after="240"/>
      <w:outlineLvl w:val="0"/>
    </w:pPr>
    <w:rPr>
      <w:rFonts w:cs="Arial"/>
      <w:b/>
      <w:bCs/>
      <w:kern w:val="32"/>
      <w:sz w:val="32"/>
      <w:szCs w:val="32"/>
    </w:rPr>
  </w:style>
  <w:style w:type="paragraph" w:styleId="Heading2">
    <w:name w:val="heading 2"/>
    <w:basedOn w:val="Normal"/>
    <w:next w:val="Normal"/>
    <w:link w:val="Heading2Char"/>
    <w:uiPriority w:val="9"/>
    <w:qFormat/>
    <w:pPr>
      <w:keepNext/>
      <w:spacing w:before="240" w:after="60"/>
      <w:outlineLvl w:val="1"/>
    </w:pPr>
    <w:rPr>
      <w:rFonts w:cs="Arial"/>
      <w:b/>
      <w:bCs/>
      <w:i/>
      <w:iCs/>
      <w:sz w:val="28"/>
      <w:szCs w:val="28"/>
    </w:rPr>
  </w:style>
  <w:style w:type="paragraph" w:styleId="Heading3">
    <w:name w:val="heading 3"/>
    <w:basedOn w:val="Normal"/>
    <w:next w:val="Normal"/>
    <w:link w:val="Heading3Char"/>
    <w:uiPriority w:val="9"/>
    <w:qFormat/>
    <w:pPr>
      <w:keepNext/>
      <w:spacing w:before="240" w:after="60"/>
      <w:outlineLvl w:val="2"/>
    </w:pPr>
    <w:rPr>
      <w:rFonts w:cs="Arial"/>
      <w:b/>
      <w:bCs/>
      <w:sz w:val="26"/>
      <w:szCs w:val="26"/>
    </w:rPr>
  </w:style>
  <w:style w:type="paragraph" w:styleId="Heading4">
    <w:name w:val="heading 4"/>
    <w:basedOn w:val="Normal"/>
    <w:next w:val="Normal"/>
    <w:link w:val="Heading4Char"/>
    <w:uiPriority w:val="9"/>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Theme="majorHAnsi" w:eastAsiaTheme="majorEastAsia" w:hAnsiTheme="majorHAnsi" w:cs="Times New Roman"/>
      <w:b/>
      <w:bCs/>
      <w:kern w:val="32"/>
      <w:sz w:val="32"/>
      <w:szCs w:val="32"/>
    </w:rPr>
  </w:style>
  <w:style w:type="character" w:customStyle="1" w:styleId="Heading2Char">
    <w:name w:val="Heading 2 Char"/>
    <w:basedOn w:val="DefaultParagraphFont"/>
    <w:link w:val="Heading2"/>
    <w:uiPriority w:val="9"/>
    <w:semiHidden/>
    <w:locked/>
    <w:rPr>
      <w:rFonts w:asciiTheme="majorHAnsi" w:eastAsiaTheme="majorEastAsia" w:hAnsiTheme="majorHAnsi" w:cs="Times New Roman"/>
      <w:b/>
      <w:bCs/>
      <w:i/>
      <w:iCs/>
      <w:sz w:val="28"/>
      <w:szCs w:val="28"/>
    </w:rPr>
  </w:style>
  <w:style w:type="character" w:customStyle="1" w:styleId="Heading3Char">
    <w:name w:val="Heading 3 Char"/>
    <w:basedOn w:val="DefaultParagraphFont"/>
    <w:link w:val="Heading3"/>
    <w:uiPriority w:val="9"/>
    <w:semiHidden/>
    <w:locked/>
    <w:rPr>
      <w:rFonts w:asciiTheme="majorHAnsi" w:eastAsiaTheme="majorEastAsia" w:hAnsiTheme="majorHAnsi" w:cs="Times New Roman"/>
      <w:b/>
      <w:bCs/>
      <w:sz w:val="26"/>
      <w:szCs w:val="26"/>
    </w:rPr>
  </w:style>
  <w:style w:type="character" w:customStyle="1" w:styleId="Heading4Char">
    <w:name w:val="Heading 4 Char"/>
    <w:basedOn w:val="DefaultParagraphFont"/>
    <w:link w:val="Heading4"/>
    <w:uiPriority w:val="9"/>
    <w:semiHidden/>
    <w:locked/>
    <w:rPr>
      <w:rFonts w:asciiTheme="minorHAnsi" w:eastAsiaTheme="minorEastAsia" w:hAnsiTheme="minorHAnsi" w:cs="Times New Roman"/>
      <w:b/>
      <w:bCs/>
      <w:sz w:val="28"/>
      <w:szCs w:val="28"/>
    </w:rPr>
  </w:style>
  <w:style w:type="character" w:styleId="Hyperlink">
    <w:name w:val="Hyperlink"/>
    <w:basedOn w:val="DefaultParagraphFont"/>
    <w:uiPriority w:val="99"/>
    <w:rPr>
      <w:rFonts w:cs="Times New Roman"/>
      <w:color w:val="0000FF"/>
      <w:u w:val="single"/>
    </w:rPr>
  </w:style>
  <w:style w:type="paragraph" w:styleId="TOC1">
    <w:name w:val="toc 1"/>
    <w:basedOn w:val="Normal"/>
    <w:next w:val="BodyText"/>
    <w:uiPriority w:val="39"/>
    <w:semiHidden/>
    <w:pPr>
      <w:spacing w:before="360"/>
    </w:pPr>
    <w:rPr>
      <w:caps/>
      <w:noProof/>
    </w:rPr>
  </w:style>
  <w:style w:type="paragraph" w:styleId="TOC2">
    <w:name w:val="toc 2"/>
    <w:basedOn w:val="Normal"/>
    <w:next w:val="BlockText"/>
    <w:uiPriority w:val="39"/>
    <w:semiHidden/>
    <w:pPr>
      <w:spacing w:before="240"/>
    </w:p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semiHidden/>
    <w:locked/>
    <w:rPr>
      <w:rFonts w:ascii="Arial" w:hAnsi="Arial" w:cs="Times New Roman"/>
      <w:sz w:val="24"/>
      <w:szCs w:val="24"/>
    </w:rPr>
  </w:style>
  <w:style w:type="paragraph" w:customStyle="1" w:styleId="Head1">
    <w:name w:val="Head 1"/>
    <w:basedOn w:val="Normal"/>
    <w:next w:val="BodyText"/>
    <w:pPr>
      <w:numPr>
        <w:numId w:val="1"/>
      </w:numPr>
      <w:spacing w:after="240"/>
    </w:pPr>
    <w:rPr>
      <w:b/>
      <w:sz w:val="36"/>
    </w:rPr>
  </w:style>
  <w:style w:type="paragraph" w:styleId="BodyText">
    <w:name w:val="Body Text"/>
    <w:basedOn w:val="Normal"/>
    <w:link w:val="BodyTextChar"/>
    <w:uiPriority w:val="99"/>
    <w:pPr>
      <w:spacing w:after="120"/>
    </w:pPr>
  </w:style>
  <w:style w:type="character" w:customStyle="1" w:styleId="BodyTextChar1">
    <w:name w:val="Body Text Char1"/>
    <w:basedOn w:val="DefaultParagraphFont"/>
    <w:uiPriority w:val="99"/>
    <w:semiHidden/>
    <w:rPr>
      <w:rFonts w:ascii="Arial" w:hAnsi="Arial"/>
      <w:sz w:val="24"/>
      <w:szCs w:val="24"/>
    </w:rPr>
  </w:style>
  <w:style w:type="character" w:customStyle="1" w:styleId="BodyTextChar">
    <w:name w:val="Body Text Char"/>
    <w:basedOn w:val="DefaultParagraphFont"/>
    <w:link w:val="BodyText"/>
    <w:uiPriority w:val="99"/>
    <w:semiHidden/>
    <w:locked/>
    <w:rPr>
      <w:rFonts w:ascii="Arial" w:hAnsi="Arial" w:cs="Times New Roman"/>
      <w:sz w:val="24"/>
      <w:szCs w:val="24"/>
    </w:rPr>
  </w:style>
  <w:style w:type="paragraph" w:customStyle="1" w:styleId="Head2">
    <w:name w:val="Head 2"/>
    <w:basedOn w:val="Normal"/>
    <w:next w:val="BodyText"/>
    <w:pPr>
      <w:numPr>
        <w:ilvl w:val="1"/>
        <w:numId w:val="1"/>
      </w:numPr>
      <w:spacing w:after="240"/>
    </w:pPr>
    <w:rPr>
      <w:b/>
      <w:sz w:val="32"/>
    </w:rPr>
  </w:style>
  <w:style w:type="paragraph" w:customStyle="1" w:styleId="Head3">
    <w:name w:val="Head 3"/>
    <w:basedOn w:val="Normal"/>
    <w:next w:val="BodyText"/>
    <w:pPr>
      <w:numPr>
        <w:ilvl w:val="2"/>
        <w:numId w:val="1"/>
      </w:numPr>
      <w:spacing w:after="240"/>
    </w:pPr>
    <w:rPr>
      <w:b/>
    </w:rPr>
  </w:style>
  <w:style w:type="paragraph" w:customStyle="1" w:styleId="TAbodytext">
    <w:name w:val="TA body text"/>
    <w:basedOn w:val="Normal"/>
    <w:pPr>
      <w:tabs>
        <w:tab w:val="left" w:pos="720"/>
        <w:tab w:val="left" w:pos="1440"/>
      </w:tabs>
      <w:spacing w:after="120"/>
    </w:pPr>
  </w:style>
  <w:style w:type="paragraph" w:customStyle="1" w:styleId="TAsectionheading2">
    <w:name w:val="TA section heading 2"/>
    <w:basedOn w:val="Heading2"/>
    <w:pPr>
      <w:keepNext w:val="0"/>
      <w:tabs>
        <w:tab w:val="left" w:pos="1440"/>
      </w:tabs>
      <w:spacing w:before="0" w:after="240"/>
    </w:pPr>
    <w:rPr>
      <w:bCs w:val="0"/>
      <w:i w:val="0"/>
      <w:iCs w:val="0"/>
    </w:rPr>
  </w:style>
  <w:style w:type="paragraph" w:styleId="TOC3">
    <w:name w:val="toc 3"/>
    <w:basedOn w:val="Normal"/>
    <w:next w:val="BodyText"/>
    <w:autoRedefine/>
    <w:uiPriority w:val="39"/>
    <w:semiHidden/>
    <w:pPr>
      <w:tabs>
        <w:tab w:val="left" w:pos="1202"/>
        <w:tab w:val="right" w:leader="dot" w:pos="8835"/>
      </w:tabs>
      <w:spacing w:before="240"/>
    </w:pPr>
  </w:style>
  <w:style w:type="paragraph" w:customStyle="1" w:styleId="TAtitlepageplanninganddevelopmentact">
    <w:name w:val="TA title page planning and development act"/>
    <w:basedOn w:val="BodyText"/>
    <w:link w:val="TAtitlepageplanninganddevelopmentactCharChar"/>
    <w:pPr>
      <w:tabs>
        <w:tab w:val="left" w:pos="720"/>
        <w:tab w:val="left" w:pos="1440"/>
      </w:tabs>
      <w:ind w:left="567"/>
      <w:jc w:val="center"/>
    </w:pPr>
    <w:rPr>
      <w:rFonts w:cs="Arial"/>
      <w:sz w:val="32"/>
    </w:rPr>
  </w:style>
  <w:style w:type="character" w:customStyle="1" w:styleId="TAtitlepageplanninganddevelopmentactCharChar">
    <w:name w:val="TA title page planning and development act Char Char"/>
    <w:basedOn w:val="DefaultParagraphFont"/>
    <w:link w:val="TAtitlepageplanninganddevelopmentact"/>
    <w:locked/>
    <w:rPr>
      <w:rFonts w:ascii="Arial" w:hAnsi="Arial" w:cs="Arial"/>
      <w:sz w:val="24"/>
      <w:szCs w:val="24"/>
      <w:lang w:val="en-AU" w:eastAsia="en-AU" w:bidi="ar-SA"/>
    </w:rPr>
  </w:style>
  <w:style w:type="paragraph" w:customStyle="1" w:styleId="TATitlepagedocumenttitle">
    <w:name w:val="TA Title page document title"/>
    <w:basedOn w:val="BodyText"/>
    <w:pPr>
      <w:pBdr>
        <w:top w:val="single" w:sz="4" w:space="1" w:color="auto"/>
        <w:left w:val="single" w:sz="4" w:space="4" w:color="auto"/>
        <w:bottom w:val="single" w:sz="4" w:space="1" w:color="auto"/>
        <w:right w:val="single" w:sz="4" w:space="4" w:color="auto"/>
      </w:pBdr>
      <w:shd w:val="clear" w:color="auto" w:fill="F3F3F3"/>
      <w:tabs>
        <w:tab w:val="left" w:pos="720"/>
        <w:tab w:val="left" w:pos="1440"/>
      </w:tabs>
      <w:ind w:left="567"/>
      <w:jc w:val="center"/>
    </w:pPr>
    <w:rPr>
      <w:rFonts w:cs="Arial"/>
      <w:b/>
      <w:bCs/>
      <w:sz w:val="74"/>
    </w:rPr>
  </w:style>
  <w:style w:type="paragraph" w:customStyle="1" w:styleId="TATitleexplanatoryheading">
    <w:name w:val="TA Title explanatory heading"/>
    <w:basedOn w:val="Normal"/>
    <w:pPr>
      <w:jc w:val="center"/>
    </w:pPr>
    <w:rPr>
      <w:rFonts w:cs="Arial"/>
      <w:sz w:val="40"/>
      <w:szCs w:val="40"/>
    </w:rPr>
  </w:style>
  <w:style w:type="paragraph" w:customStyle="1" w:styleId="TAeditorialitemgeneralheading">
    <w:name w:val="TA editorial item general heading"/>
    <w:basedOn w:val="Normal"/>
    <w:pPr>
      <w:numPr>
        <w:numId w:val="11"/>
      </w:numPr>
      <w:pBdr>
        <w:top w:val="single" w:sz="4" w:space="1" w:color="auto"/>
        <w:left w:val="single" w:sz="4" w:space="4" w:color="auto"/>
        <w:bottom w:val="single" w:sz="4" w:space="1" w:color="auto"/>
        <w:right w:val="single" w:sz="4" w:space="4" w:color="auto"/>
      </w:pBdr>
      <w:shd w:val="clear" w:color="auto" w:fill="D9D9D9"/>
      <w:ind w:hanging="720"/>
    </w:pPr>
    <w:rPr>
      <w:b/>
    </w:rPr>
  </w:style>
  <w:style w:type="paragraph" w:customStyle="1" w:styleId="TAeditorialinstructions">
    <w:name w:val="TA editorial instructions"/>
    <w:basedOn w:val="Normal"/>
    <w:pPr>
      <w:ind w:left="720"/>
    </w:pPr>
    <w:rPr>
      <w:i/>
      <w:iCs/>
    </w:rPr>
  </w:style>
  <w:style w:type="paragraph" w:customStyle="1" w:styleId="CodeItem">
    <w:name w:val="CodeItem"/>
    <w:basedOn w:val="Normal"/>
    <w:pPr>
      <w:numPr>
        <w:ilvl w:val="1"/>
        <w:numId w:val="9"/>
      </w:numPr>
      <w:spacing w:before="60" w:after="60"/>
    </w:pPr>
    <w:rPr>
      <w:rFonts w:cs="Arial"/>
      <w:b/>
      <w:bCs/>
      <w:sz w:val="20"/>
      <w:szCs w:val="20"/>
      <w:lang w:eastAsia="en-US"/>
    </w:rPr>
  </w:style>
  <w:style w:type="paragraph" w:customStyle="1" w:styleId="codeRuleCriteria">
    <w:name w:val="codeRuleCriteria"/>
    <w:basedOn w:val="Normal"/>
    <w:pPr>
      <w:spacing w:before="60" w:after="60" w:line="288" w:lineRule="auto"/>
    </w:pPr>
    <w:rPr>
      <w:rFonts w:cs="Arial"/>
      <w:sz w:val="20"/>
      <w:szCs w:val="20"/>
      <w:lang w:eastAsia="en-US"/>
    </w:rPr>
  </w:style>
  <w:style w:type="paragraph" w:customStyle="1" w:styleId="codeList">
    <w:name w:val="codeList"/>
    <w:basedOn w:val="codeRuleCriteria"/>
    <w:pPr>
      <w:numPr>
        <w:numId w:val="10"/>
      </w:numPr>
      <w:spacing w:before="0" w:after="0" w:line="240" w:lineRule="auto"/>
    </w:pPr>
  </w:style>
  <w:style w:type="paragraph" w:customStyle="1" w:styleId="codeList2">
    <w:name w:val="codeList2"/>
    <w:basedOn w:val="codeList"/>
    <w:pPr>
      <w:numPr>
        <w:ilvl w:val="1"/>
      </w:numPr>
      <w:ind w:firstLine="0"/>
    </w:pPr>
  </w:style>
  <w:style w:type="paragraph" w:customStyle="1" w:styleId="TABodytextinstructioncontentsubtitle">
    <w:name w:val="TA Body text instruction content sub title"/>
    <w:basedOn w:val="BodyText"/>
    <w:pPr>
      <w:tabs>
        <w:tab w:val="left" w:pos="720"/>
        <w:tab w:val="left" w:pos="1440"/>
      </w:tabs>
      <w:ind w:left="720"/>
    </w:pPr>
    <w:rPr>
      <w:b/>
      <w:sz w:val="20"/>
    </w:rPr>
  </w:style>
  <w:style w:type="paragraph" w:customStyle="1" w:styleId="TATableofcontentsTitle">
    <w:name w:val="TA Table of contents Title"/>
    <w:basedOn w:val="TATitleexplanatoryheading"/>
  </w:style>
  <w:style w:type="paragraph" w:customStyle="1" w:styleId="TAsectionheading">
    <w:name w:val="TA section heading"/>
    <w:basedOn w:val="Heading1"/>
  </w:style>
  <w:style w:type="paragraph" w:customStyle="1" w:styleId="TAsectionheading3">
    <w:name w:val="TA section heading 3"/>
    <w:basedOn w:val="Heading3"/>
    <w:pPr>
      <w:keepNext w:val="0"/>
      <w:numPr>
        <w:ilvl w:val="2"/>
        <w:numId w:val="7"/>
      </w:numPr>
      <w:tabs>
        <w:tab w:val="left" w:pos="1440"/>
      </w:tabs>
      <w:spacing w:before="0" w:after="120" w:line="360" w:lineRule="auto"/>
    </w:pPr>
    <w:rPr>
      <w:bCs w:val="0"/>
      <w:sz w:val="28"/>
      <w:szCs w:val="28"/>
    </w:rPr>
  </w:style>
  <w:style w:type="paragraph" w:customStyle="1" w:styleId="TAinterpretationservicetitle">
    <w:name w:val="TA interpretation service title"/>
    <w:basedOn w:val="BodyText"/>
    <w:pPr>
      <w:tabs>
        <w:tab w:val="left" w:pos="720"/>
        <w:tab w:val="left" w:pos="1440"/>
      </w:tabs>
      <w:ind w:left="720" w:hanging="153"/>
    </w:pPr>
    <w:rPr>
      <w:b/>
    </w:rPr>
  </w:style>
  <w:style w:type="paragraph" w:customStyle="1" w:styleId="TAfooter">
    <w:name w:val="TA footer"/>
    <w:basedOn w:val="Footer"/>
    <w:link w:val="TAfooterChar"/>
    <w:pPr>
      <w:spacing w:after="60"/>
      <w:jc w:val="center"/>
    </w:pPr>
    <w:rPr>
      <w:rFonts w:cs="Arial"/>
      <w:sz w:val="20"/>
      <w:szCs w:val="20"/>
    </w:rPr>
  </w:style>
  <w:style w:type="paragraph" w:customStyle="1" w:styleId="TApagenumber">
    <w:name w:val="TA page number"/>
    <w:basedOn w:val="TAfooter"/>
    <w:link w:val="TApagenumberChar"/>
  </w:style>
  <w:style w:type="character" w:customStyle="1" w:styleId="TAfooterChar">
    <w:name w:val="TA footer Char"/>
    <w:basedOn w:val="DefaultParagraphFont"/>
    <w:link w:val="TAfooter"/>
    <w:locked/>
    <w:rPr>
      <w:rFonts w:ascii="Arial" w:hAnsi="Arial" w:cs="Arial"/>
      <w:lang w:val="en-AU" w:eastAsia="en-AU" w:bidi="ar-SA"/>
    </w:rPr>
  </w:style>
  <w:style w:type="character" w:customStyle="1" w:styleId="TApagenumberChar">
    <w:name w:val="TA page number Char"/>
    <w:basedOn w:val="TAfooterChar"/>
    <w:link w:val="TApagenumber"/>
    <w:locked/>
    <w:rPr>
      <w:rFonts w:ascii="Arial" w:hAnsi="Arial" w:cs="Arial"/>
      <w:lang w:val="en-AU" w:eastAsia="en-AU" w:bidi="ar-SA"/>
    </w:rPr>
  </w:style>
  <w:style w:type="paragraph" w:customStyle="1" w:styleId="TAACTPLAlogo">
    <w:name w:val="TA ACTPLA logo"/>
    <w:basedOn w:val="Footer"/>
    <w:pPr>
      <w:jc w:val="center"/>
    </w:pPr>
  </w:style>
  <w:style w:type="paragraph" w:customStyle="1" w:styleId="TAheader">
    <w:name w:val="TA header"/>
    <w:basedOn w:val="Header"/>
  </w:style>
  <w:style w:type="paragraph" w:customStyle="1" w:styleId="TAsubheadinglocationinterritoryplan">
    <w:name w:val="TA sub heading location in territory plan"/>
    <w:basedOn w:val="Heading4"/>
    <w:pPr>
      <w:keepNext w:val="0"/>
      <w:spacing w:after="240"/>
    </w:pPr>
    <w:rPr>
      <w:b w:val="0"/>
      <w:bCs w:val="0"/>
      <w:sz w:val="32"/>
      <w:szCs w:val="20"/>
    </w:rPr>
  </w:style>
  <w:style w:type="paragraph" w:customStyle="1" w:styleId="TATitlepagemonthandyear">
    <w:name w:val="TA Title page month and year"/>
    <w:basedOn w:val="TATitleexplanatoryheading"/>
  </w:style>
  <w:style w:type="paragraph" w:customStyle="1" w:styleId="TAinstructioncontent">
    <w:name w:val="TA instruction content"/>
    <w:basedOn w:val="TABodytextinstructioncontentsubtitle"/>
    <w:pPr>
      <w:ind w:left="1440"/>
    </w:pPr>
    <w:rPr>
      <w:b w:val="0"/>
    </w:rPr>
  </w:style>
  <w:style w:type="paragraph" w:customStyle="1" w:styleId="TAexplanatorystatementsubheading">
    <w:name w:val="TA explanatory statement subheading"/>
    <w:basedOn w:val="BodyText"/>
    <w:pPr>
      <w:numPr>
        <w:numId w:val="12"/>
      </w:numPr>
      <w:tabs>
        <w:tab w:val="clear" w:pos="360"/>
        <w:tab w:val="left" w:pos="720"/>
        <w:tab w:val="left" w:pos="1440"/>
      </w:tabs>
    </w:pPr>
    <w:rPr>
      <w:b/>
      <w:bCs/>
      <w:szCs w:val="20"/>
    </w:rPr>
  </w:style>
  <w:style w:type="paragraph" w:customStyle="1" w:styleId="TAfiguretext">
    <w:name w:val="TA figure text"/>
    <w:basedOn w:val="TAbodytext"/>
    <w:rPr>
      <w:sz w:val="20"/>
    </w:rPr>
  </w:style>
  <w:style w:type="paragraph" w:customStyle="1" w:styleId="codeRuleNone">
    <w:name w:val="codeRuleNone"/>
    <w:basedOn w:val="codeRuleCriteria"/>
    <w:rPr>
      <w:vanish/>
    </w:rPr>
  </w:style>
  <w:style w:type="paragraph" w:customStyle="1" w:styleId="hiddenText">
    <w:name w:val="hiddenText"/>
    <w:basedOn w:val="Normal"/>
    <w:pPr>
      <w:spacing w:before="120" w:line="288" w:lineRule="auto"/>
    </w:pPr>
    <w:rPr>
      <w:rFonts w:cs="Arial"/>
      <w:vanish/>
      <w:sz w:val="20"/>
      <w:szCs w:val="20"/>
      <w:lang w:eastAsia="en-US"/>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basedOn w:val="DefaultParagraphFont"/>
    <w:link w:val="Footer"/>
    <w:uiPriority w:val="99"/>
    <w:semiHidden/>
    <w:locked/>
    <w:rPr>
      <w:rFonts w:ascii="Arial" w:hAnsi="Arial" w:cs="Times New Roman"/>
      <w:sz w:val="24"/>
      <w:szCs w:val="24"/>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ascii="Tahoma" w:hAnsi="Tahoma" w:cs="Tahoma"/>
      <w:sz w:val="16"/>
      <w:szCs w:val="16"/>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uiPriority w:val="99"/>
    <w:pPr>
      <w:spacing w:after="120"/>
      <w:ind w:left="1440" w:right="1440"/>
    </w:pPr>
  </w:style>
  <w:style w:type="paragraph" w:customStyle="1" w:styleId="TAheading">
    <w:name w:val="TA heading"/>
    <w:basedOn w:val="Normal"/>
    <w:pPr>
      <w:tabs>
        <w:tab w:val="left" w:pos="2400"/>
        <w:tab w:val="left" w:pos="2880"/>
      </w:tabs>
      <w:spacing w:before="120" w:after="240"/>
    </w:pPr>
    <w:rPr>
      <w:b/>
      <w:bCs/>
      <w:sz w:val="40"/>
      <w:szCs w:val="20"/>
      <w:lang w:eastAsia="en-US"/>
    </w:rPr>
  </w:style>
  <w:style w:type="paragraph" w:customStyle="1" w:styleId="TAbody">
    <w:name w:val="TA body"/>
    <w:basedOn w:val="Normal"/>
    <w:link w:val="TAbodyChar"/>
    <w:rPr>
      <w:szCs w:val="20"/>
      <w:lang w:val="en-GB" w:eastAsia="en-US"/>
    </w:rPr>
  </w:style>
  <w:style w:type="character" w:customStyle="1" w:styleId="TAbodyChar">
    <w:name w:val="TA body Char"/>
    <w:basedOn w:val="DefaultParagraphFont"/>
    <w:link w:val="TAbody"/>
    <w:locked/>
    <w:rPr>
      <w:rFonts w:ascii="Arial" w:hAnsi="Arial" w:cs="Times New Roman"/>
      <w:sz w:val="24"/>
      <w:lang w:val="en-GB" w:eastAsia="en-US" w:bidi="ar-SA"/>
    </w:rPr>
  </w:style>
  <w:style w:type="character" w:customStyle="1" w:styleId="TAannexureAtext">
    <w:name w:val="TA annexure A text"/>
    <w:basedOn w:val="DefaultParagraphFont"/>
    <w:rPr>
      <w:rFonts w:cs="Times New Roman"/>
      <w:b/>
      <w:bCs/>
    </w:rPr>
  </w:style>
  <w:style w:type="paragraph" w:customStyle="1" w:styleId="TAline">
    <w:name w:val="TA line"/>
    <w:basedOn w:val="Normal"/>
    <w:pPr>
      <w:pBdr>
        <w:top w:val="single" w:sz="12" w:space="1" w:color="auto"/>
      </w:pBdr>
    </w:pPr>
    <w:rPr>
      <w:szCs w:val="20"/>
      <w:lang w:eastAsia="en-US"/>
    </w:rPr>
  </w:style>
  <w:style w:type="paragraph" w:customStyle="1" w:styleId="TALAtext">
    <w:name w:val="TA (LA) text"/>
    <w:basedOn w:val="Normal"/>
    <w:pPr>
      <w:spacing w:before="180" w:after="60"/>
      <w:jc w:val="both"/>
    </w:pPr>
    <w:rPr>
      <w:sz w:val="20"/>
      <w:szCs w:val="20"/>
      <w:lang w:eastAsia="en-US"/>
    </w:rPr>
  </w:style>
  <w:style w:type="paragraph" w:customStyle="1" w:styleId="TA-LAitalicstext">
    <w:name w:val="TA - LA italics text"/>
    <w:basedOn w:val="Normal"/>
    <w:next w:val="Normal"/>
    <w:link w:val="TA-LAitalicstextChar"/>
    <w:pPr>
      <w:tabs>
        <w:tab w:val="left" w:pos="2600"/>
      </w:tabs>
      <w:spacing w:after="240"/>
      <w:jc w:val="both"/>
    </w:pPr>
    <w:rPr>
      <w:b/>
      <w:i/>
      <w:sz w:val="18"/>
      <w:szCs w:val="20"/>
      <w:lang w:eastAsia="en-US"/>
    </w:rPr>
  </w:style>
  <w:style w:type="character" w:customStyle="1" w:styleId="TA-LAitalicstextChar">
    <w:name w:val="TA - LA italics text Char"/>
    <w:basedOn w:val="DefaultParagraphFont"/>
    <w:link w:val="TA-LAitalicstext"/>
    <w:locked/>
    <w:rPr>
      <w:rFonts w:ascii="Arial" w:hAnsi="Arial" w:cs="Times New Roman"/>
      <w:b/>
      <w:i/>
      <w:sz w:val="18"/>
      <w:lang w:val="en-AU"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6481988">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header" Target="header3.xml"/><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oter" Target="footer4.xml"/></Relationships>
</file>

<file path=word/_rels/foot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3.w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1455</Words>
  <Characters>7812</Characters>
  <Application>Microsoft Office Word</Application>
  <DocSecurity>0</DocSecurity>
  <Lines>267</Lines>
  <Paragraphs>85</Paragraphs>
  <ScaleCrop>false</ScaleCrop>
  <HeadingPairs>
    <vt:vector size="2" baseType="variant">
      <vt:variant>
        <vt:lpstr>Title</vt:lpstr>
      </vt:variant>
      <vt:variant>
        <vt:i4>1</vt:i4>
      </vt:variant>
    </vt:vector>
  </HeadingPairs>
  <TitlesOfParts>
    <vt:vector size="1" baseType="lpstr">
      <vt:lpstr>Technical amendment template</vt:lpstr>
    </vt:vector>
  </TitlesOfParts>
  <Company>ACT Government</Company>
  <LinksUpToDate>false</LinksUpToDate>
  <CharactersWithSpaces>9238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amendment template</dc:title>
  <dc:subject/>
  <dc:creator>ACT Government</dc:creator>
  <cp:keywords/>
  <dc:description/>
  <cp:lastModifiedBy>PCODCS</cp:lastModifiedBy>
  <cp:revision>5</cp:revision>
  <cp:lastPrinted>2011-06-23T06:06:00Z</cp:lastPrinted>
  <dcterms:created xsi:type="dcterms:W3CDTF">2018-09-11T23:44:00Z</dcterms:created>
  <dcterms:modified xsi:type="dcterms:W3CDTF">2018-09-11T23:44:00Z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enerator">
    <vt:lpwstr>Powered by Intelledox</vt:lpwstr>
  </property>
  <property fmtid="{D5CDD505-2E9C-101B-9397-08002B2CF9AE}" pid="3" name="Objective-Id">
    <vt:lpwstr>A6549102</vt:lpwstr>
  </property>
  <property fmtid="{D5CDD505-2E9C-101B-9397-08002B2CF9AE}" pid="4" name="Objective-Title">
    <vt:lpwstr>Attachment B TA2011-17 commencement notice + TA document - June 2011</vt:lpwstr>
  </property>
  <property fmtid="{D5CDD505-2E9C-101B-9397-08002B2CF9AE}" pid="5" name="Objective-Comment">
    <vt:lpwstr> </vt:lpwstr>
  </property>
  <property fmtid="{D5CDD505-2E9C-101B-9397-08002B2CF9AE}" pid="6" name="Objective-CreationStamp">
    <vt:filetime>2011-06-26T14:00:00Z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2011-06-28T14:00:00Z</vt:filetime>
  </property>
  <property fmtid="{D5CDD505-2E9C-101B-9397-08002B2CF9AE}" pid="10" name="Objective-ModificationStamp">
    <vt:filetime>2011-06-28T14:00:00Z</vt:filetime>
  </property>
  <property fmtid="{D5CDD505-2E9C-101B-9397-08002B2CF9AE}" pid="11" name="Objective-Owner">
    <vt:lpwstr>Johannes Botha</vt:lpwstr>
  </property>
  <property fmtid="{D5CDD505-2E9C-101B-9397-08002B2CF9AE}" pid="12" name="Objective-Path">
    <vt:lpwstr>Whole of ACT Government:ACTPLA:BRANCH - Planning Services:Development Policy:04 - TERRITORY PLAN VARIATION UNIT - New ((Active 20091126):01 Territory Plan Management (Variations, Technical Amendments, Planning Reports and Proposals):2 Technical Amendments</vt:lpwstr>
  </property>
  <property fmtid="{D5CDD505-2E9C-101B-9397-08002B2CF9AE}" pid="13" name="Objective-Parent">
    <vt:lpwstr>06 Commencement documents</vt:lpwstr>
  </property>
  <property fmtid="{D5CDD505-2E9C-101B-9397-08002B2CF9AE}" pid="14" name="Objective-State">
    <vt:lpwstr>Published</vt:lpwstr>
  </property>
  <property fmtid="{D5CDD505-2E9C-101B-9397-08002B2CF9AE}" pid="15" name="Objective-Version">
    <vt:lpwstr>4.0</vt:lpwstr>
  </property>
  <property fmtid="{D5CDD505-2E9C-101B-9397-08002B2CF9AE}" pid="16" name="Objective-VersionNumber">
    <vt:i4>4</vt:i4>
  </property>
  <property fmtid="{D5CDD505-2E9C-101B-9397-08002B2CF9AE}" pid="17" name="Objective-VersionComment">
    <vt:lpwstr> </vt:lpwstr>
  </property>
  <property fmtid="{D5CDD505-2E9C-101B-9397-08002B2CF9AE}" pid="18" name="Objective-FileNumber">
    <vt:lpwstr> </vt:lpwstr>
  </property>
  <property fmtid="{D5CDD505-2E9C-101B-9397-08002B2CF9AE}" pid="19" name="Objective-Classification">
    <vt:lpwstr>Not classified</vt:lpwstr>
  </property>
  <property fmtid="{D5CDD505-2E9C-101B-9397-08002B2CF9AE}" pid="20" name="Objective-Caveats">
    <vt:lpwstr> </vt:lpwstr>
  </property>
  <property fmtid="{D5CDD505-2E9C-101B-9397-08002B2CF9AE}" pid="21" name="Objective-Owner Agency [system]">
    <vt:lpwstr>ACTPLA</vt:lpwstr>
  </property>
  <property fmtid="{D5CDD505-2E9C-101B-9397-08002B2CF9AE}" pid="22" name="Objective-Document Type [system]">
    <vt:lpwstr>0-Document</vt:lpwstr>
  </property>
  <property fmtid="{D5CDD505-2E9C-101B-9397-08002B2CF9AE}" pid="23" name="Objective-Language [system]">
    <vt:lpwstr>English (en)</vt:lpwstr>
  </property>
  <property fmtid="{D5CDD505-2E9C-101B-9397-08002B2CF9AE}" pid="24" name="Objective-Jurisdiction [system]">
    <vt:lpwstr>ACT</vt:lpwstr>
  </property>
  <property fmtid="{D5CDD505-2E9C-101B-9397-08002B2CF9AE}" pid="25" name="Objective-Customers [system]">
    <vt:lpwstr> </vt:lpwstr>
  </property>
  <property fmtid="{D5CDD505-2E9C-101B-9397-08002B2CF9AE}" pid="26" name="Objective-Add Place [system]">
    <vt:lpwstr> </vt:lpwstr>
  </property>
  <property fmtid="{D5CDD505-2E9C-101B-9397-08002B2CF9AE}" pid="27" name="Objective-Places [system]">
    <vt:lpwstr> </vt:lpwstr>
  </property>
  <property fmtid="{D5CDD505-2E9C-101B-9397-08002B2CF9AE}" pid="28" name="Objective-Transaction Reference [system]">
    <vt:lpwstr> </vt:lpwstr>
  </property>
  <property fmtid="{D5CDD505-2E9C-101B-9397-08002B2CF9AE}" pid="29" name="Objective-Document Created By [system]">
    <vt:lpwstr> </vt:lpwstr>
  </property>
  <property fmtid="{D5CDD505-2E9C-101B-9397-08002B2CF9AE}" pid="30" name="Objective-Document Created On [system]">
    <vt:lpwstr> </vt:lpwstr>
  </property>
  <property fmtid="{D5CDD505-2E9C-101B-9397-08002B2CF9AE}" pid="31" name="Objective-Covers Period From [system]">
    <vt:lpwstr> </vt:lpwstr>
  </property>
  <property fmtid="{D5CDD505-2E9C-101B-9397-08002B2CF9AE}" pid="32" name="Objective-Covers Period To [system]">
    <vt:lpwstr> </vt:lpwstr>
  </property>
</Properties>
</file>