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336" w:rsidRDefault="00A33336">
      <w:pPr>
        <w:pStyle w:val="Header"/>
        <w:tabs>
          <w:tab w:val="clear" w:pos="4819"/>
          <w:tab w:val="clear" w:pos="9071"/>
        </w:tabs>
        <w:spacing w:before="120"/>
        <w:rPr>
          <w:rFonts w:cs="Arial"/>
          <w:lang w:val="en-AU"/>
        </w:rPr>
      </w:pPr>
      <w:bookmarkStart w:id="0" w:name="_GoBack"/>
      <w:bookmarkEnd w:id="0"/>
      <w:smartTag w:uri="urn:schemas-microsoft-com:office:smarttags" w:element="place">
        <w:smartTag w:uri="urn:schemas-microsoft-com:office:smarttags" w:element="State">
          <w:r>
            <w:rPr>
              <w:rFonts w:cs="Arial"/>
              <w:lang w:val="en-AU"/>
            </w:rPr>
            <w:t>Australian Capital Territory</w:t>
          </w:r>
        </w:smartTag>
      </w:smartTag>
    </w:p>
    <w:p w:rsidR="00A33336" w:rsidRDefault="00A33336">
      <w:pPr>
        <w:pStyle w:val="Billname"/>
        <w:spacing w:before="120" w:after="120"/>
        <w:rPr>
          <w:rFonts w:cs="Arial"/>
          <w:b w:val="0"/>
          <w:bCs/>
          <w:sz w:val="24"/>
        </w:rPr>
      </w:pPr>
    </w:p>
    <w:p w:rsidR="00A87F65" w:rsidRPr="00965B7A" w:rsidRDefault="00A33336">
      <w:pPr>
        <w:pStyle w:val="Billname"/>
        <w:spacing w:before="120" w:after="120"/>
        <w:rPr>
          <w:rFonts w:cs="Arial"/>
        </w:rPr>
      </w:pPr>
      <w:r>
        <w:rPr>
          <w:rFonts w:cs="Arial"/>
        </w:rPr>
        <w:t xml:space="preserve">Planning and Development (Technical </w:t>
      </w:r>
      <w:r w:rsidR="00924F8E">
        <w:rPr>
          <w:rFonts w:cs="Arial"/>
        </w:rPr>
        <w:t>Amendment</w:t>
      </w:r>
      <w:r>
        <w:rPr>
          <w:rFonts w:cs="Arial"/>
          <w:color w:val="000000"/>
        </w:rPr>
        <w:t>—</w:t>
      </w:r>
      <w:r w:rsidR="009F34FE">
        <w:rPr>
          <w:rFonts w:cs="Arial"/>
        </w:rPr>
        <w:t>CRACE</w:t>
      </w:r>
      <w:r w:rsidRPr="00B96B79">
        <w:rPr>
          <w:rFonts w:cs="Arial"/>
        </w:rPr>
        <w:t xml:space="preserve">) </w:t>
      </w:r>
      <w:r w:rsidR="00924F8E" w:rsidRPr="00B96B79">
        <w:rPr>
          <w:rFonts w:cs="Arial"/>
        </w:rPr>
        <w:t xml:space="preserve">Plan Variation </w:t>
      </w:r>
      <w:r w:rsidR="00C51C28" w:rsidRPr="00B96B79">
        <w:rPr>
          <w:rFonts w:cs="Arial"/>
        </w:rPr>
        <w:t>201</w:t>
      </w:r>
      <w:r w:rsidR="00B96B79">
        <w:rPr>
          <w:rFonts w:cs="Arial"/>
        </w:rPr>
        <w:t>2</w:t>
      </w:r>
      <w:r w:rsidR="00A87F65" w:rsidRPr="00B96B79">
        <w:rPr>
          <w:rFonts w:cs="Arial"/>
        </w:rPr>
        <w:t xml:space="preserve"> </w:t>
      </w:r>
      <w:r w:rsidR="009F34FE">
        <w:rPr>
          <w:rFonts w:cs="Arial"/>
        </w:rPr>
        <w:t>(No 4</w:t>
      </w:r>
      <w:r w:rsidR="00965B7A">
        <w:rPr>
          <w:rFonts w:cs="Arial"/>
        </w:rPr>
        <w:t>)</w:t>
      </w:r>
    </w:p>
    <w:p w:rsidR="00A33336" w:rsidRDefault="00C51C28">
      <w:pPr>
        <w:pStyle w:val="Heading5"/>
        <w:spacing w:before="240" w:after="60"/>
        <w:rPr>
          <w:rFonts w:cs="Arial"/>
          <w:caps w:val="0"/>
          <w:lang w:val="en-AU"/>
        </w:rPr>
      </w:pPr>
      <w:bookmarkStart w:id="1" w:name="Citation"/>
      <w:r>
        <w:rPr>
          <w:rFonts w:cs="Arial"/>
          <w:caps w:val="0"/>
          <w:lang w:val="en-AU"/>
        </w:rPr>
        <w:t>Notifiable instrument NI201</w:t>
      </w:r>
      <w:r w:rsidR="00B96B79">
        <w:rPr>
          <w:rFonts w:cs="Arial"/>
          <w:caps w:val="0"/>
          <w:lang w:val="en-AU"/>
        </w:rPr>
        <w:t>2</w:t>
      </w:r>
      <w:r w:rsidR="00A33336">
        <w:rPr>
          <w:rFonts w:cs="Arial"/>
          <w:caps w:val="0"/>
          <w:lang w:val="en-AU"/>
        </w:rPr>
        <w:t>—</w:t>
      </w:r>
      <w:r w:rsidR="00C43839">
        <w:rPr>
          <w:rFonts w:cs="Arial"/>
          <w:caps w:val="0"/>
          <w:lang w:val="en-AU"/>
        </w:rPr>
        <w:t>304</w:t>
      </w:r>
    </w:p>
    <w:p w:rsidR="00A33336" w:rsidRPr="003C6253" w:rsidRDefault="00331EA3">
      <w:pPr>
        <w:rPr>
          <w:b/>
          <w:bCs/>
        </w:rPr>
      </w:pPr>
      <w:r>
        <w:rPr>
          <w:b/>
          <w:bCs/>
        </w:rPr>
        <w:t xml:space="preserve">Technical </w:t>
      </w:r>
      <w:r w:rsidR="006254EF">
        <w:rPr>
          <w:b/>
          <w:bCs/>
        </w:rPr>
        <w:t>Amendment</w:t>
      </w:r>
      <w:r w:rsidR="00A33336">
        <w:rPr>
          <w:b/>
          <w:bCs/>
        </w:rPr>
        <w:t xml:space="preserve"> </w:t>
      </w:r>
      <w:r>
        <w:rPr>
          <w:b/>
          <w:bCs/>
        </w:rPr>
        <w:t>N</w:t>
      </w:r>
      <w:r w:rsidR="00A33336">
        <w:rPr>
          <w:b/>
          <w:bCs/>
        </w:rPr>
        <w:t xml:space="preserve">o </w:t>
      </w:r>
      <w:r w:rsidR="003C2BEB">
        <w:rPr>
          <w:b/>
          <w:bCs/>
        </w:rPr>
        <w:t>201</w:t>
      </w:r>
      <w:r w:rsidR="00B96B79">
        <w:rPr>
          <w:b/>
          <w:bCs/>
        </w:rPr>
        <w:t>2</w:t>
      </w:r>
      <w:r w:rsidR="00B96B79" w:rsidRPr="00EC0AC6">
        <w:rPr>
          <w:rFonts w:cs="Arial"/>
          <w:b/>
          <w:caps/>
        </w:rPr>
        <w:t>—</w:t>
      </w:r>
      <w:r w:rsidR="00965B7A" w:rsidRPr="00965B7A">
        <w:rPr>
          <w:rFonts w:cs="Arial"/>
          <w:b/>
          <w:caps/>
        </w:rPr>
        <w:t>2</w:t>
      </w:r>
      <w:r w:rsidR="009F34FE">
        <w:rPr>
          <w:rFonts w:cs="Arial"/>
          <w:b/>
          <w:caps/>
        </w:rPr>
        <w:t>6</w:t>
      </w:r>
    </w:p>
    <w:p w:rsidR="00A33336" w:rsidRDefault="00A33336">
      <w:pPr>
        <w:pStyle w:val="madeunder"/>
        <w:rPr>
          <w:rFonts w:cs="Arial"/>
          <w:sz w:val="20"/>
        </w:rPr>
      </w:pPr>
      <w:r>
        <w:rPr>
          <w:rFonts w:cs="Arial"/>
          <w:sz w:val="20"/>
        </w:rPr>
        <w:t>made under the</w:t>
      </w:r>
    </w:p>
    <w:bookmarkEnd w:id="1"/>
    <w:p w:rsidR="001E21EA" w:rsidRDefault="001E21EA" w:rsidP="001E21EA">
      <w:pPr>
        <w:pStyle w:val="CoverActName"/>
        <w:spacing w:before="0"/>
        <w:rPr>
          <w:rFonts w:cs="Arial"/>
          <w:sz w:val="20"/>
          <w:vertAlign w:val="superscript"/>
        </w:rPr>
      </w:pPr>
      <w:r>
        <w:rPr>
          <w:rFonts w:cs="Arial"/>
          <w:i/>
          <w:sz w:val="20"/>
        </w:rPr>
        <w:t>Planning and Development Act 2007</w:t>
      </w:r>
      <w:r>
        <w:rPr>
          <w:rFonts w:cs="Arial"/>
          <w:sz w:val="20"/>
        </w:rPr>
        <w:t>, section 89</w:t>
      </w:r>
      <w:r w:rsidR="00EE1464">
        <w:rPr>
          <w:rFonts w:cs="Arial"/>
          <w:sz w:val="20"/>
        </w:rPr>
        <w:t xml:space="preserve"> (Making technical amendments) </w:t>
      </w:r>
      <w:r>
        <w:rPr>
          <w:rFonts w:cs="Arial"/>
          <w:sz w:val="20"/>
        </w:rPr>
        <w:t xml:space="preserve">s96 </w:t>
      </w:r>
      <w:r w:rsidR="00EE1464">
        <w:rPr>
          <w:rFonts w:cs="Arial"/>
          <w:sz w:val="20"/>
        </w:rPr>
        <w:t>(</w:t>
      </w:r>
      <w:r>
        <w:rPr>
          <w:rFonts w:cs="Arial"/>
          <w:sz w:val="20"/>
        </w:rPr>
        <w:t>land ceases to be in future urban area)</w:t>
      </w:r>
    </w:p>
    <w:p w:rsidR="00A33336" w:rsidRDefault="00A33336">
      <w:pPr>
        <w:pStyle w:val="N-line3"/>
        <w:pBdr>
          <w:bottom w:val="none" w:sz="0" w:space="0" w:color="auto"/>
        </w:pBdr>
        <w:rPr>
          <w:rFonts w:cs="Arial"/>
        </w:rPr>
      </w:pPr>
    </w:p>
    <w:p w:rsidR="00DD5375" w:rsidRPr="00DB55E1" w:rsidRDefault="00DD5375" w:rsidP="00DD5375">
      <w:pPr>
        <w:pStyle w:val="N-line3"/>
        <w:pBdr>
          <w:top w:val="single" w:sz="12" w:space="1" w:color="auto"/>
          <w:bottom w:val="none" w:sz="0" w:space="0" w:color="auto"/>
        </w:pBdr>
        <w:jc w:val="left"/>
        <w:rPr>
          <w:rFonts w:cs="Arial"/>
        </w:rPr>
      </w:pPr>
    </w:p>
    <w:p w:rsidR="00DD5375" w:rsidRPr="00B96B79" w:rsidRDefault="00DD5375" w:rsidP="00965B7A">
      <w:pPr>
        <w:pStyle w:val="BodyText"/>
        <w:rPr>
          <w:b w:val="0"/>
          <w:bCs/>
          <w:sz w:val="24"/>
          <w:szCs w:val="24"/>
        </w:rPr>
      </w:pPr>
      <w:r w:rsidRPr="00B96B79">
        <w:rPr>
          <w:b w:val="0"/>
          <w:bCs/>
          <w:sz w:val="24"/>
          <w:szCs w:val="24"/>
        </w:rPr>
        <w:t>This plan variation commences on the day after it is notified.</w:t>
      </w:r>
    </w:p>
    <w:p w:rsidR="00DD5375" w:rsidRPr="00DB55E1" w:rsidRDefault="00DD5375" w:rsidP="00965B7A">
      <w:pPr>
        <w:pStyle w:val="BodyText"/>
        <w:rPr>
          <w:b w:val="0"/>
          <w:bCs/>
          <w:sz w:val="24"/>
          <w:szCs w:val="24"/>
        </w:rPr>
      </w:pPr>
    </w:p>
    <w:p w:rsidR="00DD5375" w:rsidRPr="00E641D2" w:rsidRDefault="00DD5375" w:rsidP="00965B7A">
      <w:pPr>
        <w:pStyle w:val="BodyText"/>
        <w:rPr>
          <w:b w:val="0"/>
          <w:bCs/>
          <w:color w:val="000000"/>
          <w:sz w:val="24"/>
          <w:szCs w:val="24"/>
        </w:rPr>
      </w:pPr>
      <w:r w:rsidRPr="00E641D2">
        <w:rPr>
          <w:b w:val="0"/>
          <w:bCs/>
          <w:color w:val="000000"/>
          <w:sz w:val="24"/>
          <w:szCs w:val="24"/>
        </w:rPr>
        <w:t xml:space="preserve">Variation No </w:t>
      </w:r>
      <w:r w:rsidR="00B96B79" w:rsidRPr="00E641D2">
        <w:rPr>
          <w:b w:val="0"/>
          <w:bCs/>
          <w:color w:val="000000"/>
          <w:sz w:val="24"/>
          <w:szCs w:val="24"/>
        </w:rPr>
        <w:t>2012—</w:t>
      </w:r>
      <w:r w:rsidR="009F34FE">
        <w:rPr>
          <w:b w:val="0"/>
          <w:bCs/>
          <w:sz w:val="24"/>
          <w:szCs w:val="24"/>
        </w:rPr>
        <w:t>26</w:t>
      </w:r>
      <w:r w:rsidR="00965B7A">
        <w:rPr>
          <w:b w:val="0"/>
          <w:bCs/>
          <w:sz w:val="24"/>
          <w:szCs w:val="24"/>
        </w:rPr>
        <w:t xml:space="preserve"> </w:t>
      </w:r>
      <w:r w:rsidRPr="00E641D2">
        <w:rPr>
          <w:b w:val="0"/>
          <w:bCs/>
          <w:color w:val="000000"/>
          <w:sz w:val="24"/>
          <w:szCs w:val="24"/>
        </w:rPr>
        <w:t>to the Territory Plan has been approved by the Planning and Land Authority.</w:t>
      </w:r>
    </w:p>
    <w:p w:rsidR="00DD5375" w:rsidRPr="00A55193" w:rsidRDefault="00DD5375" w:rsidP="00965B7A">
      <w:pPr>
        <w:pStyle w:val="BodyText"/>
        <w:rPr>
          <w:b w:val="0"/>
          <w:bCs/>
          <w:color w:val="000000"/>
          <w:sz w:val="24"/>
          <w:szCs w:val="24"/>
        </w:rPr>
      </w:pPr>
    </w:p>
    <w:p w:rsidR="00965B7A" w:rsidRDefault="00965B7A" w:rsidP="001C005E">
      <w:pPr>
        <w:pStyle w:val="Heading4"/>
        <w:spacing w:before="0" w:after="0"/>
        <w:rPr>
          <w:rFonts w:ascii="Arial" w:hAnsi="Arial"/>
          <w:color w:val="000000"/>
          <w:sz w:val="24"/>
          <w:szCs w:val="24"/>
          <w:lang w:val="en-GB"/>
        </w:rPr>
      </w:pPr>
      <w:r w:rsidRPr="00965B7A">
        <w:rPr>
          <w:rFonts w:ascii="Arial" w:hAnsi="Arial"/>
          <w:color w:val="000000"/>
          <w:sz w:val="24"/>
          <w:szCs w:val="24"/>
          <w:lang w:val="en-GB"/>
        </w:rPr>
        <w:t>Variation to the Territory Plan</w:t>
      </w:r>
    </w:p>
    <w:p w:rsidR="001C005E" w:rsidRPr="001C005E" w:rsidRDefault="001C005E" w:rsidP="001C005E">
      <w:pPr>
        <w:rPr>
          <w:lang w:val="en-GB"/>
        </w:rPr>
      </w:pPr>
    </w:p>
    <w:p w:rsidR="00965B7A" w:rsidRPr="00965B7A" w:rsidRDefault="00965B7A" w:rsidP="00965B7A">
      <w:pPr>
        <w:autoSpaceDE w:val="0"/>
        <w:autoSpaceDN w:val="0"/>
        <w:adjustRightInd w:val="0"/>
        <w:rPr>
          <w:bCs/>
          <w:color w:val="000000"/>
          <w:szCs w:val="24"/>
          <w:lang w:val="en-GB"/>
        </w:rPr>
      </w:pPr>
      <w:r w:rsidRPr="00965B7A">
        <w:rPr>
          <w:bCs/>
          <w:color w:val="000000"/>
          <w:szCs w:val="24"/>
          <w:lang w:val="en-GB"/>
        </w:rPr>
        <w:t xml:space="preserve">The Territory Plan map is varied as indicated in </w:t>
      </w:r>
      <w:r w:rsidRPr="00965B7A">
        <w:rPr>
          <w:b/>
          <w:bCs/>
          <w:color w:val="000000"/>
          <w:szCs w:val="24"/>
          <w:lang w:val="en-GB"/>
        </w:rPr>
        <w:t>Annexure A</w:t>
      </w:r>
      <w:r w:rsidRPr="00965B7A">
        <w:rPr>
          <w:bCs/>
          <w:color w:val="000000"/>
          <w:szCs w:val="24"/>
          <w:lang w:val="en-GB"/>
        </w:rPr>
        <w:t xml:space="preserve"> to identify the zones that apply to the land ceasing to be in a future urban area.</w:t>
      </w:r>
    </w:p>
    <w:p w:rsidR="00965B7A" w:rsidRPr="00965B7A" w:rsidRDefault="00965B7A" w:rsidP="00965B7A">
      <w:pPr>
        <w:autoSpaceDE w:val="0"/>
        <w:autoSpaceDN w:val="0"/>
        <w:adjustRightInd w:val="0"/>
        <w:rPr>
          <w:bCs/>
          <w:color w:val="000000"/>
          <w:szCs w:val="24"/>
          <w:lang w:val="en-GB"/>
        </w:rPr>
      </w:pPr>
    </w:p>
    <w:p w:rsidR="00965B7A" w:rsidRDefault="00965B7A" w:rsidP="001C005E">
      <w:pPr>
        <w:pStyle w:val="Heading4"/>
        <w:spacing w:before="0" w:after="0"/>
        <w:rPr>
          <w:rFonts w:ascii="Arial" w:hAnsi="Arial"/>
          <w:color w:val="000000"/>
          <w:sz w:val="24"/>
          <w:szCs w:val="24"/>
          <w:lang w:val="en-GB"/>
        </w:rPr>
      </w:pPr>
      <w:r w:rsidRPr="00965B7A">
        <w:rPr>
          <w:rFonts w:ascii="Arial" w:hAnsi="Arial"/>
          <w:color w:val="000000"/>
          <w:sz w:val="24"/>
          <w:szCs w:val="24"/>
          <w:lang w:val="en-GB"/>
        </w:rPr>
        <w:t>Variation to Precinct Code</w:t>
      </w:r>
    </w:p>
    <w:p w:rsidR="001C005E" w:rsidRPr="001C005E" w:rsidRDefault="001C005E" w:rsidP="001C005E">
      <w:pPr>
        <w:rPr>
          <w:lang w:val="en-GB"/>
        </w:rPr>
      </w:pPr>
    </w:p>
    <w:p w:rsidR="00965B7A" w:rsidRPr="00965B7A" w:rsidRDefault="00F3346F" w:rsidP="00965B7A">
      <w:pPr>
        <w:autoSpaceDE w:val="0"/>
        <w:autoSpaceDN w:val="0"/>
        <w:adjustRightInd w:val="0"/>
        <w:rPr>
          <w:bCs/>
          <w:color w:val="000000"/>
          <w:szCs w:val="24"/>
          <w:lang w:val="en-GB"/>
        </w:rPr>
      </w:pPr>
      <w:r>
        <w:rPr>
          <w:bCs/>
          <w:color w:val="000000"/>
          <w:szCs w:val="24"/>
          <w:lang w:val="en-GB"/>
        </w:rPr>
        <w:t>T</w:t>
      </w:r>
      <w:r w:rsidR="00965B7A" w:rsidRPr="00965B7A">
        <w:rPr>
          <w:bCs/>
          <w:color w:val="000000"/>
          <w:szCs w:val="24"/>
          <w:lang w:val="en-GB"/>
        </w:rPr>
        <w:t xml:space="preserve">he </w:t>
      </w:r>
      <w:r w:rsidR="009F34FE">
        <w:rPr>
          <w:bCs/>
          <w:color w:val="000000"/>
          <w:szCs w:val="24"/>
          <w:lang w:val="en-GB"/>
        </w:rPr>
        <w:t>Crace</w:t>
      </w:r>
      <w:r w:rsidR="003955CF">
        <w:rPr>
          <w:bCs/>
          <w:color w:val="000000"/>
          <w:szCs w:val="24"/>
          <w:lang w:val="en-GB"/>
        </w:rPr>
        <w:t xml:space="preserve"> Precinct Code</w:t>
      </w:r>
      <w:r>
        <w:rPr>
          <w:bCs/>
          <w:color w:val="000000"/>
          <w:szCs w:val="24"/>
          <w:lang w:val="en-GB"/>
        </w:rPr>
        <w:t xml:space="preserve"> is replaced by the document at</w:t>
      </w:r>
      <w:r w:rsidR="00965B7A" w:rsidRPr="00965B7A">
        <w:rPr>
          <w:bCs/>
          <w:color w:val="000000"/>
          <w:szCs w:val="24"/>
          <w:lang w:val="en-GB"/>
        </w:rPr>
        <w:t xml:space="preserve"> </w:t>
      </w:r>
      <w:r w:rsidR="00965B7A" w:rsidRPr="00965B7A">
        <w:rPr>
          <w:b/>
          <w:bCs/>
          <w:color w:val="000000"/>
          <w:szCs w:val="24"/>
          <w:lang w:val="en-GB"/>
        </w:rPr>
        <w:t>Annexure B</w:t>
      </w:r>
      <w:r w:rsidR="00965B7A" w:rsidRPr="00965B7A">
        <w:rPr>
          <w:bCs/>
          <w:color w:val="000000"/>
          <w:szCs w:val="24"/>
          <w:lang w:val="en-GB"/>
        </w:rPr>
        <w:t xml:space="preserve"> to incorporate ongoing block specific provisions for the area.</w:t>
      </w:r>
    </w:p>
    <w:p w:rsidR="00A33336" w:rsidRPr="00965B7A" w:rsidRDefault="00A33336">
      <w:pPr>
        <w:pStyle w:val="BodyText"/>
        <w:rPr>
          <w:b w:val="0"/>
          <w:bCs/>
          <w:color w:val="000000"/>
          <w:sz w:val="24"/>
          <w:szCs w:val="24"/>
        </w:rPr>
      </w:pPr>
    </w:p>
    <w:p w:rsidR="00A33336" w:rsidRDefault="00A33336">
      <w:pPr>
        <w:pStyle w:val="BodyText"/>
        <w:rPr>
          <w:rFonts w:cs="Arial"/>
          <w:szCs w:val="24"/>
        </w:rPr>
      </w:pPr>
    </w:p>
    <w:p w:rsidR="00A33336" w:rsidRDefault="00A33336"/>
    <w:p w:rsidR="00A33336" w:rsidRDefault="00A33336"/>
    <w:p w:rsidR="00A33336" w:rsidRDefault="00A33336"/>
    <w:p w:rsidR="00A33336" w:rsidRPr="001E21EA" w:rsidRDefault="000E5710">
      <w:pPr>
        <w:rPr>
          <w:color w:val="FF0000"/>
        </w:rPr>
      </w:pPr>
      <w:r>
        <w:t>Ben Ponton</w:t>
      </w:r>
    </w:p>
    <w:p w:rsidR="00BC2D73" w:rsidRPr="00BC2D73" w:rsidRDefault="000E5710" w:rsidP="00BC2D73">
      <w:pPr>
        <w:rPr>
          <w:bCs/>
          <w:szCs w:val="24"/>
        </w:rPr>
      </w:pPr>
      <w:r>
        <w:rPr>
          <w:bCs/>
          <w:szCs w:val="24"/>
        </w:rPr>
        <w:t>Delegate of ACT Planning and Land Authority</w:t>
      </w:r>
    </w:p>
    <w:p w:rsidR="00BC2D73" w:rsidRPr="006E196D" w:rsidRDefault="00C43839" w:rsidP="00BC2D73">
      <w:pPr>
        <w:rPr>
          <w:b/>
          <w:bCs/>
          <w:sz w:val="22"/>
          <w:szCs w:val="22"/>
        </w:rPr>
      </w:pPr>
      <w:r>
        <w:rPr>
          <w:color w:val="000000"/>
        </w:rPr>
        <w:t>13 June 2012</w:t>
      </w:r>
    </w:p>
    <w:p w:rsidR="00A33336" w:rsidRDefault="00A33336">
      <w:pPr>
        <w:rPr>
          <w:color w:val="000000"/>
        </w:rPr>
      </w:pPr>
    </w:p>
    <w:p w:rsidR="00A33336" w:rsidRDefault="00A33336">
      <w:pPr>
        <w:jc w:val="center"/>
        <w:rPr>
          <w:rFonts w:cs="Arial"/>
          <w:b/>
          <w:bCs/>
        </w:rPr>
      </w:pPr>
      <w:r>
        <w:rPr>
          <w:color w:val="000000"/>
        </w:rPr>
        <w:br w:type="page"/>
      </w:r>
      <w:r>
        <w:rPr>
          <w:rFonts w:cs="Arial"/>
          <w:b/>
          <w:bCs/>
        </w:rPr>
        <w:lastRenderedPageBreak/>
        <w:t xml:space="preserve">THIS IS PAGE ONE OF ANNEXURE A </w:t>
      </w:r>
    </w:p>
    <w:p w:rsidR="00A33336" w:rsidRDefault="002101A7">
      <w:pPr>
        <w:jc w:val="center"/>
        <w:rPr>
          <w:rFonts w:cs="Arial"/>
          <w:b/>
          <w:bCs/>
        </w:rPr>
      </w:pPr>
      <w:r>
        <w:rPr>
          <w:rFonts w:cs="Arial"/>
          <w:b/>
          <w:bCs/>
        </w:rPr>
        <w:t>TO NOTIFIABLE INSTRUMENT N</w:t>
      </w:r>
      <w:r w:rsidR="00FF43D6">
        <w:rPr>
          <w:rFonts w:cs="Arial"/>
          <w:b/>
          <w:bCs/>
        </w:rPr>
        <w:t>I2012</w:t>
      </w:r>
      <w:r w:rsidR="008E2637">
        <w:rPr>
          <w:rFonts w:cs="Arial"/>
          <w:b/>
          <w:bCs/>
        </w:rPr>
        <w:t>–</w:t>
      </w:r>
      <w:r w:rsidR="003C6253">
        <w:rPr>
          <w:rFonts w:cs="Arial"/>
          <w:b/>
          <w:bCs/>
        </w:rPr>
        <w:t>304</w:t>
      </w:r>
    </w:p>
    <w:p w:rsidR="008E2637" w:rsidRDefault="008E2637">
      <w:pPr>
        <w:jc w:val="center"/>
        <w:rPr>
          <w:rFonts w:cs="Arial"/>
          <w:b/>
          <w:bCs/>
        </w:rPr>
      </w:pPr>
    </w:p>
    <w:p w:rsidR="0064572E" w:rsidRDefault="00B26CD9" w:rsidP="00965B7A">
      <w:r w:rsidRPr="00B26CD9">
        <w:rPr>
          <w:rFonts w:cs="Arial"/>
          <w:b/>
          <w:noProof/>
          <w:lang w:eastAsia="en-AU"/>
        </w:rPr>
        <w:drawing>
          <wp:inline distT="0" distB="0" distL="0" distR="0">
            <wp:extent cx="5467350" cy="5191125"/>
            <wp:effectExtent l="0" t="0" r="0" b="0"/>
            <wp:docPr id="1" name="Picture 1" descr="X:\ACTPLA Development Policy\Technical Amendments\FUA\TA2012\TA2012-26 Crace (4)\TA2012-26 Crace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chnical Amendments\FUA\TA2012\TA2012-26 Crace (4)\TA2012-26 Crace (4).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67350" cy="5191125"/>
                    </a:xfrm>
                    <a:prstGeom prst="rect">
                      <a:avLst/>
                    </a:prstGeom>
                    <a:noFill/>
                    <a:ln>
                      <a:noFill/>
                    </a:ln>
                  </pic:spPr>
                </pic:pic>
              </a:graphicData>
            </a:graphic>
          </wp:inline>
        </w:drawing>
      </w:r>
    </w:p>
    <w:p w:rsidR="00331EA3" w:rsidRDefault="00331EA3">
      <w:pPr>
        <w:ind w:left="3600"/>
      </w:pPr>
    </w:p>
    <w:p w:rsidR="0064572E" w:rsidRDefault="0064572E">
      <w:pPr>
        <w:ind w:left="3600"/>
      </w:pPr>
    </w:p>
    <w:p w:rsidR="002960C4" w:rsidRDefault="002960C4">
      <w:pPr>
        <w:ind w:left="3600"/>
      </w:pPr>
    </w:p>
    <w:p w:rsidR="002960C4" w:rsidRDefault="002960C4">
      <w:pPr>
        <w:ind w:left="3600"/>
      </w:pPr>
    </w:p>
    <w:p w:rsidR="0064572E" w:rsidRDefault="0064572E" w:rsidP="000E5710">
      <w:pPr>
        <w:tabs>
          <w:tab w:val="left" w:pos="1418"/>
        </w:tabs>
        <w:ind w:left="3600"/>
      </w:pPr>
    </w:p>
    <w:p w:rsidR="00A33336" w:rsidRDefault="000E5710" w:rsidP="000E5710">
      <w:pPr>
        <w:tabs>
          <w:tab w:val="left" w:pos="1418"/>
        </w:tabs>
      </w:pPr>
      <w:r>
        <w:rPr>
          <w:rFonts w:cs="Arial"/>
          <w:szCs w:val="24"/>
          <w:lang w:eastAsia="en-AU"/>
        </w:rPr>
        <w:tab/>
        <w:t>Ben Ponton</w:t>
      </w:r>
    </w:p>
    <w:p w:rsidR="00BC2D73" w:rsidRPr="00BC2D73" w:rsidRDefault="000E5710" w:rsidP="000E5710">
      <w:pPr>
        <w:tabs>
          <w:tab w:val="left" w:pos="1418"/>
        </w:tabs>
        <w:rPr>
          <w:bCs/>
          <w:szCs w:val="24"/>
        </w:rPr>
      </w:pPr>
      <w:r>
        <w:rPr>
          <w:bCs/>
          <w:szCs w:val="24"/>
        </w:rPr>
        <w:tab/>
        <w:t>Delegate of ACT Planning and Land Authority</w:t>
      </w:r>
      <w:r w:rsidR="00BC2D73" w:rsidRPr="00BC2D73">
        <w:rPr>
          <w:rFonts w:cs="Arial"/>
          <w:szCs w:val="24"/>
        </w:rPr>
        <w:t xml:space="preserve"> </w:t>
      </w:r>
    </w:p>
    <w:p w:rsidR="00A33336" w:rsidRDefault="000E5710" w:rsidP="000E5710">
      <w:pPr>
        <w:tabs>
          <w:tab w:val="left" w:pos="1418"/>
        </w:tabs>
        <w:rPr>
          <w:rFonts w:cs="Arial"/>
          <w:b/>
          <w:bCs/>
        </w:rPr>
      </w:pPr>
      <w:r>
        <w:tab/>
      </w:r>
      <w:r w:rsidR="00331EA3">
        <w:t>Date</w:t>
      </w:r>
    </w:p>
    <w:p w:rsidR="00FF43D6" w:rsidRDefault="00FF43D6" w:rsidP="00FF43D6">
      <w:pPr>
        <w:jc w:val="center"/>
        <w:rPr>
          <w:rFonts w:cs="Arial"/>
          <w:b/>
          <w:bCs/>
        </w:rPr>
      </w:pPr>
      <w:r>
        <w:rPr>
          <w:color w:val="000000"/>
        </w:rPr>
        <w:br w:type="page"/>
      </w:r>
      <w:r>
        <w:rPr>
          <w:rFonts w:cs="Arial"/>
          <w:b/>
          <w:bCs/>
        </w:rPr>
        <w:lastRenderedPageBreak/>
        <w:t xml:space="preserve">THIS IS PAGE ONE OF ANNEXURE B </w:t>
      </w:r>
    </w:p>
    <w:p w:rsidR="00FF43D6" w:rsidRDefault="00FF43D6" w:rsidP="00FF43D6">
      <w:pPr>
        <w:jc w:val="center"/>
        <w:rPr>
          <w:rFonts w:cs="Arial"/>
          <w:b/>
          <w:bCs/>
        </w:rPr>
      </w:pPr>
      <w:r>
        <w:rPr>
          <w:rFonts w:cs="Arial"/>
          <w:b/>
          <w:bCs/>
        </w:rPr>
        <w:t>TO NOTIFIABLE INSTRUMENT NI2012–</w:t>
      </w:r>
      <w:r w:rsidR="003C6253">
        <w:rPr>
          <w:rFonts w:cs="Arial"/>
          <w:b/>
          <w:bCs/>
        </w:rPr>
        <w:t>304</w:t>
      </w:r>
    </w:p>
    <w:p w:rsidR="00FF43D6" w:rsidRDefault="00FF43D6" w:rsidP="00965B7A"/>
    <w:p w:rsidR="009E3EBF" w:rsidRPr="00312DF5" w:rsidRDefault="009E3EBF" w:rsidP="009E3EBF">
      <w:pPr>
        <w:spacing w:before="360"/>
        <w:ind w:right="281"/>
        <w:jc w:val="right"/>
        <w:rPr>
          <w:rFonts w:ascii="Calibri" w:hAnsi="Calibri" w:cs="Calibri"/>
          <w:b/>
          <w:sz w:val="32"/>
          <w:szCs w:val="32"/>
        </w:rPr>
      </w:pPr>
      <w:r w:rsidRPr="00232A38">
        <w:tab/>
      </w:r>
      <w:r w:rsidRPr="00232A38">
        <w:tab/>
      </w:r>
      <w:r w:rsidRPr="00232A38">
        <w:tab/>
      </w:r>
      <w:r w:rsidRPr="00232A38">
        <w:tab/>
      </w:r>
      <w:r w:rsidRPr="00232A38">
        <w:tab/>
      </w:r>
      <w:r w:rsidR="006A6931">
        <w:rPr>
          <w:noProof/>
          <w:lang w:eastAsia="en-AU"/>
        </w:rPr>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9"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2DF5">
        <w:rPr>
          <w:rFonts w:ascii="Calibri" w:hAnsi="Calibri" w:cs="Calibri"/>
          <w:b/>
          <w:sz w:val="32"/>
          <w:szCs w:val="32"/>
        </w:rPr>
        <w:t>ACT Planning and</w:t>
      </w:r>
      <w:r w:rsidRPr="00312DF5">
        <w:rPr>
          <w:rFonts w:ascii="Calibri" w:hAnsi="Calibri" w:cs="Calibri"/>
          <w:b/>
          <w:sz w:val="32"/>
          <w:szCs w:val="32"/>
        </w:rPr>
        <w:br/>
        <w:t>Land Authority</w:t>
      </w:r>
    </w:p>
    <w:p w:rsidR="009E3EBF" w:rsidRPr="00D37AD6" w:rsidRDefault="009E3EBF" w:rsidP="009E3EBF"/>
    <w:p w:rsidR="009E3EBF" w:rsidRPr="00232A38" w:rsidRDefault="009E3EBF" w:rsidP="009E3EBF">
      <w:pPr>
        <w:pStyle w:val="BodyText"/>
      </w:pPr>
      <w:r w:rsidRPr="00232A38">
        <w:tab/>
      </w:r>
      <w:r w:rsidRPr="00232A38">
        <w:tab/>
      </w:r>
      <w:r w:rsidRPr="00232A38">
        <w:tab/>
      </w:r>
      <w:r w:rsidRPr="00232A38">
        <w:tab/>
      </w:r>
      <w:r w:rsidRPr="00232A38">
        <w:tab/>
      </w: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r w:rsidRPr="00232A38">
        <w:tab/>
      </w:r>
      <w:r w:rsidRPr="00232A38">
        <w:tab/>
      </w:r>
      <w:r w:rsidRPr="00232A38">
        <w:tab/>
      </w:r>
      <w:r w:rsidRPr="00232A38">
        <w:tab/>
      </w: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codeTitle"/>
      </w:pPr>
      <w:bookmarkStart w:id="2" w:name="_Toc314826081"/>
      <w:bookmarkStart w:id="3" w:name="_Toc320714082"/>
      <w:r w:rsidRPr="00A73E81">
        <w:t>Crace</w:t>
      </w:r>
      <w:r w:rsidRPr="00232A38">
        <w:t xml:space="preserve"> Precinct Code</w:t>
      </w:r>
      <w:bookmarkEnd w:id="2"/>
      <w:bookmarkEnd w:id="3"/>
    </w:p>
    <w:p w:rsidR="009E3EBF" w:rsidRDefault="009E3EBF" w:rsidP="009E3EBF">
      <w:pPr>
        <w:pStyle w:val="BodyText"/>
      </w:pPr>
    </w:p>
    <w:p w:rsidR="009E3EBF" w:rsidRDefault="009E3EBF" w:rsidP="009E3EBF">
      <w:pPr>
        <w:pStyle w:val="BodyText"/>
      </w:pPr>
    </w:p>
    <w:p w:rsidR="009E3EBF" w:rsidRDefault="009E3EBF" w:rsidP="009E3EBF">
      <w:pPr>
        <w:pStyle w:val="BodyText"/>
      </w:pPr>
      <w:r>
        <w:br w:type="page"/>
      </w:r>
    </w:p>
    <w:p w:rsidR="009E3EBF" w:rsidRPr="00232A38" w:rsidRDefault="009E3EBF" w:rsidP="009E3EBF">
      <w:pPr>
        <w:pStyle w:val="BodyText"/>
      </w:pPr>
      <w:r w:rsidRPr="00232A38">
        <w:tab/>
      </w:r>
      <w:r w:rsidRPr="00232A38">
        <w:tab/>
      </w:r>
      <w:r w:rsidRPr="00232A38">
        <w:tab/>
      </w:r>
      <w:r w:rsidRPr="00232A38">
        <w:tab/>
      </w:r>
      <w:r w:rsidRPr="00232A38">
        <w:tab/>
      </w:r>
      <w:r w:rsidRPr="00232A38">
        <w:tab/>
      </w:r>
    </w:p>
    <w:p w:rsidR="009E3EBF" w:rsidRDefault="009E3EBF" w:rsidP="009E3EBF">
      <w:pPr>
        <w:pStyle w:val="BodyText"/>
      </w:pPr>
    </w:p>
    <w:p w:rsidR="009E3EBF" w:rsidRPr="00F92CE0" w:rsidRDefault="009E3EBF" w:rsidP="009E3EBF">
      <w:pPr>
        <w:pStyle w:val="BodyText"/>
      </w:pPr>
    </w:p>
    <w:p w:rsidR="009E3EBF" w:rsidRPr="00251510" w:rsidRDefault="009E3EBF" w:rsidP="009E3EBF">
      <w:pPr>
        <w:pStyle w:val="BodyText"/>
        <w:jc w:val="center"/>
        <w:rPr>
          <w:i/>
        </w:rPr>
      </w:pPr>
      <w:r w:rsidRPr="00251510">
        <w:rPr>
          <w:i/>
        </w:rPr>
        <w:t>This page is intentionally blank.</w:t>
      </w: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codeTitle"/>
      </w:pPr>
    </w:p>
    <w:p w:rsidR="009E3EBF" w:rsidRDefault="009E3EBF" w:rsidP="009E3EBF">
      <w:pPr>
        <w:pStyle w:val="BodyText"/>
      </w:pPr>
    </w:p>
    <w:p w:rsidR="009E3EBF" w:rsidRDefault="009E3EBF" w:rsidP="009E3EBF">
      <w:pPr>
        <w:pStyle w:val="BodyText"/>
      </w:pPr>
    </w:p>
    <w:p w:rsidR="009E3EBF" w:rsidRDefault="009E3EBF" w:rsidP="009E3EBF">
      <w:pPr>
        <w:pStyle w:val="BodyText"/>
      </w:pPr>
      <w:r>
        <w:br w:type="page"/>
      </w:r>
    </w:p>
    <w:p w:rsidR="009E3EBF" w:rsidRPr="00232A38" w:rsidRDefault="009E3EBF" w:rsidP="009E3EBF">
      <w:pPr>
        <w:pStyle w:val="BodyText"/>
      </w:pPr>
    </w:p>
    <w:p w:rsidR="009E3EBF" w:rsidRPr="00232A38" w:rsidRDefault="009E3EBF" w:rsidP="009E3EBF">
      <w:pPr>
        <w:pStyle w:val="BodyText"/>
      </w:pPr>
    </w:p>
    <w:p w:rsidR="009E3EBF" w:rsidRPr="00232A38" w:rsidRDefault="009E3EBF" w:rsidP="009E3EBF">
      <w:pPr>
        <w:pStyle w:val="BodyText"/>
      </w:pPr>
    </w:p>
    <w:p w:rsidR="009E3EBF" w:rsidRDefault="009E3EBF" w:rsidP="009E3EBF">
      <w:pPr>
        <w:pStyle w:val="BodyText"/>
      </w:pPr>
    </w:p>
    <w:p w:rsidR="00FF43D6" w:rsidRDefault="00B26CD9" w:rsidP="009E3EBF">
      <w:r w:rsidRPr="00ED17CD">
        <w:rPr>
          <w:noProof/>
          <w:lang w:eastAsia="en-AU"/>
        </w:rPr>
        <w:drawing>
          <wp:inline distT="0" distB="0" distL="0" distR="0">
            <wp:extent cx="5381625" cy="7848600"/>
            <wp:effectExtent l="0" t="0" r="0" b="0"/>
            <wp:docPr id="2" name="Picture 5" descr="X:\ACTPLA Development Policy\Suburb precinct codes\Crace Precinct Code\Print Files\Crace Precict Code Index.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ACTPLA Development Policy\Suburb precinct codes\Crace Precinct Code\Print Files\Crace Precict Code Index.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81625" cy="7848600"/>
                    </a:xfrm>
                    <a:prstGeom prst="rect">
                      <a:avLst/>
                    </a:prstGeom>
                    <a:noFill/>
                    <a:ln>
                      <a:noFill/>
                    </a:ln>
                  </pic:spPr>
                </pic:pic>
              </a:graphicData>
            </a:graphic>
          </wp:inline>
        </w:drawing>
      </w:r>
    </w:p>
    <w:p w:rsidR="00FF43D6" w:rsidRDefault="00FF43D6" w:rsidP="009F34FE">
      <w:pPr>
        <w:jc w:val="center"/>
      </w:pPr>
    </w:p>
    <w:p w:rsidR="00FF43D6" w:rsidRPr="009E3EBF" w:rsidRDefault="00FF43D6" w:rsidP="009E3EBF">
      <w:pPr>
        <w:tabs>
          <w:tab w:val="left" w:pos="1418"/>
        </w:tabs>
        <w:rPr>
          <w:rFonts w:cs="Arial"/>
          <w:b/>
          <w:bCs/>
        </w:rPr>
      </w:pPr>
    </w:p>
    <w:p w:rsidR="00FF43D6" w:rsidRDefault="00FF43D6" w:rsidP="00FF43D6">
      <w:pPr>
        <w:ind w:left="3600"/>
      </w:pPr>
    </w:p>
    <w:p w:rsidR="00FF43D6" w:rsidRDefault="00FF43D6" w:rsidP="00FF43D6">
      <w:pPr>
        <w:ind w:left="3600"/>
      </w:pPr>
    </w:p>
    <w:p w:rsidR="00A33336" w:rsidRDefault="00B26CD9">
      <w:pPr>
        <w:rPr>
          <w:color w:val="000000"/>
        </w:rPr>
      </w:pPr>
      <w:r w:rsidRPr="00B26CD9">
        <w:rPr>
          <w:noProof/>
          <w:color w:val="000000"/>
          <w:lang w:eastAsia="en-AU"/>
        </w:rPr>
        <w:drawing>
          <wp:inline distT="0" distB="0" distL="0" distR="0">
            <wp:extent cx="5391150" cy="7848600"/>
            <wp:effectExtent l="0" t="0" r="0" b="0"/>
            <wp:docPr id="3" name="Picture 3" descr="X:\ACTPLA Development Policy\Suburb precinct codes\Crace Precinct Code\Print Files\Crace Precinct Code Map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Crace Precinct Code\Print Files\Crace Precinct Code Map 1.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91150" cy="7848600"/>
                    </a:xfrm>
                    <a:prstGeom prst="rect">
                      <a:avLst/>
                    </a:prstGeom>
                    <a:noFill/>
                    <a:ln>
                      <a:noFill/>
                    </a:ln>
                  </pic:spPr>
                </pic:pic>
              </a:graphicData>
            </a:graphic>
          </wp:inline>
        </w:drawing>
      </w:r>
    </w:p>
    <w:p w:rsidR="009E3EBF" w:rsidRDefault="009E3EBF">
      <w:pPr>
        <w:rPr>
          <w:color w:val="000000"/>
        </w:rPr>
      </w:pPr>
    </w:p>
    <w:p w:rsidR="009E3EBF" w:rsidRDefault="00B26CD9">
      <w:pPr>
        <w:rPr>
          <w:color w:val="000000"/>
        </w:rPr>
      </w:pPr>
      <w:r w:rsidRPr="00B26CD9">
        <w:rPr>
          <w:noProof/>
          <w:color w:val="000000"/>
          <w:lang w:eastAsia="en-AU"/>
        </w:rPr>
        <w:drawing>
          <wp:inline distT="0" distB="0" distL="0" distR="0">
            <wp:extent cx="5381625" cy="6915150"/>
            <wp:effectExtent l="0" t="0" r="0" b="0"/>
            <wp:docPr id="4" name="Picture 4" descr="X:\ACTPLA Development Policy\Suburb precinct codes\Crace Precinct Code\Print Files\Crace Precinct Code Map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Suburb precinct codes\Crace Precinct Code\Print Files\Crace Precinct Code Map 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81625" cy="6915150"/>
                    </a:xfrm>
                    <a:prstGeom prst="rect">
                      <a:avLst/>
                    </a:prstGeom>
                    <a:noFill/>
                    <a:ln>
                      <a:noFill/>
                    </a:ln>
                  </pic:spPr>
                </pic:pic>
              </a:graphicData>
            </a:graphic>
          </wp:inline>
        </w:drawing>
      </w: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Default="009E3EBF">
      <w:pPr>
        <w:rPr>
          <w:color w:val="000000"/>
        </w:rPr>
      </w:pPr>
    </w:p>
    <w:p w:rsidR="009E3EBF" w:rsidRPr="00646F93" w:rsidRDefault="009E3EBF" w:rsidP="009E3EBF">
      <w:pPr>
        <w:pStyle w:val="partsubheading"/>
        <w:shd w:val="clear" w:color="auto" w:fill="FFFFFF" w:themeFill="background1"/>
        <w:rPr>
          <w:color w:val="auto"/>
        </w:rPr>
      </w:pPr>
      <w:r>
        <w:rPr>
          <w:color w:val="auto"/>
        </w:rPr>
        <w:t xml:space="preserve">Additional rules and criteria </w:t>
      </w:r>
    </w:p>
    <w:p w:rsidR="009E3EBF" w:rsidRDefault="009E3EBF" w:rsidP="009E3EBF">
      <w:pPr>
        <w:pStyle w:val="bodyText0"/>
      </w:pPr>
      <w:bookmarkStart w:id="4" w:name="_Toc325717341"/>
      <w:r>
        <w:t>The following rules and criteria apply to</w:t>
      </w:r>
      <w:r w:rsidR="00F3346F">
        <w:t xml:space="preserve"> the</w:t>
      </w:r>
      <w:r>
        <w:t xml:space="preserve"> areas identified in the</w:t>
      </w:r>
      <w:r w:rsidR="00F3346F">
        <w:t xml:space="preserve"> Crace Precinct Code Index Map</w:t>
      </w:r>
      <w:r>
        <w:t xml:space="preserve">. </w:t>
      </w:r>
    </w:p>
    <w:bookmarkEnd w:id="4"/>
    <w:p w:rsidR="009E3EBF" w:rsidRPr="009807E6" w:rsidRDefault="009E3EBF" w:rsidP="009E3EBF">
      <w:pPr>
        <w:pStyle w:val="elementHeading"/>
        <w:keepNext/>
        <w:numPr>
          <w:ilvl w:val="0"/>
          <w:numId w:val="0"/>
        </w:num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9E3EBF" w:rsidRPr="00232A38" w:rsidTr="00960FA4">
        <w:trPr>
          <w:tblHeader/>
        </w:trPr>
        <w:tc>
          <w:tcPr>
            <w:tcW w:w="2539" w:type="pct"/>
            <w:shd w:val="clear" w:color="auto" w:fill="CCCCCC"/>
          </w:tcPr>
          <w:p w:rsidR="009E3EBF" w:rsidRPr="00232A38" w:rsidRDefault="009E3EBF" w:rsidP="00960FA4">
            <w:pPr>
              <w:pStyle w:val="codeHeading"/>
              <w:keepNext/>
            </w:pPr>
            <w:r w:rsidRPr="00232A38">
              <w:t>Rules</w:t>
            </w:r>
          </w:p>
        </w:tc>
        <w:tc>
          <w:tcPr>
            <w:tcW w:w="2461" w:type="pct"/>
            <w:shd w:val="clear" w:color="auto" w:fill="CCCCCC"/>
          </w:tcPr>
          <w:p w:rsidR="009E3EBF" w:rsidRPr="00232A38" w:rsidRDefault="009E3EBF" w:rsidP="00960FA4">
            <w:pPr>
              <w:pStyle w:val="codeHeading"/>
            </w:pPr>
            <w:r w:rsidRPr="00232A38">
              <w:t>Criteria</w:t>
            </w:r>
          </w:p>
        </w:tc>
      </w:tr>
      <w:tr w:rsidR="009E3EBF" w:rsidRPr="009807E6" w:rsidTr="00960FA4">
        <w:tc>
          <w:tcPr>
            <w:tcW w:w="5000" w:type="pct"/>
            <w:gridSpan w:val="2"/>
            <w:shd w:val="clear" w:color="auto" w:fill="E6E6E6"/>
          </w:tcPr>
          <w:p w:rsidR="009E3EBF" w:rsidRPr="009807E6" w:rsidDel="00612863" w:rsidRDefault="009E3EBF" w:rsidP="009E3EBF">
            <w:pPr>
              <w:pStyle w:val="CodeItem"/>
              <w:keepNext/>
              <w:numPr>
                <w:ilvl w:val="1"/>
                <w:numId w:val="17"/>
              </w:numPr>
            </w:pPr>
            <w:bookmarkStart w:id="5" w:name="_Toc325717342"/>
            <w:r>
              <w:t>Interface</w:t>
            </w:r>
            <w:bookmarkEnd w:id="5"/>
          </w:p>
        </w:tc>
      </w:tr>
      <w:tr w:rsidR="009E3EBF" w:rsidRPr="009807E6" w:rsidTr="00960FA4">
        <w:tc>
          <w:tcPr>
            <w:tcW w:w="2539" w:type="pct"/>
            <w:shd w:val="clear" w:color="auto" w:fill="FFFFFF"/>
          </w:tcPr>
          <w:p w:rsidR="009E3EBF" w:rsidRPr="009807E6" w:rsidRDefault="009E3EBF" w:rsidP="00960FA4">
            <w:pPr>
              <w:pStyle w:val="RuleList"/>
              <w:ind w:left="34"/>
            </w:pPr>
          </w:p>
          <w:p w:rsidR="009E3EBF" w:rsidRDefault="009E3EBF" w:rsidP="009E3EBF">
            <w:pPr>
              <w:pStyle w:val="RuleList"/>
              <w:numPr>
                <w:ilvl w:val="1"/>
                <w:numId w:val="18"/>
              </w:numPr>
              <w:ind w:left="0"/>
            </w:pPr>
            <w:r>
              <w:t>This rule applies to all boundary fencing corner blocks identified on the Crace ongoing block specific provisions map.</w:t>
            </w:r>
          </w:p>
          <w:p w:rsidR="009E3EBF" w:rsidRDefault="009E3EBF" w:rsidP="009E3EBF">
            <w:pPr>
              <w:pStyle w:val="RuleList"/>
              <w:numPr>
                <w:ilvl w:val="1"/>
                <w:numId w:val="18"/>
              </w:numPr>
              <w:ind w:left="0"/>
            </w:pPr>
            <w:r>
              <w:t>For a minimum of 9m from the corner of the primary and secondary frontages, any fencing forward of the building must comply with all of the following:</w:t>
            </w:r>
          </w:p>
          <w:p w:rsidR="009E3EBF" w:rsidRDefault="009E3EBF" w:rsidP="009E3EBF">
            <w:pPr>
              <w:pStyle w:val="RuleList"/>
              <w:numPr>
                <w:ilvl w:val="2"/>
                <w:numId w:val="18"/>
              </w:numPr>
            </w:pPr>
            <w:r>
              <w:t>is between 600mm and 900mm high</w:t>
            </w:r>
          </w:p>
          <w:p w:rsidR="009E3EBF" w:rsidRDefault="009E3EBF" w:rsidP="009E3EBF">
            <w:pPr>
              <w:pStyle w:val="RuleList"/>
              <w:numPr>
                <w:ilvl w:val="2"/>
                <w:numId w:val="18"/>
              </w:numPr>
            </w:pPr>
            <w:r>
              <w:t>is located on the boundary.</w:t>
            </w:r>
          </w:p>
          <w:p w:rsidR="009E3EBF" w:rsidRDefault="009E3EBF" w:rsidP="009E3EBF">
            <w:pPr>
              <w:pStyle w:val="RuleList"/>
              <w:numPr>
                <w:ilvl w:val="1"/>
                <w:numId w:val="18"/>
              </w:numPr>
              <w:ind w:left="0"/>
            </w:pPr>
            <w:r>
              <w:t>Beyond 9m of the corner of the primary and secondary frontages, any fencing forward of the building line must comply with all of the following:</w:t>
            </w:r>
          </w:p>
          <w:p w:rsidR="009E3EBF" w:rsidRDefault="009E3EBF" w:rsidP="009E3EBF">
            <w:pPr>
              <w:pStyle w:val="RuleList"/>
              <w:numPr>
                <w:ilvl w:val="2"/>
                <w:numId w:val="19"/>
              </w:numPr>
            </w:pPr>
            <w:r>
              <w:t>is located on or adjacent to the block’s secondary frontage (except for north fronting blocks)</w:t>
            </w:r>
          </w:p>
          <w:p w:rsidR="009E3EBF" w:rsidRDefault="009E3EBF" w:rsidP="009E3EBF">
            <w:pPr>
              <w:pStyle w:val="RuleList"/>
              <w:numPr>
                <w:ilvl w:val="2"/>
                <w:numId w:val="18"/>
              </w:numPr>
            </w:pPr>
            <w:r>
              <w:t>not less than 50% of the fencing is setback at least 600mm from the front boundary</w:t>
            </w:r>
          </w:p>
          <w:p w:rsidR="009E3EBF" w:rsidRDefault="009E3EBF" w:rsidP="009E3EBF">
            <w:pPr>
              <w:pStyle w:val="RuleList"/>
              <w:numPr>
                <w:ilvl w:val="2"/>
                <w:numId w:val="18"/>
              </w:numPr>
            </w:pPr>
            <w:r>
              <w:t>is not more than 1.5m high.</w:t>
            </w:r>
          </w:p>
          <w:p w:rsidR="009E3EBF" w:rsidRPr="00D3376F" w:rsidRDefault="009E3EBF" w:rsidP="009E3EBF">
            <w:pPr>
              <w:pStyle w:val="RuleList"/>
              <w:numPr>
                <w:ilvl w:val="1"/>
                <w:numId w:val="18"/>
              </w:numPr>
              <w:ind w:left="0"/>
            </w:pPr>
            <w:r>
              <w:t>Note. Figure 1 refers</w:t>
            </w:r>
          </w:p>
        </w:tc>
        <w:tc>
          <w:tcPr>
            <w:tcW w:w="2461" w:type="pct"/>
            <w:shd w:val="clear" w:color="auto" w:fill="FFFFFF"/>
          </w:tcPr>
          <w:p w:rsidR="009E3EBF" w:rsidRPr="00457E64" w:rsidRDefault="009E3EBF" w:rsidP="009E3EBF">
            <w:pPr>
              <w:pStyle w:val="CritList"/>
              <w:rPr>
                <w:vanish/>
              </w:rPr>
            </w:pPr>
            <w:r w:rsidRPr="003315AA">
              <w:rPr>
                <w:vanish/>
              </w:rPr>
              <w:t>Nn</w:t>
            </w:r>
          </w:p>
          <w:p w:rsidR="009E3EBF" w:rsidRPr="00F302B6" w:rsidRDefault="009E3EBF" w:rsidP="009E3EBF">
            <w:pPr>
              <w:pStyle w:val="CritList"/>
              <w:numPr>
                <w:ilvl w:val="1"/>
                <w:numId w:val="15"/>
              </w:numPr>
            </w:pPr>
            <w:r>
              <w:rPr>
                <w:vanish/>
              </w:rPr>
              <w:t xml:space="preserve"> </w:t>
            </w:r>
          </w:p>
          <w:p w:rsidR="009E3EBF" w:rsidRPr="009807E6" w:rsidRDefault="009E3EBF" w:rsidP="009E3EBF">
            <w:pPr>
              <w:pStyle w:val="CritList"/>
              <w:numPr>
                <w:ilvl w:val="1"/>
                <w:numId w:val="15"/>
              </w:numPr>
            </w:pPr>
            <w:r w:rsidRPr="00232A38">
              <w:t>This is a mandatory requirement. There is no applicable criterion.</w:t>
            </w:r>
          </w:p>
        </w:tc>
      </w:tr>
      <w:tr w:rsidR="009E3EBF" w:rsidRPr="009807E6" w:rsidTr="00960FA4">
        <w:tc>
          <w:tcPr>
            <w:tcW w:w="2539" w:type="pct"/>
            <w:shd w:val="clear" w:color="auto" w:fill="FFFFFF"/>
          </w:tcPr>
          <w:p w:rsidR="009E3EBF" w:rsidRDefault="009E3EBF" w:rsidP="00960FA4">
            <w:pPr>
              <w:pStyle w:val="RuleList"/>
              <w:ind w:left="34"/>
            </w:pPr>
          </w:p>
          <w:p w:rsidR="009E3EBF" w:rsidRDefault="009E3EBF" w:rsidP="009E3EBF">
            <w:pPr>
              <w:pStyle w:val="RuleList"/>
              <w:numPr>
                <w:ilvl w:val="1"/>
                <w:numId w:val="18"/>
              </w:numPr>
              <w:ind w:left="0"/>
            </w:pPr>
            <w:r>
              <w:t xml:space="preserve">This rule applies to all boundary fencing blocks adjacent to open space identified on the Crace ongoing block specific provisions map. </w:t>
            </w:r>
          </w:p>
          <w:p w:rsidR="009E3EBF" w:rsidRDefault="009E3EBF" w:rsidP="009E3EBF">
            <w:pPr>
              <w:pStyle w:val="RuleList"/>
              <w:numPr>
                <w:ilvl w:val="1"/>
                <w:numId w:val="18"/>
              </w:numPr>
              <w:ind w:left="0"/>
            </w:pPr>
            <w:r>
              <w:t>For a minimum of 9m from the corner of the primary and secondary frontages, any fencing forward of the building must comply with all of the following:</w:t>
            </w:r>
          </w:p>
          <w:p w:rsidR="009E3EBF" w:rsidRDefault="009E3EBF" w:rsidP="009E3EBF">
            <w:pPr>
              <w:pStyle w:val="RuleList"/>
              <w:numPr>
                <w:ilvl w:val="2"/>
                <w:numId w:val="18"/>
              </w:numPr>
            </w:pPr>
            <w:r>
              <w:t>is a maximum of 1m high</w:t>
            </w:r>
          </w:p>
          <w:p w:rsidR="009E3EBF" w:rsidRDefault="009E3EBF" w:rsidP="009E3EBF">
            <w:pPr>
              <w:pStyle w:val="RuleList"/>
              <w:numPr>
                <w:ilvl w:val="2"/>
                <w:numId w:val="18"/>
              </w:numPr>
            </w:pPr>
            <w:r>
              <w:t>is located on the boundary.</w:t>
            </w:r>
          </w:p>
          <w:p w:rsidR="009E3EBF" w:rsidRDefault="009E3EBF" w:rsidP="00960FA4">
            <w:pPr>
              <w:pStyle w:val="BodyText"/>
            </w:pPr>
          </w:p>
          <w:p w:rsidR="009E3EBF" w:rsidRDefault="009E3EBF" w:rsidP="00960FA4">
            <w:pPr>
              <w:pStyle w:val="BodyText"/>
            </w:pPr>
          </w:p>
          <w:p w:rsidR="009E3EBF" w:rsidRDefault="009E3EBF" w:rsidP="00960FA4">
            <w:pPr>
              <w:pStyle w:val="RuleList"/>
              <w:keepNext/>
              <w:keepLines/>
              <w:numPr>
                <w:ilvl w:val="0"/>
                <w:numId w:val="0"/>
              </w:numPr>
            </w:pPr>
          </w:p>
          <w:p w:rsidR="009E3EBF" w:rsidRDefault="009E3EBF" w:rsidP="00960FA4">
            <w:pPr>
              <w:pStyle w:val="RuleList"/>
              <w:keepNext/>
              <w:keepLines/>
              <w:numPr>
                <w:ilvl w:val="0"/>
                <w:numId w:val="0"/>
              </w:numPr>
            </w:pPr>
            <w:r>
              <w:t>Beyond 9m of the corner of the primary and secondary frontages, any fencing forward of the building line must comply with all of the following:</w:t>
            </w:r>
          </w:p>
          <w:p w:rsidR="009E3EBF" w:rsidRDefault="009E3EBF" w:rsidP="009E3EBF">
            <w:pPr>
              <w:pStyle w:val="RuleList"/>
              <w:keepNext/>
              <w:keepLines/>
              <w:numPr>
                <w:ilvl w:val="2"/>
                <w:numId w:val="20"/>
              </w:numPr>
            </w:pPr>
            <w:r>
              <w:t xml:space="preserve">is located on or adjacent to the block’s secondary frontage </w:t>
            </w:r>
          </w:p>
          <w:p w:rsidR="009E3EBF" w:rsidRDefault="009E3EBF" w:rsidP="009E3EBF">
            <w:pPr>
              <w:pStyle w:val="RuleList"/>
              <w:keepNext/>
              <w:keepLines/>
              <w:numPr>
                <w:ilvl w:val="2"/>
                <w:numId w:val="20"/>
              </w:numPr>
            </w:pPr>
            <w:r>
              <w:t>not less than 50% of the fencing is set back at least 600mm from the front boundary</w:t>
            </w:r>
          </w:p>
          <w:p w:rsidR="009E3EBF" w:rsidRDefault="009E3EBF" w:rsidP="009E3EBF">
            <w:pPr>
              <w:pStyle w:val="RuleList"/>
              <w:keepNext/>
              <w:keepLines/>
              <w:numPr>
                <w:ilvl w:val="2"/>
                <w:numId w:val="18"/>
              </w:numPr>
            </w:pPr>
            <w:r>
              <w:t>is not more than 1.5m high.</w:t>
            </w:r>
          </w:p>
          <w:p w:rsidR="009E3EBF" w:rsidRPr="00457E64" w:rsidRDefault="009E3EBF" w:rsidP="009E3EBF">
            <w:pPr>
              <w:pStyle w:val="RuleList"/>
              <w:keepNext/>
              <w:keepLines/>
              <w:numPr>
                <w:ilvl w:val="1"/>
                <w:numId w:val="18"/>
              </w:numPr>
              <w:ind w:left="0"/>
            </w:pPr>
            <w:r w:rsidRPr="00457E64">
              <w:t xml:space="preserve">Note: Figure </w:t>
            </w:r>
            <w:r>
              <w:t>1</w:t>
            </w:r>
            <w:r w:rsidRPr="00457E64">
              <w:t xml:space="preserve"> refers.</w:t>
            </w:r>
          </w:p>
        </w:tc>
        <w:tc>
          <w:tcPr>
            <w:tcW w:w="2461" w:type="pct"/>
            <w:shd w:val="clear" w:color="auto" w:fill="FFFFFF"/>
          </w:tcPr>
          <w:p w:rsidR="009E3EBF" w:rsidRPr="00457E64" w:rsidRDefault="009E3EBF" w:rsidP="009E3EBF">
            <w:pPr>
              <w:pStyle w:val="CritList"/>
              <w:rPr>
                <w:vanish/>
              </w:rPr>
            </w:pPr>
            <w:r w:rsidRPr="003315AA">
              <w:rPr>
                <w:vanish/>
              </w:rPr>
              <w:t>Nn</w:t>
            </w:r>
          </w:p>
          <w:p w:rsidR="009E3EBF" w:rsidRPr="00F302B6" w:rsidRDefault="009E3EBF" w:rsidP="009E3EBF">
            <w:pPr>
              <w:pStyle w:val="CritList"/>
              <w:numPr>
                <w:ilvl w:val="1"/>
                <w:numId w:val="15"/>
              </w:numPr>
            </w:pPr>
            <w:r>
              <w:rPr>
                <w:vanish/>
              </w:rPr>
              <w:t xml:space="preserve"> </w:t>
            </w:r>
          </w:p>
          <w:p w:rsidR="009E3EBF" w:rsidRPr="009807E6" w:rsidRDefault="009E3EBF" w:rsidP="009E3EBF">
            <w:pPr>
              <w:pStyle w:val="CritList"/>
              <w:numPr>
                <w:ilvl w:val="1"/>
                <w:numId w:val="15"/>
              </w:numPr>
            </w:pPr>
            <w:r w:rsidRPr="00232A38">
              <w:t>This is a mandatory requirement. There is no applicable criterion.</w:t>
            </w:r>
          </w:p>
        </w:tc>
      </w:tr>
      <w:tr w:rsidR="009E3EBF" w:rsidRPr="009807E6" w:rsidTr="00960FA4">
        <w:tc>
          <w:tcPr>
            <w:tcW w:w="2539" w:type="pct"/>
            <w:shd w:val="clear" w:color="auto" w:fill="FFFFFF"/>
          </w:tcPr>
          <w:p w:rsidR="009E3EBF" w:rsidRDefault="009E3EBF" w:rsidP="00960FA4">
            <w:pPr>
              <w:pStyle w:val="RuleList"/>
              <w:ind w:left="34"/>
            </w:pPr>
            <w:r>
              <w:t xml:space="preserve"> </w:t>
            </w:r>
          </w:p>
          <w:p w:rsidR="009E3EBF" w:rsidRDefault="009E3EBF" w:rsidP="009E3EBF">
            <w:pPr>
              <w:pStyle w:val="RuleList"/>
              <w:numPr>
                <w:ilvl w:val="1"/>
                <w:numId w:val="18"/>
              </w:numPr>
              <w:ind w:left="0"/>
            </w:pPr>
            <w:r>
              <w:t xml:space="preserve">This rule applies to all boundary fencing north facing blocks identified on the Crace ongoing block specific provisions map. </w:t>
            </w:r>
          </w:p>
          <w:p w:rsidR="009E3EBF" w:rsidRDefault="009E3EBF" w:rsidP="009E3EBF">
            <w:pPr>
              <w:pStyle w:val="RuleList"/>
              <w:numPr>
                <w:ilvl w:val="1"/>
                <w:numId w:val="18"/>
              </w:numPr>
              <w:ind w:left="0"/>
            </w:pPr>
            <w:r>
              <w:t>Any fencing forward of the building line must comply with all of the following:</w:t>
            </w:r>
          </w:p>
          <w:p w:rsidR="009E3EBF" w:rsidRDefault="009E3EBF" w:rsidP="009E3EBF">
            <w:pPr>
              <w:pStyle w:val="RuleList"/>
              <w:numPr>
                <w:ilvl w:val="2"/>
                <w:numId w:val="18"/>
              </w:numPr>
            </w:pPr>
            <w:r>
              <w:t>not less than 50% of the fencing is set back at least 600mm from the front boundary</w:t>
            </w:r>
          </w:p>
          <w:p w:rsidR="009E3EBF" w:rsidRPr="00D3376F" w:rsidRDefault="009E3EBF" w:rsidP="009E3EBF">
            <w:pPr>
              <w:pStyle w:val="RuleList"/>
              <w:numPr>
                <w:ilvl w:val="2"/>
                <w:numId w:val="18"/>
              </w:numPr>
              <w:rPr>
                <w:iCs/>
              </w:rPr>
            </w:pPr>
            <w:r>
              <w:t xml:space="preserve">is adjacent to the block’s </w:t>
            </w:r>
            <w:r>
              <w:rPr>
                <w:i/>
                <w:iCs/>
              </w:rPr>
              <w:t>principal private open space</w:t>
            </w:r>
          </w:p>
          <w:p w:rsidR="009E3EBF" w:rsidRDefault="009E3EBF" w:rsidP="009E3EBF">
            <w:pPr>
              <w:pStyle w:val="RuleList"/>
              <w:numPr>
                <w:ilvl w:val="2"/>
                <w:numId w:val="18"/>
              </w:numPr>
            </w:pPr>
            <w:r>
              <w:t>is not more than 1.5m high.</w:t>
            </w:r>
          </w:p>
          <w:p w:rsidR="009E3EBF" w:rsidRPr="00457E64" w:rsidRDefault="009E3EBF" w:rsidP="009E3EBF">
            <w:pPr>
              <w:pStyle w:val="RuleList"/>
              <w:numPr>
                <w:ilvl w:val="1"/>
                <w:numId w:val="18"/>
              </w:numPr>
              <w:ind w:left="0"/>
            </w:pPr>
            <w:r w:rsidRPr="00457E64">
              <w:t xml:space="preserve">Note: Figure </w:t>
            </w:r>
            <w:r>
              <w:t>2</w:t>
            </w:r>
            <w:r w:rsidRPr="00457E64">
              <w:t xml:space="preserve"> refers.</w:t>
            </w:r>
          </w:p>
        </w:tc>
        <w:tc>
          <w:tcPr>
            <w:tcW w:w="2461" w:type="pct"/>
            <w:shd w:val="clear" w:color="auto" w:fill="FFFFFF"/>
          </w:tcPr>
          <w:p w:rsidR="009E3EBF" w:rsidRPr="00457E64" w:rsidRDefault="009E3EBF" w:rsidP="009E3EBF">
            <w:pPr>
              <w:pStyle w:val="CritList"/>
              <w:rPr>
                <w:vanish/>
              </w:rPr>
            </w:pPr>
            <w:r w:rsidRPr="003315AA">
              <w:rPr>
                <w:vanish/>
              </w:rPr>
              <w:t>Nn</w:t>
            </w:r>
          </w:p>
          <w:p w:rsidR="009E3EBF" w:rsidRPr="00F302B6" w:rsidRDefault="009E3EBF" w:rsidP="009E3EBF">
            <w:pPr>
              <w:pStyle w:val="CritList"/>
              <w:numPr>
                <w:ilvl w:val="1"/>
                <w:numId w:val="15"/>
              </w:numPr>
            </w:pPr>
            <w:r>
              <w:rPr>
                <w:vanish/>
              </w:rPr>
              <w:t xml:space="preserve"> </w:t>
            </w:r>
          </w:p>
          <w:p w:rsidR="009E3EBF" w:rsidRPr="009807E6" w:rsidRDefault="009E3EBF" w:rsidP="009E3EBF">
            <w:pPr>
              <w:pStyle w:val="CritList"/>
              <w:numPr>
                <w:ilvl w:val="1"/>
                <w:numId w:val="15"/>
              </w:numPr>
            </w:pPr>
            <w:r w:rsidRPr="00232A38">
              <w:t>This is a mandatory requirement. There is no applicable criterion.</w:t>
            </w:r>
          </w:p>
        </w:tc>
      </w:tr>
      <w:tr w:rsidR="009E3EBF" w:rsidRPr="009807E6" w:rsidTr="00960FA4">
        <w:tc>
          <w:tcPr>
            <w:tcW w:w="2539" w:type="pct"/>
            <w:shd w:val="clear" w:color="auto" w:fill="FFFFFF"/>
          </w:tcPr>
          <w:p w:rsidR="009E3EBF" w:rsidRDefault="009E3EBF" w:rsidP="00960FA4">
            <w:pPr>
              <w:pStyle w:val="RuleList"/>
              <w:ind w:left="34"/>
            </w:pPr>
          </w:p>
          <w:p w:rsidR="009E3EBF" w:rsidRDefault="009E3EBF" w:rsidP="009E3EBF">
            <w:pPr>
              <w:pStyle w:val="RuleList"/>
              <w:numPr>
                <w:ilvl w:val="1"/>
                <w:numId w:val="18"/>
              </w:numPr>
              <w:ind w:left="0"/>
            </w:pPr>
            <w:r>
              <w:t>This rule applies to all boundary fencing blocks shown as shaded blocks identified on the Crace ongoing block specific provisions map.</w:t>
            </w:r>
          </w:p>
          <w:p w:rsidR="009E3EBF" w:rsidRDefault="009E3EBF" w:rsidP="009E3EBF">
            <w:pPr>
              <w:pStyle w:val="RuleList"/>
              <w:numPr>
                <w:ilvl w:val="1"/>
                <w:numId w:val="18"/>
              </w:numPr>
              <w:ind w:left="0"/>
            </w:pPr>
            <w:r>
              <w:t>Any fencing forward of the building line complies with all of the following:</w:t>
            </w:r>
          </w:p>
          <w:p w:rsidR="009E3EBF" w:rsidRDefault="009E3EBF" w:rsidP="009E3EBF">
            <w:pPr>
              <w:pStyle w:val="RuleList"/>
              <w:numPr>
                <w:ilvl w:val="2"/>
                <w:numId w:val="18"/>
              </w:numPr>
            </w:pPr>
            <w:r>
              <w:t xml:space="preserve"> is constructed of masonry or stone work and includes infill panels of timber slats (excluding raw treated pine or palings) or metal slats (excluding metal cladding or swimming pool fencing) and contains planting to minimum 50% of the solid masonry walls.</w:t>
            </w:r>
          </w:p>
        </w:tc>
        <w:tc>
          <w:tcPr>
            <w:tcW w:w="2461" w:type="pct"/>
            <w:shd w:val="clear" w:color="auto" w:fill="FFFFFF"/>
          </w:tcPr>
          <w:p w:rsidR="009E3EBF" w:rsidRDefault="009E3EBF" w:rsidP="009E3EBF">
            <w:pPr>
              <w:pStyle w:val="CritList"/>
            </w:pPr>
          </w:p>
          <w:p w:rsidR="009E3EBF" w:rsidRPr="00D3376F" w:rsidRDefault="009E3EBF" w:rsidP="009E3EBF">
            <w:pPr>
              <w:pStyle w:val="CritList"/>
              <w:numPr>
                <w:ilvl w:val="1"/>
                <w:numId w:val="15"/>
              </w:numPr>
              <w:rPr>
                <w:sz w:val="16"/>
                <w:szCs w:val="16"/>
              </w:rPr>
            </w:pPr>
            <w:r>
              <w:t>Boundary fencing forward of the building line is partially transparent and is constructed of quality materials that complement those used in the dwelling</w:t>
            </w:r>
          </w:p>
        </w:tc>
      </w:tr>
    </w:tbl>
    <w:p w:rsidR="009E3EBF" w:rsidRDefault="009E3EBF" w:rsidP="009E3EBF">
      <w:pPr>
        <w:pStyle w:val="BodyText"/>
      </w:pPr>
    </w:p>
    <w:p w:rsidR="009E3EBF" w:rsidRDefault="00B26CD9" w:rsidP="009E3EBF">
      <w:pPr>
        <w:pStyle w:val="BodyText"/>
      </w:pPr>
      <w:r w:rsidRPr="00B26CD9">
        <w:rPr>
          <w:noProof/>
          <w:lang w:val="en-AU" w:eastAsia="en-AU"/>
        </w:rPr>
        <w:drawing>
          <wp:inline distT="0" distB="0" distL="0" distR="0">
            <wp:extent cx="5191125" cy="7410450"/>
            <wp:effectExtent l="0" t="0" r="0" b="0"/>
            <wp:docPr id="5" name="Picture 4" descr="H:\My Pictures\New Pic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My Pictures\New Picture.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91125" cy="7410450"/>
                    </a:xfrm>
                    <a:prstGeom prst="rect">
                      <a:avLst/>
                    </a:prstGeom>
                    <a:noFill/>
                    <a:ln>
                      <a:noFill/>
                    </a:ln>
                  </pic:spPr>
                </pic:pic>
              </a:graphicData>
            </a:graphic>
          </wp:inline>
        </w:drawing>
      </w:r>
    </w:p>
    <w:p w:rsidR="009E3EBF" w:rsidRDefault="009E3EBF" w:rsidP="009E3EBF">
      <w:pPr>
        <w:pStyle w:val="Figuretitle"/>
      </w:pPr>
      <w:bookmarkStart w:id="6" w:name="_Toc324677713"/>
      <w:bookmarkStart w:id="7" w:name="_Toc326834605"/>
      <w:r>
        <w:t>Figure 1  Fence location for corner blocks and blocks adjacent to open space</w:t>
      </w:r>
      <w:bookmarkEnd w:id="6"/>
      <w:bookmarkEnd w:id="7"/>
    </w:p>
    <w:p w:rsidR="009E3EBF" w:rsidRDefault="009E3EBF" w:rsidP="009E3EBF">
      <w:pPr>
        <w:pStyle w:val="BodyText"/>
      </w:pPr>
    </w:p>
    <w:p w:rsidR="009E3EBF" w:rsidRDefault="009E3EBF" w:rsidP="009E3EBF">
      <w:pPr>
        <w:pStyle w:val="BodyText"/>
      </w:pPr>
    </w:p>
    <w:p w:rsidR="009E3EBF" w:rsidRDefault="00B26CD9" w:rsidP="009E3EBF">
      <w:pPr>
        <w:pStyle w:val="BodyText"/>
        <w:keepNext/>
      </w:pPr>
      <w:r w:rsidRPr="00B26CD9">
        <w:rPr>
          <w:noProof/>
          <w:lang w:val="en-AU" w:eastAsia="en-AU"/>
        </w:rPr>
        <w:drawing>
          <wp:inline distT="0" distB="0" distL="0" distR="0">
            <wp:extent cx="4962525" cy="3371850"/>
            <wp:effectExtent l="0" t="0" r="0" b="0"/>
            <wp:docPr id="6" name="Picture 5" descr="H:\My Pictures\New Picture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My Pictures\New Picture (1).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962525" cy="3371850"/>
                    </a:xfrm>
                    <a:prstGeom prst="rect">
                      <a:avLst/>
                    </a:prstGeom>
                    <a:noFill/>
                    <a:ln>
                      <a:noFill/>
                    </a:ln>
                  </pic:spPr>
                </pic:pic>
              </a:graphicData>
            </a:graphic>
          </wp:inline>
        </w:drawing>
      </w:r>
    </w:p>
    <w:p w:rsidR="009E3EBF" w:rsidRDefault="009E3EBF" w:rsidP="009E3EBF">
      <w:pPr>
        <w:pStyle w:val="Figuretitle"/>
      </w:pPr>
      <w:bookmarkStart w:id="8" w:name="_Toc324677714"/>
      <w:bookmarkStart w:id="9" w:name="_Toc326834606"/>
      <w:r>
        <w:t>Figure 2  Fence location for north facing blocks</w:t>
      </w:r>
      <w:bookmarkEnd w:id="8"/>
      <w:bookmarkEnd w:id="9"/>
    </w:p>
    <w:p w:rsidR="009E3EBF" w:rsidRDefault="009E3EBF" w:rsidP="009E3EBF">
      <w:pPr>
        <w:pStyle w:val="BodyText"/>
      </w:pPr>
    </w:p>
    <w:p w:rsidR="009E3EBF" w:rsidRDefault="009E3EBF" w:rsidP="009E3EBF">
      <w:pPr>
        <w:pStyle w:val="BodyText"/>
      </w:pPr>
    </w:p>
    <w:p w:rsidR="009E3EBF" w:rsidRDefault="00B26CD9" w:rsidP="009E3EBF">
      <w:pPr>
        <w:pStyle w:val="BodyText"/>
        <w:keepNext/>
      </w:pPr>
      <w:r w:rsidRPr="00B26CD9">
        <w:rPr>
          <w:noProof/>
          <w:lang w:val="en-AU" w:eastAsia="en-AU"/>
        </w:rPr>
        <w:drawing>
          <wp:inline distT="0" distB="0" distL="0" distR="0">
            <wp:extent cx="5495925" cy="7820025"/>
            <wp:effectExtent l="0" t="0" r="0" b="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95925" cy="7820025"/>
                    </a:xfrm>
                    <a:prstGeom prst="rect">
                      <a:avLst/>
                    </a:prstGeom>
                    <a:noFill/>
                    <a:ln>
                      <a:noFill/>
                    </a:ln>
                  </pic:spPr>
                </pic:pic>
              </a:graphicData>
            </a:graphic>
          </wp:inline>
        </w:drawing>
      </w:r>
    </w:p>
    <w:p w:rsidR="009E3EBF" w:rsidRDefault="009E3EBF" w:rsidP="009E3EBF">
      <w:pPr>
        <w:pStyle w:val="Figuretitle"/>
      </w:pPr>
      <w:bookmarkStart w:id="10" w:name="_Toc325717343"/>
      <w:r>
        <w:t xml:space="preserve">Figure 3  Fencing plan </w:t>
      </w:r>
      <w:bookmarkEnd w:id="10"/>
      <w:r>
        <w:t>1</w:t>
      </w:r>
    </w:p>
    <w:p w:rsidR="009E3EBF" w:rsidRDefault="009E3EBF" w:rsidP="009E3EBF">
      <w:pPr>
        <w:pStyle w:val="BodyText"/>
      </w:pPr>
    </w:p>
    <w:p w:rsidR="009E3EBF" w:rsidRDefault="009E3EBF" w:rsidP="009E3EBF">
      <w:pPr>
        <w:spacing w:after="200" w:line="276" w:lineRule="auto"/>
      </w:pPr>
      <w:r>
        <w:br w:type="page"/>
      </w:r>
    </w:p>
    <w:p w:rsidR="009E3EBF" w:rsidRDefault="00B26CD9" w:rsidP="009E3EBF">
      <w:pPr>
        <w:pStyle w:val="BodyText"/>
        <w:keepNext/>
      </w:pPr>
      <w:r w:rsidRPr="00B26CD9">
        <w:rPr>
          <w:noProof/>
          <w:lang w:val="en-AU" w:eastAsia="en-AU"/>
        </w:rPr>
        <w:drawing>
          <wp:inline distT="0" distB="0" distL="0" distR="0">
            <wp:extent cx="4229100" cy="3914775"/>
            <wp:effectExtent l="0" t="0" r="0" b="0"/>
            <wp:docPr id="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29100" cy="3914775"/>
                    </a:xfrm>
                    <a:prstGeom prst="rect">
                      <a:avLst/>
                    </a:prstGeom>
                    <a:noFill/>
                    <a:ln>
                      <a:noFill/>
                    </a:ln>
                  </pic:spPr>
                </pic:pic>
              </a:graphicData>
            </a:graphic>
          </wp:inline>
        </w:drawing>
      </w:r>
    </w:p>
    <w:p w:rsidR="009E3EBF" w:rsidRDefault="009E3EBF" w:rsidP="009E3EBF">
      <w:pPr>
        <w:pStyle w:val="Figuretitle"/>
      </w:pPr>
      <w:bookmarkStart w:id="11" w:name="_Toc325717344"/>
      <w:r>
        <w:t xml:space="preserve">Figure 4  Fencing plan </w:t>
      </w:r>
      <w:bookmarkEnd w:id="11"/>
      <w:r>
        <w:t>2</w:t>
      </w:r>
    </w:p>
    <w:p w:rsidR="009E3EBF" w:rsidRDefault="009E3EBF" w:rsidP="009E3EBF">
      <w:pPr>
        <w:pStyle w:val="BodyText"/>
      </w:pPr>
    </w:p>
    <w:p w:rsidR="004912F3" w:rsidRDefault="004912F3" w:rsidP="009E3EBF">
      <w:pPr>
        <w:pStyle w:val="BodyText"/>
      </w:pPr>
    </w:p>
    <w:p w:rsidR="004912F3" w:rsidRDefault="004912F3" w:rsidP="009E3EBF">
      <w:pPr>
        <w:pStyle w:val="BodyText"/>
      </w:pPr>
    </w:p>
    <w:p w:rsidR="004912F3" w:rsidRDefault="004912F3" w:rsidP="009E3EBF">
      <w:pPr>
        <w:pStyle w:val="BodyText"/>
      </w:pPr>
    </w:p>
    <w:p w:rsidR="004912F3" w:rsidRDefault="004912F3" w:rsidP="009E3EBF">
      <w:pPr>
        <w:pStyle w:val="BodyText"/>
      </w:pPr>
    </w:p>
    <w:p w:rsidR="004912F3" w:rsidRDefault="004912F3" w:rsidP="009E3EBF">
      <w:pPr>
        <w:pStyle w:val="BodyText"/>
      </w:pPr>
    </w:p>
    <w:p w:rsidR="004912F3" w:rsidRDefault="004912F3" w:rsidP="009E3EBF">
      <w:pPr>
        <w:pStyle w:val="BodyText"/>
      </w:pPr>
    </w:p>
    <w:p w:rsidR="004912F3" w:rsidRPr="001E21EA" w:rsidRDefault="004912F3" w:rsidP="004912F3">
      <w:pPr>
        <w:rPr>
          <w:color w:val="FF0000"/>
        </w:rPr>
      </w:pPr>
      <w:r>
        <w:t>Ben Ponton</w:t>
      </w:r>
    </w:p>
    <w:p w:rsidR="004912F3" w:rsidRPr="00BC2D73" w:rsidRDefault="004912F3" w:rsidP="004912F3">
      <w:pPr>
        <w:rPr>
          <w:bCs/>
          <w:szCs w:val="24"/>
        </w:rPr>
      </w:pPr>
      <w:r>
        <w:rPr>
          <w:bCs/>
          <w:szCs w:val="24"/>
        </w:rPr>
        <w:t>Delegate of ACT Planning and Land Authority</w:t>
      </w:r>
    </w:p>
    <w:p w:rsidR="004912F3" w:rsidRPr="006E196D" w:rsidRDefault="004912F3" w:rsidP="004912F3">
      <w:pPr>
        <w:rPr>
          <w:b/>
          <w:bCs/>
          <w:sz w:val="22"/>
          <w:szCs w:val="22"/>
        </w:rPr>
      </w:pPr>
      <w:r>
        <w:rPr>
          <w:color w:val="000000"/>
        </w:rPr>
        <w:t>Date</w:t>
      </w:r>
      <w:r w:rsidRPr="00BC2D73">
        <w:rPr>
          <w:b/>
          <w:bCs/>
          <w:sz w:val="22"/>
          <w:szCs w:val="22"/>
        </w:rPr>
        <w:t xml:space="preserve"> </w:t>
      </w:r>
    </w:p>
    <w:p w:rsidR="004912F3" w:rsidRDefault="004912F3" w:rsidP="009E3EBF">
      <w:pPr>
        <w:pStyle w:val="BodyText"/>
      </w:pPr>
    </w:p>
    <w:p w:rsidR="004912F3" w:rsidRDefault="004912F3" w:rsidP="009E3EBF">
      <w:pPr>
        <w:pStyle w:val="BodyText"/>
      </w:pPr>
    </w:p>
    <w:p w:rsidR="009E3EBF" w:rsidRPr="00A81AC0" w:rsidRDefault="009E3EBF" w:rsidP="009E3EBF"/>
    <w:p w:rsidR="009E3EBF" w:rsidRDefault="009E3EBF">
      <w:pPr>
        <w:rPr>
          <w:color w:val="000000"/>
        </w:rPr>
      </w:pPr>
    </w:p>
    <w:sectPr w:rsidR="009E3EBF" w:rsidSect="00F67C48">
      <w:headerReference w:type="even" r:id="rId16"/>
      <w:headerReference w:type="default" r:id="rId17"/>
      <w:footerReference w:type="even" r:id="rId18"/>
      <w:footerReference w:type="default" r:id="rId19"/>
      <w:headerReference w:type="first" r:id="rId20"/>
      <w:footerReference w:type="first" r:id="rId21"/>
      <w:type w:val="continuous"/>
      <w:pgSz w:w="11907" w:h="16840"/>
      <w:pgMar w:top="1440" w:right="1559" w:bottom="1440" w:left="1797" w:header="720" w:footer="720"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6CD9" w:rsidRDefault="00B26CD9">
      <w:r>
        <w:separator/>
      </w:r>
    </w:p>
  </w:endnote>
  <w:endnote w:type="continuationSeparator" w:id="0">
    <w:p w:rsidR="00B26CD9" w:rsidRDefault="00B26C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6931" w:rsidRDefault="006A693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7151" w:rsidRPr="00621DA7" w:rsidRDefault="00621DA7" w:rsidP="00621DA7">
    <w:pPr>
      <w:pStyle w:val="Footer"/>
      <w:jc w:val="center"/>
      <w:rPr>
        <w:rFonts w:cs="Arial"/>
        <w:sz w:val="14"/>
      </w:rPr>
    </w:pPr>
    <w:r w:rsidRPr="00621DA7">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4B89" w:rsidRDefault="00924B89">
    <w:pPr>
      <w:framePr w:w="10206" w:hSpace="181" w:wrap="auto" w:vAnchor="page" w:hAnchor="page" w:x="681" w:y="16161"/>
      <w:jc w:val="right"/>
      <w:rPr>
        <w:vanish/>
        <w:sz w:val="13"/>
      </w:rPr>
    </w:pPr>
  </w:p>
  <w:p w:rsidR="00924B89" w:rsidRPr="00621DA7" w:rsidRDefault="00621DA7" w:rsidP="00621DA7">
    <w:pPr>
      <w:pStyle w:val="Footer"/>
      <w:jc w:val="center"/>
      <w:rPr>
        <w:rFonts w:cs="Arial"/>
        <w:sz w:val="14"/>
      </w:rPr>
    </w:pPr>
    <w:r w:rsidRPr="00621DA7">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6CD9" w:rsidRDefault="00B26CD9">
      <w:r>
        <w:separator/>
      </w:r>
    </w:p>
  </w:footnote>
  <w:footnote w:type="continuationSeparator" w:id="0">
    <w:p w:rsidR="00B26CD9" w:rsidRDefault="00B26C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6931" w:rsidRDefault="006A693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6931" w:rsidRDefault="006A693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4B89" w:rsidRDefault="00924B89">
    <w:pPr>
      <w:pStyle w:val="Header"/>
      <w:tabs>
        <w:tab w:val="center" w:pos="2693"/>
        <w:tab w:val="right" w:pos="7484"/>
      </w:tabs>
      <w:rPr>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DF11A7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1A4C0C9C"/>
    <w:multiLevelType w:val="hybridMultilevel"/>
    <w:tmpl w:val="C8FE6E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A0A7350"/>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B5C1D7D"/>
    <w:multiLevelType w:val="hybridMultilevel"/>
    <w:tmpl w:val="578AD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 w15:restartNumberingAfterBreak="0">
    <w:nsid w:val="31C04AA8"/>
    <w:multiLevelType w:val="hybridMultilevel"/>
    <w:tmpl w:val="8D9E90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4676A6B"/>
    <w:multiLevelType w:val="hybridMultilevel"/>
    <w:tmpl w:val="A23660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BF24AE"/>
    <w:multiLevelType w:val="hybridMultilevel"/>
    <w:tmpl w:val="E38E48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D83E92"/>
    <w:multiLevelType w:val="singleLevel"/>
    <w:tmpl w:val="02524862"/>
    <w:lvl w:ilvl="0">
      <w:start w:val="1"/>
      <w:numFmt w:val="bullet"/>
      <w:lvlText w:val=""/>
      <w:lvlJc w:val="left"/>
      <w:pPr>
        <w:tabs>
          <w:tab w:val="num" w:pos="360"/>
        </w:tabs>
        <w:ind w:left="360" w:hanging="360"/>
      </w:pPr>
      <w:rPr>
        <w:rFonts w:ascii="Symbol" w:hAnsi="Symbol" w:hint="default"/>
        <w:sz w:val="16"/>
      </w:rPr>
    </w:lvl>
  </w:abstractNum>
  <w:abstractNum w:abstractNumId="12" w15:restartNumberingAfterBreak="0">
    <w:nsid w:val="645C5978"/>
    <w:multiLevelType w:val="hybridMultilevel"/>
    <w:tmpl w:val="3F46B67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4" w15:restartNumberingAfterBreak="0">
    <w:nsid w:val="696520DD"/>
    <w:multiLevelType w:val="multilevel"/>
    <w:tmpl w:val="82EAA8A8"/>
    <w:lvl w:ilvl="0">
      <w:start w:val="1"/>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5" w15:restartNumberingAfterBreak="0">
    <w:nsid w:val="6CD32023"/>
    <w:multiLevelType w:val="hybridMultilevel"/>
    <w:tmpl w:val="26D2AA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02F165B"/>
    <w:multiLevelType w:val="hybridMultilevel"/>
    <w:tmpl w:val="C6624BA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11"/>
  </w:num>
  <w:num w:numId="4">
    <w:abstractNumId w:val="4"/>
  </w:num>
  <w:num w:numId="5">
    <w:abstractNumId w:val="5"/>
  </w:num>
  <w:num w:numId="6">
    <w:abstractNumId w:val="1"/>
  </w:num>
  <w:num w:numId="7">
    <w:abstractNumId w:val="16"/>
  </w:num>
  <w:num w:numId="8">
    <w:abstractNumId w:val="9"/>
  </w:num>
  <w:num w:numId="9">
    <w:abstractNumId w:val="8"/>
  </w:num>
  <w:num w:numId="10">
    <w:abstractNumId w:val="12"/>
  </w:num>
  <w:num w:numId="11">
    <w:abstractNumId w:val="3"/>
  </w:num>
  <w:num w:numId="12">
    <w:abstractNumId w:val="6"/>
  </w:num>
  <w:num w:numId="13">
    <w:abstractNumId w:val="10"/>
  </w:num>
  <w:num w:numId="14">
    <w:abstractNumId w:val="15"/>
  </w:num>
  <w:num w:numId="15">
    <w:abstractNumId w:val="13"/>
  </w:num>
  <w:num w:numId="16">
    <w:abstractNumId w:val="7"/>
  </w:num>
  <w:num w:numId="17">
    <w:abstractNumId w:val="2"/>
  </w:num>
  <w:num w:numId="18">
    <w:abstractNumId w:val="14"/>
  </w:num>
  <w:num w:numId="19">
    <w:abstractNumId w:val="14"/>
    <w:lvlOverride w:ilvl="0">
      <w:startOverride w:val="3"/>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4"/>
    </w:lvlOverride>
    <w:lvlOverride w:ilvl="1">
      <w:startOverride w:val="7"/>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6D3A32"/>
    <w:rsid w:val="000014E7"/>
    <w:rsid w:val="000135C6"/>
    <w:rsid w:val="000303EE"/>
    <w:rsid w:val="000465C0"/>
    <w:rsid w:val="00097BAD"/>
    <w:rsid w:val="000A2CAC"/>
    <w:rsid w:val="000B746C"/>
    <w:rsid w:val="000E0D58"/>
    <w:rsid w:val="000E5710"/>
    <w:rsid w:val="00105797"/>
    <w:rsid w:val="00116289"/>
    <w:rsid w:val="001243F0"/>
    <w:rsid w:val="00137F10"/>
    <w:rsid w:val="0018775F"/>
    <w:rsid w:val="001A44EE"/>
    <w:rsid w:val="001C005E"/>
    <w:rsid w:val="001E21EA"/>
    <w:rsid w:val="001F46E1"/>
    <w:rsid w:val="001F639D"/>
    <w:rsid w:val="001F6755"/>
    <w:rsid w:val="00200B76"/>
    <w:rsid w:val="002101A7"/>
    <w:rsid w:val="002104AF"/>
    <w:rsid w:val="00225EA9"/>
    <w:rsid w:val="00232A38"/>
    <w:rsid w:val="00251510"/>
    <w:rsid w:val="00271D19"/>
    <w:rsid w:val="002960C4"/>
    <w:rsid w:val="002A0650"/>
    <w:rsid w:val="002D5CA7"/>
    <w:rsid w:val="002D7151"/>
    <w:rsid w:val="002D7987"/>
    <w:rsid w:val="002F2159"/>
    <w:rsid w:val="003011BD"/>
    <w:rsid w:val="00312DF5"/>
    <w:rsid w:val="003315AA"/>
    <w:rsid w:val="00331EA3"/>
    <w:rsid w:val="00335006"/>
    <w:rsid w:val="003376C5"/>
    <w:rsid w:val="00341963"/>
    <w:rsid w:val="0034799D"/>
    <w:rsid w:val="003955CF"/>
    <w:rsid w:val="0039699B"/>
    <w:rsid w:val="003A7946"/>
    <w:rsid w:val="003B31C8"/>
    <w:rsid w:val="003C2BEB"/>
    <w:rsid w:val="003C6253"/>
    <w:rsid w:val="003D7BEC"/>
    <w:rsid w:val="003F4CA1"/>
    <w:rsid w:val="00407E45"/>
    <w:rsid w:val="00457E64"/>
    <w:rsid w:val="00460E7D"/>
    <w:rsid w:val="004745CA"/>
    <w:rsid w:val="004912F3"/>
    <w:rsid w:val="004A57A5"/>
    <w:rsid w:val="004C310D"/>
    <w:rsid w:val="004E019A"/>
    <w:rsid w:val="004E3D85"/>
    <w:rsid w:val="00501840"/>
    <w:rsid w:val="00507E3F"/>
    <w:rsid w:val="00544795"/>
    <w:rsid w:val="00551893"/>
    <w:rsid w:val="00557A0F"/>
    <w:rsid w:val="005C693C"/>
    <w:rsid w:val="005E3EB4"/>
    <w:rsid w:val="00600123"/>
    <w:rsid w:val="00612863"/>
    <w:rsid w:val="00621DA7"/>
    <w:rsid w:val="006254EF"/>
    <w:rsid w:val="0064572E"/>
    <w:rsid w:val="00646F93"/>
    <w:rsid w:val="00654531"/>
    <w:rsid w:val="00672672"/>
    <w:rsid w:val="00676643"/>
    <w:rsid w:val="006A6931"/>
    <w:rsid w:val="006C0470"/>
    <w:rsid w:val="006C670A"/>
    <w:rsid w:val="006D3A32"/>
    <w:rsid w:val="006D5D6C"/>
    <w:rsid w:val="006E196D"/>
    <w:rsid w:val="006F1E53"/>
    <w:rsid w:val="00711421"/>
    <w:rsid w:val="0073080A"/>
    <w:rsid w:val="00760F52"/>
    <w:rsid w:val="00780AFC"/>
    <w:rsid w:val="007B24FA"/>
    <w:rsid w:val="00804ABF"/>
    <w:rsid w:val="00835A44"/>
    <w:rsid w:val="0087018D"/>
    <w:rsid w:val="008B704E"/>
    <w:rsid w:val="008E0502"/>
    <w:rsid w:val="008E2637"/>
    <w:rsid w:val="00900AF9"/>
    <w:rsid w:val="0090163D"/>
    <w:rsid w:val="00903BF1"/>
    <w:rsid w:val="009047E1"/>
    <w:rsid w:val="00924B89"/>
    <w:rsid w:val="00924F8E"/>
    <w:rsid w:val="00944269"/>
    <w:rsid w:val="00955163"/>
    <w:rsid w:val="00960FA4"/>
    <w:rsid w:val="00965B7A"/>
    <w:rsid w:val="009807E6"/>
    <w:rsid w:val="00995748"/>
    <w:rsid w:val="0099656B"/>
    <w:rsid w:val="009C1973"/>
    <w:rsid w:val="009C28EB"/>
    <w:rsid w:val="009E3EBF"/>
    <w:rsid w:val="009F34FE"/>
    <w:rsid w:val="00A06007"/>
    <w:rsid w:val="00A33336"/>
    <w:rsid w:val="00A41499"/>
    <w:rsid w:val="00A456A2"/>
    <w:rsid w:val="00A474C2"/>
    <w:rsid w:val="00A55193"/>
    <w:rsid w:val="00A641F6"/>
    <w:rsid w:val="00A73E81"/>
    <w:rsid w:val="00A81AC0"/>
    <w:rsid w:val="00A87F65"/>
    <w:rsid w:val="00AD1EFF"/>
    <w:rsid w:val="00B26CD9"/>
    <w:rsid w:val="00B3028E"/>
    <w:rsid w:val="00B333E6"/>
    <w:rsid w:val="00B86E0F"/>
    <w:rsid w:val="00B96B79"/>
    <w:rsid w:val="00BA2F63"/>
    <w:rsid w:val="00BA7F8F"/>
    <w:rsid w:val="00BB63A5"/>
    <w:rsid w:val="00BC2D73"/>
    <w:rsid w:val="00BC4F0D"/>
    <w:rsid w:val="00BD34CA"/>
    <w:rsid w:val="00BD5A79"/>
    <w:rsid w:val="00BE15D2"/>
    <w:rsid w:val="00BF24D1"/>
    <w:rsid w:val="00BF7210"/>
    <w:rsid w:val="00C26497"/>
    <w:rsid w:val="00C35013"/>
    <w:rsid w:val="00C43839"/>
    <w:rsid w:val="00C51C28"/>
    <w:rsid w:val="00C64E3A"/>
    <w:rsid w:val="00C704BF"/>
    <w:rsid w:val="00C81486"/>
    <w:rsid w:val="00CD6173"/>
    <w:rsid w:val="00CE2E53"/>
    <w:rsid w:val="00D058B9"/>
    <w:rsid w:val="00D063C4"/>
    <w:rsid w:val="00D2539B"/>
    <w:rsid w:val="00D3376F"/>
    <w:rsid w:val="00D37AD6"/>
    <w:rsid w:val="00D67503"/>
    <w:rsid w:val="00D80EA8"/>
    <w:rsid w:val="00D94EB9"/>
    <w:rsid w:val="00DB1D09"/>
    <w:rsid w:val="00DB55E1"/>
    <w:rsid w:val="00DC7510"/>
    <w:rsid w:val="00DD3DB2"/>
    <w:rsid w:val="00DD5375"/>
    <w:rsid w:val="00DD58B5"/>
    <w:rsid w:val="00DE314B"/>
    <w:rsid w:val="00E06A73"/>
    <w:rsid w:val="00E22EAF"/>
    <w:rsid w:val="00E2643A"/>
    <w:rsid w:val="00E270C9"/>
    <w:rsid w:val="00E37FA8"/>
    <w:rsid w:val="00E641D2"/>
    <w:rsid w:val="00E84214"/>
    <w:rsid w:val="00EC0AC6"/>
    <w:rsid w:val="00EC5853"/>
    <w:rsid w:val="00ED17CD"/>
    <w:rsid w:val="00ED3EA4"/>
    <w:rsid w:val="00EE07F8"/>
    <w:rsid w:val="00EE1464"/>
    <w:rsid w:val="00EE2196"/>
    <w:rsid w:val="00EF1378"/>
    <w:rsid w:val="00F007D4"/>
    <w:rsid w:val="00F302B6"/>
    <w:rsid w:val="00F3346F"/>
    <w:rsid w:val="00F43B0F"/>
    <w:rsid w:val="00F629A8"/>
    <w:rsid w:val="00F639D8"/>
    <w:rsid w:val="00F67C48"/>
    <w:rsid w:val="00F86FA2"/>
    <w:rsid w:val="00F92CE0"/>
    <w:rsid w:val="00FA265E"/>
    <w:rsid w:val="00FB14C3"/>
    <w:rsid w:val="00FB1CDE"/>
    <w:rsid w:val="00FF43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4B2BAE7A-ADA3-455B-9198-F378ACBB13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7C48"/>
    <w:rPr>
      <w:rFonts w:ascii="Arial" w:hAnsi="Arial"/>
      <w:sz w:val="24"/>
      <w:lang w:eastAsia="en-US"/>
    </w:rPr>
  </w:style>
  <w:style w:type="paragraph" w:styleId="Heading1">
    <w:name w:val="heading 1"/>
    <w:basedOn w:val="Normal"/>
    <w:next w:val="Normal"/>
    <w:link w:val="Heading1Char"/>
    <w:uiPriority w:val="9"/>
    <w:qFormat/>
    <w:rsid w:val="00F67C48"/>
    <w:pPr>
      <w:keepNext/>
      <w:ind w:right="386" w:firstLine="720"/>
      <w:outlineLvl w:val="0"/>
    </w:pPr>
    <w:rPr>
      <w:b/>
    </w:rPr>
  </w:style>
  <w:style w:type="paragraph" w:styleId="Heading4">
    <w:name w:val="heading 4"/>
    <w:basedOn w:val="Normal"/>
    <w:next w:val="Normal"/>
    <w:link w:val="Heading4Char"/>
    <w:uiPriority w:val="9"/>
    <w:semiHidden/>
    <w:unhideWhenUsed/>
    <w:qFormat/>
    <w:rsid w:val="00965B7A"/>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rsid w:val="00F67C48"/>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4Char">
    <w:name w:val="Heading 4 Char"/>
    <w:basedOn w:val="DefaultParagraphFont"/>
    <w:link w:val="Heading4"/>
    <w:uiPriority w:val="9"/>
    <w:semiHidden/>
    <w:locked/>
    <w:rsid w:val="00965B7A"/>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paragraph" w:styleId="Footer">
    <w:name w:val="footer"/>
    <w:basedOn w:val="Normal"/>
    <w:link w:val="FooterChar"/>
    <w:uiPriority w:val="99"/>
    <w:rsid w:val="00F67C48"/>
    <w:pPr>
      <w:tabs>
        <w:tab w:val="center" w:pos="4252"/>
        <w:tab w:val="right" w:pos="8504"/>
      </w:tabs>
    </w:pPr>
    <w:rPr>
      <w:sz w:val="16"/>
      <w:lang w:val="en-GB"/>
    </w:rPr>
  </w:style>
  <w:style w:type="character" w:customStyle="1" w:styleId="FooterChar">
    <w:name w:val="Footer Char"/>
    <w:basedOn w:val="DefaultParagraphFont"/>
    <w:link w:val="Footer"/>
    <w:uiPriority w:val="99"/>
    <w:semiHidden/>
    <w:rPr>
      <w:rFonts w:ascii="Arial" w:hAnsi="Arial"/>
      <w:sz w:val="24"/>
      <w:lang w:eastAsia="en-US"/>
    </w:rPr>
  </w:style>
  <w:style w:type="paragraph" w:styleId="Header">
    <w:name w:val="header"/>
    <w:basedOn w:val="Normal"/>
    <w:link w:val="HeaderChar"/>
    <w:uiPriority w:val="99"/>
    <w:rsid w:val="00F67C48"/>
    <w:pPr>
      <w:tabs>
        <w:tab w:val="center" w:pos="4819"/>
        <w:tab w:val="right" w:pos="9071"/>
      </w:tabs>
    </w:pPr>
    <w:rPr>
      <w:lang w:val="en-GB"/>
    </w:rPr>
  </w:style>
  <w:style w:type="character" w:customStyle="1" w:styleId="HeaderChar">
    <w:name w:val="Header Char"/>
    <w:basedOn w:val="DefaultParagraphFont"/>
    <w:link w:val="Header"/>
    <w:uiPriority w:val="99"/>
    <w:semiHidden/>
    <w:rPr>
      <w:rFonts w:ascii="Arial" w:hAnsi="Arial"/>
      <w:sz w:val="24"/>
      <w:lang w:eastAsia="en-US"/>
    </w:rPr>
  </w:style>
  <w:style w:type="paragraph" w:styleId="BodyText">
    <w:name w:val="Body Text"/>
    <w:basedOn w:val="Normal"/>
    <w:link w:val="BodyTextChar"/>
    <w:uiPriority w:val="99"/>
    <w:rsid w:val="00F67C48"/>
    <w:rPr>
      <w:b/>
      <w:sz w:val="28"/>
      <w:lang w:val="en-GB"/>
    </w:rPr>
  </w:style>
  <w:style w:type="character" w:customStyle="1" w:styleId="BodyTextChar">
    <w:name w:val="Body Text Char"/>
    <w:basedOn w:val="DefaultParagraphFont"/>
    <w:link w:val="BodyText"/>
    <w:uiPriority w:val="99"/>
    <w:locked/>
    <w:rsid w:val="00BD34CA"/>
    <w:rPr>
      <w:rFonts w:ascii="Arial" w:hAnsi="Arial" w:cs="Times New Roman"/>
      <w:b/>
      <w:sz w:val="28"/>
      <w:lang w:val="en-GB" w:eastAsia="en-US"/>
    </w:rPr>
  </w:style>
  <w:style w:type="paragraph" w:customStyle="1" w:styleId="Billname">
    <w:name w:val="Billname"/>
    <w:basedOn w:val="Normal"/>
    <w:rsid w:val="00F67C48"/>
    <w:pPr>
      <w:tabs>
        <w:tab w:val="left" w:pos="2400"/>
        <w:tab w:val="left" w:pos="2880"/>
      </w:tabs>
      <w:spacing w:before="1220" w:after="100"/>
    </w:pPr>
    <w:rPr>
      <w:b/>
      <w:sz w:val="40"/>
    </w:rPr>
  </w:style>
  <w:style w:type="paragraph" w:customStyle="1" w:styleId="N-line3">
    <w:name w:val="N-line3"/>
    <w:basedOn w:val="Normal"/>
    <w:next w:val="Normal"/>
    <w:rsid w:val="00F67C48"/>
    <w:pPr>
      <w:pBdr>
        <w:bottom w:val="single" w:sz="12" w:space="1" w:color="auto"/>
      </w:pBdr>
      <w:jc w:val="both"/>
    </w:pPr>
  </w:style>
  <w:style w:type="paragraph" w:customStyle="1" w:styleId="madeunder">
    <w:name w:val="made under"/>
    <w:basedOn w:val="Normal"/>
    <w:rsid w:val="00F67C48"/>
    <w:pPr>
      <w:spacing w:before="180" w:after="60"/>
      <w:jc w:val="both"/>
    </w:pPr>
  </w:style>
  <w:style w:type="paragraph" w:customStyle="1" w:styleId="CoverActName">
    <w:name w:val="CoverActName"/>
    <w:basedOn w:val="Normal"/>
    <w:rsid w:val="00F67C48"/>
    <w:pPr>
      <w:tabs>
        <w:tab w:val="left" w:pos="2600"/>
      </w:tabs>
      <w:spacing w:before="200" w:after="60"/>
      <w:jc w:val="both"/>
    </w:pPr>
    <w:rPr>
      <w:b/>
    </w:rPr>
  </w:style>
  <w:style w:type="paragraph" w:customStyle="1" w:styleId="06Copyright">
    <w:name w:val="06Copyright"/>
    <w:basedOn w:val="Normal"/>
    <w:rsid w:val="00F67C48"/>
    <w:pPr>
      <w:tabs>
        <w:tab w:val="left" w:pos="2880"/>
      </w:tabs>
    </w:pPr>
    <w:rPr>
      <w:lang w:val="en-US"/>
    </w:rPr>
  </w:style>
  <w:style w:type="paragraph" w:styleId="BlockText">
    <w:name w:val="Block Text"/>
    <w:basedOn w:val="Normal"/>
    <w:uiPriority w:val="99"/>
    <w:rsid w:val="00F67C48"/>
    <w:pPr>
      <w:tabs>
        <w:tab w:val="left" w:pos="-720"/>
      </w:tabs>
      <w:ind w:left="284" w:right="386" w:hanging="284"/>
    </w:pPr>
  </w:style>
  <w:style w:type="paragraph" w:styleId="BodyText2">
    <w:name w:val="Body Text 2"/>
    <w:basedOn w:val="Normal"/>
    <w:link w:val="BodyText2Char"/>
    <w:uiPriority w:val="99"/>
    <w:rsid w:val="00F67C48"/>
    <w:pPr>
      <w:ind w:right="386"/>
    </w:pPr>
    <w:rPr>
      <w:b/>
    </w:rPr>
  </w:style>
  <w:style w:type="character" w:customStyle="1" w:styleId="BodyText2Char">
    <w:name w:val="Body Text 2 Char"/>
    <w:basedOn w:val="DefaultParagraphFont"/>
    <w:link w:val="BodyText2"/>
    <w:uiPriority w:val="99"/>
    <w:semiHidden/>
    <w:rPr>
      <w:rFonts w:ascii="Arial" w:hAnsi="Arial"/>
      <w:sz w:val="24"/>
      <w:lang w:eastAsia="en-US"/>
    </w:rPr>
  </w:style>
  <w:style w:type="paragraph" w:customStyle="1" w:styleId="hidden">
    <w:name w:val="hidden"/>
    <w:basedOn w:val="Normal"/>
    <w:next w:val="Normal"/>
    <w:rsid w:val="00F67C48"/>
    <w:rPr>
      <w:rFonts w:cs="Arial"/>
      <w:vanish/>
      <w:color w:val="FF0000"/>
    </w:rPr>
  </w:style>
  <w:style w:type="character" w:styleId="Hyperlink">
    <w:name w:val="Hyperlink"/>
    <w:basedOn w:val="DefaultParagraphFont"/>
    <w:uiPriority w:val="99"/>
    <w:rsid w:val="00F67C48"/>
    <w:rPr>
      <w:rFonts w:cs="Times New Roman"/>
      <w:color w:val="0000FF"/>
      <w:u w:val="single"/>
    </w:rPr>
  </w:style>
  <w:style w:type="paragraph" w:customStyle="1" w:styleId="aDefpara">
    <w:name w:val="aDef para"/>
    <w:basedOn w:val="Normal"/>
    <w:rsid w:val="00F67C48"/>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rsid w:val="00F67C48"/>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rsid w:val="00F67C48"/>
    <w:pPr>
      <w:tabs>
        <w:tab w:val="right" w:pos="900"/>
        <w:tab w:val="left" w:pos="1100"/>
      </w:tabs>
      <w:spacing w:before="80" w:after="60"/>
      <w:ind w:left="1100" w:hanging="1100"/>
      <w:jc w:val="both"/>
      <w:outlineLvl w:val="5"/>
    </w:pPr>
    <w:rPr>
      <w:rFonts w:ascii="Times New Roman" w:hAnsi="Times New Roman"/>
      <w:szCs w:val="24"/>
    </w:rPr>
  </w:style>
  <w:style w:type="paragraph" w:styleId="DocumentMap">
    <w:name w:val="Document Map"/>
    <w:basedOn w:val="Normal"/>
    <w:link w:val="DocumentMapChar"/>
    <w:uiPriority w:val="99"/>
    <w:semiHidden/>
    <w:rsid w:val="006D3A32"/>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rPr>
      <w:rFonts w:ascii="Segoe UI" w:hAnsi="Segoe UI" w:cs="Segoe UI"/>
      <w:sz w:val="16"/>
      <w:szCs w:val="16"/>
      <w:lang w:eastAsia="en-US"/>
    </w:rPr>
  </w:style>
  <w:style w:type="paragraph" w:styleId="BalloonText">
    <w:name w:val="Balloon Text"/>
    <w:basedOn w:val="Normal"/>
    <w:link w:val="BalloonTextChar"/>
    <w:uiPriority w:val="99"/>
    <w:semiHidden/>
    <w:rsid w:val="0064572E"/>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codeTitle">
    <w:name w:val="codeTitle"/>
    <w:basedOn w:val="Heading1"/>
    <w:rsid w:val="009E3EBF"/>
    <w:pPr>
      <w:spacing w:before="1440"/>
      <w:ind w:right="0" w:firstLine="0"/>
      <w:jc w:val="center"/>
    </w:pPr>
    <w:rPr>
      <w:rFonts w:cs="Arial"/>
      <w:bCs/>
      <w:sz w:val="52"/>
    </w:rPr>
  </w:style>
  <w:style w:type="paragraph" w:customStyle="1" w:styleId="CritList">
    <w:name w:val="CritList"/>
    <w:basedOn w:val="Normal"/>
    <w:link w:val="CritListChar"/>
    <w:qFormat/>
    <w:rsid w:val="009E3EBF"/>
    <w:pPr>
      <w:numPr>
        <w:numId w:val="15"/>
      </w:numPr>
      <w:spacing w:before="60" w:after="60" w:line="288" w:lineRule="auto"/>
    </w:pPr>
    <w:rPr>
      <w:rFonts w:cs="Arial"/>
      <w:sz w:val="20"/>
      <w:lang w:eastAsia="en-AU"/>
    </w:rPr>
  </w:style>
  <w:style w:type="paragraph" w:customStyle="1" w:styleId="elementHeading">
    <w:name w:val="elementHeading"/>
    <w:basedOn w:val="Normal"/>
    <w:rsid w:val="009E3EBF"/>
    <w:pPr>
      <w:numPr>
        <w:numId w:val="16"/>
      </w:numPr>
      <w:tabs>
        <w:tab w:val="left" w:pos="1418"/>
      </w:tabs>
      <w:spacing w:before="120" w:line="288" w:lineRule="auto"/>
    </w:pPr>
    <w:rPr>
      <w:rFonts w:cs="Arial"/>
      <w:b/>
      <w:bCs/>
      <w:lang w:eastAsia="en-AU"/>
    </w:rPr>
  </w:style>
  <w:style w:type="paragraph" w:customStyle="1" w:styleId="CodeItem">
    <w:name w:val="CodeItem"/>
    <w:basedOn w:val="Normal"/>
    <w:link w:val="CodeItemChar"/>
    <w:qFormat/>
    <w:rsid w:val="009E3EBF"/>
    <w:pPr>
      <w:numPr>
        <w:ilvl w:val="1"/>
        <w:numId w:val="16"/>
      </w:numPr>
      <w:spacing w:before="60" w:after="60"/>
    </w:pPr>
    <w:rPr>
      <w:rFonts w:cs="Arial"/>
      <w:b/>
      <w:bCs/>
      <w:sz w:val="20"/>
      <w:lang w:eastAsia="en-AU"/>
    </w:rPr>
  </w:style>
  <w:style w:type="paragraph" w:customStyle="1" w:styleId="RuleList">
    <w:name w:val="RuleList"/>
    <w:basedOn w:val="Normal"/>
    <w:link w:val="RuleListChar"/>
    <w:qFormat/>
    <w:rsid w:val="009E3EBF"/>
    <w:pPr>
      <w:numPr>
        <w:numId w:val="18"/>
      </w:numPr>
      <w:spacing w:before="60" w:after="60" w:line="288" w:lineRule="auto"/>
    </w:pPr>
    <w:rPr>
      <w:rFonts w:cs="Arial"/>
      <w:sz w:val="20"/>
    </w:rPr>
  </w:style>
  <w:style w:type="paragraph" w:customStyle="1" w:styleId="Figuretitle">
    <w:name w:val="Figure_title"/>
    <w:basedOn w:val="Normal"/>
    <w:qFormat/>
    <w:rsid w:val="009E3EBF"/>
    <w:rPr>
      <w:b/>
      <w:sz w:val="20"/>
      <w:lang w:eastAsia="en-AU"/>
    </w:rPr>
  </w:style>
  <w:style w:type="character" w:customStyle="1" w:styleId="CritListChar">
    <w:name w:val="CritList Char"/>
    <w:basedOn w:val="DefaultParagraphFont"/>
    <w:link w:val="CritList"/>
    <w:locked/>
    <w:rsid w:val="009E3EBF"/>
    <w:rPr>
      <w:rFonts w:ascii="Arial" w:hAnsi="Arial" w:cs="Arial"/>
    </w:rPr>
  </w:style>
  <w:style w:type="character" w:customStyle="1" w:styleId="CodeItemChar">
    <w:name w:val="CodeItem Char"/>
    <w:basedOn w:val="DefaultParagraphFont"/>
    <w:link w:val="CodeItem"/>
    <w:locked/>
    <w:rsid w:val="009E3EBF"/>
    <w:rPr>
      <w:rFonts w:ascii="Arial" w:hAnsi="Arial" w:cs="Arial"/>
      <w:b/>
      <w:bCs/>
    </w:rPr>
  </w:style>
  <w:style w:type="paragraph" w:customStyle="1" w:styleId="codeHeading">
    <w:name w:val="codeHeading"/>
    <w:basedOn w:val="Normal"/>
    <w:rsid w:val="009E3EBF"/>
    <w:pPr>
      <w:spacing w:before="60" w:after="60"/>
    </w:pPr>
    <w:rPr>
      <w:rFonts w:cs="Arial"/>
      <w:b/>
      <w:bCs/>
      <w:sz w:val="22"/>
    </w:rPr>
  </w:style>
  <w:style w:type="paragraph" w:customStyle="1" w:styleId="bodyText0">
    <w:name w:val="bodyText"/>
    <w:basedOn w:val="Normal"/>
    <w:link w:val="bodyTextChar0"/>
    <w:rsid w:val="009E3EBF"/>
    <w:pPr>
      <w:spacing w:before="120" w:line="288" w:lineRule="auto"/>
    </w:pPr>
    <w:rPr>
      <w:rFonts w:cs="Arial"/>
      <w:sz w:val="20"/>
    </w:rPr>
  </w:style>
  <w:style w:type="character" w:customStyle="1" w:styleId="bodyTextChar0">
    <w:name w:val="bodyText Char"/>
    <w:basedOn w:val="DefaultParagraphFont"/>
    <w:link w:val="bodyText0"/>
    <w:locked/>
    <w:rsid w:val="009E3EBF"/>
    <w:rPr>
      <w:rFonts w:ascii="Arial" w:hAnsi="Arial" w:cs="Arial"/>
      <w:lang w:val="x-none" w:eastAsia="en-US"/>
    </w:rPr>
  </w:style>
  <w:style w:type="character" w:customStyle="1" w:styleId="RuleListChar">
    <w:name w:val="RuleList Char"/>
    <w:basedOn w:val="DefaultParagraphFont"/>
    <w:link w:val="RuleList"/>
    <w:locked/>
    <w:rsid w:val="009E3EBF"/>
    <w:rPr>
      <w:rFonts w:ascii="Arial" w:hAnsi="Arial" w:cs="Arial"/>
      <w:lang w:val="x-none" w:eastAsia="en-US"/>
    </w:rPr>
  </w:style>
  <w:style w:type="paragraph" w:customStyle="1" w:styleId="partsubheading">
    <w:name w:val="partsubheading"/>
    <w:basedOn w:val="Normal"/>
    <w:next w:val="BodyText"/>
    <w:qFormat/>
    <w:rsid w:val="009E3EBF"/>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9787965">
      <w:marLeft w:val="0"/>
      <w:marRight w:val="0"/>
      <w:marTop w:val="0"/>
      <w:marBottom w:val="0"/>
      <w:divBdr>
        <w:top w:val="none" w:sz="0" w:space="0" w:color="auto"/>
        <w:left w:val="none" w:sz="0" w:space="0" w:color="auto"/>
        <w:bottom w:val="none" w:sz="0" w:space="0" w:color="auto"/>
        <w:right w:val="none" w:sz="0" w:space="0" w:color="auto"/>
      </w:divBdr>
    </w:div>
    <w:div w:id="20297879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emf"/><Relationship Id="rId23"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emf"/><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715</Words>
  <Characters>3485</Characters>
  <Application>Microsoft Office Word</Application>
  <DocSecurity>0</DocSecurity>
  <Lines>219</Lines>
  <Paragraphs>73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4183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2012-06-13T02:04:00Z</cp:lastPrinted>
  <dcterms:created xsi:type="dcterms:W3CDTF">2018-09-12T04:57:00Z</dcterms:created>
  <dcterms:modified xsi:type="dcterms:W3CDTF">2018-09-12T04:57:00Z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VeGwM1PgtfLm+UJS6e+YjB5+JQUYhWjMW7OhY1Bn2ZSfcWf+Og4vT/tOIpqSwxRMU_x000d__x000d_9ss0rPPcqHC5mNhf40bbOTBELvMH8GgQobsZ7TYHa432KfG5EvqrbltlO+t6Pg4znRcDwblHBlGL_x000d__x000d_n1Ma3kPaVhw2GC7UHQf//pRf2sH/qP2LZjryVQ3wRnArK7dqRhHiukqfhSYo00xBXx7o1AZ6HHtL_x000d__x000d_XpM+SO3UWbG//aNK6</vt:lpwstr>
  </property>
  <property fmtid="{D5CDD505-2E9C-101B-9397-08002B2CF9AE}" pid="3" name="MAIL_MSG_ID2">
    <vt:lpwstr>biTZ26whGjtYfoDh4S93wVU5kLxfyfV0qcp9azsKtSdr8q6KAFYPB77VdBF_x000d__x000d_IPri05bIRucN69Dtb5o5x5GsogU=</vt:lpwstr>
  </property>
  <property fmtid="{D5CDD505-2E9C-101B-9397-08002B2CF9AE}" pid="4" name="RESPONSE_SENDER_NAME">
    <vt:lpwstr>sAAAUYtyAkeNWR6iwOY5Ri6/KL6Ju5nFdvX0t645SEWYt+w=</vt:lpwstr>
  </property>
  <property fmtid="{D5CDD505-2E9C-101B-9397-08002B2CF9AE}" pid="5" name="EMAIL_OWNER_ADDRESS">
    <vt:lpwstr>4AAAMz5NUQ6P8J8I0ftSghJmnVE0dU6w0RiRy6uyiSwIW5cTlwFFrxWbbg==</vt:lpwstr>
  </property>
  <property fmtid="{D5CDD505-2E9C-101B-9397-08002B2CF9AE}" pid="6" name="Objective-Id">
    <vt:lpwstr>A7374568</vt:lpwstr>
  </property>
  <property fmtid="{D5CDD505-2E9C-101B-9397-08002B2CF9AE}" pid="7" name="Objective-Comment">
    <vt:lpwstr/>
  </property>
  <property fmtid="{D5CDD505-2E9C-101B-9397-08002B2CF9AE}" pid="8" name="Objective-CreationStamp">
    <vt:filetime>2012-06-12T14:00:00Z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2012-06-12T14:00:00Z</vt:filetime>
  </property>
  <property fmtid="{D5CDD505-2E9C-101B-9397-08002B2CF9AE}" pid="12" name="Objective-ModificationStamp">
    <vt:filetime>2012-06-12T14:00:00Z</vt:filetime>
  </property>
  <property fmtid="{D5CDD505-2E9C-101B-9397-08002B2CF9AE}" pid="13" name="Objective-Owner">
    <vt:lpwstr>Jane Stakelum</vt:lpwstr>
  </property>
  <property fmtid="{D5CDD505-2E9C-101B-9397-08002B2CF9AE}" pid="14" name="Objective-Path">
    <vt:lpwstr>Whole of ACT Government:ESDD:DIVISION - Planning Delivery:BRANCH - Territory Plan Review and Implementation:TERRITORY PLAN VARIATION UNIT - New ((Active 20091126):01 Territory Plan Management (Variations, Technical Amendments, Planning Reports and Proposa</vt:lpwstr>
  </property>
  <property fmtid="{D5CDD505-2E9C-101B-9397-08002B2CF9AE}" pid="15" name="Objective-Parent">
    <vt:lpwstr>01 Briefs</vt:lpwstr>
  </property>
  <property fmtid="{D5CDD505-2E9C-101B-9397-08002B2CF9AE}" pid="16" name="Objective-State">
    <vt:lpwstr>Published</vt:lpwstr>
  </property>
  <property fmtid="{D5CDD505-2E9C-101B-9397-08002B2CF9AE}" pid="17" name="Objective-Title">
    <vt:lpwstr>TA2012-26 - Notifiable Instrument</vt:lpwstr>
  </property>
  <property fmtid="{D5CDD505-2E9C-101B-9397-08002B2CF9AE}" pid="18" name="Objective-Version">
    <vt:lpwstr>4.0</vt:lpwstr>
  </property>
  <property fmtid="{D5CDD505-2E9C-101B-9397-08002B2CF9AE}" pid="19" name="Objective-VersionComment">
    <vt:lpwstr/>
  </property>
  <property fmtid="{D5CDD505-2E9C-101B-9397-08002B2CF9AE}" pid="20" name="Objective-VersionNumber">
    <vt:i4>4</vt:i4>
  </property>
  <property fmtid="{D5CDD505-2E9C-101B-9397-08002B2CF9AE}" pid="21" name="Objective-FileNumber">
    <vt:lpwstr/>
  </property>
  <property fmtid="{D5CDD505-2E9C-101B-9397-08002B2CF9AE}" pid="22" name="Objective-Classification">
    <vt:lpwstr>Not classified</vt:lpwstr>
  </property>
  <property fmtid="{D5CDD505-2E9C-101B-9397-08002B2CF9AE}" pid="23" name="Objective-Caveats">
    <vt:lpwstr/>
  </property>
  <property fmtid="{D5CDD505-2E9C-101B-9397-08002B2CF9AE}" pid="24" name="Objective-Owner Agency [system]">
    <vt:lpwstr>ESDD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