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866" w:rsidRDefault="004E6866" w:rsidP="004E6866">
      <w:pPr>
        <w:pStyle w:val="Header"/>
        <w:tabs>
          <w:tab w:val="clear" w:pos="4320"/>
          <w:tab w:val="clear" w:pos="8640"/>
        </w:tabs>
        <w:spacing w:before="120"/>
        <w:rPr>
          <w:rFonts w:cs="Arial"/>
        </w:rPr>
      </w:pPr>
      <w:bookmarkStart w:id="0" w:name="_GoBack"/>
      <w:bookmarkEnd w:id="0"/>
      <w:r>
        <w:rPr>
          <w:rFonts w:cs="Arial"/>
        </w:rPr>
        <w:t>Australian Capital Territory</w:t>
      </w:r>
    </w:p>
    <w:p w:rsidR="004E6866" w:rsidRDefault="004E6866" w:rsidP="004E6866">
      <w:pPr>
        <w:pStyle w:val="Billname"/>
        <w:spacing w:before="700"/>
        <w:rPr>
          <w:rFonts w:cs="Arial"/>
        </w:rPr>
      </w:pPr>
      <w:r>
        <w:rPr>
          <w:rFonts w:cs="Arial"/>
        </w:rPr>
        <w:t xml:space="preserve">Planning and Development (Technical Amendment—Moncrieff) Plan Variation </w:t>
      </w:r>
      <w:r w:rsidRPr="00534148">
        <w:rPr>
          <w:rFonts w:cs="Arial"/>
        </w:rPr>
        <w:t>201</w:t>
      </w:r>
      <w:r>
        <w:rPr>
          <w:rFonts w:cs="Arial"/>
        </w:rPr>
        <w:t>7</w:t>
      </w:r>
    </w:p>
    <w:p w:rsidR="004E6866" w:rsidRPr="006260E7" w:rsidRDefault="004E6866" w:rsidP="004E6866">
      <w:pPr>
        <w:pStyle w:val="Heading5"/>
        <w:spacing w:before="340"/>
        <w:rPr>
          <w:rFonts w:ascii="Arial" w:hAnsi="Arial" w:cs="Arial"/>
          <w:caps/>
          <w:color w:val="auto"/>
        </w:rPr>
      </w:pPr>
      <w:bookmarkStart w:id="1" w:name="Citation"/>
      <w:r>
        <w:rPr>
          <w:rFonts w:ascii="Arial" w:hAnsi="Arial" w:cs="Arial"/>
          <w:b/>
          <w:color w:val="auto"/>
        </w:rPr>
        <w:t>Notifiable I</w:t>
      </w:r>
      <w:r w:rsidRPr="006260E7">
        <w:rPr>
          <w:rFonts w:ascii="Arial" w:hAnsi="Arial" w:cs="Arial"/>
          <w:b/>
          <w:color w:val="auto"/>
        </w:rPr>
        <w:t xml:space="preserve">nstrument </w:t>
      </w:r>
      <w:r w:rsidRPr="006260E7">
        <w:rPr>
          <w:rFonts w:ascii="Arial" w:hAnsi="Arial" w:cs="Arial"/>
          <w:b/>
          <w:caps/>
          <w:color w:val="auto"/>
        </w:rPr>
        <w:t>NI201</w:t>
      </w:r>
      <w:r>
        <w:rPr>
          <w:rFonts w:ascii="Arial" w:hAnsi="Arial" w:cs="Arial"/>
          <w:b/>
          <w:caps/>
          <w:color w:val="auto"/>
        </w:rPr>
        <w:t>7</w:t>
      </w:r>
      <w:r w:rsidRPr="006260E7">
        <w:rPr>
          <w:rFonts w:ascii="Arial" w:hAnsi="Arial" w:cs="Arial"/>
          <w:b/>
          <w:caps/>
          <w:color w:val="auto"/>
        </w:rPr>
        <w:t>—</w:t>
      </w:r>
      <w:r w:rsidR="009125FE">
        <w:rPr>
          <w:rFonts w:ascii="Arial" w:hAnsi="Arial" w:cs="Arial"/>
          <w:b/>
          <w:caps/>
          <w:color w:val="auto"/>
        </w:rPr>
        <w:t>404</w:t>
      </w:r>
    </w:p>
    <w:p w:rsidR="004E6866" w:rsidRDefault="004E6866" w:rsidP="004E6866">
      <w:pPr>
        <w:spacing w:before="340"/>
        <w:rPr>
          <w:rFonts w:cs="Arial"/>
          <w:b/>
          <w:bCs/>
        </w:rPr>
      </w:pPr>
      <w:r>
        <w:rPr>
          <w:rFonts w:cs="Arial"/>
          <w:b/>
          <w:bCs/>
        </w:rPr>
        <w:t>Technical A</w:t>
      </w:r>
      <w:r w:rsidRPr="00534148">
        <w:rPr>
          <w:rFonts w:cs="Arial"/>
          <w:b/>
          <w:bCs/>
        </w:rPr>
        <w:t>mendment No 201</w:t>
      </w:r>
      <w:r>
        <w:rPr>
          <w:rFonts w:cs="Arial"/>
          <w:b/>
          <w:bCs/>
        </w:rPr>
        <w:t>7</w:t>
      </w:r>
      <w:r w:rsidRPr="00534148">
        <w:rPr>
          <w:rFonts w:cs="Arial"/>
          <w:b/>
          <w:bCs/>
        </w:rPr>
        <w:t>-</w:t>
      </w:r>
      <w:r>
        <w:rPr>
          <w:rFonts w:cs="Arial"/>
          <w:b/>
          <w:bCs/>
        </w:rPr>
        <w:t>14</w:t>
      </w:r>
    </w:p>
    <w:p w:rsidR="004E6866" w:rsidRPr="002B3938" w:rsidRDefault="004E6866" w:rsidP="004E6866">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4E6866" w:rsidRDefault="004E6866" w:rsidP="004E6866">
      <w:pPr>
        <w:pStyle w:val="CoverActName"/>
        <w:spacing w:before="320" w:after="0"/>
        <w:rPr>
          <w:rFonts w:cs="Arial"/>
          <w:sz w:val="20"/>
        </w:rPr>
      </w:pPr>
      <w:r>
        <w:rPr>
          <w:rFonts w:cs="Arial"/>
          <w:sz w:val="20"/>
        </w:rPr>
        <w:t xml:space="preserve">Planning and Development Act 2007, section 89 (Making technical amendments) </w:t>
      </w:r>
    </w:p>
    <w:p w:rsidR="004E6866" w:rsidRDefault="004E6866" w:rsidP="004E6866">
      <w:pPr>
        <w:pStyle w:val="N-line3"/>
        <w:pBdr>
          <w:top w:val="single" w:sz="12" w:space="1" w:color="auto"/>
          <w:bottom w:val="none" w:sz="0" w:space="0" w:color="auto"/>
        </w:pBdr>
        <w:jc w:val="left"/>
        <w:rPr>
          <w:rFonts w:cs="Arial"/>
        </w:rPr>
      </w:pPr>
    </w:p>
    <w:p w:rsidR="004E6866" w:rsidRPr="002B3938" w:rsidRDefault="004E6866" w:rsidP="004E6866">
      <w:pPr>
        <w:pStyle w:val="BodyText"/>
        <w:numPr>
          <w:ilvl w:val="0"/>
          <w:numId w:val="26"/>
        </w:numPr>
        <w:spacing w:before="60" w:after="60"/>
        <w:ind w:hanging="720"/>
        <w:rPr>
          <w:rFonts w:cs="Arial"/>
          <w:b/>
          <w:bCs/>
        </w:rPr>
      </w:pPr>
      <w:r w:rsidRPr="002B3938">
        <w:rPr>
          <w:rFonts w:cs="Arial"/>
          <w:b/>
          <w:bCs/>
        </w:rPr>
        <w:t>Name of instrument</w:t>
      </w:r>
    </w:p>
    <w:p w:rsidR="004E6866" w:rsidRDefault="004E6866" w:rsidP="004E6866">
      <w:pPr>
        <w:pStyle w:val="Billname"/>
        <w:spacing w:before="140" w:after="0"/>
        <w:ind w:left="720"/>
        <w:rPr>
          <w:rFonts w:ascii="Times New Roman" w:hAnsi="Times New Roman"/>
          <w:b w:val="0"/>
          <w:sz w:val="24"/>
          <w:szCs w:val="24"/>
        </w:rPr>
      </w:pPr>
      <w:r w:rsidRPr="003B53B5">
        <w:rPr>
          <w:rFonts w:ascii="Times New Roman"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Pr>
          <w:rFonts w:ascii="Times New Roman" w:hAnsi="Times New Roman"/>
          <w:b w:val="0"/>
          <w:i/>
          <w:sz w:val="24"/>
          <w:szCs w:val="24"/>
        </w:rPr>
        <w:t>elopment (Technical Amendment— Moncrieff)</w:t>
      </w:r>
      <w:r w:rsidRPr="003B53B5">
        <w:rPr>
          <w:rFonts w:ascii="Times New Roman" w:hAnsi="Times New Roman"/>
          <w:b w:val="0"/>
          <w:i/>
          <w:sz w:val="24"/>
          <w:szCs w:val="24"/>
        </w:rPr>
        <w:t xml:space="preserve"> Plan </w:t>
      </w:r>
      <w:r>
        <w:rPr>
          <w:rFonts w:ascii="Times New Roman" w:hAnsi="Times New Roman"/>
          <w:b w:val="0"/>
          <w:i/>
          <w:sz w:val="24"/>
          <w:szCs w:val="24"/>
        </w:rPr>
        <w:t>Variation 2017</w:t>
      </w:r>
      <w:r>
        <w:rPr>
          <w:rFonts w:ascii="Times New Roman" w:hAnsi="Times New Roman"/>
          <w:b w:val="0"/>
          <w:sz w:val="24"/>
          <w:szCs w:val="24"/>
        </w:rPr>
        <w:t>.</w:t>
      </w:r>
    </w:p>
    <w:p w:rsidR="004E6866" w:rsidRDefault="004E6866" w:rsidP="004E6866">
      <w:pPr>
        <w:pStyle w:val="BodyText"/>
        <w:spacing w:before="300" w:after="0"/>
        <w:rPr>
          <w:rFonts w:ascii="Times New Roman" w:hAnsi="Times New Roman"/>
          <w:b/>
        </w:rPr>
      </w:pPr>
      <w:r>
        <w:rPr>
          <w:rFonts w:cs="Arial"/>
          <w:b/>
          <w:bCs/>
        </w:rPr>
        <w:t>2</w:t>
      </w:r>
      <w:r>
        <w:rPr>
          <w:rFonts w:cs="Arial"/>
          <w:b/>
          <w:bCs/>
        </w:rPr>
        <w:tab/>
      </w:r>
      <w:r w:rsidRPr="000E79BC">
        <w:rPr>
          <w:rFonts w:cs="Arial"/>
          <w:b/>
          <w:bCs/>
        </w:rPr>
        <w:t xml:space="preserve">Technical </w:t>
      </w:r>
      <w:r>
        <w:rPr>
          <w:rFonts w:cs="Arial"/>
          <w:b/>
          <w:bCs/>
        </w:rPr>
        <w:t>a</w:t>
      </w:r>
      <w:r w:rsidRPr="000E79BC">
        <w:rPr>
          <w:rFonts w:cs="Arial"/>
          <w:b/>
          <w:bCs/>
        </w:rPr>
        <w:t>mendment</w:t>
      </w:r>
    </w:p>
    <w:p w:rsidR="004E6866" w:rsidRPr="00DF7C32" w:rsidRDefault="004E6866" w:rsidP="004E6866">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 xml:space="preserve">under section 89 (1) (a)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196185">
        <w:rPr>
          <w:rFonts w:ascii="Times New Roman" w:hAnsi="Times New Roman"/>
          <w:i/>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that the</w:t>
      </w:r>
      <w:r>
        <w:rPr>
          <w:rFonts w:ascii="Times New Roman" w:hAnsi="Times New Roman"/>
          <w:b w:val="0"/>
          <w:sz w:val="24"/>
          <w:szCs w:val="24"/>
        </w:rPr>
        <w:t xml:space="preserve"> Moncrieff </w:t>
      </w:r>
      <w:r w:rsidRPr="00DF7C32">
        <w:rPr>
          <w:rFonts w:ascii="Times New Roman" w:hAnsi="Times New Roman"/>
          <w:b w:val="0"/>
          <w:sz w:val="24"/>
          <w:szCs w:val="24"/>
        </w:rPr>
        <w:t>plan variation is a technical amendment to the Territory Plan</w:t>
      </w:r>
      <w:r>
        <w:rPr>
          <w:rFonts w:ascii="Times New Roman" w:hAnsi="Times New Roman"/>
          <w:b w:val="0"/>
          <w:sz w:val="24"/>
          <w:szCs w:val="24"/>
        </w:rPr>
        <w:t>.</w:t>
      </w:r>
    </w:p>
    <w:p w:rsidR="004E6866" w:rsidRPr="003B53B5" w:rsidRDefault="004E6866" w:rsidP="004E6866">
      <w:pPr>
        <w:pStyle w:val="BodyText"/>
        <w:spacing w:before="300" w:after="0"/>
        <w:rPr>
          <w:rFonts w:cs="Arial"/>
          <w:b/>
          <w:bCs/>
        </w:rPr>
      </w:pPr>
      <w:r>
        <w:rPr>
          <w:rFonts w:cs="Arial"/>
          <w:b/>
          <w:bCs/>
        </w:rPr>
        <w:t>3</w:t>
      </w:r>
      <w:r>
        <w:rPr>
          <w:rFonts w:cs="Arial"/>
          <w:b/>
          <w:bCs/>
        </w:rPr>
        <w:tab/>
        <w:t>Commencement</w:t>
      </w:r>
    </w:p>
    <w:p w:rsidR="004E6866" w:rsidRPr="00D25316" w:rsidRDefault="004E6866" w:rsidP="004E6866">
      <w:pPr>
        <w:pStyle w:val="BodyText"/>
        <w:spacing w:before="140" w:after="0"/>
        <w:ind w:left="720"/>
        <w:rPr>
          <w:rFonts w:ascii="Times New Roman" w:hAnsi="Times New Roman"/>
          <w:bCs/>
        </w:rPr>
      </w:pPr>
      <w:r>
        <w:rPr>
          <w:rFonts w:ascii="Times New Roman" w:hAnsi="Times New Roman"/>
          <w:bCs/>
        </w:rPr>
        <w:t>This instrument commences on the day after its notification day.</w:t>
      </w:r>
    </w:p>
    <w:p w:rsidR="004E6866" w:rsidRPr="00D25316" w:rsidRDefault="004E6866" w:rsidP="004E6866">
      <w:pPr>
        <w:pStyle w:val="BodyText"/>
        <w:spacing w:before="300" w:after="0"/>
        <w:rPr>
          <w:rFonts w:cs="Arial"/>
          <w:b/>
          <w:bCs/>
        </w:rPr>
      </w:pPr>
      <w:r w:rsidRPr="00D25316">
        <w:rPr>
          <w:rFonts w:cs="Arial"/>
          <w:b/>
          <w:bCs/>
        </w:rPr>
        <w:t>4</w:t>
      </w:r>
      <w:r w:rsidRPr="00D25316">
        <w:rPr>
          <w:rFonts w:cs="Arial"/>
          <w:b/>
          <w:bCs/>
        </w:rPr>
        <w:tab/>
        <w:t xml:space="preserve">Meaning of </w:t>
      </w:r>
      <w:r w:rsidRPr="00075C98">
        <w:rPr>
          <w:rFonts w:cs="Arial"/>
          <w:b/>
          <w:bCs/>
          <w:i/>
        </w:rPr>
        <w:t>Moncrieff</w:t>
      </w:r>
      <w:r>
        <w:rPr>
          <w:rFonts w:cs="Arial"/>
          <w:b/>
          <w:bCs/>
          <w:i/>
        </w:rPr>
        <w:t xml:space="preserve"> </w:t>
      </w:r>
      <w:r w:rsidRPr="00D25316">
        <w:rPr>
          <w:rFonts w:cs="Arial"/>
          <w:b/>
          <w:bCs/>
          <w:i/>
        </w:rPr>
        <w:t>plan variation</w:t>
      </w:r>
    </w:p>
    <w:p w:rsidR="004E6866" w:rsidRDefault="004E6866" w:rsidP="004E6866">
      <w:pPr>
        <w:pStyle w:val="BodyText"/>
        <w:spacing w:before="140" w:after="0"/>
        <w:ind w:left="1287" w:hanging="567"/>
        <w:rPr>
          <w:rFonts w:ascii="Times New Roman" w:hAnsi="Times New Roman"/>
          <w:bCs/>
        </w:rPr>
      </w:pPr>
      <w:r w:rsidRPr="00D25316">
        <w:rPr>
          <w:rFonts w:ascii="Times New Roman" w:hAnsi="Times New Roman"/>
          <w:bCs/>
        </w:rPr>
        <w:t>For this instrument:</w:t>
      </w:r>
    </w:p>
    <w:p w:rsidR="004E6866" w:rsidRPr="003B53B5" w:rsidRDefault="004E6866" w:rsidP="004E6866">
      <w:pPr>
        <w:pStyle w:val="BodyText"/>
        <w:spacing w:before="140" w:after="0"/>
        <w:ind w:left="720"/>
        <w:rPr>
          <w:rFonts w:ascii="Times New Roman" w:hAnsi="Times New Roman"/>
          <w:bCs/>
        </w:rPr>
      </w:pPr>
      <w:r>
        <w:rPr>
          <w:rFonts w:ascii="Times New Roman" w:hAnsi="Times New Roman"/>
          <w:b/>
          <w:bCs/>
          <w:i/>
        </w:rPr>
        <w:t xml:space="preserve">Moncrieff </w:t>
      </w:r>
      <w:r w:rsidRPr="00F24A9D">
        <w:rPr>
          <w:rFonts w:ascii="Times New Roman" w:hAnsi="Times New Roman"/>
          <w:b/>
          <w:bCs/>
          <w:i/>
        </w:rPr>
        <w:t>plan variation</w:t>
      </w:r>
      <w:r>
        <w:rPr>
          <w:rFonts w:ascii="Times New Roman" w:hAnsi="Times New Roman"/>
          <w:bCs/>
        </w:rPr>
        <w:t xml:space="preserve"> means the technical amendment to the Territory Plan, variation 2017-14, in the schedule.</w:t>
      </w:r>
    </w:p>
    <w:p w:rsidR="004E6866" w:rsidRDefault="004E6866" w:rsidP="004E6866">
      <w:pPr>
        <w:spacing w:before="140"/>
        <w:ind w:left="1440" w:hanging="720"/>
        <w:rPr>
          <w:rFonts w:ascii="Times New Roman" w:hAnsi="Times New Roman"/>
          <w:sz w:val="20"/>
          <w:szCs w:val="20"/>
        </w:rPr>
      </w:pPr>
    </w:p>
    <w:p w:rsidR="004E6866" w:rsidRDefault="004E6866" w:rsidP="004E6866">
      <w:pPr>
        <w:spacing w:before="720"/>
        <w:rPr>
          <w:rFonts w:ascii="Times New Roman" w:hAnsi="Times New Roman"/>
        </w:rPr>
      </w:pPr>
    </w:p>
    <w:p w:rsidR="004E6866" w:rsidRPr="00F24A9D" w:rsidRDefault="004E6866" w:rsidP="004E6866">
      <w:pPr>
        <w:spacing w:before="720"/>
        <w:rPr>
          <w:rFonts w:ascii="Times New Roman" w:hAnsi="Times New Roman"/>
        </w:rPr>
      </w:pPr>
      <w:r>
        <w:rPr>
          <w:rFonts w:ascii="Times New Roman" w:hAnsi="Times New Roman"/>
        </w:rPr>
        <w:t>Fleur Flanery</w:t>
      </w:r>
    </w:p>
    <w:p w:rsidR="004E6866" w:rsidRPr="00F24A9D" w:rsidRDefault="004E6866" w:rsidP="004E6866">
      <w:pPr>
        <w:rPr>
          <w:rFonts w:ascii="Times New Roman" w:hAnsi="Times New Roman"/>
          <w:bCs/>
        </w:rPr>
      </w:pPr>
      <w:r w:rsidRPr="00F24A9D">
        <w:rPr>
          <w:rFonts w:ascii="Times New Roman" w:hAnsi="Times New Roman"/>
          <w:bCs/>
        </w:rPr>
        <w:t>Delegate of the planning and land authority</w:t>
      </w:r>
    </w:p>
    <w:p w:rsidR="004E6866" w:rsidRPr="005A2FEF" w:rsidRDefault="009125FE" w:rsidP="004E6866">
      <w:r>
        <w:rPr>
          <w:rFonts w:ascii="Times New Roman" w:hAnsi="Times New Roman"/>
        </w:rPr>
        <w:t xml:space="preserve">27 </w:t>
      </w:r>
      <w:r w:rsidR="004E6866">
        <w:rPr>
          <w:rFonts w:ascii="Times New Roman" w:hAnsi="Times New Roman"/>
        </w:rPr>
        <w:t xml:space="preserve">July </w:t>
      </w:r>
      <w:r w:rsidR="004E6866" w:rsidRPr="00A33974">
        <w:rPr>
          <w:rFonts w:ascii="Times New Roman" w:hAnsi="Times New Roman"/>
        </w:rPr>
        <w:t>201</w:t>
      </w:r>
      <w:r w:rsidR="004E6866">
        <w:rPr>
          <w:rFonts w:ascii="Times New Roman" w:hAnsi="Times New Roman"/>
        </w:rPr>
        <w:t>7</w:t>
      </w:r>
    </w:p>
    <w:p w:rsidR="004E6866" w:rsidRDefault="004E6866">
      <w:pPr>
        <w:rPr>
          <w:rFonts w:cs="Arial"/>
          <w:sz w:val="32"/>
        </w:rPr>
        <w:sectPr w:rsidR="004E6866" w:rsidSect="004E6866">
          <w:headerReference w:type="even" r:id="rId7"/>
          <w:headerReference w:type="default" r:id="rId8"/>
          <w:footerReference w:type="even" r:id="rId9"/>
          <w:footerReference w:type="default" r:id="rId10"/>
          <w:headerReference w:type="first" r:id="rId11"/>
          <w:footerReference w:type="first" r:id="rId12"/>
          <w:pgSz w:w="11907" w:h="16840"/>
          <w:pgMar w:top="1390" w:right="1531" w:bottom="1559" w:left="1531" w:header="709" w:footer="1009" w:gutter="0"/>
          <w:pgNumType w:start="1"/>
          <w:cols w:space="720"/>
          <w:titlePg/>
          <w:docGrid w:linePitch="326"/>
        </w:sectPr>
      </w:pPr>
    </w:p>
    <w:p w:rsidR="00CD2EEF" w:rsidRDefault="00CD2EEF" w:rsidP="00CD2EEF">
      <w:pPr>
        <w:pStyle w:val="TAtitlepageplanninganddevelopmentact"/>
      </w:pPr>
    </w:p>
    <w:p w:rsidR="00CD2EEF" w:rsidRPr="00BE441E" w:rsidRDefault="003E0DA3" w:rsidP="00CD2EEF">
      <w:pPr>
        <w:pStyle w:val="TAtitlepageplanninganddevelopmentact"/>
      </w:pPr>
      <w:r w:rsidRPr="00BE441E">
        <w:t>Planning &amp; Development Act 2007</w:t>
      </w:r>
    </w:p>
    <w:p w:rsidR="00CD2EEF" w:rsidRPr="00BE441E" w:rsidRDefault="00CD2EEF" w:rsidP="00CD2EEF">
      <w:pPr>
        <w:pStyle w:val="TAbodytext"/>
      </w:pPr>
    </w:p>
    <w:p w:rsidR="00FC3C0E" w:rsidRPr="00FC3C0E" w:rsidRDefault="00FC3C0E" w:rsidP="00FC3C0E">
      <w:pPr>
        <w:pStyle w:val="TATitlepagedocumenttitle"/>
        <w:pBdr>
          <w:bottom w:val="single" w:sz="4" w:space="14" w:color="auto"/>
        </w:pBdr>
        <w:spacing w:after="0"/>
        <w:rPr>
          <w:sz w:val="24"/>
        </w:rPr>
      </w:pPr>
    </w:p>
    <w:p w:rsidR="00CD2EEF" w:rsidRPr="00BE441E" w:rsidRDefault="003E0DA3" w:rsidP="00FC3C0E">
      <w:pPr>
        <w:pStyle w:val="TATitlepagedocumenttitle"/>
        <w:pBdr>
          <w:bottom w:val="single" w:sz="4" w:space="14" w:color="auto"/>
        </w:pBdr>
        <w:spacing w:before="120"/>
      </w:pPr>
      <w:r w:rsidRPr="00BE441E">
        <w:t xml:space="preserve">Technical </w:t>
      </w:r>
      <w:r w:rsidRPr="00C31C20">
        <w:t>Amendment</w:t>
      </w:r>
      <w:r w:rsidR="00FC3C0E">
        <w:br/>
      </w:r>
      <w:r w:rsidRPr="00BE441E">
        <w:t>to the Territory Plan</w:t>
      </w:r>
    </w:p>
    <w:p w:rsidR="00FC3C0E" w:rsidRDefault="00FC3C0E" w:rsidP="00FC3C0E">
      <w:pPr>
        <w:pStyle w:val="TATitlepagedocumenttitle"/>
        <w:pBdr>
          <w:bottom w:val="single" w:sz="4" w:space="14" w:color="auto"/>
        </w:pBdr>
        <w:tabs>
          <w:tab w:val="clear" w:pos="720"/>
          <w:tab w:val="clear" w:pos="1440"/>
        </w:tabs>
      </w:pPr>
      <w:bookmarkStart w:id="2" w:name="Variation_number"/>
    </w:p>
    <w:p w:rsidR="00CD2EEF" w:rsidRPr="00BE441E" w:rsidRDefault="006D53F4" w:rsidP="00FC3C0E">
      <w:pPr>
        <w:pStyle w:val="TATitlepagedocumenttitle"/>
        <w:pBdr>
          <w:bottom w:val="single" w:sz="4" w:space="14" w:color="auto"/>
        </w:pBdr>
        <w:tabs>
          <w:tab w:val="clear" w:pos="720"/>
          <w:tab w:val="clear" w:pos="1440"/>
        </w:tabs>
      </w:pPr>
      <w:r>
        <w:t>2017-</w:t>
      </w:r>
      <w:r w:rsidR="0028638B">
        <w:t>14</w:t>
      </w:r>
      <w:bookmarkEnd w:id="2"/>
    </w:p>
    <w:p w:rsidR="00CD2EEF" w:rsidRPr="00BE441E" w:rsidRDefault="00CD2EEF" w:rsidP="00CD2EEF">
      <w:pPr>
        <w:pStyle w:val="TAbodytext"/>
      </w:pPr>
    </w:p>
    <w:p w:rsidR="00CD2EEF" w:rsidRPr="00BE441E" w:rsidRDefault="00CD2EEF" w:rsidP="00CD2EEF">
      <w:pPr>
        <w:pStyle w:val="TAbodytext"/>
      </w:pPr>
    </w:p>
    <w:p w:rsidR="00CD2EEF" w:rsidRPr="00BE441E" w:rsidRDefault="006D53F4" w:rsidP="00CD2EEF">
      <w:pPr>
        <w:pStyle w:val="TATitleexplanatoryheading"/>
      </w:pPr>
      <w:r>
        <w:t>Amendments to the Moncrieff precinct code</w:t>
      </w:r>
    </w:p>
    <w:p w:rsidR="00CD2EEF" w:rsidRDefault="00CD2EEF" w:rsidP="00CD2EEF">
      <w:pPr>
        <w:pStyle w:val="TAbodytext"/>
      </w:pPr>
    </w:p>
    <w:p w:rsidR="006D53F4" w:rsidRDefault="006D53F4" w:rsidP="00CD2EEF">
      <w:pPr>
        <w:pStyle w:val="TAbodytext"/>
      </w:pPr>
    </w:p>
    <w:p w:rsidR="006D53F4" w:rsidRDefault="006D53F4" w:rsidP="00CD2EEF">
      <w:pPr>
        <w:pStyle w:val="TAbodytext"/>
      </w:pPr>
    </w:p>
    <w:p w:rsidR="006D53F4" w:rsidRPr="00BE441E" w:rsidRDefault="006D53F4" w:rsidP="00CD2EEF">
      <w:pPr>
        <w:pStyle w:val="TAbodytext"/>
      </w:pPr>
    </w:p>
    <w:p w:rsidR="00CD2EEF" w:rsidRDefault="00CD2EEF" w:rsidP="00FC3C0E">
      <w:pPr>
        <w:pStyle w:val="TAbodytext"/>
        <w:tabs>
          <w:tab w:val="clear" w:pos="720"/>
          <w:tab w:val="clear" w:pos="1440"/>
        </w:tabs>
        <w:jc w:val="center"/>
      </w:pPr>
    </w:p>
    <w:p w:rsidR="00CD2EEF" w:rsidRDefault="006D53F4" w:rsidP="00CD2EEF">
      <w:pPr>
        <w:pStyle w:val="TATitlepagemonthandyear"/>
      </w:pPr>
      <w:r>
        <w:t>Ju</w:t>
      </w:r>
      <w:r w:rsidR="004E6866">
        <w:t>ly</w:t>
      </w:r>
      <w:r>
        <w:t xml:space="preserve"> 2017</w:t>
      </w:r>
    </w:p>
    <w:p w:rsidR="00CD2EEF" w:rsidRDefault="00CD2EEF" w:rsidP="00CD2EEF">
      <w:pPr>
        <w:pStyle w:val="TATitlepagemonthandyear"/>
      </w:pPr>
    </w:p>
    <w:p w:rsidR="006D53F4" w:rsidRPr="008A0BD6" w:rsidRDefault="006D53F4" w:rsidP="00CD2EEF">
      <w:pPr>
        <w:pStyle w:val="TATitlepagemonthandyear"/>
      </w:pPr>
    </w:p>
    <w:p w:rsidR="00CD2EEF" w:rsidRDefault="00CD2EEF" w:rsidP="00CD2EEF">
      <w:pPr>
        <w:pStyle w:val="TAbodytext"/>
      </w:pPr>
    </w:p>
    <w:p w:rsidR="00CD2EEF" w:rsidRPr="006C3DEE" w:rsidRDefault="00CD2EEF" w:rsidP="00CD2EEF">
      <w:pPr>
        <w:pStyle w:val="TATitlepagemonthandyear"/>
        <w:sectPr w:rsidR="00CD2EEF" w:rsidRPr="006C3DEE" w:rsidSect="004E6866">
          <w:headerReference w:type="first" r:id="rId13"/>
          <w:pgSz w:w="11907" w:h="16840"/>
          <w:pgMar w:top="3508" w:right="1531" w:bottom="1559" w:left="1531" w:header="709" w:footer="1009" w:gutter="0"/>
          <w:pgNumType w:start="1"/>
          <w:cols w:space="720"/>
          <w:titlePg/>
          <w:docGrid w:linePitch="326"/>
        </w:sectPr>
      </w:pPr>
    </w:p>
    <w:p w:rsidR="00CD2EEF" w:rsidRPr="00BE441E" w:rsidRDefault="00CD2EEF" w:rsidP="00CD2EEF">
      <w:pPr>
        <w:pStyle w:val="TAbodytext"/>
      </w:pPr>
    </w:p>
    <w:p w:rsidR="00CD2EEF" w:rsidRPr="00BE441E" w:rsidRDefault="00CD2EEF" w:rsidP="00CD2EEF">
      <w:pPr>
        <w:pStyle w:val="TAbodytext"/>
      </w:pPr>
    </w:p>
    <w:p w:rsidR="00CD2EEF" w:rsidRPr="00BE441E" w:rsidRDefault="003E0DA3" w:rsidP="00CD2EEF">
      <w:pPr>
        <w:pStyle w:val="TATableofcontentsTitle"/>
      </w:pPr>
      <w:r w:rsidRPr="00BE441E">
        <w:t>Table of Contents</w:t>
      </w:r>
    </w:p>
    <w:p w:rsidR="00CD2EEF" w:rsidRDefault="00CD2EEF" w:rsidP="00CD2EEF">
      <w:pPr>
        <w:pStyle w:val="TAbodytext"/>
      </w:pPr>
    </w:p>
    <w:p w:rsidR="0037490A" w:rsidRDefault="003E0DA3">
      <w:pPr>
        <w:pStyle w:val="TOC1"/>
        <w:tabs>
          <w:tab w:val="right" w:leader="dot" w:pos="8835"/>
        </w:tabs>
        <w:rPr>
          <w:rFonts w:asciiTheme="minorHAnsi" w:eastAsiaTheme="minorEastAsia" w:hAnsiTheme="minorHAnsi"/>
          <w:caps w:val="0"/>
          <w:sz w:val="22"/>
          <w:szCs w:val="22"/>
        </w:rPr>
      </w:pPr>
      <w:r>
        <w:fldChar w:fldCharType="begin"/>
      </w:r>
      <w:r>
        <w:instrText xml:space="preserve"> TOC \h \z \t "TA Appendix heading,3,TA section heading,1,TA section heading 2,2,TA section heading 3,3" </w:instrText>
      </w:r>
      <w:r>
        <w:fldChar w:fldCharType="separate"/>
      </w:r>
      <w:hyperlink w:anchor="_Toc487711322" w:history="1">
        <w:r w:rsidR="0037490A" w:rsidRPr="001F69C9">
          <w:rPr>
            <w:rStyle w:val="Hyperlink"/>
          </w:rPr>
          <w:t>1. INTRODUCTION</w:t>
        </w:r>
        <w:r w:rsidR="0037490A">
          <w:rPr>
            <w:webHidden/>
          </w:rPr>
          <w:tab/>
        </w:r>
        <w:r w:rsidR="0037490A">
          <w:rPr>
            <w:webHidden/>
          </w:rPr>
          <w:fldChar w:fldCharType="begin"/>
        </w:r>
        <w:r w:rsidR="0037490A">
          <w:rPr>
            <w:webHidden/>
          </w:rPr>
          <w:instrText xml:space="preserve"> PAGEREF _Toc487711322 \h </w:instrText>
        </w:r>
        <w:r w:rsidR="0037490A">
          <w:rPr>
            <w:webHidden/>
          </w:rPr>
        </w:r>
        <w:r w:rsidR="0037490A">
          <w:rPr>
            <w:webHidden/>
          </w:rPr>
          <w:fldChar w:fldCharType="separate"/>
        </w:r>
        <w:r w:rsidR="007F6E40">
          <w:rPr>
            <w:webHidden/>
          </w:rPr>
          <w:t>1</w:t>
        </w:r>
        <w:r w:rsidR="0037490A">
          <w:rPr>
            <w:webHidden/>
          </w:rPr>
          <w:fldChar w:fldCharType="end"/>
        </w:r>
      </w:hyperlink>
    </w:p>
    <w:p w:rsidR="0037490A" w:rsidRDefault="00B70E39">
      <w:pPr>
        <w:pStyle w:val="TOC2"/>
        <w:tabs>
          <w:tab w:val="right" w:leader="dot" w:pos="8835"/>
        </w:tabs>
        <w:rPr>
          <w:rFonts w:asciiTheme="minorHAnsi" w:eastAsiaTheme="minorEastAsia" w:hAnsiTheme="minorHAnsi"/>
          <w:noProof/>
          <w:sz w:val="22"/>
          <w:szCs w:val="22"/>
        </w:rPr>
      </w:pPr>
      <w:hyperlink w:anchor="_Toc487711323" w:history="1">
        <w:r w:rsidR="0037490A" w:rsidRPr="001F69C9">
          <w:rPr>
            <w:rStyle w:val="Hyperlink"/>
            <w:noProof/>
          </w:rPr>
          <w:t>Purpose</w:t>
        </w:r>
        <w:r w:rsidR="0037490A">
          <w:rPr>
            <w:noProof/>
            <w:webHidden/>
          </w:rPr>
          <w:tab/>
        </w:r>
        <w:r w:rsidR="0037490A">
          <w:rPr>
            <w:noProof/>
            <w:webHidden/>
          </w:rPr>
          <w:fldChar w:fldCharType="begin"/>
        </w:r>
        <w:r w:rsidR="0037490A">
          <w:rPr>
            <w:noProof/>
            <w:webHidden/>
          </w:rPr>
          <w:instrText xml:space="preserve"> PAGEREF _Toc487711323 \h </w:instrText>
        </w:r>
        <w:r w:rsidR="0037490A">
          <w:rPr>
            <w:noProof/>
            <w:webHidden/>
          </w:rPr>
        </w:r>
        <w:r w:rsidR="0037490A">
          <w:rPr>
            <w:noProof/>
            <w:webHidden/>
          </w:rPr>
          <w:fldChar w:fldCharType="separate"/>
        </w:r>
        <w:r w:rsidR="007F6E40">
          <w:rPr>
            <w:noProof/>
            <w:webHidden/>
          </w:rPr>
          <w:t>1</w:t>
        </w:r>
        <w:r w:rsidR="0037490A">
          <w:rPr>
            <w:noProof/>
            <w:webHidden/>
          </w:rPr>
          <w:fldChar w:fldCharType="end"/>
        </w:r>
      </w:hyperlink>
    </w:p>
    <w:p w:rsidR="0037490A" w:rsidRDefault="00B70E39">
      <w:pPr>
        <w:pStyle w:val="TOC2"/>
        <w:tabs>
          <w:tab w:val="right" w:leader="dot" w:pos="8835"/>
        </w:tabs>
        <w:rPr>
          <w:rFonts w:asciiTheme="minorHAnsi" w:eastAsiaTheme="minorEastAsia" w:hAnsiTheme="minorHAnsi"/>
          <w:noProof/>
          <w:sz w:val="22"/>
          <w:szCs w:val="22"/>
        </w:rPr>
      </w:pPr>
      <w:hyperlink w:anchor="_Toc487711324" w:history="1">
        <w:r w:rsidR="0037490A" w:rsidRPr="001F69C9">
          <w:rPr>
            <w:rStyle w:val="Hyperlink"/>
            <w:noProof/>
          </w:rPr>
          <w:t>Public consultation</w:t>
        </w:r>
        <w:r w:rsidR="0037490A">
          <w:rPr>
            <w:noProof/>
            <w:webHidden/>
          </w:rPr>
          <w:tab/>
        </w:r>
        <w:r w:rsidR="0037490A">
          <w:rPr>
            <w:noProof/>
            <w:webHidden/>
          </w:rPr>
          <w:fldChar w:fldCharType="begin"/>
        </w:r>
        <w:r w:rsidR="0037490A">
          <w:rPr>
            <w:noProof/>
            <w:webHidden/>
          </w:rPr>
          <w:instrText xml:space="preserve"> PAGEREF _Toc487711324 \h </w:instrText>
        </w:r>
        <w:r w:rsidR="0037490A">
          <w:rPr>
            <w:noProof/>
            <w:webHidden/>
          </w:rPr>
        </w:r>
        <w:r w:rsidR="0037490A">
          <w:rPr>
            <w:noProof/>
            <w:webHidden/>
          </w:rPr>
          <w:fldChar w:fldCharType="separate"/>
        </w:r>
        <w:r w:rsidR="007F6E40">
          <w:rPr>
            <w:noProof/>
            <w:webHidden/>
          </w:rPr>
          <w:t>1</w:t>
        </w:r>
        <w:r w:rsidR="0037490A">
          <w:rPr>
            <w:noProof/>
            <w:webHidden/>
          </w:rPr>
          <w:fldChar w:fldCharType="end"/>
        </w:r>
      </w:hyperlink>
    </w:p>
    <w:p w:rsidR="0037490A" w:rsidRDefault="00B70E39">
      <w:pPr>
        <w:pStyle w:val="TOC2"/>
        <w:tabs>
          <w:tab w:val="right" w:leader="dot" w:pos="8835"/>
        </w:tabs>
        <w:rPr>
          <w:rFonts w:asciiTheme="minorHAnsi" w:eastAsiaTheme="minorEastAsia" w:hAnsiTheme="minorHAnsi"/>
          <w:noProof/>
          <w:sz w:val="22"/>
          <w:szCs w:val="22"/>
        </w:rPr>
      </w:pPr>
      <w:hyperlink w:anchor="_Toc487711325" w:history="1">
        <w:r w:rsidR="0037490A" w:rsidRPr="001F69C9">
          <w:rPr>
            <w:rStyle w:val="Hyperlink"/>
            <w:noProof/>
          </w:rPr>
          <w:t>National Capital Authority</w:t>
        </w:r>
        <w:r w:rsidR="0037490A">
          <w:rPr>
            <w:noProof/>
            <w:webHidden/>
          </w:rPr>
          <w:tab/>
        </w:r>
        <w:r w:rsidR="0037490A">
          <w:rPr>
            <w:noProof/>
            <w:webHidden/>
          </w:rPr>
          <w:fldChar w:fldCharType="begin"/>
        </w:r>
        <w:r w:rsidR="0037490A">
          <w:rPr>
            <w:noProof/>
            <w:webHidden/>
          </w:rPr>
          <w:instrText xml:space="preserve"> PAGEREF _Toc487711325 \h </w:instrText>
        </w:r>
        <w:r w:rsidR="0037490A">
          <w:rPr>
            <w:noProof/>
            <w:webHidden/>
          </w:rPr>
        </w:r>
        <w:r w:rsidR="0037490A">
          <w:rPr>
            <w:noProof/>
            <w:webHidden/>
          </w:rPr>
          <w:fldChar w:fldCharType="separate"/>
        </w:r>
        <w:r w:rsidR="007F6E40">
          <w:rPr>
            <w:noProof/>
            <w:webHidden/>
          </w:rPr>
          <w:t>1</w:t>
        </w:r>
        <w:r w:rsidR="0037490A">
          <w:rPr>
            <w:noProof/>
            <w:webHidden/>
          </w:rPr>
          <w:fldChar w:fldCharType="end"/>
        </w:r>
      </w:hyperlink>
    </w:p>
    <w:p w:rsidR="0037490A" w:rsidRDefault="00B70E39">
      <w:pPr>
        <w:pStyle w:val="TOC2"/>
        <w:tabs>
          <w:tab w:val="right" w:leader="dot" w:pos="8835"/>
        </w:tabs>
        <w:rPr>
          <w:rFonts w:asciiTheme="minorHAnsi" w:eastAsiaTheme="minorEastAsia" w:hAnsiTheme="minorHAnsi"/>
          <w:noProof/>
          <w:sz w:val="22"/>
          <w:szCs w:val="22"/>
        </w:rPr>
      </w:pPr>
      <w:hyperlink w:anchor="_Toc487711326" w:history="1">
        <w:r w:rsidR="0037490A" w:rsidRPr="001F69C9">
          <w:rPr>
            <w:rStyle w:val="Hyperlink"/>
            <w:noProof/>
          </w:rPr>
          <w:t>Process</w:t>
        </w:r>
        <w:r w:rsidR="0037490A">
          <w:rPr>
            <w:noProof/>
            <w:webHidden/>
          </w:rPr>
          <w:tab/>
        </w:r>
        <w:r w:rsidR="0037490A">
          <w:rPr>
            <w:noProof/>
            <w:webHidden/>
          </w:rPr>
          <w:fldChar w:fldCharType="begin"/>
        </w:r>
        <w:r w:rsidR="0037490A">
          <w:rPr>
            <w:noProof/>
            <w:webHidden/>
          </w:rPr>
          <w:instrText xml:space="preserve"> PAGEREF _Toc487711326 \h </w:instrText>
        </w:r>
        <w:r w:rsidR="0037490A">
          <w:rPr>
            <w:noProof/>
            <w:webHidden/>
          </w:rPr>
        </w:r>
        <w:r w:rsidR="0037490A">
          <w:rPr>
            <w:noProof/>
            <w:webHidden/>
          </w:rPr>
          <w:fldChar w:fldCharType="separate"/>
        </w:r>
        <w:r w:rsidR="007F6E40">
          <w:rPr>
            <w:noProof/>
            <w:webHidden/>
          </w:rPr>
          <w:t>1</w:t>
        </w:r>
        <w:r w:rsidR="0037490A">
          <w:rPr>
            <w:noProof/>
            <w:webHidden/>
          </w:rPr>
          <w:fldChar w:fldCharType="end"/>
        </w:r>
      </w:hyperlink>
    </w:p>
    <w:p w:rsidR="0037490A" w:rsidRDefault="00B70E39">
      <w:pPr>
        <w:pStyle w:val="TOC2"/>
        <w:tabs>
          <w:tab w:val="right" w:leader="dot" w:pos="8835"/>
        </w:tabs>
        <w:rPr>
          <w:rFonts w:asciiTheme="minorHAnsi" w:eastAsiaTheme="minorEastAsia" w:hAnsiTheme="minorHAnsi"/>
          <w:noProof/>
          <w:sz w:val="22"/>
          <w:szCs w:val="22"/>
        </w:rPr>
      </w:pPr>
      <w:hyperlink w:anchor="_Toc487711327" w:history="1">
        <w:r w:rsidR="0037490A" w:rsidRPr="001F69C9">
          <w:rPr>
            <w:rStyle w:val="Hyperlink"/>
            <w:noProof/>
          </w:rPr>
          <w:t>Types of technical amendments under the Act</w:t>
        </w:r>
        <w:r w:rsidR="0037490A">
          <w:rPr>
            <w:noProof/>
            <w:webHidden/>
          </w:rPr>
          <w:tab/>
        </w:r>
        <w:r w:rsidR="0037490A">
          <w:rPr>
            <w:noProof/>
            <w:webHidden/>
          </w:rPr>
          <w:fldChar w:fldCharType="begin"/>
        </w:r>
        <w:r w:rsidR="0037490A">
          <w:rPr>
            <w:noProof/>
            <w:webHidden/>
          </w:rPr>
          <w:instrText xml:space="preserve"> PAGEREF _Toc487711327 \h </w:instrText>
        </w:r>
        <w:r w:rsidR="0037490A">
          <w:rPr>
            <w:noProof/>
            <w:webHidden/>
          </w:rPr>
        </w:r>
        <w:r w:rsidR="0037490A">
          <w:rPr>
            <w:noProof/>
            <w:webHidden/>
          </w:rPr>
          <w:fldChar w:fldCharType="separate"/>
        </w:r>
        <w:r w:rsidR="007F6E40">
          <w:rPr>
            <w:noProof/>
            <w:webHidden/>
          </w:rPr>
          <w:t>2</w:t>
        </w:r>
        <w:r w:rsidR="0037490A">
          <w:rPr>
            <w:noProof/>
            <w:webHidden/>
          </w:rPr>
          <w:fldChar w:fldCharType="end"/>
        </w:r>
      </w:hyperlink>
    </w:p>
    <w:p w:rsidR="0037490A" w:rsidRDefault="00B70E39">
      <w:pPr>
        <w:pStyle w:val="TOC1"/>
        <w:tabs>
          <w:tab w:val="right" w:leader="dot" w:pos="8835"/>
        </w:tabs>
        <w:rPr>
          <w:rFonts w:asciiTheme="minorHAnsi" w:eastAsiaTheme="minorEastAsia" w:hAnsiTheme="minorHAnsi"/>
          <w:caps w:val="0"/>
          <w:sz w:val="22"/>
          <w:szCs w:val="22"/>
        </w:rPr>
      </w:pPr>
      <w:hyperlink w:anchor="_Toc487711328" w:history="1">
        <w:r w:rsidR="0037490A" w:rsidRPr="001F69C9">
          <w:rPr>
            <w:rStyle w:val="Hyperlink"/>
          </w:rPr>
          <w:t>2. EXPLANATORY STATEMENT</w:t>
        </w:r>
        <w:r w:rsidR="0037490A">
          <w:rPr>
            <w:webHidden/>
          </w:rPr>
          <w:tab/>
        </w:r>
        <w:r w:rsidR="0037490A">
          <w:rPr>
            <w:webHidden/>
          </w:rPr>
          <w:fldChar w:fldCharType="begin"/>
        </w:r>
        <w:r w:rsidR="0037490A">
          <w:rPr>
            <w:webHidden/>
          </w:rPr>
          <w:instrText xml:space="preserve"> PAGEREF _Toc487711328 \h </w:instrText>
        </w:r>
        <w:r w:rsidR="0037490A">
          <w:rPr>
            <w:webHidden/>
          </w:rPr>
        </w:r>
        <w:r w:rsidR="0037490A">
          <w:rPr>
            <w:webHidden/>
          </w:rPr>
          <w:fldChar w:fldCharType="separate"/>
        </w:r>
        <w:r w:rsidR="007F6E40">
          <w:rPr>
            <w:webHidden/>
          </w:rPr>
          <w:t>3</w:t>
        </w:r>
        <w:r w:rsidR="0037490A">
          <w:rPr>
            <w:webHidden/>
          </w:rPr>
          <w:fldChar w:fldCharType="end"/>
        </w:r>
      </w:hyperlink>
    </w:p>
    <w:p w:rsidR="0037490A" w:rsidRDefault="00B70E39">
      <w:pPr>
        <w:pStyle w:val="TOC3"/>
        <w:rPr>
          <w:rFonts w:asciiTheme="minorHAnsi" w:eastAsiaTheme="minorEastAsia" w:hAnsiTheme="minorHAnsi"/>
          <w:noProof/>
          <w:sz w:val="22"/>
          <w:szCs w:val="22"/>
        </w:rPr>
      </w:pPr>
      <w:hyperlink w:anchor="_Toc487711329" w:history="1">
        <w:r w:rsidR="0037490A" w:rsidRPr="001F69C9">
          <w:rPr>
            <w:rStyle w:val="Hyperlink"/>
            <w:noProof/>
          </w:rPr>
          <w:t>2.1 Moncrieff precinct map and code</w:t>
        </w:r>
        <w:r w:rsidR="0037490A">
          <w:rPr>
            <w:noProof/>
            <w:webHidden/>
          </w:rPr>
          <w:tab/>
        </w:r>
        <w:r w:rsidR="0037490A">
          <w:rPr>
            <w:noProof/>
            <w:webHidden/>
          </w:rPr>
          <w:fldChar w:fldCharType="begin"/>
        </w:r>
        <w:r w:rsidR="0037490A">
          <w:rPr>
            <w:noProof/>
            <w:webHidden/>
          </w:rPr>
          <w:instrText xml:space="preserve"> PAGEREF _Toc487711329 \h </w:instrText>
        </w:r>
        <w:r w:rsidR="0037490A">
          <w:rPr>
            <w:noProof/>
            <w:webHidden/>
          </w:rPr>
        </w:r>
        <w:r w:rsidR="0037490A">
          <w:rPr>
            <w:noProof/>
            <w:webHidden/>
          </w:rPr>
          <w:fldChar w:fldCharType="separate"/>
        </w:r>
        <w:r w:rsidR="007F6E40">
          <w:rPr>
            <w:noProof/>
            <w:webHidden/>
          </w:rPr>
          <w:t>3</w:t>
        </w:r>
        <w:r w:rsidR="0037490A">
          <w:rPr>
            <w:noProof/>
            <w:webHidden/>
          </w:rPr>
          <w:fldChar w:fldCharType="end"/>
        </w:r>
      </w:hyperlink>
    </w:p>
    <w:p w:rsidR="0037490A" w:rsidRDefault="00B70E39">
      <w:pPr>
        <w:pStyle w:val="TOC1"/>
        <w:tabs>
          <w:tab w:val="right" w:leader="dot" w:pos="8835"/>
        </w:tabs>
        <w:rPr>
          <w:rFonts w:asciiTheme="minorHAnsi" w:eastAsiaTheme="minorEastAsia" w:hAnsiTheme="minorHAnsi"/>
          <w:caps w:val="0"/>
          <w:sz w:val="22"/>
          <w:szCs w:val="22"/>
        </w:rPr>
      </w:pPr>
      <w:hyperlink w:anchor="_Toc487711330" w:history="1">
        <w:r w:rsidR="0037490A" w:rsidRPr="001F69C9">
          <w:rPr>
            <w:rStyle w:val="Hyperlink"/>
          </w:rPr>
          <w:t>3. TECHNICAL AMENDMENT</w:t>
        </w:r>
        <w:r w:rsidR="0037490A">
          <w:rPr>
            <w:webHidden/>
          </w:rPr>
          <w:tab/>
        </w:r>
        <w:r w:rsidR="0037490A">
          <w:rPr>
            <w:webHidden/>
          </w:rPr>
          <w:fldChar w:fldCharType="begin"/>
        </w:r>
        <w:r w:rsidR="0037490A">
          <w:rPr>
            <w:webHidden/>
          </w:rPr>
          <w:instrText xml:space="preserve"> PAGEREF _Toc487711330 \h </w:instrText>
        </w:r>
        <w:r w:rsidR="0037490A">
          <w:rPr>
            <w:webHidden/>
          </w:rPr>
        </w:r>
        <w:r w:rsidR="0037490A">
          <w:rPr>
            <w:webHidden/>
          </w:rPr>
          <w:fldChar w:fldCharType="separate"/>
        </w:r>
        <w:r w:rsidR="007F6E40">
          <w:rPr>
            <w:webHidden/>
          </w:rPr>
          <w:t>7</w:t>
        </w:r>
        <w:r w:rsidR="0037490A">
          <w:rPr>
            <w:webHidden/>
          </w:rPr>
          <w:fldChar w:fldCharType="end"/>
        </w:r>
      </w:hyperlink>
    </w:p>
    <w:p w:rsidR="0037490A" w:rsidRDefault="00B70E39">
      <w:pPr>
        <w:pStyle w:val="TOC3"/>
        <w:rPr>
          <w:rFonts w:asciiTheme="minorHAnsi" w:eastAsiaTheme="minorEastAsia" w:hAnsiTheme="minorHAnsi"/>
          <w:noProof/>
          <w:sz w:val="22"/>
          <w:szCs w:val="22"/>
        </w:rPr>
      </w:pPr>
      <w:hyperlink w:anchor="_Toc487711331" w:history="1">
        <w:r w:rsidR="0037490A" w:rsidRPr="001F69C9">
          <w:rPr>
            <w:rStyle w:val="Hyperlink"/>
            <w:noProof/>
          </w:rPr>
          <w:t>3.1 Code Amendment</w:t>
        </w:r>
        <w:r w:rsidR="0037490A">
          <w:rPr>
            <w:noProof/>
            <w:webHidden/>
          </w:rPr>
          <w:tab/>
        </w:r>
        <w:r w:rsidR="0037490A">
          <w:rPr>
            <w:noProof/>
            <w:webHidden/>
          </w:rPr>
          <w:fldChar w:fldCharType="begin"/>
        </w:r>
        <w:r w:rsidR="0037490A">
          <w:rPr>
            <w:noProof/>
            <w:webHidden/>
          </w:rPr>
          <w:instrText xml:space="preserve"> PAGEREF _Toc487711331 \h </w:instrText>
        </w:r>
        <w:r w:rsidR="0037490A">
          <w:rPr>
            <w:noProof/>
            <w:webHidden/>
          </w:rPr>
        </w:r>
        <w:r w:rsidR="0037490A">
          <w:rPr>
            <w:noProof/>
            <w:webHidden/>
          </w:rPr>
          <w:fldChar w:fldCharType="separate"/>
        </w:r>
        <w:r w:rsidR="007F6E40">
          <w:rPr>
            <w:noProof/>
            <w:webHidden/>
          </w:rPr>
          <w:t>7</w:t>
        </w:r>
        <w:r w:rsidR="0037490A">
          <w:rPr>
            <w:noProof/>
            <w:webHidden/>
          </w:rPr>
          <w:fldChar w:fldCharType="end"/>
        </w:r>
      </w:hyperlink>
    </w:p>
    <w:p w:rsidR="00CD2EEF" w:rsidRPr="00BE441E" w:rsidRDefault="003E0DA3" w:rsidP="00CD2EEF">
      <w:pPr>
        <w:pStyle w:val="TAbodytext"/>
      </w:pPr>
      <w:r>
        <w:fldChar w:fldCharType="end"/>
      </w:r>
    </w:p>
    <w:p w:rsidR="00CD2EEF" w:rsidRPr="00BE441E" w:rsidRDefault="00CD2EEF" w:rsidP="00CD2EEF">
      <w:pPr>
        <w:pStyle w:val="TAbodytext"/>
      </w:pPr>
    </w:p>
    <w:p w:rsidR="00CD2EEF" w:rsidRPr="00BE441E" w:rsidRDefault="00CD2EEF" w:rsidP="00CD2EEF">
      <w:pPr>
        <w:pStyle w:val="TAbodytext"/>
        <w:sectPr w:rsidR="00CD2EEF" w:rsidRPr="00BE441E">
          <w:footerReference w:type="default" r:id="rId14"/>
          <w:pgSz w:w="11907" w:h="16840"/>
          <w:pgMar w:top="1361" w:right="1531" w:bottom="1559" w:left="1531" w:header="720" w:footer="1009" w:gutter="0"/>
          <w:pgNumType w:fmt="lowerRoman" w:start="1"/>
          <w:cols w:space="720"/>
        </w:sectPr>
      </w:pPr>
    </w:p>
    <w:p w:rsidR="00CD2EEF" w:rsidRPr="00BE441E" w:rsidRDefault="003E0DA3" w:rsidP="00CD2EEF">
      <w:pPr>
        <w:pStyle w:val="TAsectionheading"/>
      </w:pPr>
      <w:bookmarkStart w:id="3" w:name="_Toc254851535"/>
      <w:bookmarkStart w:id="4" w:name="_Toc487711322"/>
      <w:r w:rsidRPr="00BE441E">
        <w:lastRenderedPageBreak/>
        <w:t>INTRODUCTION</w:t>
      </w:r>
      <w:bookmarkEnd w:id="3"/>
      <w:bookmarkEnd w:id="4"/>
    </w:p>
    <w:p w:rsidR="00CD2EEF" w:rsidRPr="00BE441E" w:rsidRDefault="006D53F4" w:rsidP="00CD2EEF">
      <w:pPr>
        <w:pStyle w:val="TAsectionheading2"/>
      </w:pPr>
      <w:bookmarkStart w:id="5" w:name="_Toc254851536"/>
      <w:bookmarkStart w:id="6" w:name="_Toc487711323"/>
      <w:r>
        <w:t>Purpose</w:t>
      </w:r>
      <w:bookmarkEnd w:id="5"/>
      <w:bookmarkEnd w:id="6"/>
    </w:p>
    <w:p w:rsidR="006D53F4" w:rsidRDefault="006D53F4" w:rsidP="00CD2EEF">
      <w:pPr>
        <w:pStyle w:val="TAbodytext"/>
      </w:pPr>
      <w:bookmarkStart w:id="7" w:name="_Toc214687943"/>
      <w:r>
        <w:t>This technical amendment makes the following changes to the Moncrieff precinct code contained within the Territory Plan:</w:t>
      </w:r>
    </w:p>
    <w:p w:rsidR="00CD2EEF" w:rsidRDefault="00CD2EEF" w:rsidP="006D53F4">
      <w:pPr>
        <w:pStyle w:val="TAbodytext"/>
        <w:numPr>
          <w:ilvl w:val="0"/>
          <w:numId w:val="13"/>
        </w:numPr>
        <w:tabs>
          <w:tab w:val="clear" w:pos="720"/>
          <w:tab w:val="clear" w:pos="1440"/>
        </w:tabs>
        <w:ind w:left="426" w:hanging="426"/>
      </w:pPr>
      <w:r>
        <w:t>including a note to rule R9 permitting mandatory courtyard walls to be within the 6x6m open space areas; and</w:t>
      </w:r>
    </w:p>
    <w:p w:rsidR="00CD2EEF" w:rsidRDefault="006D00F9" w:rsidP="006D53F4">
      <w:pPr>
        <w:pStyle w:val="TAbodytext"/>
        <w:numPr>
          <w:ilvl w:val="0"/>
          <w:numId w:val="13"/>
        </w:numPr>
        <w:tabs>
          <w:tab w:val="clear" w:pos="720"/>
          <w:tab w:val="clear" w:pos="1440"/>
        </w:tabs>
        <w:ind w:left="426" w:hanging="426"/>
      </w:pPr>
      <w:r>
        <w:t>amend Figure 11 Moncrieff residential area ongoing provisions to relocate the location of the required surveillance block from block 28 section 43 to block 7 section 43</w:t>
      </w:r>
      <w:r w:rsidR="00CD2EEF">
        <w:t>.</w:t>
      </w:r>
    </w:p>
    <w:p w:rsidR="006D53F4" w:rsidRDefault="006D53F4" w:rsidP="00CD2EEF">
      <w:pPr>
        <w:pStyle w:val="TAbodytext"/>
      </w:pPr>
    </w:p>
    <w:p w:rsidR="004D14F8" w:rsidRDefault="004D14F8" w:rsidP="004D14F8">
      <w:pPr>
        <w:pStyle w:val="TAsectionheading2"/>
        <w:numPr>
          <w:ilvl w:val="1"/>
          <w:numId w:val="0"/>
        </w:numPr>
        <w:ind w:left="576" w:hanging="576"/>
      </w:pPr>
      <w:bookmarkStart w:id="8" w:name="_Toc327263733"/>
      <w:bookmarkStart w:id="9" w:name="_Toc364933261"/>
      <w:bookmarkStart w:id="10" w:name="_Toc390767271"/>
      <w:bookmarkStart w:id="11" w:name="_Toc469927021"/>
      <w:bookmarkStart w:id="12" w:name="_Toc477437551"/>
      <w:bookmarkStart w:id="13" w:name="_Toc487711324"/>
      <w:r>
        <w:t>Public consultation</w:t>
      </w:r>
      <w:bookmarkEnd w:id="8"/>
      <w:bookmarkEnd w:id="9"/>
      <w:bookmarkEnd w:id="10"/>
      <w:bookmarkEnd w:id="11"/>
      <w:bookmarkEnd w:id="12"/>
      <w:bookmarkEnd w:id="13"/>
    </w:p>
    <w:p w:rsidR="004D14F8" w:rsidRPr="00FA5096" w:rsidRDefault="004D14F8" w:rsidP="004D14F8">
      <w:pPr>
        <w:pStyle w:val="TAbodytext"/>
        <w:rPr>
          <w:rFonts w:cs="Arial"/>
        </w:rPr>
      </w:pPr>
      <w:r w:rsidRPr="00FA5096">
        <w:rPr>
          <w:rFonts w:cs="Arial"/>
        </w:rPr>
        <w:t xml:space="preserve">Under section 87 of the </w:t>
      </w:r>
      <w:r w:rsidRPr="00FA5096">
        <w:rPr>
          <w:rFonts w:cs="Arial"/>
          <w:i/>
        </w:rPr>
        <w:t>Planning and Development Act 2007</w:t>
      </w:r>
      <w:r w:rsidRPr="00FA5096">
        <w:rPr>
          <w:rFonts w:cs="Arial"/>
        </w:rPr>
        <w:t xml:space="preserve"> (the Act) this </w:t>
      </w:r>
      <w:r w:rsidRPr="00FA5096">
        <w:t>type</w:t>
      </w:r>
      <w:r w:rsidRPr="00FA5096">
        <w:rPr>
          <w:rFonts w:cs="Arial"/>
        </w:rPr>
        <w:t xml:space="preserve"> of technical amendment </w:t>
      </w:r>
      <w:r w:rsidR="00F14D86">
        <w:rPr>
          <w:rFonts w:cs="Arial"/>
        </w:rPr>
        <w:t>wa</w:t>
      </w:r>
      <w:r w:rsidRPr="00FA5096">
        <w:rPr>
          <w:rFonts w:cs="Arial"/>
        </w:rPr>
        <w:t xml:space="preserve">s subject to limited public consultation.   </w:t>
      </w:r>
    </w:p>
    <w:p w:rsidR="004D14F8" w:rsidRPr="0028638B" w:rsidRDefault="004D14F8" w:rsidP="004D14F8">
      <w:pPr>
        <w:pStyle w:val="TAbodytext"/>
        <w:rPr>
          <w:rFonts w:cs="Arial"/>
        </w:rPr>
      </w:pPr>
      <w:r w:rsidRPr="00FA5096">
        <w:rPr>
          <w:rFonts w:cs="Arial"/>
        </w:rPr>
        <w:t>Written comments w</w:t>
      </w:r>
      <w:r w:rsidR="00F14D86">
        <w:rPr>
          <w:rFonts w:cs="Arial"/>
        </w:rPr>
        <w:t>ere invited from 9 June 2017</w:t>
      </w:r>
      <w:r w:rsidRPr="00FA5096">
        <w:rPr>
          <w:rFonts w:cs="Arial"/>
        </w:rPr>
        <w:t xml:space="preserve"> until </w:t>
      </w:r>
      <w:r w:rsidR="0028638B" w:rsidRPr="00F14D86">
        <w:rPr>
          <w:rFonts w:cs="Arial"/>
        </w:rPr>
        <w:t>10 July 2017</w:t>
      </w:r>
      <w:r w:rsidR="0028638B">
        <w:rPr>
          <w:rFonts w:cs="Arial"/>
        </w:rPr>
        <w:t>.</w:t>
      </w:r>
    </w:p>
    <w:p w:rsidR="004D14F8" w:rsidRPr="002B0280" w:rsidRDefault="004D14F8" w:rsidP="004D14F8">
      <w:pPr>
        <w:pStyle w:val="TAbodytext"/>
        <w:rPr>
          <w:rFonts w:cs="Arial"/>
          <w:sz w:val="22"/>
          <w:szCs w:val="22"/>
        </w:rPr>
      </w:pPr>
      <w:r w:rsidRPr="00FA5096">
        <w:rPr>
          <w:rFonts w:cs="Arial"/>
        </w:rPr>
        <w:t>Written comments</w:t>
      </w:r>
      <w:r w:rsidR="00F14D86">
        <w:rPr>
          <w:rFonts w:cs="Arial"/>
        </w:rPr>
        <w:t xml:space="preserve"> for</w:t>
      </w:r>
      <w:r w:rsidRPr="00FA5096">
        <w:rPr>
          <w:rFonts w:cs="Arial"/>
        </w:rPr>
        <w:t xml:space="preserve"> </w:t>
      </w:r>
      <w:r w:rsidRPr="00F14D86">
        <w:rPr>
          <w:rFonts w:cs="Arial"/>
        </w:rPr>
        <w:t>TA2017-</w:t>
      </w:r>
      <w:r w:rsidR="0028638B" w:rsidRPr="00F14D86">
        <w:rPr>
          <w:rFonts w:cs="Arial"/>
        </w:rPr>
        <w:t>14</w:t>
      </w:r>
      <w:r w:rsidRPr="00FA5096">
        <w:rPr>
          <w:rFonts w:cs="Arial"/>
        </w:rPr>
        <w:t xml:space="preserve"> </w:t>
      </w:r>
      <w:r w:rsidR="00F14D86">
        <w:rPr>
          <w:rFonts w:cs="Arial"/>
        </w:rPr>
        <w:t xml:space="preserve">were invited to </w:t>
      </w:r>
      <w:r w:rsidRPr="00FA5096">
        <w:rPr>
          <w:rFonts w:cs="Arial"/>
        </w:rPr>
        <w:t>be submitted in one of the following ways:</w:t>
      </w:r>
      <w:r w:rsidRPr="002B0280">
        <w:rPr>
          <w:rFonts w:cs="Arial"/>
          <w:sz w:val="22"/>
          <w:szCs w:val="22"/>
        </w:rPr>
        <w:br/>
      </w: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946"/>
      </w:tblGrid>
      <w:tr w:rsidR="004D14F8" w:rsidRPr="002B0280" w:rsidTr="00CD2EEF">
        <w:tc>
          <w:tcPr>
            <w:tcW w:w="1809" w:type="dxa"/>
          </w:tcPr>
          <w:p w:rsidR="004D14F8" w:rsidRPr="002B0280" w:rsidRDefault="004D14F8" w:rsidP="004D14F8">
            <w:pPr>
              <w:pStyle w:val="TAbodytext"/>
              <w:numPr>
                <w:ilvl w:val="0"/>
                <w:numId w:val="14"/>
              </w:numPr>
              <w:tabs>
                <w:tab w:val="clear" w:pos="720"/>
                <w:tab w:val="left" w:pos="284"/>
              </w:tabs>
              <w:ind w:left="284" w:hanging="284"/>
              <w:rPr>
                <w:rFonts w:cs="Arial"/>
                <w:sz w:val="22"/>
                <w:szCs w:val="22"/>
              </w:rPr>
            </w:pPr>
            <w:r w:rsidRPr="002B0280">
              <w:rPr>
                <w:rFonts w:cs="Arial"/>
                <w:sz w:val="22"/>
                <w:szCs w:val="22"/>
              </w:rPr>
              <w:t>Emailed to:</w:t>
            </w:r>
          </w:p>
        </w:tc>
        <w:tc>
          <w:tcPr>
            <w:tcW w:w="6946" w:type="dxa"/>
          </w:tcPr>
          <w:p w:rsidR="004D14F8" w:rsidRPr="002B0280" w:rsidRDefault="00B70E39" w:rsidP="00CD2EEF">
            <w:pPr>
              <w:pStyle w:val="TAbodytext"/>
              <w:tabs>
                <w:tab w:val="clear" w:pos="720"/>
                <w:tab w:val="left" w:pos="-249"/>
              </w:tabs>
              <w:ind w:left="-108"/>
              <w:rPr>
                <w:rFonts w:cs="Arial"/>
                <w:sz w:val="22"/>
                <w:szCs w:val="22"/>
              </w:rPr>
            </w:pPr>
            <w:hyperlink r:id="rId15" w:history="1">
              <w:r w:rsidR="004D14F8" w:rsidRPr="002B0280">
                <w:rPr>
                  <w:rStyle w:val="Hyperlink"/>
                  <w:sz w:val="22"/>
                  <w:szCs w:val="22"/>
                </w:rPr>
                <w:t>ta.comments@act.gov.au</w:t>
              </w:r>
            </w:hyperlink>
          </w:p>
        </w:tc>
      </w:tr>
      <w:tr w:rsidR="004D14F8" w:rsidRPr="002B0280" w:rsidTr="00CD2EEF">
        <w:tc>
          <w:tcPr>
            <w:tcW w:w="1809" w:type="dxa"/>
          </w:tcPr>
          <w:p w:rsidR="004D14F8" w:rsidRPr="002B0280" w:rsidRDefault="004D14F8" w:rsidP="004D14F8">
            <w:pPr>
              <w:pStyle w:val="TAbodytext"/>
              <w:numPr>
                <w:ilvl w:val="0"/>
                <w:numId w:val="14"/>
              </w:numPr>
              <w:tabs>
                <w:tab w:val="clear" w:pos="720"/>
                <w:tab w:val="left" w:pos="284"/>
              </w:tabs>
              <w:ind w:left="284" w:hanging="284"/>
              <w:rPr>
                <w:rFonts w:cs="Arial"/>
                <w:sz w:val="22"/>
                <w:szCs w:val="22"/>
              </w:rPr>
            </w:pPr>
            <w:r w:rsidRPr="002B0280">
              <w:rPr>
                <w:rFonts w:cs="Arial"/>
                <w:sz w:val="22"/>
                <w:szCs w:val="22"/>
              </w:rPr>
              <w:t>Hand delivered to:</w:t>
            </w:r>
          </w:p>
        </w:tc>
        <w:tc>
          <w:tcPr>
            <w:tcW w:w="6946" w:type="dxa"/>
          </w:tcPr>
          <w:p w:rsidR="004D14F8" w:rsidRPr="002B0280" w:rsidRDefault="004D14F8" w:rsidP="0028638B">
            <w:pPr>
              <w:pStyle w:val="TAbodytext"/>
              <w:tabs>
                <w:tab w:val="clear" w:pos="720"/>
                <w:tab w:val="left" w:pos="-249"/>
              </w:tabs>
              <w:ind w:left="-108"/>
              <w:rPr>
                <w:rFonts w:cs="Arial"/>
                <w:sz w:val="22"/>
                <w:szCs w:val="22"/>
              </w:rPr>
            </w:pPr>
            <w:r w:rsidRPr="002B0280">
              <w:rPr>
                <w:rFonts w:cs="Arial"/>
                <w:sz w:val="22"/>
                <w:szCs w:val="22"/>
              </w:rPr>
              <w:t xml:space="preserve">Territory Plan Section </w:t>
            </w:r>
            <w:r w:rsidRPr="002B0280">
              <w:rPr>
                <w:rFonts w:cs="Arial"/>
                <w:sz w:val="22"/>
                <w:szCs w:val="22"/>
              </w:rPr>
              <w:br/>
              <w:t>Environment</w:t>
            </w:r>
            <w:r w:rsidR="0028638B">
              <w:rPr>
                <w:rFonts w:cs="Arial"/>
                <w:sz w:val="22"/>
                <w:szCs w:val="22"/>
              </w:rPr>
              <w:t>,</w:t>
            </w:r>
            <w:r w:rsidRPr="002B0280">
              <w:rPr>
                <w:rFonts w:cs="Arial"/>
                <w:sz w:val="22"/>
                <w:szCs w:val="22"/>
              </w:rPr>
              <w:t xml:space="preserve"> Planning </w:t>
            </w:r>
            <w:r w:rsidR="0028638B">
              <w:rPr>
                <w:rFonts w:cs="Arial"/>
                <w:sz w:val="22"/>
                <w:szCs w:val="22"/>
              </w:rPr>
              <w:t xml:space="preserve">and Sustainable Development </w:t>
            </w:r>
            <w:r w:rsidRPr="002B0280">
              <w:rPr>
                <w:rFonts w:cs="Arial"/>
                <w:sz w:val="22"/>
                <w:szCs w:val="22"/>
              </w:rPr>
              <w:t>Directorate</w:t>
            </w:r>
            <w:r w:rsidRPr="002B0280">
              <w:rPr>
                <w:rFonts w:cs="Arial"/>
                <w:sz w:val="22"/>
                <w:szCs w:val="22"/>
              </w:rPr>
              <w:br/>
              <w:t>Customer Service Centre</w:t>
            </w:r>
            <w:r w:rsidRPr="002B0280">
              <w:rPr>
                <w:rFonts w:cs="Arial"/>
                <w:sz w:val="22"/>
                <w:szCs w:val="22"/>
              </w:rPr>
              <w:br/>
              <w:t>16 Challis Street, DICKSON</w:t>
            </w:r>
          </w:p>
        </w:tc>
      </w:tr>
      <w:tr w:rsidR="004D14F8" w:rsidRPr="002B0280" w:rsidTr="00CD2EEF">
        <w:tc>
          <w:tcPr>
            <w:tcW w:w="1809" w:type="dxa"/>
          </w:tcPr>
          <w:p w:rsidR="004D14F8" w:rsidRPr="002B0280" w:rsidRDefault="004D14F8" w:rsidP="004D14F8">
            <w:pPr>
              <w:pStyle w:val="TAbodytext"/>
              <w:numPr>
                <w:ilvl w:val="0"/>
                <w:numId w:val="14"/>
              </w:numPr>
              <w:tabs>
                <w:tab w:val="clear" w:pos="720"/>
                <w:tab w:val="left" w:pos="284"/>
              </w:tabs>
              <w:ind w:left="284" w:hanging="284"/>
              <w:rPr>
                <w:rFonts w:cs="Arial"/>
                <w:sz w:val="22"/>
                <w:szCs w:val="22"/>
              </w:rPr>
            </w:pPr>
            <w:r w:rsidRPr="002B0280">
              <w:rPr>
                <w:rFonts w:cs="Arial"/>
                <w:sz w:val="22"/>
                <w:szCs w:val="22"/>
              </w:rPr>
              <w:t>Posted to:</w:t>
            </w:r>
          </w:p>
        </w:tc>
        <w:tc>
          <w:tcPr>
            <w:tcW w:w="6946" w:type="dxa"/>
          </w:tcPr>
          <w:p w:rsidR="004D14F8" w:rsidRPr="002B0280" w:rsidRDefault="004D14F8" w:rsidP="00CD2EEF">
            <w:pPr>
              <w:pStyle w:val="TAbodytext"/>
              <w:tabs>
                <w:tab w:val="clear" w:pos="720"/>
                <w:tab w:val="left" w:pos="-249"/>
              </w:tabs>
              <w:ind w:left="-108" w:right="-108"/>
              <w:rPr>
                <w:rFonts w:cs="Arial"/>
                <w:sz w:val="22"/>
                <w:szCs w:val="22"/>
              </w:rPr>
            </w:pPr>
            <w:r w:rsidRPr="002B0280">
              <w:rPr>
                <w:rFonts w:cs="Arial"/>
                <w:sz w:val="22"/>
                <w:szCs w:val="22"/>
              </w:rPr>
              <w:t>Territory Plan Section</w:t>
            </w:r>
            <w:r w:rsidRPr="002B0280">
              <w:rPr>
                <w:rFonts w:cs="Arial"/>
                <w:sz w:val="22"/>
                <w:szCs w:val="22"/>
              </w:rPr>
              <w:br/>
              <w:t>Environment, Planning and Sustainable Development Directorate</w:t>
            </w:r>
            <w:r w:rsidRPr="002B0280">
              <w:rPr>
                <w:rFonts w:cs="Arial"/>
                <w:sz w:val="22"/>
                <w:szCs w:val="22"/>
              </w:rPr>
              <w:br/>
              <w:t>GPO Box 158</w:t>
            </w:r>
            <w:r w:rsidRPr="002B0280">
              <w:rPr>
                <w:rFonts w:cs="Arial"/>
                <w:sz w:val="22"/>
                <w:szCs w:val="22"/>
              </w:rPr>
              <w:br/>
              <w:t>CANBERRA   ACT   2601</w:t>
            </w:r>
            <w:r>
              <w:rPr>
                <w:rFonts w:cs="Arial"/>
                <w:sz w:val="22"/>
                <w:szCs w:val="22"/>
              </w:rPr>
              <w:br/>
            </w:r>
            <w:r w:rsidRPr="002B0280">
              <w:rPr>
                <w:rFonts w:cs="Arial"/>
                <w:sz w:val="22"/>
                <w:szCs w:val="22"/>
              </w:rPr>
              <w:tab/>
            </w:r>
          </w:p>
        </w:tc>
      </w:tr>
    </w:tbl>
    <w:p w:rsidR="00F14D86" w:rsidRDefault="00F14D86" w:rsidP="00F14D86">
      <w:pPr>
        <w:pStyle w:val="BodyText"/>
        <w:kinsoku w:val="0"/>
        <w:overflowPunct w:val="0"/>
        <w:spacing w:before="56"/>
        <w:ind w:left="40"/>
      </w:pPr>
      <w:r>
        <w:t>No consultation comments were received during the consultation period.</w:t>
      </w:r>
    </w:p>
    <w:p w:rsidR="004D14F8" w:rsidRDefault="004D14F8" w:rsidP="00CD2EEF">
      <w:pPr>
        <w:pStyle w:val="TAbodytext"/>
      </w:pPr>
    </w:p>
    <w:p w:rsidR="004D14F8" w:rsidRDefault="004D14F8" w:rsidP="004D14F8">
      <w:pPr>
        <w:pStyle w:val="TAsectionheading2"/>
        <w:numPr>
          <w:ilvl w:val="1"/>
          <w:numId w:val="0"/>
        </w:numPr>
        <w:ind w:left="576" w:hanging="576"/>
      </w:pPr>
      <w:bookmarkStart w:id="14" w:name="_Toc477437552"/>
      <w:bookmarkStart w:id="15" w:name="_Toc487711325"/>
      <w:r w:rsidRPr="006A3135">
        <w:t>National</w:t>
      </w:r>
      <w:r>
        <w:t xml:space="preserve"> Capital Authority</w:t>
      </w:r>
      <w:bookmarkEnd w:id="14"/>
      <w:bookmarkEnd w:id="15"/>
    </w:p>
    <w:p w:rsidR="004D14F8" w:rsidRPr="00FA5096" w:rsidRDefault="004D14F8" w:rsidP="004D14F8">
      <w:pPr>
        <w:pStyle w:val="TAbodytext"/>
      </w:pPr>
      <w:r w:rsidRPr="00FA5096">
        <w:t>The National Capital Authority has been advised of this technical amendment</w:t>
      </w:r>
      <w:r w:rsidR="00F14D86" w:rsidRPr="00F14D86">
        <w:t xml:space="preserve"> </w:t>
      </w:r>
      <w:r w:rsidR="00F14D86" w:rsidRPr="007F687B">
        <w:t xml:space="preserve">and it responded with nil comments on </w:t>
      </w:r>
      <w:r w:rsidR="00F14D86">
        <w:t>7 July</w:t>
      </w:r>
      <w:r w:rsidR="00F14D86" w:rsidRPr="007F687B">
        <w:t xml:space="preserve"> 2017</w:t>
      </w:r>
      <w:r w:rsidRPr="00FA5096">
        <w:t>.</w:t>
      </w:r>
    </w:p>
    <w:p w:rsidR="004D14F8" w:rsidRDefault="004D14F8" w:rsidP="0028638B">
      <w:pPr>
        <w:pStyle w:val="TAsectionheading2"/>
        <w:numPr>
          <w:ilvl w:val="1"/>
          <w:numId w:val="0"/>
        </w:numPr>
        <w:spacing w:before="240"/>
        <w:ind w:left="578" w:hanging="578"/>
      </w:pPr>
      <w:bookmarkStart w:id="16" w:name="_Toc327263735"/>
      <w:bookmarkStart w:id="17" w:name="_Toc364933263"/>
      <w:bookmarkStart w:id="18" w:name="_Toc390767273"/>
      <w:bookmarkStart w:id="19" w:name="_Toc469927023"/>
      <w:bookmarkStart w:id="20" w:name="_Toc477437553"/>
      <w:bookmarkStart w:id="21" w:name="_Toc487711326"/>
      <w:r>
        <w:t>Process</w:t>
      </w:r>
      <w:bookmarkEnd w:id="16"/>
      <w:bookmarkEnd w:id="17"/>
      <w:bookmarkEnd w:id="18"/>
      <w:bookmarkEnd w:id="19"/>
      <w:bookmarkEnd w:id="20"/>
      <w:bookmarkEnd w:id="21"/>
    </w:p>
    <w:p w:rsidR="004D14F8" w:rsidRPr="00FA5096" w:rsidRDefault="004D14F8" w:rsidP="004D14F8">
      <w:pPr>
        <w:spacing w:after="120"/>
      </w:pPr>
      <w:r w:rsidRPr="00FA5096">
        <w:t xml:space="preserve">This technical amendment has been prepared in accordance with section 87 of the </w:t>
      </w:r>
      <w:r w:rsidRPr="00FA5096">
        <w:rPr>
          <w:i/>
        </w:rPr>
        <w:t>Planning and Development Act 2007</w:t>
      </w:r>
      <w:r w:rsidRPr="00FA5096">
        <w:t xml:space="preserve"> (the Act).</w:t>
      </w:r>
    </w:p>
    <w:p w:rsidR="004D14F8" w:rsidRPr="00FA5096" w:rsidRDefault="004D14F8" w:rsidP="004D14F8">
      <w:pPr>
        <w:spacing w:after="120"/>
      </w:pPr>
      <w:r w:rsidRPr="00FA5096">
        <w:t>Comments received from the public and the National Capital Authority w</w:t>
      </w:r>
      <w:r w:rsidR="00F14D86">
        <w:t>ere</w:t>
      </w:r>
      <w:r w:rsidRPr="00FA5096">
        <w:t xml:space="preserve"> taken into account before the planning and land author</w:t>
      </w:r>
      <w:r w:rsidR="00F14D86">
        <w:t>ity “made</w:t>
      </w:r>
      <w:r w:rsidRPr="00FA5096">
        <w:t xml:space="preserve">” the technical amendment under section 89 of the Act.  The planning and land authority must then notify the public of its decision. </w:t>
      </w:r>
    </w:p>
    <w:p w:rsidR="004D14F8" w:rsidRPr="00C0173E" w:rsidRDefault="004D14F8" w:rsidP="0028638B">
      <w:pPr>
        <w:pStyle w:val="TAsectionheading2"/>
        <w:numPr>
          <w:ilvl w:val="1"/>
          <w:numId w:val="0"/>
        </w:numPr>
        <w:tabs>
          <w:tab w:val="clear" w:pos="1440"/>
        </w:tabs>
        <w:spacing w:before="240" w:after="120"/>
        <w:ind w:left="578" w:hanging="578"/>
      </w:pPr>
      <w:bookmarkStart w:id="22" w:name="_Toc390767274"/>
      <w:bookmarkStart w:id="23" w:name="_Toc477437554"/>
      <w:bookmarkStart w:id="24" w:name="_Toc487711327"/>
      <w:r w:rsidRPr="00C0173E">
        <w:lastRenderedPageBreak/>
        <w:t>Types of technical amendments under the Act</w:t>
      </w:r>
      <w:bookmarkEnd w:id="22"/>
      <w:bookmarkEnd w:id="23"/>
      <w:bookmarkEnd w:id="24"/>
    </w:p>
    <w:p w:rsidR="004D14F8" w:rsidRPr="00FA5096" w:rsidRDefault="004D14F8" w:rsidP="004D14F8">
      <w:pPr>
        <w:pStyle w:val="TAbodytext"/>
      </w:pPr>
      <w:r w:rsidRPr="00FA5096">
        <w:t>The following categories of technical amendments are provided under section 87 of the Act:</w:t>
      </w:r>
    </w:p>
    <w:p w:rsidR="004D14F8" w:rsidRPr="00FA5096" w:rsidRDefault="004D14F8" w:rsidP="004D14F8">
      <w:pPr>
        <w:pStyle w:val="NoSpacing"/>
        <w:numPr>
          <w:ilvl w:val="0"/>
          <w:numId w:val="16"/>
        </w:numPr>
        <w:spacing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no consultation is needed before it is made under section 89: </w:t>
      </w:r>
    </w:p>
    <w:p w:rsidR="004D14F8" w:rsidRPr="00FA5096" w:rsidRDefault="004D14F8" w:rsidP="004D14F8">
      <w:pPr>
        <w:pStyle w:val="NoSpacing"/>
        <w:spacing w:after="120"/>
        <w:ind w:left="720"/>
        <w:rPr>
          <w:rFonts w:ascii="Arial" w:hAnsi="Arial" w:cs="Arial"/>
          <w:sz w:val="24"/>
          <w:szCs w:val="24"/>
        </w:rPr>
      </w:pPr>
      <w:r w:rsidRPr="00FA5096">
        <w:rPr>
          <w:rFonts w:ascii="Arial" w:hAnsi="Arial" w:cs="Arial"/>
          <w:sz w:val="24"/>
          <w:szCs w:val="24"/>
        </w:rPr>
        <w:t>(a)</w:t>
      </w:r>
      <w:r w:rsidRPr="00FA5096">
        <w:rPr>
          <w:rFonts w:ascii="Arial" w:hAnsi="Arial" w:cs="Arial"/>
          <w:sz w:val="24"/>
          <w:szCs w:val="24"/>
        </w:rPr>
        <w:tab/>
        <w:t xml:space="preserve">a variation (an </w:t>
      </w:r>
      <w:r w:rsidRPr="00FA5096">
        <w:rPr>
          <w:rFonts w:ascii="Arial" w:hAnsi="Arial" w:cs="Arial"/>
          <w:b/>
          <w:i/>
          <w:sz w:val="24"/>
          <w:szCs w:val="24"/>
        </w:rPr>
        <w:t>error variation)</w:t>
      </w:r>
      <w:r w:rsidRPr="00FA5096">
        <w:rPr>
          <w:rFonts w:ascii="Arial" w:hAnsi="Arial" w:cs="Arial"/>
          <w:sz w:val="24"/>
          <w:szCs w:val="24"/>
        </w:rPr>
        <w:t xml:space="preserve"> that – </w:t>
      </w:r>
    </w:p>
    <w:p w:rsidR="004D14F8" w:rsidRPr="00FA5096" w:rsidRDefault="004D14F8" w:rsidP="004D14F8">
      <w:pPr>
        <w:pStyle w:val="NoSpacing"/>
        <w:numPr>
          <w:ilvl w:val="0"/>
          <w:numId w:val="15"/>
        </w:numPr>
        <w:spacing w:after="120"/>
        <w:ind w:left="1985" w:hanging="284"/>
        <w:rPr>
          <w:rFonts w:ascii="Arial" w:hAnsi="Arial" w:cs="Arial"/>
          <w:sz w:val="24"/>
          <w:szCs w:val="24"/>
        </w:rPr>
      </w:pPr>
      <w:r w:rsidRPr="00FA5096">
        <w:rPr>
          <w:rFonts w:ascii="Arial" w:hAnsi="Arial" w:cs="Arial"/>
          <w:sz w:val="24"/>
          <w:szCs w:val="24"/>
        </w:rPr>
        <w:t>would not adversely affect anyone’s rights if approved; and</w:t>
      </w:r>
    </w:p>
    <w:p w:rsidR="004D14F8" w:rsidRPr="00FA5096" w:rsidRDefault="004D14F8" w:rsidP="004D14F8">
      <w:pPr>
        <w:pStyle w:val="NoSpacing"/>
        <w:numPr>
          <w:ilvl w:val="0"/>
          <w:numId w:val="15"/>
        </w:numPr>
        <w:spacing w:after="120"/>
        <w:ind w:left="1985" w:hanging="284"/>
        <w:rPr>
          <w:rFonts w:ascii="Arial" w:hAnsi="Arial" w:cs="Arial"/>
          <w:sz w:val="24"/>
          <w:szCs w:val="24"/>
        </w:rPr>
      </w:pPr>
      <w:r w:rsidRPr="00FA5096">
        <w:rPr>
          <w:rFonts w:ascii="Arial" w:hAnsi="Arial" w:cs="Arial"/>
          <w:sz w:val="24"/>
          <w:szCs w:val="24"/>
        </w:rPr>
        <w:t>has as its only object the correction of a formal error in the plan;</w:t>
      </w:r>
    </w:p>
    <w:p w:rsidR="004D14F8" w:rsidRPr="00FA5096" w:rsidRDefault="004D14F8" w:rsidP="004D14F8">
      <w:pPr>
        <w:pStyle w:val="NoSpacing"/>
        <w:spacing w:after="120"/>
        <w:ind w:left="1440" w:hanging="720"/>
        <w:rPr>
          <w:rFonts w:ascii="Arial" w:hAnsi="Arial" w:cs="Arial"/>
          <w:sz w:val="24"/>
          <w:szCs w:val="24"/>
        </w:rPr>
      </w:pPr>
      <w:r w:rsidRPr="00FA5096">
        <w:rPr>
          <w:rFonts w:ascii="Arial" w:hAnsi="Arial" w:cs="Arial"/>
          <w:sz w:val="24"/>
          <w:szCs w:val="24"/>
        </w:rPr>
        <w:t>(b)</w:t>
      </w:r>
      <w:r w:rsidRPr="00FA5096">
        <w:rPr>
          <w:rFonts w:ascii="Arial" w:hAnsi="Arial" w:cs="Arial"/>
          <w:sz w:val="24"/>
          <w:szCs w:val="24"/>
        </w:rPr>
        <w:tab/>
        <w:t>a variation to change the boundary of a zone or overlay under section 90A (Rezoning – boundary changes);</w:t>
      </w:r>
    </w:p>
    <w:p w:rsidR="004D14F8" w:rsidRPr="00FA5096" w:rsidRDefault="004D14F8" w:rsidP="004D14F8">
      <w:pPr>
        <w:pStyle w:val="NoSpacing"/>
        <w:spacing w:after="120"/>
        <w:ind w:left="1440" w:hanging="720"/>
        <w:rPr>
          <w:rFonts w:ascii="Arial" w:hAnsi="Arial" w:cs="Arial"/>
          <w:sz w:val="24"/>
          <w:szCs w:val="24"/>
        </w:rPr>
      </w:pPr>
      <w:r w:rsidRPr="00FA5096">
        <w:rPr>
          <w:rFonts w:ascii="Arial" w:hAnsi="Arial" w:cs="Arial"/>
          <w:sz w:val="24"/>
          <w:szCs w:val="24"/>
        </w:rPr>
        <w:t>(c)</w:t>
      </w:r>
      <w:r w:rsidRPr="00FA5096">
        <w:rPr>
          <w:rFonts w:ascii="Arial" w:hAnsi="Arial" w:cs="Arial"/>
          <w:sz w:val="24"/>
          <w:szCs w:val="24"/>
        </w:rPr>
        <w:tab/>
        <w:t>a variation, other than one to which subsection (2) (d) applies, in relation to an estate development plan under section 96 (Effect of approval of estate development plan);</w:t>
      </w:r>
    </w:p>
    <w:p w:rsidR="004D14F8" w:rsidRPr="00FA5096" w:rsidRDefault="004D14F8" w:rsidP="004D14F8">
      <w:pPr>
        <w:pStyle w:val="NoSpacing"/>
        <w:spacing w:after="120"/>
        <w:ind w:left="1440" w:hanging="720"/>
        <w:rPr>
          <w:rFonts w:ascii="Arial" w:hAnsi="Arial" w:cs="Arial"/>
          <w:sz w:val="24"/>
          <w:szCs w:val="24"/>
        </w:rPr>
      </w:pPr>
      <w:r w:rsidRPr="00FA5096">
        <w:rPr>
          <w:rFonts w:ascii="Arial" w:hAnsi="Arial" w:cs="Arial"/>
          <w:sz w:val="24"/>
          <w:szCs w:val="24"/>
        </w:rPr>
        <w:t>(d)</w:t>
      </w:r>
      <w:r w:rsidRPr="00FA5096">
        <w:rPr>
          <w:rFonts w:ascii="Arial" w:hAnsi="Arial" w:cs="Arial"/>
          <w:sz w:val="24"/>
          <w:szCs w:val="24"/>
        </w:rPr>
        <w:tab/>
        <w:t>a variation required to bring the territory plan into line with the national capital plan;</w:t>
      </w:r>
    </w:p>
    <w:p w:rsidR="004D14F8" w:rsidRPr="00FA5096" w:rsidRDefault="004D14F8" w:rsidP="004D14F8">
      <w:pPr>
        <w:pStyle w:val="NoSpacing"/>
        <w:spacing w:after="120"/>
        <w:ind w:left="1440" w:hanging="720"/>
        <w:rPr>
          <w:rFonts w:ascii="Arial" w:hAnsi="Arial" w:cs="Arial"/>
          <w:sz w:val="24"/>
          <w:szCs w:val="24"/>
        </w:rPr>
      </w:pPr>
      <w:r w:rsidRPr="00FA5096">
        <w:rPr>
          <w:rFonts w:ascii="Arial" w:hAnsi="Arial" w:cs="Arial"/>
          <w:sz w:val="24"/>
          <w:szCs w:val="24"/>
        </w:rPr>
        <w:t>(e)</w:t>
      </w:r>
      <w:r w:rsidRPr="00FA5096">
        <w:rPr>
          <w:rFonts w:ascii="Arial" w:hAnsi="Arial" w:cs="Arial"/>
          <w:sz w:val="24"/>
          <w:szCs w:val="24"/>
        </w:rPr>
        <w:tab/>
        <w:t>a variation to omit something that is obsolete or redundant in the territory plan.</w:t>
      </w:r>
    </w:p>
    <w:p w:rsidR="004D14F8" w:rsidRPr="00FA5096" w:rsidRDefault="004D14F8" w:rsidP="004D14F8">
      <w:pPr>
        <w:pStyle w:val="NoSpacing"/>
        <w:numPr>
          <w:ilvl w:val="0"/>
          <w:numId w:val="16"/>
        </w:numPr>
        <w:spacing w:before="180" w:after="120"/>
        <w:ind w:left="567" w:hanging="567"/>
        <w:rPr>
          <w:rFonts w:ascii="Arial" w:hAnsi="Arial" w:cs="Arial"/>
          <w:sz w:val="24"/>
          <w:szCs w:val="24"/>
        </w:rPr>
      </w:pPr>
      <w:r w:rsidRPr="00FA5096">
        <w:rPr>
          <w:rFonts w:ascii="Arial" w:hAnsi="Arial" w:cs="Arial"/>
          <w:sz w:val="24"/>
          <w:szCs w:val="24"/>
        </w:rPr>
        <w:t xml:space="preserve">Each of the following territory plan variations is a </w:t>
      </w:r>
      <w:r w:rsidRPr="00FA5096">
        <w:rPr>
          <w:rFonts w:ascii="Arial" w:hAnsi="Arial" w:cs="Arial"/>
          <w:b/>
          <w:i/>
          <w:sz w:val="24"/>
          <w:szCs w:val="24"/>
        </w:rPr>
        <w:t>technical amendment</w:t>
      </w:r>
      <w:r w:rsidRPr="00FA5096">
        <w:rPr>
          <w:rFonts w:ascii="Arial" w:hAnsi="Arial" w:cs="Arial"/>
          <w:sz w:val="24"/>
          <w:szCs w:val="24"/>
        </w:rPr>
        <w:t xml:space="preserve"> for which only limited public consultation is needed under section 90:</w:t>
      </w:r>
    </w:p>
    <w:p w:rsidR="004D14F8" w:rsidRPr="00FA5096" w:rsidRDefault="004D14F8" w:rsidP="004D14F8">
      <w:pPr>
        <w:pStyle w:val="TAbodytext"/>
        <w:numPr>
          <w:ilvl w:val="0"/>
          <w:numId w:val="17"/>
        </w:numPr>
        <w:tabs>
          <w:tab w:val="clear" w:pos="720"/>
          <w:tab w:val="clear" w:pos="1440"/>
        </w:tabs>
        <w:ind w:left="1418" w:hanging="709"/>
      </w:pPr>
      <w:r w:rsidRPr="00FA5096">
        <w:rPr>
          <w:rFonts w:cs="Arial"/>
        </w:rPr>
        <w:t xml:space="preserve">a variation (a </w:t>
      </w:r>
      <w:r w:rsidRPr="00FA5096">
        <w:rPr>
          <w:rFonts w:cs="Arial"/>
          <w:b/>
          <w:i/>
        </w:rPr>
        <w:t>code variation</w:t>
      </w:r>
      <w:r w:rsidRPr="00FA5096">
        <w:rPr>
          <w:rFonts w:cs="Arial"/>
        </w:rPr>
        <w:t xml:space="preserve">) that – </w:t>
      </w:r>
    </w:p>
    <w:p w:rsidR="004D14F8" w:rsidRPr="00FA5096" w:rsidRDefault="004D14F8" w:rsidP="004D14F8">
      <w:pPr>
        <w:pStyle w:val="NoSpacing"/>
        <w:numPr>
          <w:ilvl w:val="0"/>
          <w:numId w:val="18"/>
        </w:numPr>
        <w:spacing w:after="120"/>
        <w:ind w:left="1985" w:hanging="284"/>
        <w:rPr>
          <w:rFonts w:ascii="Arial" w:hAnsi="Arial" w:cs="Arial"/>
          <w:sz w:val="24"/>
          <w:szCs w:val="24"/>
        </w:rPr>
      </w:pPr>
      <w:r w:rsidRPr="00FA5096">
        <w:rPr>
          <w:rFonts w:ascii="Arial" w:hAnsi="Arial" w:cs="Arial"/>
          <w:sz w:val="24"/>
          <w:szCs w:val="24"/>
        </w:rPr>
        <w:t>would only change a code; and</w:t>
      </w:r>
    </w:p>
    <w:p w:rsidR="004D14F8" w:rsidRPr="00FA5096" w:rsidRDefault="004D14F8" w:rsidP="004D14F8">
      <w:pPr>
        <w:pStyle w:val="NoSpacing"/>
        <w:numPr>
          <w:ilvl w:val="0"/>
          <w:numId w:val="18"/>
        </w:numPr>
        <w:spacing w:after="120"/>
        <w:ind w:left="1985" w:hanging="284"/>
        <w:rPr>
          <w:rFonts w:ascii="Arial" w:hAnsi="Arial" w:cs="Arial"/>
          <w:sz w:val="24"/>
          <w:szCs w:val="24"/>
        </w:rPr>
      </w:pPr>
      <w:r w:rsidRPr="00FA5096">
        <w:rPr>
          <w:rFonts w:ascii="Arial" w:hAnsi="Arial" w:cs="Arial"/>
          <w:sz w:val="24"/>
          <w:szCs w:val="24"/>
        </w:rPr>
        <w:t>is consistent with the policy purpose and policy framework of the code; and</w:t>
      </w:r>
    </w:p>
    <w:p w:rsidR="004D14F8" w:rsidRPr="00FA5096" w:rsidRDefault="004D14F8" w:rsidP="004D14F8">
      <w:pPr>
        <w:pStyle w:val="NoSpacing"/>
        <w:numPr>
          <w:ilvl w:val="0"/>
          <w:numId w:val="18"/>
        </w:numPr>
        <w:spacing w:after="120"/>
        <w:ind w:left="1985" w:hanging="284"/>
        <w:rPr>
          <w:rFonts w:ascii="Arial" w:hAnsi="Arial" w:cs="Arial"/>
          <w:sz w:val="24"/>
          <w:szCs w:val="24"/>
        </w:rPr>
      </w:pPr>
      <w:r w:rsidRPr="00FA5096">
        <w:rPr>
          <w:rFonts w:ascii="Arial" w:hAnsi="Arial" w:cs="Arial"/>
          <w:sz w:val="24"/>
          <w:szCs w:val="24"/>
        </w:rPr>
        <w:t>is not an error variation;</w:t>
      </w:r>
    </w:p>
    <w:p w:rsidR="004D14F8" w:rsidRPr="00FA5096" w:rsidRDefault="004D14F8" w:rsidP="004D14F8">
      <w:pPr>
        <w:pStyle w:val="TAbodytext"/>
        <w:numPr>
          <w:ilvl w:val="0"/>
          <w:numId w:val="17"/>
        </w:numPr>
        <w:tabs>
          <w:tab w:val="clear" w:pos="720"/>
          <w:tab w:val="clear" w:pos="1440"/>
        </w:tabs>
        <w:ind w:left="1418" w:hanging="709"/>
        <w:rPr>
          <w:rFonts w:cs="Arial"/>
        </w:rPr>
      </w:pPr>
      <w:r w:rsidRPr="00FA5096">
        <w:rPr>
          <w:rFonts w:cs="Arial"/>
        </w:rPr>
        <w:t>a variation to change the boundary of a zone under section 90B (Rezoning – development encroaching on adjoining territory land);</w:t>
      </w:r>
    </w:p>
    <w:p w:rsidR="004D14F8" w:rsidRPr="00FA5096" w:rsidRDefault="004D14F8" w:rsidP="004D14F8">
      <w:pPr>
        <w:pStyle w:val="TAbodytext"/>
        <w:numPr>
          <w:ilvl w:val="0"/>
          <w:numId w:val="17"/>
        </w:numPr>
        <w:tabs>
          <w:tab w:val="clear" w:pos="720"/>
          <w:tab w:val="clear" w:pos="1440"/>
        </w:tabs>
        <w:ind w:left="1418" w:hanging="709"/>
        <w:rPr>
          <w:rFonts w:cs="Arial"/>
        </w:rPr>
      </w:pPr>
      <w:r w:rsidRPr="00FA5096">
        <w:rPr>
          <w:rFonts w:cs="Arial"/>
        </w:rPr>
        <w:t>a variation in relation to a future urban area under section 90C (Technical amendments – future urban areas);</w:t>
      </w:r>
    </w:p>
    <w:p w:rsidR="004D14F8" w:rsidRPr="00FA5096" w:rsidRDefault="004D14F8" w:rsidP="004D14F8">
      <w:pPr>
        <w:pStyle w:val="TAbodytext"/>
        <w:numPr>
          <w:ilvl w:val="0"/>
          <w:numId w:val="17"/>
        </w:numPr>
        <w:tabs>
          <w:tab w:val="clear" w:pos="720"/>
          <w:tab w:val="clear" w:pos="1440"/>
        </w:tabs>
        <w:ind w:left="1418" w:hanging="709"/>
        <w:rPr>
          <w:rFonts w:cs="Arial"/>
        </w:rPr>
      </w:pPr>
      <w:r w:rsidRPr="00FA5096">
        <w:rPr>
          <w:rFonts w:cs="Arial"/>
        </w:rPr>
        <w:t>a variation in relation to an estate development plan under section 96 (Effect of  approval of estate development plan) if it incorporates an ongoing provision that was not included in the plan under section 94 (3) (g);</w:t>
      </w:r>
    </w:p>
    <w:p w:rsidR="004D14F8" w:rsidRPr="00FA5096" w:rsidRDefault="004D14F8" w:rsidP="004D14F8">
      <w:pPr>
        <w:pStyle w:val="TAbodytext"/>
        <w:numPr>
          <w:ilvl w:val="0"/>
          <w:numId w:val="17"/>
        </w:numPr>
        <w:tabs>
          <w:tab w:val="clear" w:pos="720"/>
          <w:tab w:val="clear" w:pos="1440"/>
        </w:tabs>
        <w:ind w:left="1418" w:hanging="709"/>
        <w:rPr>
          <w:rFonts w:cs="Arial"/>
        </w:rPr>
      </w:pPr>
      <w:r w:rsidRPr="00FA5096">
        <w:rPr>
          <w:rFonts w:cs="Arial"/>
        </w:rPr>
        <w:t>a variation to clarify the language in the territory plan if it does not change the substance of the plan;</w:t>
      </w:r>
    </w:p>
    <w:p w:rsidR="004D14F8" w:rsidRPr="00FA5096" w:rsidRDefault="004D14F8" w:rsidP="004D14F8">
      <w:pPr>
        <w:pStyle w:val="TAbodytext"/>
        <w:numPr>
          <w:ilvl w:val="0"/>
          <w:numId w:val="17"/>
        </w:numPr>
        <w:tabs>
          <w:tab w:val="clear" w:pos="720"/>
          <w:tab w:val="clear" w:pos="1440"/>
        </w:tabs>
        <w:ind w:left="1418" w:hanging="709"/>
        <w:rPr>
          <w:rFonts w:cs="Arial"/>
        </w:rPr>
      </w:pPr>
      <w:r w:rsidRPr="00FA5096">
        <w:rPr>
          <w:rFonts w:cs="Arial"/>
        </w:rPr>
        <w:t>a variation to relocate a provision within the territory plan if the substance of the provision is not changed.</w:t>
      </w:r>
    </w:p>
    <w:p w:rsidR="004D14F8" w:rsidRPr="00FA5096" w:rsidRDefault="004D14F8" w:rsidP="004D14F8">
      <w:pPr>
        <w:pStyle w:val="TAbodytext"/>
      </w:pPr>
      <w:r w:rsidRPr="00FA5096">
        <w:t>Following each item in Part 2 Explanation of this technical amendment is a statement of compliance against the specific criteria for the relevant category of technical amendment.</w:t>
      </w:r>
    </w:p>
    <w:p w:rsidR="004D14F8" w:rsidRPr="00FA5096" w:rsidRDefault="00EE1241" w:rsidP="004D14F8">
      <w:r>
        <w:t>TA2017-14</w:t>
      </w:r>
      <w:r w:rsidR="004D14F8" w:rsidRPr="00FA5096">
        <w:t xml:space="preserve"> has been prepared in accordance with section 87(2)(a)</w:t>
      </w:r>
      <w:r w:rsidR="0028638B">
        <w:t xml:space="preserve"> </w:t>
      </w:r>
      <w:r w:rsidR="004D14F8" w:rsidRPr="00FA5096">
        <w:t>of the Act.</w:t>
      </w:r>
    </w:p>
    <w:bookmarkEnd w:id="7"/>
    <w:p w:rsidR="00CD2EEF" w:rsidRPr="00BE441E" w:rsidRDefault="003E0DA3" w:rsidP="00CD2EEF">
      <w:pPr>
        <w:pStyle w:val="TAsectionheading"/>
      </w:pPr>
      <w:r>
        <w:br w:type="page"/>
      </w:r>
      <w:bookmarkStart w:id="25" w:name="_Toc254851537"/>
      <w:bookmarkStart w:id="26" w:name="_Toc487711328"/>
      <w:r w:rsidRPr="00BE441E">
        <w:lastRenderedPageBreak/>
        <w:t>EXPLANATORY STATEMENT</w:t>
      </w:r>
      <w:bookmarkEnd w:id="25"/>
      <w:bookmarkEnd w:id="26"/>
    </w:p>
    <w:p w:rsidR="0060070A" w:rsidRPr="00FA5096" w:rsidRDefault="0060070A" w:rsidP="0060070A">
      <w:bookmarkStart w:id="27" w:name="_Toc254851538"/>
      <w:r w:rsidRPr="00FA5096">
        <w:t>This part of the technical amendment document explains the changes to be made to the Territory Plan, the reasons for the change, and a statement of compliance against the relevant section of the Act.</w:t>
      </w:r>
    </w:p>
    <w:p w:rsidR="00CD2EEF" w:rsidRDefault="0060070A" w:rsidP="0028638B">
      <w:pPr>
        <w:pStyle w:val="TAsectionheading3"/>
        <w:spacing w:before="360"/>
      </w:pPr>
      <w:r>
        <w:tab/>
      </w:r>
      <w:bookmarkStart w:id="28" w:name="_Toc487711329"/>
      <w:r w:rsidR="0037490A">
        <w:t>Moncrieff precinct map and code</w:t>
      </w:r>
      <w:bookmarkEnd w:id="27"/>
      <w:bookmarkEnd w:id="28"/>
    </w:p>
    <w:p w:rsidR="00CD2EEF" w:rsidRPr="007E4DC3" w:rsidRDefault="0060070A" w:rsidP="0060070A">
      <w:pPr>
        <w:pStyle w:val="TAexplanatorystatementsubheading"/>
        <w:numPr>
          <w:ilvl w:val="0"/>
          <w:numId w:val="20"/>
        </w:numPr>
        <w:tabs>
          <w:tab w:val="clear" w:pos="720"/>
          <w:tab w:val="clear" w:pos="1440"/>
        </w:tabs>
        <w:ind w:left="426" w:hanging="426"/>
      </w:pPr>
      <w:r>
        <w:t xml:space="preserve">Rule </w:t>
      </w:r>
      <w:r w:rsidR="00284D29">
        <w:t>R9</w:t>
      </w:r>
      <w:r w:rsidR="0028638B">
        <w:t>, Moncrieff Precinct Code</w:t>
      </w:r>
    </w:p>
    <w:p w:rsidR="00CD2EEF" w:rsidRDefault="0028638B" w:rsidP="00CD2EEF">
      <w:pPr>
        <w:pStyle w:val="TAbodytext"/>
      </w:pPr>
      <w:r>
        <w:t>Due to the configuration of some blocks, development is not able to adequately meet the mandatory requirements for garage location, private open space size and courtyard wall setbacks. To address this, i</w:t>
      </w:r>
      <w:r w:rsidR="00284D29">
        <w:t xml:space="preserve">t is proposed to amend R9 to clarify that </w:t>
      </w:r>
      <w:r w:rsidR="008D672C">
        <w:t>where a block requires a mandatory 6x6m open space area adjacent to a mandatory courtyard wall, the wall may be located within the 6x6m open space area</w:t>
      </w:r>
      <w:r w:rsidR="003E0DA3">
        <w:t>.</w:t>
      </w:r>
    </w:p>
    <w:p w:rsidR="00792440" w:rsidRDefault="00792440" w:rsidP="00CD2EEF">
      <w:pPr>
        <w:pStyle w:val="TAbodytext"/>
      </w:pPr>
    </w:p>
    <w:p w:rsidR="00CD2EEF" w:rsidRDefault="008D672C" w:rsidP="00CD2EEF">
      <w:pPr>
        <w:pStyle w:val="TAbodytext"/>
      </w:pPr>
      <w:r>
        <w:t>Existing R9</w:t>
      </w:r>
    </w:p>
    <w:tbl>
      <w:tblPr>
        <w:tblW w:w="9072" w:type="dxa"/>
        <w:tblInd w:w="119" w:type="dxa"/>
        <w:tblLayout w:type="fixed"/>
        <w:tblCellMar>
          <w:left w:w="0" w:type="dxa"/>
          <w:right w:w="0" w:type="dxa"/>
        </w:tblCellMar>
        <w:tblLook w:val="0000" w:firstRow="0" w:lastRow="0" w:firstColumn="0" w:lastColumn="0" w:noHBand="0" w:noVBand="0"/>
      </w:tblPr>
      <w:tblGrid>
        <w:gridCol w:w="4536"/>
        <w:gridCol w:w="4536"/>
      </w:tblGrid>
      <w:tr w:rsidR="008D672C" w:rsidRPr="008D672C" w:rsidTr="008D672C">
        <w:trPr>
          <w:trHeight w:val="360"/>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8D672C" w:rsidRPr="008D672C" w:rsidRDefault="008D672C" w:rsidP="008D672C">
            <w:pPr>
              <w:kinsoku w:val="0"/>
              <w:overflowPunct w:val="0"/>
              <w:autoSpaceDE w:val="0"/>
              <w:autoSpaceDN w:val="0"/>
              <w:adjustRightInd w:val="0"/>
              <w:spacing w:before="58"/>
              <w:ind w:left="102"/>
              <w:rPr>
                <w:rFonts w:cs="Arial"/>
                <w:b/>
                <w:bCs/>
                <w:sz w:val="22"/>
                <w:szCs w:val="22"/>
              </w:rPr>
            </w:pPr>
            <w:r w:rsidRPr="008D672C">
              <w:rPr>
                <w:rFonts w:cs="Arial"/>
                <w:b/>
                <w:bCs/>
                <w:sz w:val="22"/>
                <w:szCs w:val="22"/>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8D672C" w:rsidRPr="008D672C" w:rsidRDefault="008D672C" w:rsidP="008D672C">
            <w:pPr>
              <w:kinsoku w:val="0"/>
              <w:overflowPunct w:val="0"/>
              <w:autoSpaceDE w:val="0"/>
              <w:autoSpaceDN w:val="0"/>
              <w:adjustRightInd w:val="0"/>
              <w:spacing w:before="58"/>
              <w:ind w:left="102"/>
              <w:rPr>
                <w:rFonts w:cs="Arial"/>
                <w:b/>
                <w:bCs/>
                <w:sz w:val="22"/>
                <w:szCs w:val="22"/>
              </w:rPr>
            </w:pPr>
            <w:r w:rsidRPr="008D672C">
              <w:rPr>
                <w:rFonts w:cs="Arial"/>
                <w:b/>
                <w:bCs/>
                <w:sz w:val="22"/>
                <w:szCs w:val="22"/>
              </w:rPr>
              <w:t>Criteria</w:t>
            </w:r>
          </w:p>
        </w:tc>
      </w:tr>
      <w:tr w:rsidR="008D672C" w:rsidRPr="008D672C" w:rsidTr="008D672C">
        <w:trPr>
          <w:trHeight w:val="34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8D672C" w:rsidRPr="008D672C" w:rsidRDefault="008D672C" w:rsidP="008D672C">
            <w:pPr>
              <w:kinsoku w:val="0"/>
              <w:overflowPunct w:val="0"/>
              <w:autoSpaceDE w:val="0"/>
              <w:autoSpaceDN w:val="0"/>
              <w:adjustRightInd w:val="0"/>
              <w:spacing w:before="58"/>
              <w:ind w:left="102"/>
              <w:rPr>
                <w:rFonts w:cs="Arial"/>
                <w:b/>
                <w:bCs/>
                <w:sz w:val="20"/>
                <w:szCs w:val="20"/>
              </w:rPr>
            </w:pPr>
            <w:bookmarkStart w:id="29" w:name="bookmark0"/>
            <w:bookmarkEnd w:id="29"/>
            <w:r w:rsidRPr="008D672C">
              <w:rPr>
                <w:rFonts w:cs="Arial"/>
                <w:b/>
                <w:bCs/>
                <w:sz w:val="20"/>
                <w:szCs w:val="20"/>
              </w:rPr>
              <w:t>1.2 Principal private open space</w:t>
            </w:r>
          </w:p>
        </w:tc>
      </w:tr>
      <w:tr w:rsidR="008D672C" w:rsidRPr="008D672C" w:rsidTr="008D672C">
        <w:trPr>
          <w:trHeight w:val="2340"/>
        </w:trPr>
        <w:tc>
          <w:tcPr>
            <w:tcW w:w="4536" w:type="dxa"/>
            <w:tcBorders>
              <w:top w:val="single" w:sz="4" w:space="0" w:color="000000"/>
              <w:left w:val="single" w:sz="4" w:space="0" w:color="000000"/>
              <w:bottom w:val="single" w:sz="4" w:space="0" w:color="000000"/>
              <w:right w:val="single" w:sz="4" w:space="0" w:color="000000"/>
            </w:tcBorders>
          </w:tcPr>
          <w:p w:rsidR="008D672C" w:rsidRPr="008D672C" w:rsidRDefault="008D672C" w:rsidP="008D672C">
            <w:pPr>
              <w:kinsoku w:val="0"/>
              <w:overflowPunct w:val="0"/>
              <w:autoSpaceDE w:val="0"/>
              <w:autoSpaceDN w:val="0"/>
              <w:adjustRightInd w:val="0"/>
              <w:spacing w:before="58"/>
              <w:ind w:left="102"/>
              <w:rPr>
                <w:rFonts w:cs="Arial"/>
                <w:sz w:val="20"/>
                <w:szCs w:val="20"/>
              </w:rPr>
            </w:pPr>
            <w:r w:rsidRPr="008D672C">
              <w:rPr>
                <w:rFonts w:cs="Arial"/>
                <w:sz w:val="20"/>
                <w:szCs w:val="20"/>
              </w:rPr>
              <w:t>R9</w:t>
            </w:r>
          </w:p>
          <w:p w:rsidR="008D672C" w:rsidRPr="008D672C" w:rsidRDefault="008D672C" w:rsidP="008D672C">
            <w:pPr>
              <w:kinsoku w:val="0"/>
              <w:overflowPunct w:val="0"/>
              <w:autoSpaceDE w:val="0"/>
              <w:autoSpaceDN w:val="0"/>
              <w:adjustRightInd w:val="0"/>
              <w:spacing w:before="106" w:line="285" w:lineRule="auto"/>
              <w:ind w:left="102" w:right="113"/>
              <w:rPr>
                <w:rFonts w:cs="Arial"/>
                <w:sz w:val="20"/>
                <w:szCs w:val="20"/>
              </w:rPr>
            </w:pPr>
            <w:r w:rsidRPr="008D672C">
              <w:rPr>
                <w:rFonts w:cs="Arial"/>
                <w:sz w:val="20"/>
                <w:szCs w:val="20"/>
              </w:rPr>
              <w:t>This rule applies to blocks or parcels in locations identified in Figures 4, 5, 6 and 7.</w:t>
            </w:r>
          </w:p>
          <w:p w:rsidR="008D672C" w:rsidRPr="008D672C" w:rsidRDefault="008D672C" w:rsidP="008D672C">
            <w:pPr>
              <w:kinsoku w:val="0"/>
              <w:overflowPunct w:val="0"/>
              <w:autoSpaceDE w:val="0"/>
              <w:autoSpaceDN w:val="0"/>
              <w:adjustRightInd w:val="0"/>
              <w:spacing w:before="63" w:line="288" w:lineRule="auto"/>
              <w:ind w:left="102" w:right="279"/>
              <w:rPr>
                <w:rFonts w:cs="Arial"/>
                <w:sz w:val="20"/>
                <w:szCs w:val="20"/>
              </w:rPr>
            </w:pPr>
            <w:r w:rsidRPr="008D672C">
              <w:rPr>
                <w:rFonts w:cs="Arial"/>
                <w:sz w:val="20"/>
                <w:szCs w:val="20"/>
              </w:rPr>
              <w:t>Minimum dimensions for principal private open space are:</w:t>
            </w:r>
          </w:p>
          <w:p w:rsidR="008D672C" w:rsidRPr="008D672C" w:rsidRDefault="008D672C" w:rsidP="008D672C">
            <w:pPr>
              <w:numPr>
                <w:ilvl w:val="0"/>
                <w:numId w:val="21"/>
              </w:numPr>
              <w:tabs>
                <w:tab w:val="left" w:pos="558"/>
              </w:tabs>
              <w:kinsoku w:val="0"/>
              <w:overflowPunct w:val="0"/>
              <w:autoSpaceDE w:val="0"/>
              <w:autoSpaceDN w:val="0"/>
              <w:adjustRightInd w:val="0"/>
              <w:spacing w:before="70"/>
              <w:ind w:hanging="454"/>
              <w:rPr>
                <w:rFonts w:cs="Arial"/>
                <w:sz w:val="20"/>
                <w:szCs w:val="20"/>
              </w:rPr>
            </w:pPr>
            <w:r w:rsidRPr="008D672C">
              <w:rPr>
                <w:rFonts w:cs="Arial"/>
                <w:sz w:val="20"/>
                <w:szCs w:val="20"/>
              </w:rPr>
              <w:t>For blocks marked 3m – 3m x</w:t>
            </w:r>
            <w:r w:rsidRPr="008D672C">
              <w:rPr>
                <w:rFonts w:cs="Arial"/>
                <w:spacing w:val="11"/>
                <w:sz w:val="20"/>
                <w:szCs w:val="20"/>
              </w:rPr>
              <w:t xml:space="preserve"> </w:t>
            </w:r>
            <w:r w:rsidRPr="008D672C">
              <w:rPr>
                <w:rFonts w:cs="Arial"/>
                <w:sz w:val="20"/>
                <w:szCs w:val="20"/>
              </w:rPr>
              <w:t>3m</w:t>
            </w:r>
          </w:p>
          <w:p w:rsidR="008D672C" w:rsidRPr="008D672C" w:rsidRDefault="008D672C" w:rsidP="008D672C">
            <w:pPr>
              <w:numPr>
                <w:ilvl w:val="0"/>
                <w:numId w:val="21"/>
              </w:numPr>
              <w:tabs>
                <w:tab w:val="left" w:pos="558"/>
              </w:tabs>
              <w:kinsoku w:val="0"/>
              <w:overflowPunct w:val="0"/>
              <w:autoSpaceDE w:val="0"/>
              <w:autoSpaceDN w:val="0"/>
              <w:adjustRightInd w:val="0"/>
              <w:spacing w:before="130"/>
              <w:ind w:hanging="454"/>
              <w:rPr>
                <w:rFonts w:cs="Arial"/>
                <w:sz w:val="20"/>
                <w:szCs w:val="20"/>
              </w:rPr>
            </w:pPr>
            <w:r w:rsidRPr="008D672C">
              <w:rPr>
                <w:rFonts w:cs="Arial"/>
                <w:sz w:val="20"/>
                <w:szCs w:val="20"/>
              </w:rPr>
              <w:t>For blocks marked 6m – 6m x</w:t>
            </w:r>
            <w:r w:rsidRPr="008D672C">
              <w:rPr>
                <w:rFonts w:cs="Arial"/>
                <w:spacing w:val="11"/>
                <w:sz w:val="20"/>
                <w:szCs w:val="20"/>
              </w:rPr>
              <w:t xml:space="preserve"> </w:t>
            </w:r>
            <w:r w:rsidRPr="008D672C">
              <w:rPr>
                <w:rFonts w:cs="Arial"/>
                <w:sz w:val="20"/>
                <w:szCs w:val="20"/>
              </w:rPr>
              <w:t>6m</w:t>
            </w:r>
          </w:p>
        </w:tc>
        <w:tc>
          <w:tcPr>
            <w:tcW w:w="4536" w:type="dxa"/>
            <w:tcBorders>
              <w:top w:val="single" w:sz="4" w:space="0" w:color="000000"/>
              <w:left w:val="single" w:sz="4" w:space="0" w:color="000000"/>
              <w:bottom w:val="single" w:sz="4" w:space="0" w:color="000000"/>
              <w:right w:val="single" w:sz="4" w:space="0" w:color="000000"/>
            </w:tcBorders>
          </w:tcPr>
          <w:p w:rsidR="008D672C" w:rsidRPr="008D672C" w:rsidRDefault="008D672C" w:rsidP="008D672C">
            <w:pPr>
              <w:kinsoku w:val="0"/>
              <w:overflowPunct w:val="0"/>
              <w:autoSpaceDE w:val="0"/>
              <w:autoSpaceDN w:val="0"/>
              <w:adjustRightInd w:val="0"/>
              <w:rPr>
                <w:rFonts w:ascii="Times New Roman" w:hAnsi="Times New Roman"/>
                <w:sz w:val="22"/>
                <w:szCs w:val="22"/>
              </w:rPr>
            </w:pPr>
          </w:p>
          <w:p w:rsidR="008D672C" w:rsidRPr="008D672C" w:rsidRDefault="008D672C" w:rsidP="008D672C">
            <w:pPr>
              <w:kinsoku w:val="0"/>
              <w:overflowPunct w:val="0"/>
              <w:autoSpaceDE w:val="0"/>
              <w:autoSpaceDN w:val="0"/>
              <w:adjustRightInd w:val="0"/>
              <w:spacing w:before="141" w:line="285" w:lineRule="auto"/>
              <w:ind w:left="102"/>
              <w:rPr>
                <w:rFonts w:cs="Arial"/>
                <w:sz w:val="20"/>
                <w:szCs w:val="20"/>
              </w:rPr>
            </w:pPr>
            <w:r w:rsidRPr="008D672C">
              <w:rPr>
                <w:rFonts w:cs="Arial"/>
                <w:sz w:val="20"/>
                <w:szCs w:val="20"/>
              </w:rPr>
              <w:t>This is a mandatory requirement. There is no applicable criterion.</w:t>
            </w:r>
          </w:p>
        </w:tc>
      </w:tr>
    </w:tbl>
    <w:p w:rsidR="008D672C" w:rsidRDefault="008D672C" w:rsidP="00CD2EEF">
      <w:pPr>
        <w:pStyle w:val="TAbodytext"/>
      </w:pPr>
    </w:p>
    <w:p w:rsidR="00792440" w:rsidRDefault="00792440" w:rsidP="00CD2EEF">
      <w:pPr>
        <w:pStyle w:val="TAbodytext"/>
      </w:pPr>
      <w:r>
        <w:t>Proposed R9</w:t>
      </w:r>
    </w:p>
    <w:tbl>
      <w:tblPr>
        <w:tblW w:w="9072" w:type="dxa"/>
        <w:tblInd w:w="119" w:type="dxa"/>
        <w:tblLayout w:type="fixed"/>
        <w:tblCellMar>
          <w:left w:w="0" w:type="dxa"/>
          <w:right w:w="0" w:type="dxa"/>
        </w:tblCellMar>
        <w:tblLook w:val="0000" w:firstRow="0" w:lastRow="0" w:firstColumn="0" w:lastColumn="0" w:noHBand="0" w:noVBand="0"/>
      </w:tblPr>
      <w:tblGrid>
        <w:gridCol w:w="4536"/>
        <w:gridCol w:w="4536"/>
      </w:tblGrid>
      <w:tr w:rsidR="00792440" w:rsidRPr="008D672C" w:rsidTr="00CD2EEF">
        <w:trPr>
          <w:trHeight w:val="360"/>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792440" w:rsidRPr="008D672C" w:rsidRDefault="00792440" w:rsidP="00CD2EEF">
            <w:pPr>
              <w:kinsoku w:val="0"/>
              <w:overflowPunct w:val="0"/>
              <w:autoSpaceDE w:val="0"/>
              <w:autoSpaceDN w:val="0"/>
              <w:adjustRightInd w:val="0"/>
              <w:spacing w:before="58"/>
              <w:ind w:left="102"/>
              <w:rPr>
                <w:rFonts w:cs="Arial"/>
                <w:b/>
                <w:bCs/>
                <w:sz w:val="22"/>
                <w:szCs w:val="22"/>
              </w:rPr>
            </w:pPr>
            <w:r w:rsidRPr="008D672C">
              <w:rPr>
                <w:rFonts w:cs="Arial"/>
                <w:b/>
                <w:bCs/>
                <w:sz w:val="22"/>
                <w:szCs w:val="22"/>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792440" w:rsidRPr="008D672C" w:rsidRDefault="00792440" w:rsidP="00CD2EEF">
            <w:pPr>
              <w:kinsoku w:val="0"/>
              <w:overflowPunct w:val="0"/>
              <w:autoSpaceDE w:val="0"/>
              <w:autoSpaceDN w:val="0"/>
              <w:adjustRightInd w:val="0"/>
              <w:spacing w:before="58"/>
              <w:ind w:left="102"/>
              <w:rPr>
                <w:rFonts w:cs="Arial"/>
                <w:b/>
                <w:bCs/>
                <w:sz w:val="22"/>
                <w:szCs w:val="22"/>
              </w:rPr>
            </w:pPr>
            <w:r w:rsidRPr="008D672C">
              <w:rPr>
                <w:rFonts w:cs="Arial"/>
                <w:b/>
                <w:bCs/>
                <w:sz w:val="22"/>
                <w:szCs w:val="22"/>
              </w:rPr>
              <w:t>Criteria</w:t>
            </w:r>
          </w:p>
        </w:tc>
      </w:tr>
      <w:tr w:rsidR="00792440" w:rsidRPr="008D672C" w:rsidTr="00CD2EEF">
        <w:trPr>
          <w:trHeight w:val="34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792440" w:rsidRPr="008D672C" w:rsidRDefault="00792440" w:rsidP="00CD2EEF">
            <w:pPr>
              <w:kinsoku w:val="0"/>
              <w:overflowPunct w:val="0"/>
              <w:autoSpaceDE w:val="0"/>
              <w:autoSpaceDN w:val="0"/>
              <w:adjustRightInd w:val="0"/>
              <w:spacing w:before="58"/>
              <w:ind w:left="102"/>
              <w:rPr>
                <w:rFonts w:cs="Arial"/>
                <w:b/>
                <w:bCs/>
                <w:sz w:val="20"/>
                <w:szCs w:val="20"/>
              </w:rPr>
            </w:pPr>
            <w:r w:rsidRPr="008D672C">
              <w:rPr>
                <w:rFonts w:cs="Arial"/>
                <w:b/>
                <w:bCs/>
                <w:sz w:val="20"/>
                <w:szCs w:val="20"/>
              </w:rPr>
              <w:t>1.2 Principal private open space</w:t>
            </w:r>
          </w:p>
        </w:tc>
      </w:tr>
      <w:tr w:rsidR="00792440" w:rsidRPr="008D672C" w:rsidTr="00EB3278">
        <w:trPr>
          <w:trHeight w:val="274"/>
        </w:trPr>
        <w:tc>
          <w:tcPr>
            <w:tcW w:w="4536" w:type="dxa"/>
            <w:tcBorders>
              <w:top w:val="single" w:sz="4" w:space="0" w:color="000000"/>
              <w:left w:val="single" w:sz="4" w:space="0" w:color="000000"/>
              <w:bottom w:val="single" w:sz="4" w:space="0" w:color="000000"/>
              <w:right w:val="single" w:sz="4" w:space="0" w:color="000000"/>
            </w:tcBorders>
          </w:tcPr>
          <w:p w:rsidR="00792440" w:rsidRPr="008D672C" w:rsidRDefault="00792440" w:rsidP="00CD2EEF">
            <w:pPr>
              <w:kinsoku w:val="0"/>
              <w:overflowPunct w:val="0"/>
              <w:autoSpaceDE w:val="0"/>
              <w:autoSpaceDN w:val="0"/>
              <w:adjustRightInd w:val="0"/>
              <w:spacing w:before="58"/>
              <w:ind w:left="102"/>
              <w:rPr>
                <w:rFonts w:cs="Arial"/>
                <w:sz w:val="20"/>
                <w:szCs w:val="20"/>
              </w:rPr>
            </w:pPr>
            <w:r w:rsidRPr="008D672C">
              <w:rPr>
                <w:rFonts w:cs="Arial"/>
                <w:sz w:val="20"/>
                <w:szCs w:val="20"/>
              </w:rPr>
              <w:t>R9</w:t>
            </w:r>
          </w:p>
          <w:p w:rsidR="00792440" w:rsidRPr="008D672C" w:rsidRDefault="00792440" w:rsidP="00CD2EEF">
            <w:pPr>
              <w:kinsoku w:val="0"/>
              <w:overflowPunct w:val="0"/>
              <w:autoSpaceDE w:val="0"/>
              <w:autoSpaceDN w:val="0"/>
              <w:adjustRightInd w:val="0"/>
              <w:spacing w:before="106" w:line="285" w:lineRule="auto"/>
              <w:ind w:left="102" w:right="113"/>
              <w:rPr>
                <w:rFonts w:cs="Arial"/>
                <w:sz w:val="20"/>
                <w:szCs w:val="20"/>
              </w:rPr>
            </w:pPr>
            <w:r w:rsidRPr="008D672C">
              <w:rPr>
                <w:rFonts w:cs="Arial"/>
                <w:sz w:val="20"/>
                <w:szCs w:val="20"/>
              </w:rPr>
              <w:t>This rule applies to blocks or parcels in locations identified in Figures 4, 5, 6 and 7.</w:t>
            </w:r>
          </w:p>
          <w:p w:rsidR="00792440" w:rsidRPr="008D672C" w:rsidRDefault="00792440" w:rsidP="00CD2EEF">
            <w:pPr>
              <w:kinsoku w:val="0"/>
              <w:overflowPunct w:val="0"/>
              <w:autoSpaceDE w:val="0"/>
              <w:autoSpaceDN w:val="0"/>
              <w:adjustRightInd w:val="0"/>
              <w:spacing w:before="63" w:line="288" w:lineRule="auto"/>
              <w:ind w:left="102" w:right="279"/>
              <w:rPr>
                <w:rFonts w:cs="Arial"/>
                <w:sz w:val="20"/>
                <w:szCs w:val="20"/>
              </w:rPr>
            </w:pPr>
            <w:r w:rsidRPr="008D672C">
              <w:rPr>
                <w:rFonts w:cs="Arial"/>
                <w:sz w:val="20"/>
                <w:szCs w:val="20"/>
              </w:rPr>
              <w:t>Minimum dimensions for principal private open space are:</w:t>
            </w:r>
          </w:p>
          <w:p w:rsidR="00792440" w:rsidRPr="008D672C" w:rsidRDefault="00792440" w:rsidP="00792440">
            <w:pPr>
              <w:numPr>
                <w:ilvl w:val="0"/>
                <w:numId w:val="23"/>
              </w:numPr>
              <w:tabs>
                <w:tab w:val="left" w:pos="558"/>
              </w:tabs>
              <w:kinsoku w:val="0"/>
              <w:overflowPunct w:val="0"/>
              <w:autoSpaceDE w:val="0"/>
              <w:autoSpaceDN w:val="0"/>
              <w:adjustRightInd w:val="0"/>
              <w:spacing w:before="70"/>
              <w:rPr>
                <w:rFonts w:cs="Arial"/>
                <w:sz w:val="20"/>
                <w:szCs w:val="20"/>
              </w:rPr>
            </w:pPr>
            <w:r w:rsidRPr="008D672C">
              <w:rPr>
                <w:rFonts w:cs="Arial"/>
                <w:sz w:val="20"/>
                <w:szCs w:val="20"/>
              </w:rPr>
              <w:t>For blocks marked 3m – 3m x</w:t>
            </w:r>
            <w:r w:rsidRPr="008D672C">
              <w:rPr>
                <w:rFonts w:cs="Arial"/>
                <w:spacing w:val="11"/>
                <w:sz w:val="20"/>
                <w:szCs w:val="20"/>
              </w:rPr>
              <w:t xml:space="preserve"> </w:t>
            </w:r>
            <w:r w:rsidRPr="008D672C">
              <w:rPr>
                <w:rFonts w:cs="Arial"/>
                <w:sz w:val="20"/>
                <w:szCs w:val="20"/>
              </w:rPr>
              <w:t>3m</w:t>
            </w:r>
          </w:p>
          <w:p w:rsidR="00792440" w:rsidRDefault="00792440" w:rsidP="00792440">
            <w:pPr>
              <w:numPr>
                <w:ilvl w:val="0"/>
                <w:numId w:val="23"/>
              </w:numPr>
              <w:tabs>
                <w:tab w:val="left" w:pos="558"/>
              </w:tabs>
              <w:kinsoku w:val="0"/>
              <w:overflowPunct w:val="0"/>
              <w:autoSpaceDE w:val="0"/>
              <w:autoSpaceDN w:val="0"/>
              <w:adjustRightInd w:val="0"/>
              <w:spacing w:before="130"/>
              <w:ind w:hanging="454"/>
              <w:rPr>
                <w:rFonts w:cs="Arial"/>
                <w:sz w:val="20"/>
                <w:szCs w:val="20"/>
              </w:rPr>
            </w:pPr>
            <w:r w:rsidRPr="008D672C">
              <w:rPr>
                <w:rFonts w:cs="Arial"/>
                <w:sz w:val="20"/>
                <w:szCs w:val="20"/>
              </w:rPr>
              <w:t>For blocks marked 6m – 6m x</w:t>
            </w:r>
            <w:r w:rsidRPr="008D672C">
              <w:rPr>
                <w:rFonts w:cs="Arial"/>
                <w:spacing w:val="11"/>
                <w:sz w:val="20"/>
                <w:szCs w:val="20"/>
              </w:rPr>
              <w:t xml:space="preserve"> </w:t>
            </w:r>
            <w:r w:rsidRPr="008D672C">
              <w:rPr>
                <w:rFonts w:cs="Arial"/>
                <w:sz w:val="20"/>
                <w:szCs w:val="20"/>
              </w:rPr>
              <w:t>6m</w:t>
            </w:r>
          </w:p>
          <w:p w:rsidR="00792440" w:rsidRPr="008D672C" w:rsidRDefault="00EB3278" w:rsidP="00EB3278">
            <w:pPr>
              <w:tabs>
                <w:tab w:val="left" w:pos="558"/>
              </w:tabs>
              <w:kinsoku w:val="0"/>
              <w:overflowPunct w:val="0"/>
              <w:autoSpaceDE w:val="0"/>
              <w:autoSpaceDN w:val="0"/>
              <w:adjustRightInd w:val="0"/>
              <w:spacing w:before="130"/>
              <w:ind w:left="103"/>
              <w:rPr>
                <w:rFonts w:cs="Arial"/>
                <w:sz w:val="20"/>
                <w:szCs w:val="20"/>
              </w:rPr>
            </w:pPr>
            <w:r>
              <w:rPr>
                <w:rFonts w:cs="Arial"/>
                <w:sz w:val="20"/>
                <w:szCs w:val="20"/>
              </w:rPr>
              <w:t>Courtyard walls are permitted to encroach into the 6x6m principal private open space by a maximum of 1m and 5% of the principal private open space area</w:t>
            </w:r>
          </w:p>
        </w:tc>
        <w:tc>
          <w:tcPr>
            <w:tcW w:w="4536" w:type="dxa"/>
            <w:tcBorders>
              <w:top w:val="single" w:sz="4" w:space="0" w:color="000000"/>
              <w:left w:val="single" w:sz="4" w:space="0" w:color="000000"/>
              <w:bottom w:val="single" w:sz="4" w:space="0" w:color="000000"/>
              <w:right w:val="single" w:sz="4" w:space="0" w:color="000000"/>
            </w:tcBorders>
          </w:tcPr>
          <w:p w:rsidR="00792440" w:rsidRPr="008D672C" w:rsidRDefault="00792440" w:rsidP="00CD2EEF">
            <w:pPr>
              <w:kinsoku w:val="0"/>
              <w:overflowPunct w:val="0"/>
              <w:autoSpaceDE w:val="0"/>
              <w:autoSpaceDN w:val="0"/>
              <w:adjustRightInd w:val="0"/>
              <w:rPr>
                <w:rFonts w:ascii="Times New Roman" w:hAnsi="Times New Roman"/>
                <w:sz w:val="22"/>
                <w:szCs w:val="22"/>
              </w:rPr>
            </w:pPr>
          </w:p>
          <w:p w:rsidR="00792440" w:rsidRPr="008D672C" w:rsidRDefault="00792440" w:rsidP="00CD2EEF">
            <w:pPr>
              <w:kinsoku w:val="0"/>
              <w:overflowPunct w:val="0"/>
              <w:autoSpaceDE w:val="0"/>
              <w:autoSpaceDN w:val="0"/>
              <w:adjustRightInd w:val="0"/>
              <w:spacing w:before="141" w:line="285" w:lineRule="auto"/>
              <w:ind w:left="102"/>
              <w:rPr>
                <w:rFonts w:cs="Arial"/>
                <w:sz w:val="20"/>
                <w:szCs w:val="20"/>
              </w:rPr>
            </w:pPr>
            <w:r w:rsidRPr="008D672C">
              <w:rPr>
                <w:rFonts w:cs="Arial"/>
                <w:sz w:val="20"/>
                <w:szCs w:val="20"/>
              </w:rPr>
              <w:t>This is a mandatory requirement. There is no applicable criterion.</w:t>
            </w:r>
          </w:p>
        </w:tc>
      </w:tr>
    </w:tbl>
    <w:p w:rsidR="00792440" w:rsidRDefault="00792440" w:rsidP="00CD2EEF">
      <w:pPr>
        <w:pStyle w:val="TAbodytext"/>
      </w:pPr>
    </w:p>
    <w:p w:rsidR="0037490A" w:rsidRDefault="0037490A" w:rsidP="00CD2EEF">
      <w:pPr>
        <w:pStyle w:val="TAbodytext"/>
      </w:pPr>
    </w:p>
    <w:p w:rsidR="00D358C6" w:rsidRPr="00AF0255" w:rsidRDefault="00D358C6" w:rsidP="00D358C6">
      <w:pPr>
        <w:pStyle w:val="TAbodytext"/>
        <w:rPr>
          <w:rFonts w:cs="Arial"/>
          <w:b/>
          <w:sz w:val="22"/>
          <w:szCs w:val="22"/>
        </w:rPr>
      </w:pPr>
      <w:r w:rsidRPr="00AF0255">
        <w:rPr>
          <w:rFonts w:cs="Arial"/>
          <w:b/>
          <w:sz w:val="22"/>
          <w:szCs w:val="22"/>
        </w:rPr>
        <w:t xml:space="preserve">Compliance with the Planning and Development Act 2007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4820"/>
      </w:tblGrid>
      <w:tr w:rsidR="00D358C6" w:rsidRPr="00C53A30" w:rsidTr="00D358C6">
        <w:tc>
          <w:tcPr>
            <w:tcW w:w="3969" w:type="dxa"/>
          </w:tcPr>
          <w:p w:rsidR="00D358C6" w:rsidRPr="00C53A30" w:rsidRDefault="00D358C6" w:rsidP="00D358C6">
            <w:pPr>
              <w:pStyle w:val="TAbody"/>
              <w:rPr>
                <w:b/>
                <w:sz w:val="22"/>
                <w:szCs w:val="22"/>
                <w:lang w:val="en-AU"/>
              </w:rPr>
            </w:pPr>
            <w:r w:rsidRPr="00C53A30">
              <w:rPr>
                <w:b/>
                <w:sz w:val="22"/>
                <w:szCs w:val="22"/>
                <w:lang w:val="en-AU"/>
              </w:rPr>
              <w:t>Section</w:t>
            </w:r>
          </w:p>
        </w:tc>
        <w:tc>
          <w:tcPr>
            <w:tcW w:w="4820" w:type="dxa"/>
          </w:tcPr>
          <w:p w:rsidR="00D358C6" w:rsidRPr="00C53A30" w:rsidRDefault="00D358C6" w:rsidP="00D358C6">
            <w:pPr>
              <w:pStyle w:val="TAbody"/>
              <w:rPr>
                <w:b/>
                <w:sz w:val="22"/>
                <w:szCs w:val="22"/>
                <w:lang w:val="en-AU"/>
              </w:rPr>
            </w:pPr>
            <w:r w:rsidRPr="00C53A30">
              <w:rPr>
                <w:b/>
                <w:sz w:val="22"/>
                <w:szCs w:val="22"/>
                <w:lang w:val="en-AU"/>
              </w:rPr>
              <w:t>Statement</w:t>
            </w:r>
          </w:p>
        </w:tc>
      </w:tr>
      <w:tr w:rsidR="00D358C6" w:rsidRPr="00640361" w:rsidTr="00D358C6">
        <w:tblPrEx>
          <w:tblLook w:val="01E0" w:firstRow="1" w:lastRow="1" w:firstColumn="1" w:lastColumn="1" w:noHBand="0" w:noVBand="0"/>
        </w:tblPrEx>
        <w:trPr>
          <w:trHeight w:val="2075"/>
        </w:trPr>
        <w:tc>
          <w:tcPr>
            <w:tcW w:w="3969" w:type="dxa"/>
          </w:tcPr>
          <w:p w:rsidR="00D358C6" w:rsidRPr="00C53A30" w:rsidRDefault="00D358C6" w:rsidP="00D358C6">
            <w:pPr>
              <w:pStyle w:val="TAbody"/>
              <w:rPr>
                <w:rFonts w:cs="Arial"/>
                <w:sz w:val="22"/>
                <w:szCs w:val="22"/>
                <w:lang w:val="en-AU"/>
              </w:rPr>
            </w:pPr>
            <w:r>
              <w:rPr>
                <w:rFonts w:cs="Arial"/>
                <w:sz w:val="22"/>
                <w:szCs w:val="22"/>
                <w:lang w:val="en-AU"/>
              </w:rPr>
              <w:t>s87(2</w:t>
            </w:r>
            <w:r w:rsidRPr="00C53A30">
              <w:rPr>
                <w:rFonts w:cs="Arial"/>
                <w:sz w:val="22"/>
                <w:szCs w:val="22"/>
                <w:lang w:val="en-AU"/>
              </w:rPr>
              <w:t>)(a)</w:t>
            </w:r>
          </w:p>
          <w:p w:rsidR="00D358C6" w:rsidRPr="00C53A30" w:rsidRDefault="00D358C6" w:rsidP="00D358C6">
            <w:pPr>
              <w:autoSpaceDE w:val="0"/>
              <w:autoSpaceDN w:val="0"/>
              <w:adjustRightInd w:val="0"/>
              <w:rPr>
                <w:rFonts w:cs="Arial"/>
                <w:sz w:val="22"/>
                <w:szCs w:val="22"/>
              </w:rPr>
            </w:pPr>
            <w:r w:rsidRPr="00C53A30">
              <w:rPr>
                <w:rFonts w:cs="Arial"/>
                <w:sz w:val="22"/>
                <w:szCs w:val="22"/>
              </w:rPr>
              <w:t xml:space="preserve">(a) a variation (an </w:t>
            </w:r>
            <w:r>
              <w:rPr>
                <w:rFonts w:cs="Arial"/>
                <w:b/>
                <w:bCs/>
                <w:i/>
                <w:iCs/>
                <w:sz w:val="22"/>
                <w:szCs w:val="22"/>
              </w:rPr>
              <w:t>code</w:t>
            </w:r>
            <w:r w:rsidRPr="00C53A30">
              <w:rPr>
                <w:rFonts w:cs="Arial"/>
                <w:b/>
                <w:bCs/>
                <w:i/>
                <w:iCs/>
                <w:sz w:val="22"/>
                <w:szCs w:val="22"/>
              </w:rPr>
              <w:t xml:space="preserve"> variation</w:t>
            </w:r>
            <w:r w:rsidRPr="00C53A30">
              <w:rPr>
                <w:rFonts w:cs="Arial"/>
                <w:sz w:val="22"/>
                <w:szCs w:val="22"/>
              </w:rPr>
              <w:t>) that—</w:t>
            </w:r>
          </w:p>
          <w:p w:rsidR="00D358C6" w:rsidRPr="00C53A30" w:rsidRDefault="00D358C6" w:rsidP="00D358C6">
            <w:pPr>
              <w:autoSpaceDE w:val="0"/>
              <w:autoSpaceDN w:val="0"/>
              <w:adjustRightInd w:val="0"/>
              <w:rPr>
                <w:rFonts w:cs="Arial"/>
                <w:sz w:val="22"/>
                <w:szCs w:val="22"/>
              </w:rPr>
            </w:pPr>
            <w:r>
              <w:rPr>
                <w:rFonts w:cs="Arial"/>
                <w:sz w:val="22"/>
                <w:szCs w:val="22"/>
              </w:rPr>
              <w:t>(i) would only change a code</w:t>
            </w:r>
          </w:p>
          <w:p w:rsidR="00D358C6" w:rsidRDefault="00D358C6" w:rsidP="00D358C6">
            <w:pPr>
              <w:autoSpaceDE w:val="0"/>
              <w:autoSpaceDN w:val="0"/>
              <w:adjustRightInd w:val="0"/>
              <w:rPr>
                <w:rFonts w:cs="Arial"/>
                <w:sz w:val="22"/>
                <w:szCs w:val="22"/>
              </w:rPr>
            </w:pPr>
            <w:r w:rsidRPr="00C53A30">
              <w:rPr>
                <w:rFonts w:cs="Arial"/>
                <w:sz w:val="22"/>
                <w:szCs w:val="22"/>
              </w:rPr>
              <w:t>(ii)</w:t>
            </w:r>
            <w:r>
              <w:rPr>
                <w:rFonts w:cs="Arial"/>
                <w:sz w:val="22"/>
                <w:szCs w:val="22"/>
              </w:rPr>
              <w:t xml:space="preserve"> is consistent with the policy purpose and policy framework of the code; and </w:t>
            </w:r>
          </w:p>
          <w:p w:rsidR="00D358C6" w:rsidRPr="00D358C6" w:rsidRDefault="00D358C6" w:rsidP="00D358C6">
            <w:pPr>
              <w:autoSpaceDE w:val="0"/>
              <w:autoSpaceDN w:val="0"/>
              <w:adjustRightInd w:val="0"/>
              <w:rPr>
                <w:rFonts w:cs="Arial"/>
                <w:sz w:val="22"/>
                <w:szCs w:val="22"/>
              </w:rPr>
            </w:pPr>
            <w:r>
              <w:rPr>
                <w:rFonts w:cs="Arial"/>
                <w:sz w:val="22"/>
                <w:szCs w:val="22"/>
              </w:rPr>
              <w:t>(iii)is not an error variation</w:t>
            </w:r>
          </w:p>
        </w:tc>
        <w:tc>
          <w:tcPr>
            <w:tcW w:w="4820" w:type="dxa"/>
          </w:tcPr>
          <w:p w:rsidR="00D358C6" w:rsidRPr="007E775C" w:rsidRDefault="00D358C6" w:rsidP="00D358C6">
            <w:pPr>
              <w:pStyle w:val="TAbody"/>
              <w:rPr>
                <w:sz w:val="22"/>
                <w:szCs w:val="22"/>
                <w:lang w:val="en-AU"/>
              </w:rPr>
            </w:pPr>
            <w:r>
              <w:rPr>
                <w:sz w:val="22"/>
                <w:szCs w:val="22"/>
                <w:lang w:val="en-AU"/>
              </w:rPr>
              <w:t>This code amendment is consistent with the policy purpose and policy framework of the Moncrieff precinct map and code.  This amendment will clarify that small courtyard wall encroachments are permitted into principal private open space for blocks with 6m x 6m open space requirements.</w:t>
            </w:r>
          </w:p>
        </w:tc>
      </w:tr>
    </w:tbl>
    <w:p w:rsidR="00D358C6" w:rsidRDefault="00D358C6" w:rsidP="00D358C6"/>
    <w:p w:rsidR="00792440" w:rsidRDefault="00792440" w:rsidP="00CD2EEF">
      <w:pPr>
        <w:pStyle w:val="TAbodytext"/>
      </w:pPr>
    </w:p>
    <w:p w:rsidR="00D358C6" w:rsidRDefault="00D358C6" w:rsidP="00D358C6">
      <w:pPr>
        <w:pStyle w:val="TAexplanatorystatementsubheading"/>
        <w:numPr>
          <w:ilvl w:val="0"/>
          <w:numId w:val="20"/>
        </w:numPr>
        <w:tabs>
          <w:tab w:val="clear" w:pos="720"/>
          <w:tab w:val="clear" w:pos="1440"/>
        </w:tabs>
        <w:ind w:left="426" w:hanging="426"/>
      </w:pPr>
      <w:r>
        <w:t>Figure 11</w:t>
      </w:r>
    </w:p>
    <w:p w:rsidR="00D358C6" w:rsidRDefault="00D358C6" w:rsidP="00CD2EEF">
      <w:pPr>
        <w:pStyle w:val="TAbodytext"/>
      </w:pPr>
      <w:r>
        <w:t>It is proposed to amend figure 11 to re</w:t>
      </w:r>
      <w:r w:rsidR="005D548F">
        <w:t xml:space="preserve">locate the ‘S’ designating surveillance blocks from block 1 and block 28 section 43 Moncrieff to </w:t>
      </w:r>
      <w:r>
        <w:t>block 7</w:t>
      </w:r>
      <w:r w:rsidR="005D548F">
        <w:t xml:space="preserve"> and block 8</w:t>
      </w:r>
      <w:r>
        <w:t xml:space="preserve"> section 43 Moncrieff.</w:t>
      </w:r>
      <w:r w:rsidR="004D7879">
        <w:t xml:space="preserve"> This amendment will retain the passive surveillance of Cobber Close while </w:t>
      </w:r>
      <w:r w:rsidR="005D548F">
        <w:t xml:space="preserve">defining the connection to Dargin Crescent, and in the case of block 28, </w:t>
      </w:r>
      <w:r w:rsidR="004D7879">
        <w:t>reduc</w:t>
      </w:r>
      <w:r w:rsidR="005D548F">
        <w:t>e</w:t>
      </w:r>
      <w:r w:rsidR="004D7879">
        <w:t xml:space="preserve"> the potential overshadowing of the dwelling or adjoining private open space area</w:t>
      </w:r>
      <w:r w:rsidR="005D548F">
        <w:t xml:space="preserve"> from the surveillance unit</w:t>
      </w:r>
      <w:r w:rsidR="004D7879">
        <w:t>.</w:t>
      </w:r>
    </w:p>
    <w:p w:rsidR="00274951" w:rsidRDefault="00274951" w:rsidP="00CD2EEF">
      <w:pPr>
        <w:pStyle w:val="TAbodytext"/>
      </w:pPr>
    </w:p>
    <w:p w:rsidR="0028638B" w:rsidRPr="00AF0255" w:rsidRDefault="0028638B" w:rsidP="0028638B">
      <w:pPr>
        <w:pStyle w:val="TAbodytext"/>
        <w:rPr>
          <w:rFonts w:cs="Arial"/>
          <w:b/>
          <w:sz w:val="22"/>
          <w:szCs w:val="22"/>
        </w:rPr>
      </w:pPr>
      <w:r w:rsidRPr="00AF0255">
        <w:rPr>
          <w:rFonts w:cs="Arial"/>
          <w:b/>
          <w:sz w:val="22"/>
          <w:szCs w:val="22"/>
        </w:rPr>
        <w:t xml:space="preserve">Compliance with the Planning and Development Act 2007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4820"/>
      </w:tblGrid>
      <w:tr w:rsidR="0028638B" w:rsidRPr="00C53A30" w:rsidTr="00BB0F7D">
        <w:tc>
          <w:tcPr>
            <w:tcW w:w="3969" w:type="dxa"/>
          </w:tcPr>
          <w:p w:rsidR="0028638B" w:rsidRPr="00C53A30" w:rsidRDefault="0028638B" w:rsidP="00BB0F7D">
            <w:pPr>
              <w:pStyle w:val="TAbody"/>
              <w:rPr>
                <w:b/>
                <w:sz w:val="22"/>
                <w:szCs w:val="22"/>
                <w:lang w:val="en-AU"/>
              </w:rPr>
            </w:pPr>
            <w:r w:rsidRPr="00C53A30">
              <w:rPr>
                <w:b/>
                <w:sz w:val="22"/>
                <w:szCs w:val="22"/>
                <w:lang w:val="en-AU"/>
              </w:rPr>
              <w:t>Section</w:t>
            </w:r>
          </w:p>
        </w:tc>
        <w:tc>
          <w:tcPr>
            <w:tcW w:w="4820" w:type="dxa"/>
          </w:tcPr>
          <w:p w:rsidR="0028638B" w:rsidRPr="00C53A30" w:rsidRDefault="0028638B" w:rsidP="00BB0F7D">
            <w:pPr>
              <w:pStyle w:val="TAbody"/>
              <w:rPr>
                <w:b/>
                <w:sz w:val="22"/>
                <w:szCs w:val="22"/>
                <w:lang w:val="en-AU"/>
              </w:rPr>
            </w:pPr>
            <w:r w:rsidRPr="00C53A30">
              <w:rPr>
                <w:b/>
                <w:sz w:val="22"/>
                <w:szCs w:val="22"/>
                <w:lang w:val="en-AU"/>
              </w:rPr>
              <w:t>Statement</w:t>
            </w:r>
          </w:p>
        </w:tc>
      </w:tr>
      <w:tr w:rsidR="0028638B" w:rsidRPr="00640361" w:rsidTr="00BB0F7D">
        <w:tblPrEx>
          <w:tblLook w:val="01E0" w:firstRow="1" w:lastRow="1" w:firstColumn="1" w:lastColumn="1" w:noHBand="0" w:noVBand="0"/>
        </w:tblPrEx>
        <w:trPr>
          <w:trHeight w:val="2075"/>
        </w:trPr>
        <w:tc>
          <w:tcPr>
            <w:tcW w:w="3969" w:type="dxa"/>
          </w:tcPr>
          <w:p w:rsidR="0028638B" w:rsidRPr="00C53A30" w:rsidRDefault="0028638B" w:rsidP="00BB0F7D">
            <w:pPr>
              <w:pStyle w:val="TAbody"/>
              <w:rPr>
                <w:rFonts w:cs="Arial"/>
                <w:sz w:val="22"/>
                <w:szCs w:val="22"/>
                <w:lang w:val="en-AU"/>
              </w:rPr>
            </w:pPr>
            <w:r>
              <w:rPr>
                <w:rFonts w:cs="Arial"/>
                <w:sz w:val="22"/>
                <w:szCs w:val="22"/>
                <w:lang w:val="en-AU"/>
              </w:rPr>
              <w:t>s87(2</w:t>
            </w:r>
            <w:r w:rsidRPr="00C53A30">
              <w:rPr>
                <w:rFonts w:cs="Arial"/>
                <w:sz w:val="22"/>
                <w:szCs w:val="22"/>
                <w:lang w:val="en-AU"/>
              </w:rPr>
              <w:t>)(a)</w:t>
            </w:r>
          </w:p>
          <w:p w:rsidR="0028638B" w:rsidRPr="00C53A30" w:rsidRDefault="0028638B" w:rsidP="00BB0F7D">
            <w:pPr>
              <w:autoSpaceDE w:val="0"/>
              <w:autoSpaceDN w:val="0"/>
              <w:adjustRightInd w:val="0"/>
              <w:rPr>
                <w:rFonts w:cs="Arial"/>
                <w:sz w:val="22"/>
                <w:szCs w:val="22"/>
              </w:rPr>
            </w:pPr>
            <w:r w:rsidRPr="00C53A30">
              <w:rPr>
                <w:rFonts w:cs="Arial"/>
                <w:sz w:val="22"/>
                <w:szCs w:val="22"/>
              </w:rPr>
              <w:t xml:space="preserve">(a) a variation (an </w:t>
            </w:r>
            <w:r>
              <w:rPr>
                <w:rFonts w:cs="Arial"/>
                <w:b/>
                <w:bCs/>
                <w:i/>
                <w:iCs/>
                <w:sz w:val="22"/>
                <w:szCs w:val="22"/>
              </w:rPr>
              <w:t>code</w:t>
            </w:r>
            <w:r w:rsidRPr="00C53A30">
              <w:rPr>
                <w:rFonts w:cs="Arial"/>
                <w:b/>
                <w:bCs/>
                <w:i/>
                <w:iCs/>
                <w:sz w:val="22"/>
                <w:szCs w:val="22"/>
              </w:rPr>
              <w:t xml:space="preserve"> variation</w:t>
            </w:r>
            <w:r w:rsidRPr="00C53A30">
              <w:rPr>
                <w:rFonts w:cs="Arial"/>
                <w:sz w:val="22"/>
                <w:szCs w:val="22"/>
              </w:rPr>
              <w:t>) that—</w:t>
            </w:r>
          </w:p>
          <w:p w:rsidR="0028638B" w:rsidRPr="00C53A30" w:rsidRDefault="0028638B" w:rsidP="00BB0F7D">
            <w:pPr>
              <w:autoSpaceDE w:val="0"/>
              <w:autoSpaceDN w:val="0"/>
              <w:adjustRightInd w:val="0"/>
              <w:rPr>
                <w:rFonts w:cs="Arial"/>
                <w:sz w:val="22"/>
                <w:szCs w:val="22"/>
              </w:rPr>
            </w:pPr>
            <w:r>
              <w:rPr>
                <w:rFonts w:cs="Arial"/>
                <w:sz w:val="22"/>
                <w:szCs w:val="22"/>
              </w:rPr>
              <w:t>(i) would only change a code</w:t>
            </w:r>
          </w:p>
          <w:p w:rsidR="0028638B" w:rsidRDefault="0028638B" w:rsidP="00BB0F7D">
            <w:pPr>
              <w:autoSpaceDE w:val="0"/>
              <w:autoSpaceDN w:val="0"/>
              <w:adjustRightInd w:val="0"/>
              <w:rPr>
                <w:rFonts w:cs="Arial"/>
                <w:sz w:val="22"/>
                <w:szCs w:val="22"/>
              </w:rPr>
            </w:pPr>
            <w:r w:rsidRPr="00C53A30">
              <w:rPr>
                <w:rFonts w:cs="Arial"/>
                <w:sz w:val="22"/>
                <w:szCs w:val="22"/>
              </w:rPr>
              <w:t>(ii)</w:t>
            </w:r>
            <w:r>
              <w:rPr>
                <w:rFonts w:cs="Arial"/>
                <w:sz w:val="22"/>
                <w:szCs w:val="22"/>
              </w:rPr>
              <w:t xml:space="preserve"> is consistent with the policy purpose and policy framework of the code; and </w:t>
            </w:r>
          </w:p>
          <w:p w:rsidR="0028638B" w:rsidRPr="00D358C6" w:rsidRDefault="0028638B" w:rsidP="00BB0F7D">
            <w:pPr>
              <w:autoSpaceDE w:val="0"/>
              <w:autoSpaceDN w:val="0"/>
              <w:adjustRightInd w:val="0"/>
              <w:rPr>
                <w:rFonts w:cs="Arial"/>
                <w:sz w:val="22"/>
                <w:szCs w:val="22"/>
              </w:rPr>
            </w:pPr>
            <w:r>
              <w:rPr>
                <w:rFonts w:cs="Arial"/>
                <w:sz w:val="22"/>
                <w:szCs w:val="22"/>
              </w:rPr>
              <w:t>(iii)is not an error variation</w:t>
            </w:r>
          </w:p>
        </w:tc>
        <w:tc>
          <w:tcPr>
            <w:tcW w:w="4820" w:type="dxa"/>
          </w:tcPr>
          <w:p w:rsidR="0028638B" w:rsidRPr="007E775C" w:rsidRDefault="0028638B" w:rsidP="0028638B">
            <w:pPr>
              <w:pStyle w:val="TAbody"/>
              <w:rPr>
                <w:sz w:val="22"/>
                <w:szCs w:val="22"/>
                <w:lang w:val="en-AU"/>
              </w:rPr>
            </w:pPr>
            <w:r>
              <w:rPr>
                <w:sz w:val="22"/>
                <w:szCs w:val="22"/>
                <w:lang w:val="en-AU"/>
              </w:rPr>
              <w:t>This code amendment is consistent with the policy purpose and policy framework of the Moncrieff precinct map and code.  This amendment will relocate the required surveillance unit locations to retain suitable passive surveillance opportunities for the area while ensuring solar access is retained.</w:t>
            </w:r>
          </w:p>
        </w:tc>
      </w:tr>
    </w:tbl>
    <w:p w:rsidR="0028638B" w:rsidRDefault="0028638B" w:rsidP="0028638B"/>
    <w:p w:rsidR="0028638B" w:rsidRDefault="0028638B" w:rsidP="00CD2EEF">
      <w:pPr>
        <w:pStyle w:val="TAbodytext"/>
      </w:pPr>
    </w:p>
    <w:p w:rsidR="00274951" w:rsidRDefault="00274951">
      <w:r>
        <w:br w:type="page"/>
      </w:r>
    </w:p>
    <w:p w:rsidR="00274951" w:rsidRDefault="00274951" w:rsidP="00CD2EEF">
      <w:pPr>
        <w:pStyle w:val="TAbodytext"/>
      </w:pPr>
      <w:r>
        <w:t>Existing Figure 11</w:t>
      </w:r>
    </w:p>
    <w:p w:rsidR="00274951" w:rsidRDefault="004245B4" w:rsidP="00CD2EEF">
      <w:pPr>
        <w:pStyle w:val="TAbodytext"/>
      </w:pPr>
      <w:r w:rsidRPr="005E5BD4">
        <w:rPr>
          <w:noProof/>
        </w:rPr>
        <w:drawing>
          <wp:inline distT="0" distB="0" distL="0" distR="0">
            <wp:extent cx="5219700" cy="7391400"/>
            <wp:effectExtent l="19050" t="19050" r="0" b="0"/>
            <wp:docPr id="5" name="Picture 3" descr="H:\My Documents\Figure 11 curre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Figure 11 current.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7391400"/>
                    </a:xfrm>
                    <a:prstGeom prst="rect">
                      <a:avLst/>
                    </a:prstGeom>
                    <a:noFill/>
                    <a:ln w="3175" cmpd="sng">
                      <a:solidFill>
                        <a:srgbClr val="000000"/>
                      </a:solidFill>
                      <a:miter lim="800000"/>
                      <a:headEnd/>
                      <a:tailEnd/>
                    </a:ln>
                    <a:effectLst/>
                  </pic:spPr>
                </pic:pic>
              </a:graphicData>
            </a:graphic>
          </wp:inline>
        </w:drawing>
      </w:r>
    </w:p>
    <w:p w:rsidR="00CD2EEF" w:rsidRDefault="003E0DA3" w:rsidP="00CD2EEF">
      <w:pPr>
        <w:pStyle w:val="TAbodytext"/>
      </w:pPr>
      <w:r>
        <w:br w:type="page"/>
      </w:r>
    </w:p>
    <w:p w:rsidR="00274951" w:rsidRDefault="00274951" w:rsidP="00CD2EEF">
      <w:pPr>
        <w:pStyle w:val="TAbodytext"/>
      </w:pPr>
      <w:r>
        <w:t>Proposed Figure 11</w:t>
      </w:r>
    </w:p>
    <w:p w:rsidR="00274951" w:rsidRDefault="004245B4" w:rsidP="00CD2EEF">
      <w:pPr>
        <w:pStyle w:val="TAbodytext"/>
      </w:pPr>
      <w:r w:rsidRPr="005E5BD4">
        <w:rPr>
          <w:noProof/>
        </w:rPr>
        <w:drawing>
          <wp:inline distT="0" distB="0" distL="0" distR="0">
            <wp:extent cx="5743575" cy="8124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8124825"/>
                    </a:xfrm>
                    <a:prstGeom prst="rect">
                      <a:avLst/>
                    </a:prstGeom>
                    <a:noFill/>
                    <a:ln>
                      <a:noFill/>
                    </a:ln>
                  </pic:spPr>
                </pic:pic>
              </a:graphicData>
            </a:graphic>
          </wp:inline>
        </w:drawing>
      </w:r>
    </w:p>
    <w:p w:rsidR="00274951" w:rsidRDefault="00274951">
      <w:r>
        <w:br w:type="page"/>
      </w:r>
    </w:p>
    <w:p w:rsidR="00274951" w:rsidRDefault="00274951" w:rsidP="00CD2EEF">
      <w:pPr>
        <w:pStyle w:val="TAbodytext"/>
      </w:pPr>
    </w:p>
    <w:p w:rsidR="00CD2EEF" w:rsidRPr="00BE441E" w:rsidRDefault="003E0DA3" w:rsidP="00CD2EEF">
      <w:pPr>
        <w:pStyle w:val="TAsectionheading"/>
      </w:pPr>
      <w:bookmarkStart w:id="30" w:name="_Toc254851539"/>
      <w:bookmarkStart w:id="31" w:name="_Toc487711330"/>
      <w:r w:rsidRPr="00BE441E">
        <w:t>TECHNICAL AMENDMENT</w:t>
      </w:r>
      <w:bookmarkEnd w:id="30"/>
      <w:bookmarkEnd w:id="31"/>
    </w:p>
    <w:p w:rsidR="00CD2EEF" w:rsidRPr="00BE441E" w:rsidRDefault="003E0DA3" w:rsidP="004D7879">
      <w:pPr>
        <w:pStyle w:val="TAsectionheading3"/>
        <w:numPr>
          <w:ilvl w:val="2"/>
          <w:numId w:val="25"/>
        </w:numPr>
      </w:pPr>
      <w:r w:rsidRPr="00BE441E">
        <w:t xml:space="preserve">  </w:t>
      </w:r>
      <w:bookmarkStart w:id="32" w:name="_Toc487711331"/>
      <w:r w:rsidRPr="00BE441E">
        <w:t xml:space="preserve">Code </w:t>
      </w:r>
      <w:r>
        <w:t>Amendment</w:t>
      </w:r>
      <w:bookmarkEnd w:id="32"/>
    </w:p>
    <w:p w:rsidR="00CD2EEF" w:rsidRPr="00D87324" w:rsidRDefault="003E0DA3" w:rsidP="00CD2EEF">
      <w:pPr>
        <w:pStyle w:val="TAsubheadinglocationinterritoryplan"/>
      </w:pPr>
      <w:r w:rsidRPr="0056366D">
        <w:t xml:space="preserve">Variation to </w:t>
      </w:r>
      <w:r w:rsidR="004D7879">
        <w:t>the Moncrieff Precinct Map and</w:t>
      </w:r>
      <w:r w:rsidRPr="0056366D">
        <w:t xml:space="preserve"> Code</w:t>
      </w:r>
    </w:p>
    <w:p w:rsidR="00CD2EEF" w:rsidRPr="0056366D" w:rsidRDefault="004D7879" w:rsidP="00CD2EEF">
      <w:pPr>
        <w:pStyle w:val="TAeditorialitemgeneralheading"/>
      </w:pPr>
      <w:r>
        <w:t>Item 1.2   Principal private open space; Rule R9</w:t>
      </w:r>
    </w:p>
    <w:p w:rsidR="00CD2EEF" w:rsidRPr="0056366D" w:rsidRDefault="00CD2EEF" w:rsidP="00CD2EEF">
      <w:pPr>
        <w:pStyle w:val="TAbodytext"/>
      </w:pPr>
    </w:p>
    <w:p w:rsidR="00CD2EEF" w:rsidRPr="0056366D" w:rsidRDefault="004D7879" w:rsidP="00CD2EEF">
      <w:pPr>
        <w:pStyle w:val="TAeditorialinstructions"/>
      </w:pPr>
      <w:r>
        <w:t>Substitute</w:t>
      </w:r>
    </w:p>
    <w:p w:rsidR="00274951" w:rsidRDefault="00274951" w:rsidP="00274951">
      <w:pPr>
        <w:pStyle w:val="TAbodytext"/>
      </w:pPr>
    </w:p>
    <w:tbl>
      <w:tblPr>
        <w:tblW w:w="9072" w:type="dxa"/>
        <w:tblInd w:w="119" w:type="dxa"/>
        <w:tblLayout w:type="fixed"/>
        <w:tblCellMar>
          <w:left w:w="0" w:type="dxa"/>
          <w:right w:w="0" w:type="dxa"/>
        </w:tblCellMar>
        <w:tblLook w:val="0000" w:firstRow="0" w:lastRow="0" w:firstColumn="0" w:lastColumn="0" w:noHBand="0" w:noVBand="0"/>
      </w:tblPr>
      <w:tblGrid>
        <w:gridCol w:w="4536"/>
        <w:gridCol w:w="4536"/>
      </w:tblGrid>
      <w:tr w:rsidR="00274951" w:rsidRPr="008D672C" w:rsidTr="00BB0F7D">
        <w:trPr>
          <w:trHeight w:val="360"/>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274951" w:rsidRPr="008D672C" w:rsidRDefault="00274951" w:rsidP="00BB0F7D">
            <w:pPr>
              <w:kinsoku w:val="0"/>
              <w:overflowPunct w:val="0"/>
              <w:autoSpaceDE w:val="0"/>
              <w:autoSpaceDN w:val="0"/>
              <w:adjustRightInd w:val="0"/>
              <w:spacing w:before="58"/>
              <w:ind w:left="102"/>
              <w:rPr>
                <w:rFonts w:cs="Arial"/>
                <w:b/>
                <w:bCs/>
                <w:sz w:val="22"/>
                <w:szCs w:val="22"/>
              </w:rPr>
            </w:pPr>
            <w:r w:rsidRPr="008D672C">
              <w:rPr>
                <w:rFonts w:cs="Arial"/>
                <w:b/>
                <w:bCs/>
                <w:sz w:val="22"/>
                <w:szCs w:val="22"/>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274951" w:rsidRPr="008D672C" w:rsidRDefault="00274951" w:rsidP="00BB0F7D">
            <w:pPr>
              <w:kinsoku w:val="0"/>
              <w:overflowPunct w:val="0"/>
              <w:autoSpaceDE w:val="0"/>
              <w:autoSpaceDN w:val="0"/>
              <w:adjustRightInd w:val="0"/>
              <w:spacing w:before="58"/>
              <w:ind w:left="102"/>
              <w:rPr>
                <w:rFonts w:cs="Arial"/>
                <w:b/>
                <w:bCs/>
                <w:sz w:val="22"/>
                <w:szCs w:val="22"/>
              </w:rPr>
            </w:pPr>
            <w:r w:rsidRPr="008D672C">
              <w:rPr>
                <w:rFonts w:cs="Arial"/>
                <w:b/>
                <w:bCs/>
                <w:sz w:val="22"/>
                <w:szCs w:val="22"/>
              </w:rPr>
              <w:t>Criteria</w:t>
            </w:r>
          </w:p>
        </w:tc>
      </w:tr>
      <w:tr w:rsidR="00274951" w:rsidRPr="008D672C" w:rsidTr="00BB0F7D">
        <w:trPr>
          <w:trHeight w:val="34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274951" w:rsidRPr="008D672C" w:rsidRDefault="00274951" w:rsidP="00BB0F7D">
            <w:pPr>
              <w:kinsoku w:val="0"/>
              <w:overflowPunct w:val="0"/>
              <w:autoSpaceDE w:val="0"/>
              <w:autoSpaceDN w:val="0"/>
              <w:adjustRightInd w:val="0"/>
              <w:spacing w:before="58"/>
              <w:ind w:left="102"/>
              <w:rPr>
                <w:rFonts w:cs="Arial"/>
                <w:b/>
                <w:bCs/>
                <w:sz w:val="20"/>
                <w:szCs w:val="20"/>
              </w:rPr>
            </w:pPr>
            <w:r w:rsidRPr="008D672C">
              <w:rPr>
                <w:rFonts w:cs="Arial"/>
                <w:b/>
                <w:bCs/>
                <w:sz w:val="20"/>
                <w:szCs w:val="20"/>
              </w:rPr>
              <w:t>1.2 Principal private open space</w:t>
            </w:r>
          </w:p>
        </w:tc>
      </w:tr>
      <w:tr w:rsidR="00274951" w:rsidRPr="008D672C" w:rsidTr="00BB0F7D">
        <w:trPr>
          <w:trHeight w:val="274"/>
        </w:trPr>
        <w:tc>
          <w:tcPr>
            <w:tcW w:w="4536" w:type="dxa"/>
            <w:tcBorders>
              <w:top w:val="single" w:sz="4" w:space="0" w:color="000000"/>
              <w:left w:val="single" w:sz="4" w:space="0" w:color="000000"/>
              <w:bottom w:val="single" w:sz="4" w:space="0" w:color="000000"/>
              <w:right w:val="single" w:sz="4" w:space="0" w:color="000000"/>
            </w:tcBorders>
          </w:tcPr>
          <w:p w:rsidR="00274951" w:rsidRPr="008D672C" w:rsidRDefault="00274951" w:rsidP="00BB0F7D">
            <w:pPr>
              <w:kinsoku w:val="0"/>
              <w:overflowPunct w:val="0"/>
              <w:autoSpaceDE w:val="0"/>
              <w:autoSpaceDN w:val="0"/>
              <w:adjustRightInd w:val="0"/>
              <w:spacing w:before="58"/>
              <w:ind w:left="102"/>
              <w:rPr>
                <w:rFonts w:cs="Arial"/>
                <w:sz w:val="20"/>
                <w:szCs w:val="20"/>
              </w:rPr>
            </w:pPr>
            <w:r w:rsidRPr="008D672C">
              <w:rPr>
                <w:rFonts w:cs="Arial"/>
                <w:sz w:val="20"/>
                <w:szCs w:val="20"/>
              </w:rPr>
              <w:t>R9</w:t>
            </w:r>
          </w:p>
          <w:p w:rsidR="00274951" w:rsidRPr="008D672C" w:rsidRDefault="00274951" w:rsidP="00BB0F7D">
            <w:pPr>
              <w:kinsoku w:val="0"/>
              <w:overflowPunct w:val="0"/>
              <w:autoSpaceDE w:val="0"/>
              <w:autoSpaceDN w:val="0"/>
              <w:adjustRightInd w:val="0"/>
              <w:spacing w:before="106" w:line="285" w:lineRule="auto"/>
              <w:ind w:left="102" w:right="113"/>
              <w:rPr>
                <w:rFonts w:cs="Arial"/>
                <w:sz w:val="20"/>
                <w:szCs w:val="20"/>
              </w:rPr>
            </w:pPr>
            <w:r w:rsidRPr="008D672C">
              <w:rPr>
                <w:rFonts w:cs="Arial"/>
                <w:sz w:val="20"/>
                <w:szCs w:val="20"/>
              </w:rPr>
              <w:t>This rule applies to blocks or parcels in locations identified in Figures 4, 5, 6 and 7.</w:t>
            </w:r>
          </w:p>
          <w:p w:rsidR="00274951" w:rsidRPr="008D672C" w:rsidRDefault="00274951" w:rsidP="00BB0F7D">
            <w:pPr>
              <w:kinsoku w:val="0"/>
              <w:overflowPunct w:val="0"/>
              <w:autoSpaceDE w:val="0"/>
              <w:autoSpaceDN w:val="0"/>
              <w:adjustRightInd w:val="0"/>
              <w:spacing w:before="63" w:line="288" w:lineRule="auto"/>
              <w:ind w:left="102" w:right="279"/>
              <w:rPr>
                <w:rFonts w:cs="Arial"/>
                <w:sz w:val="20"/>
                <w:szCs w:val="20"/>
              </w:rPr>
            </w:pPr>
            <w:r w:rsidRPr="008D672C">
              <w:rPr>
                <w:rFonts w:cs="Arial"/>
                <w:sz w:val="20"/>
                <w:szCs w:val="20"/>
              </w:rPr>
              <w:t>Minimum dimensions for principal private open space are:</w:t>
            </w:r>
          </w:p>
          <w:p w:rsidR="00274951" w:rsidRPr="008D672C" w:rsidRDefault="00274951" w:rsidP="00BB0F7D">
            <w:pPr>
              <w:numPr>
                <w:ilvl w:val="0"/>
                <w:numId w:val="23"/>
              </w:numPr>
              <w:tabs>
                <w:tab w:val="left" w:pos="558"/>
              </w:tabs>
              <w:kinsoku w:val="0"/>
              <w:overflowPunct w:val="0"/>
              <w:autoSpaceDE w:val="0"/>
              <w:autoSpaceDN w:val="0"/>
              <w:adjustRightInd w:val="0"/>
              <w:spacing w:before="70"/>
              <w:rPr>
                <w:rFonts w:cs="Arial"/>
                <w:sz w:val="20"/>
                <w:szCs w:val="20"/>
              </w:rPr>
            </w:pPr>
            <w:r w:rsidRPr="008D672C">
              <w:rPr>
                <w:rFonts w:cs="Arial"/>
                <w:sz w:val="20"/>
                <w:szCs w:val="20"/>
              </w:rPr>
              <w:t>For blocks marked 3m – 3m x</w:t>
            </w:r>
            <w:r w:rsidRPr="008D672C">
              <w:rPr>
                <w:rFonts w:cs="Arial"/>
                <w:spacing w:val="11"/>
                <w:sz w:val="20"/>
                <w:szCs w:val="20"/>
              </w:rPr>
              <w:t xml:space="preserve"> </w:t>
            </w:r>
            <w:r w:rsidRPr="008D672C">
              <w:rPr>
                <w:rFonts w:cs="Arial"/>
                <w:sz w:val="20"/>
                <w:szCs w:val="20"/>
              </w:rPr>
              <w:t>3m</w:t>
            </w:r>
          </w:p>
          <w:p w:rsidR="00274951" w:rsidRDefault="00274951" w:rsidP="00BB0F7D">
            <w:pPr>
              <w:numPr>
                <w:ilvl w:val="0"/>
                <w:numId w:val="23"/>
              </w:numPr>
              <w:tabs>
                <w:tab w:val="left" w:pos="558"/>
              </w:tabs>
              <w:kinsoku w:val="0"/>
              <w:overflowPunct w:val="0"/>
              <w:autoSpaceDE w:val="0"/>
              <w:autoSpaceDN w:val="0"/>
              <w:adjustRightInd w:val="0"/>
              <w:spacing w:before="130"/>
              <w:ind w:hanging="454"/>
              <w:rPr>
                <w:rFonts w:cs="Arial"/>
                <w:sz w:val="20"/>
                <w:szCs w:val="20"/>
              </w:rPr>
            </w:pPr>
            <w:r w:rsidRPr="008D672C">
              <w:rPr>
                <w:rFonts w:cs="Arial"/>
                <w:sz w:val="20"/>
                <w:szCs w:val="20"/>
              </w:rPr>
              <w:t>For blocks marked 6m – 6m x</w:t>
            </w:r>
            <w:r w:rsidRPr="008D672C">
              <w:rPr>
                <w:rFonts w:cs="Arial"/>
                <w:spacing w:val="11"/>
                <w:sz w:val="20"/>
                <w:szCs w:val="20"/>
              </w:rPr>
              <w:t xml:space="preserve"> </w:t>
            </w:r>
            <w:r w:rsidRPr="008D672C">
              <w:rPr>
                <w:rFonts w:cs="Arial"/>
                <w:sz w:val="20"/>
                <w:szCs w:val="20"/>
              </w:rPr>
              <w:t>6m</w:t>
            </w:r>
          </w:p>
          <w:p w:rsidR="00274951" w:rsidRPr="008D672C" w:rsidRDefault="00274951" w:rsidP="00BB0F7D">
            <w:pPr>
              <w:tabs>
                <w:tab w:val="left" w:pos="558"/>
              </w:tabs>
              <w:kinsoku w:val="0"/>
              <w:overflowPunct w:val="0"/>
              <w:autoSpaceDE w:val="0"/>
              <w:autoSpaceDN w:val="0"/>
              <w:adjustRightInd w:val="0"/>
              <w:spacing w:before="130"/>
              <w:ind w:left="103"/>
              <w:rPr>
                <w:rFonts w:cs="Arial"/>
                <w:sz w:val="20"/>
                <w:szCs w:val="20"/>
              </w:rPr>
            </w:pPr>
            <w:r>
              <w:rPr>
                <w:rFonts w:cs="Arial"/>
                <w:sz w:val="20"/>
                <w:szCs w:val="20"/>
              </w:rPr>
              <w:t>Courtyard walls are permitted to encroach into the 6x6m principal private open space by a maximum of 1m and 5% of the principal private open space area</w:t>
            </w:r>
          </w:p>
        </w:tc>
        <w:tc>
          <w:tcPr>
            <w:tcW w:w="4536" w:type="dxa"/>
            <w:tcBorders>
              <w:top w:val="single" w:sz="4" w:space="0" w:color="000000"/>
              <w:left w:val="single" w:sz="4" w:space="0" w:color="000000"/>
              <w:bottom w:val="single" w:sz="4" w:space="0" w:color="000000"/>
              <w:right w:val="single" w:sz="4" w:space="0" w:color="000000"/>
            </w:tcBorders>
          </w:tcPr>
          <w:p w:rsidR="00274951" w:rsidRPr="008D672C" w:rsidRDefault="00274951" w:rsidP="00BB0F7D">
            <w:pPr>
              <w:kinsoku w:val="0"/>
              <w:overflowPunct w:val="0"/>
              <w:autoSpaceDE w:val="0"/>
              <w:autoSpaceDN w:val="0"/>
              <w:adjustRightInd w:val="0"/>
              <w:rPr>
                <w:rFonts w:ascii="Times New Roman" w:hAnsi="Times New Roman"/>
                <w:sz w:val="22"/>
                <w:szCs w:val="22"/>
              </w:rPr>
            </w:pPr>
          </w:p>
          <w:p w:rsidR="00274951" w:rsidRPr="008D672C" w:rsidRDefault="00274951" w:rsidP="00BB0F7D">
            <w:pPr>
              <w:kinsoku w:val="0"/>
              <w:overflowPunct w:val="0"/>
              <w:autoSpaceDE w:val="0"/>
              <w:autoSpaceDN w:val="0"/>
              <w:adjustRightInd w:val="0"/>
              <w:spacing w:before="141" w:line="285" w:lineRule="auto"/>
              <w:ind w:left="102"/>
              <w:rPr>
                <w:rFonts w:cs="Arial"/>
                <w:sz w:val="20"/>
                <w:szCs w:val="20"/>
              </w:rPr>
            </w:pPr>
            <w:r w:rsidRPr="008D672C">
              <w:rPr>
                <w:rFonts w:cs="Arial"/>
                <w:sz w:val="20"/>
                <w:szCs w:val="20"/>
              </w:rPr>
              <w:t>This is a mandatory requirement. There is no applicable criterion.</w:t>
            </w:r>
          </w:p>
        </w:tc>
      </w:tr>
    </w:tbl>
    <w:p w:rsidR="00274951" w:rsidRDefault="00274951" w:rsidP="00274951">
      <w:pPr>
        <w:pStyle w:val="TAbodytext"/>
      </w:pPr>
    </w:p>
    <w:p w:rsidR="00CD2EEF" w:rsidRDefault="00CD2EEF" w:rsidP="00CD2EEF">
      <w:pPr>
        <w:pStyle w:val="TAbodytext"/>
      </w:pPr>
    </w:p>
    <w:p w:rsidR="00274951" w:rsidRPr="0056366D" w:rsidRDefault="00274951" w:rsidP="00274951">
      <w:pPr>
        <w:pStyle w:val="TAeditorialitemgeneralheading"/>
      </w:pPr>
      <w:r>
        <w:t>Figure 11</w:t>
      </w:r>
    </w:p>
    <w:p w:rsidR="00274951" w:rsidRDefault="00274951" w:rsidP="00CD2EEF">
      <w:pPr>
        <w:pStyle w:val="TAbodytext"/>
      </w:pPr>
    </w:p>
    <w:p w:rsidR="00274951" w:rsidRPr="00274951" w:rsidRDefault="00274951" w:rsidP="00CD2EEF">
      <w:pPr>
        <w:pStyle w:val="TAbodytext"/>
        <w:rPr>
          <w:i/>
        </w:rPr>
      </w:pPr>
      <w:r>
        <w:rPr>
          <w:i/>
        </w:rPr>
        <w:t>Substitute</w:t>
      </w:r>
    </w:p>
    <w:p w:rsidR="00CD2EEF" w:rsidRDefault="004245B4" w:rsidP="00CD2EEF">
      <w:pPr>
        <w:pStyle w:val="TAbodytext"/>
      </w:pPr>
      <w:r w:rsidRPr="005E5BD4">
        <w:rPr>
          <w:noProof/>
        </w:rPr>
        <w:drawing>
          <wp:inline distT="0" distB="0" distL="0" distR="0">
            <wp:extent cx="5743575" cy="812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8124825"/>
                    </a:xfrm>
                    <a:prstGeom prst="rect">
                      <a:avLst/>
                    </a:prstGeom>
                    <a:noFill/>
                    <a:ln>
                      <a:noFill/>
                    </a:ln>
                  </pic:spPr>
                </pic:pic>
              </a:graphicData>
            </a:graphic>
          </wp:inline>
        </w:drawing>
      </w:r>
    </w:p>
    <w:p w:rsidR="00274951" w:rsidRDefault="00274951" w:rsidP="00CD2EEF">
      <w:pPr>
        <w:pStyle w:val="TAbodytext"/>
      </w:pPr>
    </w:p>
    <w:p w:rsidR="00274951" w:rsidRDefault="00274951" w:rsidP="00CD2EEF">
      <w:pPr>
        <w:pStyle w:val="TAbodytext"/>
        <w:sectPr w:rsidR="00274951" w:rsidSect="00FC3C0E">
          <w:headerReference w:type="default" r:id="rId18"/>
          <w:footerReference w:type="default" r:id="rId19"/>
          <w:type w:val="continuous"/>
          <w:pgSz w:w="11906" w:h="16838"/>
          <w:pgMar w:top="1440" w:right="1418" w:bottom="1440" w:left="1418" w:header="709" w:footer="709" w:gutter="0"/>
          <w:pgNumType w:start="1"/>
          <w:cols w:space="708"/>
          <w:docGrid w:linePitch="360"/>
        </w:sectPr>
      </w:pPr>
    </w:p>
    <w:p w:rsidR="00CD2EEF" w:rsidRDefault="00CD2EEF" w:rsidP="00CD2EEF">
      <w:pPr>
        <w:pStyle w:val="TAbodytext"/>
      </w:pPr>
    </w:p>
    <w:p w:rsidR="00CD2EEF" w:rsidRPr="008A2AE9" w:rsidRDefault="003E0DA3" w:rsidP="00CD2EEF">
      <w:pPr>
        <w:pStyle w:val="TAinterpretationservicetitle"/>
      </w:pPr>
      <w:r w:rsidRPr="00BE441E">
        <w:t>Interpretation service</w:t>
      </w:r>
    </w:p>
    <w:p w:rsidR="00CD2EEF" w:rsidRPr="00BE441E" w:rsidRDefault="004245B4" w:rsidP="00CD2EEF">
      <w:pPr>
        <w:pStyle w:val="BodyText"/>
      </w:pPr>
      <w:r w:rsidRPr="005E5BD4">
        <w:rPr>
          <w:noProof/>
        </w:rPr>
        <w:drawing>
          <wp:inline distT="0" distB="0" distL="0" distR="0">
            <wp:extent cx="5286375" cy="3486150"/>
            <wp:effectExtent l="0" t="0" r="0" b="0"/>
            <wp:docPr id="4"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375" cy="3486150"/>
                    </a:xfrm>
                    <a:prstGeom prst="rect">
                      <a:avLst/>
                    </a:prstGeom>
                    <a:noFill/>
                    <a:ln>
                      <a:noFill/>
                    </a:ln>
                  </pic:spPr>
                </pic:pic>
              </a:graphicData>
            </a:graphic>
          </wp:inline>
        </w:drawing>
      </w:r>
    </w:p>
    <w:p w:rsidR="00CD2EEF" w:rsidRDefault="00CD2EEF" w:rsidP="00CD2EEF">
      <w:pPr>
        <w:pStyle w:val="BodyText"/>
      </w:pPr>
    </w:p>
    <w:p w:rsidR="00CD2EEF" w:rsidRDefault="00CD2EEF" w:rsidP="00CD2EEF">
      <w:pPr>
        <w:pStyle w:val="BodyText"/>
      </w:pPr>
    </w:p>
    <w:p w:rsidR="00CD2EEF" w:rsidRPr="008A2AE9" w:rsidRDefault="00CD2EEF" w:rsidP="00CD2EEF">
      <w:pPr>
        <w:pStyle w:val="BodyText"/>
      </w:pPr>
    </w:p>
    <w:sectPr w:rsidR="00CD2EEF" w:rsidRPr="008A2AE9" w:rsidSect="00CD2EEF">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5B4" w:rsidRDefault="004245B4">
      <w:r>
        <w:separator/>
      </w:r>
    </w:p>
  </w:endnote>
  <w:endnote w:type="continuationSeparator" w:id="0">
    <w:p w:rsidR="004245B4" w:rsidRDefault="00424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F65" w:rsidRDefault="000C4F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F65" w:rsidRPr="000C4F65" w:rsidRDefault="000C4F65" w:rsidP="000C4F65">
    <w:pPr>
      <w:pStyle w:val="Footer"/>
      <w:jc w:val="center"/>
      <w:rPr>
        <w:rFonts w:cs="Arial"/>
        <w:sz w:val="14"/>
      </w:rPr>
    </w:pPr>
    <w:r w:rsidRPr="000C4F65">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C39" w:rsidRPr="000C4F65" w:rsidRDefault="000C4F65" w:rsidP="000C4F65">
    <w:pPr>
      <w:tabs>
        <w:tab w:val="center" w:pos="4153"/>
        <w:tab w:val="right" w:pos="8306"/>
      </w:tabs>
      <w:autoSpaceDE w:val="0"/>
      <w:autoSpaceDN w:val="0"/>
      <w:spacing w:before="240"/>
      <w:jc w:val="center"/>
      <w:rPr>
        <w:rFonts w:cs="Arial"/>
        <w:sz w:val="14"/>
        <w:szCs w:val="14"/>
        <w:lang w:eastAsia="en-US"/>
      </w:rPr>
    </w:pPr>
    <w:r w:rsidRPr="000C4F65">
      <w:rPr>
        <w:rFonts w:cs="Arial"/>
        <w:sz w:val="14"/>
        <w:szCs w:val="14"/>
        <w:lang w:eastAsia="en-US"/>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8C6" w:rsidRPr="000C4F65" w:rsidRDefault="000C4F65" w:rsidP="000C4F65">
    <w:pPr>
      <w:tabs>
        <w:tab w:val="center" w:pos="4153"/>
        <w:tab w:val="right" w:pos="8306"/>
      </w:tabs>
      <w:autoSpaceDE w:val="0"/>
      <w:autoSpaceDN w:val="0"/>
      <w:spacing w:before="240"/>
      <w:jc w:val="center"/>
      <w:rPr>
        <w:rFonts w:cs="Arial"/>
        <w:sz w:val="14"/>
        <w:szCs w:val="14"/>
        <w:lang w:eastAsia="en-US"/>
      </w:rPr>
    </w:pPr>
    <w:r w:rsidRPr="000C4F65">
      <w:rPr>
        <w:rFonts w:cs="Arial"/>
        <w:sz w:val="14"/>
        <w:szCs w:val="14"/>
        <w:lang w:eastAsia="en-US"/>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8C6" w:rsidRDefault="00D358C6" w:rsidP="004D14F8">
    <w:pPr>
      <w:pStyle w:val="TAfooter"/>
    </w:pPr>
    <w:r>
      <w:t>TA2017-</w:t>
    </w:r>
    <w:r w:rsidR="0028638B">
      <w:t>14</w:t>
    </w:r>
    <w:r>
      <w:tab/>
      <w:t>Ju</w:t>
    </w:r>
    <w:r w:rsidR="0037490A">
      <w:t>ly</w:t>
    </w:r>
    <w:r>
      <w:t xml:space="preserve"> 2017</w:t>
    </w:r>
    <w:r>
      <w:tab/>
    </w:r>
    <w:r w:rsidRPr="00E234B2">
      <w:t xml:space="preserve">Page </w:t>
    </w:r>
    <w:r w:rsidR="00E34E1C">
      <w:fldChar w:fldCharType="begin"/>
    </w:r>
    <w:r w:rsidR="00E34E1C">
      <w:instrText xml:space="preserve"> PAGE </w:instrText>
    </w:r>
    <w:r w:rsidR="00E34E1C">
      <w:fldChar w:fldCharType="separate"/>
    </w:r>
    <w:r w:rsidR="000C4F65">
      <w:rPr>
        <w:noProof/>
      </w:rPr>
      <w:t>1</w:t>
    </w:r>
    <w:r w:rsidR="00E34E1C">
      <w:fldChar w:fldCharType="end"/>
    </w:r>
  </w:p>
  <w:p w:rsidR="00C63203" w:rsidRPr="000C4F65" w:rsidRDefault="000C4F65" w:rsidP="000C4F65">
    <w:pPr>
      <w:tabs>
        <w:tab w:val="center" w:pos="4153"/>
        <w:tab w:val="right" w:pos="8306"/>
      </w:tabs>
      <w:autoSpaceDE w:val="0"/>
      <w:autoSpaceDN w:val="0"/>
      <w:spacing w:before="240"/>
      <w:jc w:val="center"/>
      <w:rPr>
        <w:rFonts w:cs="Arial"/>
        <w:sz w:val="14"/>
        <w:szCs w:val="14"/>
        <w:lang w:eastAsia="en-US"/>
      </w:rPr>
    </w:pPr>
    <w:r w:rsidRPr="000C4F65">
      <w:rPr>
        <w:rFonts w:cs="Arial"/>
        <w:sz w:val="14"/>
        <w:szCs w:val="14"/>
        <w:lang w:eastAsia="en-US"/>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5B4" w:rsidRDefault="004245B4">
      <w:r>
        <w:separator/>
      </w:r>
    </w:p>
  </w:footnote>
  <w:footnote w:type="continuationSeparator" w:id="0">
    <w:p w:rsidR="004245B4" w:rsidRDefault="004245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F65" w:rsidRDefault="000C4F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F65" w:rsidRDefault="000C4F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F65" w:rsidRDefault="000C4F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866" w:rsidRPr="004E6866" w:rsidRDefault="004E6866" w:rsidP="004E6866">
    <w:pPr>
      <w:pStyle w:val="Header"/>
      <w:rPr>
        <w:b/>
      </w:rPr>
    </w:pPr>
    <w:r w:rsidRPr="004E6866">
      <w:rPr>
        <w:b/>
      </w:rPr>
      <w:t>Schedule</w:t>
    </w:r>
  </w:p>
  <w:p w:rsidR="004E6866" w:rsidRDefault="004E6866" w:rsidP="004E6866">
    <w:pPr>
      <w:pStyle w:val="Header"/>
      <w:pBdr>
        <w:bottom w:val="single" w:sz="12" w:space="1" w:color="auto"/>
      </w:pBdr>
      <w:rPr>
        <w:b/>
      </w:rPr>
    </w:pPr>
    <w:r w:rsidRPr="004E6866">
      <w:rPr>
        <w:b/>
      </w:rPr>
      <w:t>(see section 4)</w:t>
    </w:r>
  </w:p>
  <w:p w:rsidR="004E6866" w:rsidRPr="004E6866" w:rsidRDefault="004E6866" w:rsidP="004E6866">
    <w:pPr>
      <w:pStyle w:val="Header"/>
      <w:rPr>
        <w:b/>
      </w:rPr>
    </w:pPr>
  </w:p>
  <w:p w:rsidR="004E6866" w:rsidRDefault="000D66D5">
    <w:pPr>
      <w:pStyle w:val="Header"/>
    </w:pPr>
    <w:r>
      <w:rPr>
        <w:noProof/>
      </w:rPr>
      <w:drawing>
        <wp:anchor distT="0" distB="0" distL="114300" distR="114300" simplePos="0" relativeHeight="251659264" behindDoc="1" locked="0" layoutInCell="1" allowOverlap="1">
          <wp:simplePos x="0" y="0"/>
          <wp:positionH relativeFrom="column">
            <wp:posOffset>-5715</wp:posOffset>
          </wp:positionH>
          <wp:positionV relativeFrom="paragraph">
            <wp:posOffset>73660</wp:posOffset>
          </wp:positionV>
          <wp:extent cx="2514600" cy="93662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936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8C6" w:rsidRDefault="00D358C6" w:rsidP="00CD2EEF">
    <w:pPr>
      <w:pStyle w:val="TA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lowerLetter"/>
      <w:lvlText w:val="%1)"/>
      <w:lvlJc w:val="left"/>
      <w:pPr>
        <w:ind w:left="556" w:hanging="455"/>
      </w:pPr>
      <w:rPr>
        <w:rFonts w:ascii="Arial" w:hAnsi="Arial" w:cs="Arial"/>
        <w:b w:val="0"/>
        <w:bCs w:val="0"/>
        <w:w w:val="100"/>
        <w:sz w:val="20"/>
        <w:szCs w:val="20"/>
      </w:rPr>
    </w:lvl>
    <w:lvl w:ilvl="1">
      <w:numFmt w:val="bullet"/>
      <w:lvlText w:val="•"/>
      <w:lvlJc w:val="left"/>
      <w:pPr>
        <w:ind w:left="956" w:hanging="455"/>
      </w:pPr>
    </w:lvl>
    <w:lvl w:ilvl="2">
      <w:numFmt w:val="bullet"/>
      <w:lvlText w:val="•"/>
      <w:lvlJc w:val="left"/>
      <w:pPr>
        <w:ind w:left="1353" w:hanging="455"/>
      </w:pPr>
    </w:lvl>
    <w:lvl w:ilvl="3">
      <w:numFmt w:val="bullet"/>
      <w:lvlText w:val="•"/>
      <w:lvlJc w:val="left"/>
      <w:pPr>
        <w:ind w:left="1749" w:hanging="455"/>
      </w:pPr>
    </w:lvl>
    <w:lvl w:ilvl="4">
      <w:numFmt w:val="bullet"/>
      <w:lvlText w:val="•"/>
      <w:lvlJc w:val="left"/>
      <w:pPr>
        <w:ind w:left="2146" w:hanging="455"/>
      </w:pPr>
    </w:lvl>
    <w:lvl w:ilvl="5">
      <w:numFmt w:val="bullet"/>
      <w:lvlText w:val="•"/>
      <w:lvlJc w:val="left"/>
      <w:pPr>
        <w:ind w:left="2543" w:hanging="455"/>
      </w:pPr>
    </w:lvl>
    <w:lvl w:ilvl="6">
      <w:numFmt w:val="bullet"/>
      <w:lvlText w:val="•"/>
      <w:lvlJc w:val="left"/>
      <w:pPr>
        <w:ind w:left="2939" w:hanging="455"/>
      </w:pPr>
    </w:lvl>
    <w:lvl w:ilvl="7">
      <w:numFmt w:val="bullet"/>
      <w:lvlText w:val="•"/>
      <w:lvlJc w:val="left"/>
      <w:pPr>
        <w:ind w:left="3336" w:hanging="455"/>
      </w:pPr>
    </w:lvl>
    <w:lvl w:ilvl="8">
      <w:numFmt w:val="bullet"/>
      <w:lvlText w:val="•"/>
      <w:lvlJc w:val="left"/>
      <w:pPr>
        <w:ind w:left="3732" w:hanging="455"/>
      </w:pPr>
    </w:lvl>
  </w:abstractNum>
  <w:abstractNum w:abstractNumId="1" w15:restartNumberingAfterBreak="0">
    <w:nsid w:val="00000403"/>
    <w:multiLevelType w:val="multilevel"/>
    <w:tmpl w:val="00000886"/>
    <w:lvl w:ilvl="0">
      <w:start w:val="1"/>
      <w:numFmt w:val="lowerLetter"/>
      <w:lvlText w:val="%1)"/>
      <w:lvlJc w:val="left"/>
      <w:pPr>
        <w:ind w:left="557" w:hanging="455"/>
      </w:pPr>
      <w:rPr>
        <w:rFonts w:ascii="Arial" w:hAnsi="Arial" w:cs="Arial"/>
        <w:b w:val="0"/>
        <w:bCs w:val="0"/>
        <w:w w:val="100"/>
        <w:sz w:val="20"/>
        <w:szCs w:val="20"/>
      </w:rPr>
    </w:lvl>
    <w:lvl w:ilvl="1">
      <w:numFmt w:val="bullet"/>
      <w:lvlText w:val="•"/>
      <w:lvlJc w:val="left"/>
      <w:pPr>
        <w:ind w:left="956" w:hanging="455"/>
      </w:pPr>
    </w:lvl>
    <w:lvl w:ilvl="2">
      <w:numFmt w:val="bullet"/>
      <w:lvlText w:val="•"/>
      <w:lvlJc w:val="left"/>
      <w:pPr>
        <w:ind w:left="1353" w:hanging="455"/>
      </w:pPr>
    </w:lvl>
    <w:lvl w:ilvl="3">
      <w:numFmt w:val="bullet"/>
      <w:lvlText w:val="•"/>
      <w:lvlJc w:val="left"/>
      <w:pPr>
        <w:ind w:left="1749" w:hanging="455"/>
      </w:pPr>
    </w:lvl>
    <w:lvl w:ilvl="4">
      <w:numFmt w:val="bullet"/>
      <w:lvlText w:val="•"/>
      <w:lvlJc w:val="left"/>
      <w:pPr>
        <w:ind w:left="2146" w:hanging="455"/>
      </w:pPr>
    </w:lvl>
    <w:lvl w:ilvl="5">
      <w:numFmt w:val="bullet"/>
      <w:lvlText w:val="•"/>
      <w:lvlJc w:val="left"/>
      <w:pPr>
        <w:ind w:left="2543" w:hanging="455"/>
      </w:pPr>
    </w:lvl>
    <w:lvl w:ilvl="6">
      <w:numFmt w:val="bullet"/>
      <w:lvlText w:val="•"/>
      <w:lvlJc w:val="left"/>
      <w:pPr>
        <w:ind w:left="2939" w:hanging="455"/>
      </w:pPr>
    </w:lvl>
    <w:lvl w:ilvl="7">
      <w:numFmt w:val="bullet"/>
      <w:lvlText w:val="•"/>
      <w:lvlJc w:val="left"/>
      <w:pPr>
        <w:ind w:left="3336" w:hanging="455"/>
      </w:pPr>
    </w:lvl>
    <w:lvl w:ilvl="8">
      <w:numFmt w:val="bullet"/>
      <w:lvlText w:val="•"/>
      <w:lvlJc w:val="left"/>
      <w:pPr>
        <w:ind w:left="3732" w:hanging="455"/>
      </w:pPr>
    </w:lvl>
  </w:abstractNum>
  <w:abstractNum w:abstractNumId="2" w15:restartNumberingAfterBreak="0">
    <w:nsid w:val="00747D7C"/>
    <w:multiLevelType w:val="hybridMultilevel"/>
    <w:tmpl w:val="0FBAA65E"/>
    <w:lvl w:ilvl="0" w:tplc="C736D4F4">
      <w:start w:val="1"/>
      <w:numFmt w:val="lowerLetter"/>
      <w:lvlText w:val="(%1)"/>
      <w:lvlJc w:val="left"/>
      <w:pPr>
        <w:ind w:left="927" w:hanging="360"/>
      </w:pPr>
      <w:rPr>
        <w:rFonts w:cs="Times New Roman" w:hint="default"/>
      </w:rPr>
    </w:lvl>
    <w:lvl w:ilvl="1" w:tplc="0C090019">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3" w15:restartNumberingAfterBreak="0">
    <w:nsid w:val="0AEB7A52"/>
    <w:multiLevelType w:val="hybridMultilevel"/>
    <w:tmpl w:val="73B8DCE4"/>
    <w:lvl w:ilvl="0" w:tplc="7F8A58C4">
      <w:start w:val="1"/>
      <w:numFmt w:val="decimal"/>
      <w:pStyle w:val="TAeditorialitemgeneralheading"/>
      <w:lvlText w:val="%1."/>
      <w:lvlJc w:val="left"/>
      <w:pPr>
        <w:tabs>
          <w:tab w:val="num" w:pos="720"/>
        </w:tabs>
        <w:ind w:left="720" w:hanging="360"/>
      </w:pPr>
      <w:rPr>
        <w:rFonts w:cs="Times New Roman"/>
      </w:rPr>
    </w:lvl>
    <w:lvl w:ilvl="1" w:tplc="BD9CA2A8" w:tentative="1">
      <w:start w:val="1"/>
      <w:numFmt w:val="lowerLetter"/>
      <w:lvlText w:val="%2."/>
      <w:lvlJc w:val="left"/>
      <w:pPr>
        <w:tabs>
          <w:tab w:val="num" w:pos="1440"/>
        </w:tabs>
        <w:ind w:left="1440" w:hanging="360"/>
      </w:pPr>
      <w:rPr>
        <w:rFonts w:cs="Times New Roman"/>
      </w:rPr>
    </w:lvl>
    <w:lvl w:ilvl="2" w:tplc="AB2AFD8E" w:tentative="1">
      <w:start w:val="1"/>
      <w:numFmt w:val="lowerRoman"/>
      <w:lvlText w:val="%3."/>
      <w:lvlJc w:val="right"/>
      <w:pPr>
        <w:tabs>
          <w:tab w:val="num" w:pos="2160"/>
        </w:tabs>
        <w:ind w:left="2160" w:hanging="180"/>
      </w:pPr>
      <w:rPr>
        <w:rFonts w:cs="Times New Roman"/>
      </w:rPr>
    </w:lvl>
    <w:lvl w:ilvl="3" w:tplc="C4880CFE" w:tentative="1">
      <w:start w:val="1"/>
      <w:numFmt w:val="decimal"/>
      <w:lvlText w:val="%4."/>
      <w:lvlJc w:val="left"/>
      <w:pPr>
        <w:tabs>
          <w:tab w:val="num" w:pos="2880"/>
        </w:tabs>
        <w:ind w:left="2880" w:hanging="360"/>
      </w:pPr>
      <w:rPr>
        <w:rFonts w:cs="Times New Roman"/>
      </w:rPr>
    </w:lvl>
    <w:lvl w:ilvl="4" w:tplc="E444A16E" w:tentative="1">
      <w:start w:val="1"/>
      <w:numFmt w:val="lowerLetter"/>
      <w:lvlText w:val="%5."/>
      <w:lvlJc w:val="left"/>
      <w:pPr>
        <w:tabs>
          <w:tab w:val="num" w:pos="3600"/>
        </w:tabs>
        <w:ind w:left="3600" w:hanging="360"/>
      </w:pPr>
      <w:rPr>
        <w:rFonts w:cs="Times New Roman"/>
      </w:rPr>
    </w:lvl>
    <w:lvl w:ilvl="5" w:tplc="994A1F48" w:tentative="1">
      <w:start w:val="1"/>
      <w:numFmt w:val="lowerRoman"/>
      <w:lvlText w:val="%6."/>
      <w:lvlJc w:val="right"/>
      <w:pPr>
        <w:tabs>
          <w:tab w:val="num" w:pos="4320"/>
        </w:tabs>
        <w:ind w:left="4320" w:hanging="180"/>
      </w:pPr>
      <w:rPr>
        <w:rFonts w:cs="Times New Roman"/>
      </w:rPr>
    </w:lvl>
    <w:lvl w:ilvl="6" w:tplc="7340CDCE" w:tentative="1">
      <w:start w:val="1"/>
      <w:numFmt w:val="decimal"/>
      <w:lvlText w:val="%7."/>
      <w:lvlJc w:val="left"/>
      <w:pPr>
        <w:tabs>
          <w:tab w:val="num" w:pos="5040"/>
        </w:tabs>
        <w:ind w:left="5040" w:hanging="360"/>
      </w:pPr>
      <w:rPr>
        <w:rFonts w:cs="Times New Roman"/>
      </w:rPr>
    </w:lvl>
    <w:lvl w:ilvl="7" w:tplc="DD0A4A98" w:tentative="1">
      <w:start w:val="1"/>
      <w:numFmt w:val="lowerLetter"/>
      <w:lvlText w:val="%8."/>
      <w:lvlJc w:val="left"/>
      <w:pPr>
        <w:tabs>
          <w:tab w:val="num" w:pos="5760"/>
        </w:tabs>
        <w:ind w:left="5760" w:hanging="360"/>
      </w:pPr>
      <w:rPr>
        <w:rFonts w:cs="Times New Roman"/>
      </w:rPr>
    </w:lvl>
    <w:lvl w:ilvl="8" w:tplc="02221EB6" w:tentative="1">
      <w:start w:val="1"/>
      <w:numFmt w:val="lowerRoman"/>
      <w:lvlText w:val="%9."/>
      <w:lvlJc w:val="right"/>
      <w:pPr>
        <w:tabs>
          <w:tab w:val="num" w:pos="6480"/>
        </w:tabs>
        <w:ind w:left="6480" w:hanging="180"/>
      </w:pPr>
      <w:rPr>
        <w:rFonts w:cs="Times New Roman"/>
      </w:rPr>
    </w:lvl>
  </w:abstractNum>
  <w:abstractNum w:abstractNumId="4" w15:restartNumberingAfterBreak="0">
    <w:nsid w:val="0C1B1363"/>
    <w:multiLevelType w:val="hybridMultilevel"/>
    <w:tmpl w:val="E42295E0"/>
    <w:lvl w:ilvl="0" w:tplc="CE7E7346">
      <w:start w:val="1"/>
      <w:numFmt w:val="lowerRoman"/>
      <w:lvlText w:val="(%1)"/>
      <w:lvlJc w:val="left"/>
      <w:pPr>
        <w:tabs>
          <w:tab w:val="num" w:pos="2061"/>
        </w:tabs>
        <w:ind w:left="2061" w:hanging="720"/>
      </w:pPr>
      <w:rPr>
        <w:rFonts w:cs="Times New Roman"/>
      </w:rPr>
    </w:lvl>
    <w:lvl w:ilvl="1" w:tplc="D8A83178">
      <w:start w:val="1"/>
      <w:numFmt w:val="decimal"/>
      <w:lvlText w:val="%2."/>
      <w:lvlJc w:val="left"/>
      <w:pPr>
        <w:tabs>
          <w:tab w:val="num" w:pos="1440"/>
        </w:tabs>
        <w:ind w:left="1440" w:hanging="360"/>
      </w:pPr>
      <w:rPr>
        <w:rFonts w:cs="Times New Roman"/>
      </w:rPr>
    </w:lvl>
    <w:lvl w:ilvl="2" w:tplc="255EE50E">
      <w:start w:val="1"/>
      <w:numFmt w:val="decimal"/>
      <w:lvlText w:val="%3."/>
      <w:lvlJc w:val="left"/>
      <w:pPr>
        <w:tabs>
          <w:tab w:val="num" w:pos="2160"/>
        </w:tabs>
        <w:ind w:left="2160" w:hanging="360"/>
      </w:pPr>
      <w:rPr>
        <w:rFonts w:cs="Times New Roman"/>
      </w:rPr>
    </w:lvl>
    <w:lvl w:ilvl="3" w:tplc="E3304364">
      <w:start w:val="1"/>
      <w:numFmt w:val="decimal"/>
      <w:lvlText w:val="%4."/>
      <w:lvlJc w:val="left"/>
      <w:pPr>
        <w:tabs>
          <w:tab w:val="num" w:pos="2880"/>
        </w:tabs>
        <w:ind w:left="2880" w:hanging="360"/>
      </w:pPr>
      <w:rPr>
        <w:rFonts w:cs="Times New Roman"/>
      </w:rPr>
    </w:lvl>
    <w:lvl w:ilvl="4" w:tplc="B238A9DC">
      <w:start w:val="1"/>
      <w:numFmt w:val="decimal"/>
      <w:lvlText w:val="%5."/>
      <w:lvlJc w:val="left"/>
      <w:pPr>
        <w:tabs>
          <w:tab w:val="num" w:pos="3600"/>
        </w:tabs>
        <w:ind w:left="3600" w:hanging="360"/>
      </w:pPr>
      <w:rPr>
        <w:rFonts w:cs="Times New Roman"/>
      </w:rPr>
    </w:lvl>
    <w:lvl w:ilvl="5" w:tplc="D8D29B30">
      <w:start w:val="1"/>
      <w:numFmt w:val="decimal"/>
      <w:lvlText w:val="%6."/>
      <w:lvlJc w:val="left"/>
      <w:pPr>
        <w:tabs>
          <w:tab w:val="num" w:pos="4320"/>
        </w:tabs>
        <w:ind w:left="4320" w:hanging="360"/>
      </w:pPr>
      <w:rPr>
        <w:rFonts w:cs="Times New Roman"/>
      </w:rPr>
    </w:lvl>
    <w:lvl w:ilvl="6" w:tplc="EBB8810C">
      <w:start w:val="1"/>
      <w:numFmt w:val="decimal"/>
      <w:lvlText w:val="%7."/>
      <w:lvlJc w:val="left"/>
      <w:pPr>
        <w:tabs>
          <w:tab w:val="num" w:pos="5040"/>
        </w:tabs>
        <w:ind w:left="5040" w:hanging="360"/>
      </w:pPr>
      <w:rPr>
        <w:rFonts w:cs="Times New Roman"/>
      </w:rPr>
    </w:lvl>
    <w:lvl w:ilvl="7" w:tplc="3FFE56A8">
      <w:start w:val="1"/>
      <w:numFmt w:val="decimal"/>
      <w:lvlText w:val="%8."/>
      <w:lvlJc w:val="left"/>
      <w:pPr>
        <w:tabs>
          <w:tab w:val="num" w:pos="5760"/>
        </w:tabs>
        <w:ind w:left="5760" w:hanging="360"/>
      </w:pPr>
      <w:rPr>
        <w:rFonts w:cs="Times New Roman"/>
      </w:rPr>
    </w:lvl>
    <w:lvl w:ilvl="8" w:tplc="FCE20452">
      <w:start w:val="1"/>
      <w:numFmt w:val="decimal"/>
      <w:lvlText w:val="%9."/>
      <w:lvlJc w:val="left"/>
      <w:pPr>
        <w:tabs>
          <w:tab w:val="num" w:pos="6480"/>
        </w:tabs>
        <w:ind w:left="6480" w:hanging="360"/>
      </w:pPr>
      <w:rPr>
        <w:rFonts w:cs="Times New Roman"/>
      </w:rPr>
    </w:lvl>
  </w:abstractNum>
  <w:abstractNum w:abstractNumId="5" w15:restartNumberingAfterBreak="0">
    <w:nsid w:val="1793251A"/>
    <w:multiLevelType w:val="hybridMultilevel"/>
    <w:tmpl w:val="2570B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593F11"/>
    <w:multiLevelType w:val="hybridMultilevel"/>
    <w:tmpl w:val="8744BC14"/>
    <w:lvl w:ilvl="0" w:tplc="17686664">
      <w:start w:val="1"/>
      <w:numFmt w:val="lowerRoman"/>
      <w:lvlText w:val="(%1)"/>
      <w:lvlJc w:val="right"/>
      <w:pPr>
        <w:ind w:left="1604" w:hanging="360"/>
      </w:pPr>
      <w:rPr>
        <w:rFonts w:cs="Times New Roman" w:hint="default"/>
      </w:rPr>
    </w:lvl>
    <w:lvl w:ilvl="1" w:tplc="0C090019" w:tentative="1">
      <w:start w:val="1"/>
      <w:numFmt w:val="lowerLetter"/>
      <w:lvlText w:val="%2."/>
      <w:lvlJc w:val="left"/>
      <w:pPr>
        <w:ind w:left="2324" w:hanging="360"/>
      </w:pPr>
      <w:rPr>
        <w:rFonts w:cs="Times New Roman"/>
      </w:rPr>
    </w:lvl>
    <w:lvl w:ilvl="2" w:tplc="0C09001B" w:tentative="1">
      <w:start w:val="1"/>
      <w:numFmt w:val="lowerRoman"/>
      <w:lvlText w:val="%3."/>
      <w:lvlJc w:val="right"/>
      <w:pPr>
        <w:ind w:left="3044" w:hanging="180"/>
      </w:pPr>
      <w:rPr>
        <w:rFonts w:cs="Times New Roman"/>
      </w:rPr>
    </w:lvl>
    <w:lvl w:ilvl="3" w:tplc="0C09000F" w:tentative="1">
      <w:start w:val="1"/>
      <w:numFmt w:val="decimal"/>
      <w:lvlText w:val="%4."/>
      <w:lvlJc w:val="left"/>
      <w:pPr>
        <w:ind w:left="3764" w:hanging="360"/>
      </w:pPr>
      <w:rPr>
        <w:rFonts w:cs="Times New Roman"/>
      </w:rPr>
    </w:lvl>
    <w:lvl w:ilvl="4" w:tplc="0C090019" w:tentative="1">
      <w:start w:val="1"/>
      <w:numFmt w:val="lowerLetter"/>
      <w:lvlText w:val="%5."/>
      <w:lvlJc w:val="left"/>
      <w:pPr>
        <w:ind w:left="4484" w:hanging="360"/>
      </w:pPr>
      <w:rPr>
        <w:rFonts w:cs="Times New Roman"/>
      </w:rPr>
    </w:lvl>
    <w:lvl w:ilvl="5" w:tplc="0C09001B" w:tentative="1">
      <w:start w:val="1"/>
      <w:numFmt w:val="lowerRoman"/>
      <w:lvlText w:val="%6."/>
      <w:lvlJc w:val="right"/>
      <w:pPr>
        <w:ind w:left="5204" w:hanging="180"/>
      </w:pPr>
      <w:rPr>
        <w:rFonts w:cs="Times New Roman"/>
      </w:rPr>
    </w:lvl>
    <w:lvl w:ilvl="6" w:tplc="0C09000F" w:tentative="1">
      <w:start w:val="1"/>
      <w:numFmt w:val="decimal"/>
      <w:lvlText w:val="%7."/>
      <w:lvlJc w:val="left"/>
      <w:pPr>
        <w:ind w:left="5924" w:hanging="360"/>
      </w:pPr>
      <w:rPr>
        <w:rFonts w:cs="Times New Roman"/>
      </w:rPr>
    </w:lvl>
    <w:lvl w:ilvl="7" w:tplc="0C090019" w:tentative="1">
      <w:start w:val="1"/>
      <w:numFmt w:val="lowerLetter"/>
      <w:lvlText w:val="%8."/>
      <w:lvlJc w:val="left"/>
      <w:pPr>
        <w:ind w:left="6644" w:hanging="360"/>
      </w:pPr>
      <w:rPr>
        <w:rFonts w:cs="Times New Roman"/>
      </w:rPr>
    </w:lvl>
    <w:lvl w:ilvl="8" w:tplc="0C09001B" w:tentative="1">
      <w:start w:val="1"/>
      <w:numFmt w:val="lowerRoman"/>
      <w:lvlText w:val="%9."/>
      <w:lvlJc w:val="right"/>
      <w:pPr>
        <w:ind w:left="7364" w:hanging="180"/>
      </w:pPr>
      <w:rPr>
        <w:rFonts w:cs="Times New Roman"/>
      </w:rPr>
    </w:lvl>
  </w:abstractNum>
  <w:abstractNum w:abstractNumId="7" w15:restartNumberingAfterBreak="0">
    <w:nsid w:val="234966C6"/>
    <w:multiLevelType w:val="hybridMultilevel"/>
    <w:tmpl w:val="7FAA12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A81188"/>
    <w:multiLevelType w:val="hybridMultilevel"/>
    <w:tmpl w:val="E9AE39D2"/>
    <w:lvl w:ilvl="0" w:tplc="889A1242">
      <w:start w:val="1"/>
      <w:numFmt w:val="upperLetter"/>
      <w:pStyle w:val="TAexplanatorystatementsubheading"/>
      <w:lvlText w:val="%1."/>
      <w:lvlJc w:val="left"/>
      <w:pPr>
        <w:tabs>
          <w:tab w:val="num" w:pos="360"/>
        </w:tabs>
        <w:ind w:left="720" w:hanging="720"/>
      </w:pPr>
      <w:rPr>
        <w:rFonts w:cs="Times New Roman" w:hint="default"/>
      </w:rPr>
    </w:lvl>
    <w:lvl w:ilvl="1" w:tplc="B5A4D45A" w:tentative="1">
      <w:start w:val="1"/>
      <w:numFmt w:val="lowerLetter"/>
      <w:lvlText w:val="%2."/>
      <w:lvlJc w:val="left"/>
      <w:pPr>
        <w:tabs>
          <w:tab w:val="num" w:pos="1440"/>
        </w:tabs>
        <w:ind w:left="1440" w:hanging="360"/>
      </w:pPr>
      <w:rPr>
        <w:rFonts w:cs="Times New Roman"/>
      </w:rPr>
    </w:lvl>
    <w:lvl w:ilvl="2" w:tplc="23967376" w:tentative="1">
      <w:start w:val="1"/>
      <w:numFmt w:val="lowerRoman"/>
      <w:lvlText w:val="%3."/>
      <w:lvlJc w:val="right"/>
      <w:pPr>
        <w:tabs>
          <w:tab w:val="num" w:pos="2160"/>
        </w:tabs>
        <w:ind w:left="2160" w:hanging="180"/>
      </w:pPr>
      <w:rPr>
        <w:rFonts w:cs="Times New Roman"/>
      </w:rPr>
    </w:lvl>
    <w:lvl w:ilvl="3" w:tplc="01349A1A" w:tentative="1">
      <w:start w:val="1"/>
      <w:numFmt w:val="decimal"/>
      <w:lvlText w:val="%4."/>
      <w:lvlJc w:val="left"/>
      <w:pPr>
        <w:tabs>
          <w:tab w:val="num" w:pos="2880"/>
        </w:tabs>
        <w:ind w:left="2880" w:hanging="360"/>
      </w:pPr>
      <w:rPr>
        <w:rFonts w:cs="Times New Roman"/>
      </w:rPr>
    </w:lvl>
    <w:lvl w:ilvl="4" w:tplc="3F8C2B5E" w:tentative="1">
      <w:start w:val="1"/>
      <w:numFmt w:val="lowerLetter"/>
      <w:lvlText w:val="%5."/>
      <w:lvlJc w:val="left"/>
      <w:pPr>
        <w:tabs>
          <w:tab w:val="num" w:pos="3600"/>
        </w:tabs>
        <w:ind w:left="3600" w:hanging="360"/>
      </w:pPr>
      <w:rPr>
        <w:rFonts w:cs="Times New Roman"/>
      </w:rPr>
    </w:lvl>
    <w:lvl w:ilvl="5" w:tplc="12746734" w:tentative="1">
      <w:start w:val="1"/>
      <w:numFmt w:val="lowerRoman"/>
      <w:lvlText w:val="%6."/>
      <w:lvlJc w:val="right"/>
      <w:pPr>
        <w:tabs>
          <w:tab w:val="num" w:pos="4320"/>
        </w:tabs>
        <w:ind w:left="4320" w:hanging="180"/>
      </w:pPr>
      <w:rPr>
        <w:rFonts w:cs="Times New Roman"/>
      </w:rPr>
    </w:lvl>
    <w:lvl w:ilvl="6" w:tplc="B06C8C04" w:tentative="1">
      <w:start w:val="1"/>
      <w:numFmt w:val="decimal"/>
      <w:lvlText w:val="%7."/>
      <w:lvlJc w:val="left"/>
      <w:pPr>
        <w:tabs>
          <w:tab w:val="num" w:pos="5040"/>
        </w:tabs>
        <w:ind w:left="5040" w:hanging="360"/>
      </w:pPr>
      <w:rPr>
        <w:rFonts w:cs="Times New Roman"/>
      </w:rPr>
    </w:lvl>
    <w:lvl w:ilvl="7" w:tplc="F9665D4A" w:tentative="1">
      <w:start w:val="1"/>
      <w:numFmt w:val="lowerLetter"/>
      <w:lvlText w:val="%8."/>
      <w:lvlJc w:val="left"/>
      <w:pPr>
        <w:tabs>
          <w:tab w:val="num" w:pos="5760"/>
        </w:tabs>
        <w:ind w:left="5760" w:hanging="360"/>
      </w:pPr>
      <w:rPr>
        <w:rFonts w:cs="Times New Roman"/>
      </w:rPr>
    </w:lvl>
    <w:lvl w:ilvl="8" w:tplc="53C65610" w:tentative="1">
      <w:start w:val="1"/>
      <w:numFmt w:val="lowerRoman"/>
      <w:lvlText w:val="%9."/>
      <w:lvlJc w:val="right"/>
      <w:pPr>
        <w:tabs>
          <w:tab w:val="num" w:pos="6480"/>
        </w:tabs>
        <w:ind w:left="6480" w:hanging="180"/>
      </w:pPr>
      <w:rPr>
        <w:rFonts w:cs="Times New Roman"/>
      </w:rPr>
    </w:lvl>
  </w:abstractNum>
  <w:abstractNum w:abstractNumId="9" w15:restartNumberingAfterBreak="0">
    <w:nsid w:val="25526DC9"/>
    <w:multiLevelType w:val="hybridMultilevel"/>
    <w:tmpl w:val="6C00C9C2"/>
    <w:lvl w:ilvl="0" w:tplc="E38C1AC8">
      <w:start w:val="1"/>
      <w:numFmt w:val="bullet"/>
      <w:lvlText w:val=""/>
      <w:lvlJc w:val="left"/>
      <w:pPr>
        <w:tabs>
          <w:tab w:val="num" w:pos="720"/>
        </w:tabs>
        <w:ind w:left="720" w:hanging="360"/>
      </w:pPr>
      <w:rPr>
        <w:rFonts w:ascii="Symbol" w:hAnsi="Symbol" w:hint="default"/>
      </w:rPr>
    </w:lvl>
    <w:lvl w:ilvl="1" w:tplc="C4BCE142" w:tentative="1">
      <w:start w:val="1"/>
      <w:numFmt w:val="bullet"/>
      <w:lvlText w:val="o"/>
      <w:lvlJc w:val="left"/>
      <w:pPr>
        <w:tabs>
          <w:tab w:val="num" w:pos="1440"/>
        </w:tabs>
        <w:ind w:left="1440" w:hanging="360"/>
      </w:pPr>
      <w:rPr>
        <w:rFonts w:ascii="Courier New" w:hAnsi="Courier New" w:hint="default"/>
      </w:rPr>
    </w:lvl>
    <w:lvl w:ilvl="2" w:tplc="5B0E9A2A" w:tentative="1">
      <w:start w:val="1"/>
      <w:numFmt w:val="bullet"/>
      <w:lvlText w:val=""/>
      <w:lvlJc w:val="left"/>
      <w:pPr>
        <w:tabs>
          <w:tab w:val="num" w:pos="2160"/>
        </w:tabs>
        <w:ind w:left="2160" w:hanging="360"/>
      </w:pPr>
      <w:rPr>
        <w:rFonts w:ascii="Wingdings" w:hAnsi="Wingdings" w:hint="default"/>
      </w:rPr>
    </w:lvl>
    <w:lvl w:ilvl="3" w:tplc="AED0E8EC" w:tentative="1">
      <w:start w:val="1"/>
      <w:numFmt w:val="bullet"/>
      <w:lvlText w:val=""/>
      <w:lvlJc w:val="left"/>
      <w:pPr>
        <w:tabs>
          <w:tab w:val="num" w:pos="2880"/>
        </w:tabs>
        <w:ind w:left="2880" w:hanging="360"/>
      </w:pPr>
      <w:rPr>
        <w:rFonts w:ascii="Symbol" w:hAnsi="Symbol" w:hint="default"/>
      </w:rPr>
    </w:lvl>
    <w:lvl w:ilvl="4" w:tplc="68A4FAA0" w:tentative="1">
      <w:start w:val="1"/>
      <w:numFmt w:val="bullet"/>
      <w:lvlText w:val="o"/>
      <w:lvlJc w:val="left"/>
      <w:pPr>
        <w:tabs>
          <w:tab w:val="num" w:pos="3600"/>
        </w:tabs>
        <w:ind w:left="3600" w:hanging="360"/>
      </w:pPr>
      <w:rPr>
        <w:rFonts w:ascii="Courier New" w:hAnsi="Courier New" w:hint="default"/>
      </w:rPr>
    </w:lvl>
    <w:lvl w:ilvl="5" w:tplc="6332DC14" w:tentative="1">
      <w:start w:val="1"/>
      <w:numFmt w:val="bullet"/>
      <w:lvlText w:val=""/>
      <w:lvlJc w:val="left"/>
      <w:pPr>
        <w:tabs>
          <w:tab w:val="num" w:pos="4320"/>
        </w:tabs>
        <w:ind w:left="4320" w:hanging="360"/>
      </w:pPr>
      <w:rPr>
        <w:rFonts w:ascii="Wingdings" w:hAnsi="Wingdings" w:hint="default"/>
      </w:rPr>
    </w:lvl>
    <w:lvl w:ilvl="6" w:tplc="9B127954" w:tentative="1">
      <w:start w:val="1"/>
      <w:numFmt w:val="bullet"/>
      <w:lvlText w:val=""/>
      <w:lvlJc w:val="left"/>
      <w:pPr>
        <w:tabs>
          <w:tab w:val="num" w:pos="5040"/>
        </w:tabs>
        <w:ind w:left="5040" w:hanging="360"/>
      </w:pPr>
      <w:rPr>
        <w:rFonts w:ascii="Symbol" w:hAnsi="Symbol" w:hint="default"/>
      </w:rPr>
    </w:lvl>
    <w:lvl w:ilvl="7" w:tplc="1E1C9084" w:tentative="1">
      <w:start w:val="1"/>
      <w:numFmt w:val="bullet"/>
      <w:lvlText w:val="o"/>
      <w:lvlJc w:val="left"/>
      <w:pPr>
        <w:tabs>
          <w:tab w:val="num" w:pos="5760"/>
        </w:tabs>
        <w:ind w:left="5760" w:hanging="360"/>
      </w:pPr>
      <w:rPr>
        <w:rFonts w:ascii="Courier New" w:hAnsi="Courier New" w:hint="default"/>
      </w:rPr>
    </w:lvl>
    <w:lvl w:ilvl="8" w:tplc="A9466CA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2F755832"/>
    <w:multiLevelType w:val="hybridMultilevel"/>
    <w:tmpl w:val="C23E6F62"/>
    <w:lvl w:ilvl="0" w:tplc="9606F6D0">
      <w:start w:val="1"/>
      <w:numFmt w:val="bullet"/>
      <w:lvlText w:val="·"/>
      <w:lvlJc w:val="left"/>
      <w:pPr>
        <w:tabs>
          <w:tab w:val="num" w:pos="360"/>
        </w:tabs>
        <w:ind w:left="360" w:hanging="360"/>
      </w:pPr>
      <w:rPr>
        <w:rFonts w:ascii="Symbol" w:hAnsi="Symbol" w:hint="default"/>
      </w:rPr>
    </w:lvl>
    <w:lvl w:ilvl="1" w:tplc="11068072">
      <w:start w:val="1"/>
      <w:numFmt w:val="bullet"/>
      <w:lvlText w:val="o"/>
      <w:lvlJc w:val="left"/>
      <w:pPr>
        <w:tabs>
          <w:tab w:val="num" w:pos="360"/>
        </w:tabs>
        <w:ind w:left="360" w:hanging="360"/>
      </w:pPr>
      <w:rPr>
        <w:rFonts w:ascii="Courier New" w:hAnsi="Courier New" w:hint="default"/>
      </w:rPr>
    </w:lvl>
    <w:lvl w:ilvl="2" w:tplc="FA123284">
      <w:start w:val="1"/>
      <w:numFmt w:val="bullet"/>
      <w:lvlText w:val=""/>
      <w:lvlJc w:val="left"/>
      <w:pPr>
        <w:tabs>
          <w:tab w:val="num" w:pos="1080"/>
        </w:tabs>
        <w:ind w:left="1080" w:hanging="360"/>
      </w:pPr>
      <w:rPr>
        <w:rFonts w:ascii="Wingdings" w:hAnsi="Wingdings" w:hint="default"/>
      </w:rPr>
    </w:lvl>
    <w:lvl w:ilvl="3" w:tplc="54F0F8BA">
      <w:start w:val="1"/>
      <w:numFmt w:val="bullet"/>
      <w:lvlText w:val=""/>
      <w:lvlJc w:val="left"/>
      <w:pPr>
        <w:tabs>
          <w:tab w:val="num" w:pos="1800"/>
        </w:tabs>
        <w:ind w:left="1800" w:hanging="360"/>
      </w:pPr>
      <w:rPr>
        <w:rFonts w:ascii="Symbol" w:hAnsi="Symbol" w:hint="default"/>
      </w:rPr>
    </w:lvl>
    <w:lvl w:ilvl="4" w:tplc="AD38DC58">
      <w:start w:val="1"/>
      <w:numFmt w:val="bullet"/>
      <w:lvlText w:val="o"/>
      <w:lvlJc w:val="left"/>
      <w:pPr>
        <w:tabs>
          <w:tab w:val="num" w:pos="2520"/>
        </w:tabs>
        <w:ind w:left="2520" w:hanging="360"/>
      </w:pPr>
      <w:rPr>
        <w:rFonts w:ascii="Courier New" w:hAnsi="Courier New" w:hint="default"/>
      </w:rPr>
    </w:lvl>
    <w:lvl w:ilvl="5" w:tplc="9768E928">
      <w:start w:val="1"/>
      <w:numFmt w:val="decimal"/>
      <w:lvlText w:val="%6."/>
      <w:lvlJc w:val="left"/>
      <w:pPr>
        <w:tabs>
          <w:tab w:val="num" w:pos="4320"/>
        </w:tabs>
        <w:ind w:left="4320" w:hanging="360"/>
      </w:pPr>
      <w:rPr>
        <w:rFonts w:cs="Times New Roman"/>
      </w:rPr>
    </w:lvl>
    <w:lvl w:ilvl="6" w:tplc="3C7CABEC">
      <w:start w:val="1"/>
      <w:numFmt w:val="decimal"/>
      <w:lvlText w:val="%7."/>
      <w:lvlJc w:val="left"/>
      <w:pPr>
        <w:tabs>
          <w:tab w:val="num" w:pos="5040"/>
        </w:tabs>
        <w:ind w:left="5040" w:hanging="360"/>
      </w:pPr>
      <w:rPr>
        <w:rFonts w:cs="Times New Roman"/>
      </w:rPr>
    </w:lvl>
    <w:lvl w:ilvl="7" w:tplc="12E8D368">
      <w:start w:val="1"/>
      <w:numFmt w:val="decimal"/>
      <w:lvlText w:val="%8."/>
      <w:lvlJc w:val="left"/>
      <w:pPr>
        <w:tabs>
          <w:tab w:val="num" w:pos="5760"/>
        </w:tabs>
        <w:ind w:left="5760" w:hanging="360"/>
      </w:pPr>
      <w:rPr>
        <w:rFonts w:cs="Times New Roman"/>
      </w:rPr>
    </w:lvl>
    <w:lvl w:ilvl="8" w:tplc="B798E1C2">
      <w:start w:val="1"/>
      <w:numFmt w:val="decimal"/>
      <w:lvlText w:val="%9."/>
      <w:lvlJc w:val="left"/>
      <w:pPr>
        <w:tabs>
          <w:tab w:val="num" w:pos="6480"/>
        </w:tabs>
        <w:ind w:left="6480" w:hanging="360"/>
      </w:pPr>
      <w:rPr>
        <w:rFonts w:cs="Times New Roman"/>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3" w15:restartNumberingAfterBreak="0">
    <w:nsid w:val="3FED326A"/>
    <w:multiLevelType w:val="hybridMultilevel"/>
    <w:tmpl w:val="9AA65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9D7719"/>
    <w:multiLevelType w:val="hybridMultilevel"/>
    <w:tmpl w:val="A2A62AC4"/>
    <w:lvl w:ilvl="0" w:tplc="B0509764">
      <w:start w:val="1"/>
      <w:numFmt w:val="bullet"/>
      <w:lvlText w:val=""/>
      <w:lvlJc w:val="left"/>
      <w:pPr>
        <w:tabs>
          <w:tab w:val="num" w:pos="720"/>
        </w:tabs>
        <w:ind w:left="720" w:hanging="360"/>
      </w:pPr>
      <w:rPr>
        <w:rFonts w:ascii="Symbol" w:hAnsi="Symbol" w:hint="default"/>
      </w:rPr>
    </w:lvl>
    <w:lvl w:ilvl="1" w:tplc="8570A874" w:tentative="1">
      <w:start w:val="1"/>
      <w:numFmt w:val="bullet"/>
      <w:lvlText w:val="o"/>
      <w:lvlJc w:val="left"/>
      <w:pPr>
        <w:tabs>
          <w:tab w:val="num" w:pos="1440"/>
        </w:tabs>
        <w:ind w:left="1440" w:hanging="360"/>
      </w:pPr>
      <w:rPr>
        <w:rFonts w:ascii="Courier New" w:hAnsi="Courier New" w:hint="default"/>
      </w:rPr>
    </w:lvl>
    <w:lvl w:ilvl="2" w:tplc="1B500D8E" w:tentative="1">
      <w:start w:val="1"/>
      <w:numFmt w:val="bullet"/>
      <w:lvlText w:val=""/>
      <w:lvlJc w:val="left"/>
      <w:pPr>
        <w:tabs>
          <w:tab w:val="num" w:pos="2160"/>
        </w:tabs>
        <w:ind w:left="2160" w:hanging="360"/>
      </w:pPr>
      <w:rPr>
        <w:rFonts w:ascii="Wingdings" w:hAnsi="Wingdings" w:hint="default"/>
      </w:rPr>
    </w:lvl>
    <w:lvl w:ilvl="3" w:tplc="5D3ADFB4" w:tentative="1">
      <w:start w:val="1"/>
      <w:numFmt w:val="bullet"/>
      <w:lvlText w:val=""/>
      <w:lvlJc w:val="left"/>
      <w:pPr>
        <w:tabs>
          <w:tab w:val="num" w:pos="2880"/>
        </w:tabs>
        <w:ind w:left="2880" w:hanging="360"/>
      </w:pPr>
      <w:rPr>
        <w:rFonts w:ascii="Symbol" w:hAnsi="Symbol" w:hint="default"/>
      </w:rPr>
    </w:lvl>
    <w:lvl w:ilvl="4" w:tplc="B5921818" w:tentative="1">
      <w:start w:val="1"/>
      <w:numFmt w:val="bullet"/>
      <w:lvlText w:val="o"/>
      <w:lvlJc w:val="left"/>
      <w:pPr>
        <w:tabs>
          <w:tab w:val="num" w:pos="3600"/>
        </w:tabs>
        <w:ind w:left="3600" w:hanging="360"/>
      </w:pPr>
      <w:rPr>
        <w:rFonts w:ascii="Courier New" w:hAnsi="Courier New" w:hint="default"/>
      </w:rPr>
    </w:lvl>
    <w:lvl w:ilvl="5" w:tplc="BA9A3820" w:tentative="1">
      <w:start w:val="1"/>
      <w:numFmt w:val="bullet"/>
      <w:lvlText w:val=""/>
      <w:lvlJc w:val="left"/>
      <w:pPr>
        <w:tabs>
          <w:tab w:val="num" w:pos="4320"/>
        </w:tabs>
        <w:ind w:left="4320" w:hanging="360"/>
      </w:pPr>
      <w:rPr>
        <w:rFonts w:ascii="Wingdings" w:hAnsi="Wingdings" w:hint="default"/>
      </w:rPr>
    </w:lvl>
    <w:lvl w:ilvl="6" w:tplc="A7F01390" w:tentative="1">
      <w:start w:val="1"/>
      <w:numFmt w:val="bullet"/>
      <w:lvlText w:val=""/>
      <w:lvlJc w:val="left"/>
      <w:pPr>
        <w:tabs>
          <w:tab w:val="num" w:pos="5040"/>
        </w:tabs>
        <w:ind w:left="5040" w:hanging="360"/>
      </w:pPr>
      <w:rPr>
        <w:rFonts w:ascii="Symbol" w:hAnsi="Symbol" w:hint="default"/>
      </w:rPr>
    </w:lvl>
    <w:lvl w:ilvl="7" w:tplc="D51C10E0" w:tentative="1">
      <w:start w:val="1"/>
      <w:numFmt w:val="bullet"/>
      <w:lvlText w:val="o"/>
      <w:lvlJc w:val="left"/>
      <w:pPr>
        <w:tabs>
          <w:tab w:val="num" w:pos="5760"/>
        </w:tabs>
        <w:ind w:left="5760" w:hanging="360"/>
      </w:pPr>
      <w:rPr>
        <w:rFonts w:ascii="Courier New" w:hAnsi="Courier New" w:hint="default"/>
      </w:rPr>
    </w:lvl>
    <w:lvl w:ilvl="8" w:tplc="D53039E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6" w15:restartNumberingAfterBreak="0">
    <w:nsid w:val="4FE95ECD"/>
    <w:multiLevelType w:val="hybridMultilevel"/>
    <w:tmpl w:val="4D58B528"/>
    <w:lvl w:ilvl="0" w:tplc="9F622274">
      <w:start w:val="1"/>
      <w:numFmt w:val="bullet"/>
      <w:lvlText w:val="·"/>
      <w:lvlJc w:val="left"/>
      <w:pPr>
        <w:tabs>
          <w:tab w:val="num" w:pos="360"/>
        </w:tabs>
        <w:ind w:left="360" w:hanging="360"/>
      </w:pPr>
      <w:rPr>
        <w:rFonts w:ascii="Symbol" w:hAnsi="Symbol" w:hint="default"/>
      </w:rPr>
    </w:lvl>
    <w:lvl w:ilvl="1" w:tplc="2B582516">
      <w:start w:val="1"/>
      <w:numFmt w:val="decimal"/>
      <w:lvlText w:val="%2."/>
      <w:lvlJc w:val="left"/>
      <w:pPr>
        <w:tabs>
          <w:tab w:val="num" w:pos="1440"/>
        </w:tabs>
        <w:ind w:left="1440" w:hanging="360"/>
      </w:pPr>
      <w:rPr>
        <w:rFonts w:cs="Times New Roman"/>
      </w:rPr>
    </w:lvl>
    <w:lvl w:ilvl="2" w:tplc="03CE6DC4">
      <w:start w:val="1"/>
      <w:numFmt w:val="decimal"/>
      <w:lvlText w:val="%3."/>
      <w:lvlJc w:val="left"/>
      <w:pPr>
        <w:tabs>
          <w:tab w:val="num" w:pos="2160"/>
        </w:tabs>
        <w:ind w:left="2160" w:hanging="360"/>
      </w:pPr>
      <w:rPr>
        <w:rFonts w:cs="Times New Roman"/>
      </w:rPr>
    </w:lvl>
    <w:lvl w:ilvl="3" w:tplc="5C907686">
      <w:start w:val="1"/>
      <w:numFmt w:val="decimal"/>
      <w:lvlText w:val="%4."/>
      <w:lvlJc w:val="left"/>
      <w:pPr>
        <w:tabs>
          <w:tab w:val="num" w:pos="2880"/>
        </w:tabs>
        <w:ind w:left="2880" w:hanging="360"/>
      </w:pPr>
      <w:rPr>
        <w:rFonts w:cs="Times New Roman"/>
      </w:rPr>
    </w:lvl>
    <w:lvl w:ilvl="4" w:tplc="63A4F23E">
      <w:start w:val="1"/>
      <w:numFmt w:val="decimal"/>
      <w:lvlText w:val="%5."/>
      <w:lvlJc w:val="left"/>
      <w:pPr>
        <w:tabs>
          <w:tab w:val="num" w:pos="3600"/>
        </w:tabs>
        <w:ind w:left="3600" w:hanging="360"/>
      </w:pPr>
      <w:rPr>
        <w:rFonts w:cs="Times New Roman"/>
      </w:rPr>
    </w:lvl>
    <w:lvl w:ilvl="5" w:tplc="F87AFCA4">
      <w:start w:val="1"/>
      <w:numFmt w:val="decimal"/>
      <w:lvlText w:val="%6."/>
      <w:lvlJc w:val="left"/>
      <w:pPr>
        <w:tabs>
          <w:tab w:val="num" w:pos="4320"/>
        </w:tabs>
        <w:ind w:left="4320" w:hanging="360"/>
      </w:pPr>
      <w:rPr>
        <w:rFonts w:cs="Times New Roman"/>
      </w:rPr>
    </w:lvl>
    <w:lvl w:ilvl="6" w:tplc="AF2EF4EC">
      <w:start w:val="1"/>
      <w:numFmt w:val="decimal"/>
      <w:lvlText w:val="%7."/>
      <w:lvlJc w:val="left"/>
      <w:pPr>
        <w:tabs>
          <w:tab w:val="num" w:pos="5040"/>
        </w:tabs>
        <w:ind w:left="5040" w:hanging="360"/>
      </w:pPr>
      <w:rPr>
        <w:rFonts w:cs="Times New Roman"/>
      </w:rPr>
    </w:lvl>
    <w:lvl w:ilvl="7" w:tplc="BEF071C2">
      <w:start w:val="1"/>
      <w:numFmt w:val="decimal"/>
      <w:lvlText w:val="%8."/>
      <w:lvlJc w:val="left"/>
      <w:pPr>
        <w:tabs>
          <w:tab w:val="num" w:pos="5760"/>
        </w:tabs>
        <w:ind w:left="5760" w:hanging="360"/>
      </w:pPr>
      <w:rPr>
        <w:rFonts w:cs="Times New Roman"/>
      </w:rPr>
    </w:lvl>
    <w:lvl w:ilvl="8" w:tplc="77C2BFD2">
      <w:start w:val="1"/>
      <w:numFmt w:val="decimal"/>
      <w:lvlText w:val="%9."/>
      <w:lvlJc w:val="left"/>
      <w:pPr>
        <w:tabs>
          <w:tab w:val="num" w:pos="6480"/>
        </w:tabs>
        <w:ind w:left="6480" w:hanging="360"/>
      </w:pPr>
      <w:rPr>
        <w:rFonts w:cs="Times New Roman"/>
      </w:rPr>
    </w:lvl>
  </w:abstractNum>
  <w:abstractNum w:abstractNumId="17" w15:restartNumberingAfterBreak="0">
    <w:nsid w:val="55597662"/>
    <w:multiLevelType w:val="multilevel"/>
    <w:tmpl w:val="00000886"/>
    <w:lvl w:ilvl="0">
      <w:start w:val="1"/>
      <w:numFmt w:val="lowerLetter"/>
      <w:lvlText w:val="%1)"/>
      <w:lvlJc w:val="left"/>
      <w:pPr>
        <w:ind w:left="557" w:hanging="455"/>
      </w:pPr>
      <w:rPr>
        <w:rFonts w:ascii="Arial" w:hAnsi="Arial" w:cs="Arial"/>
        <w:b w:val="0"/>
        <w:bCs w:val="0"/>
        <w:w w:val="100"/>
        <w:sz w:val="20"/>
        <w:szCs w:val="20"/>
      </w:rPr>
    </w:lvl>
    <w:lvl w:ilvl="1">
      <w:numFmt w:val="bullet"/>
      <w:lvlText w:val="•"/>
      <w:lvlJc w:val="left"/>
      <w:pPr>
        <w:ind w:left="956" w:hanging="455"/>
      </w:pPr>
    </w:lvl>
    <w:lvl w:ilvl="2">
      <w:numFmt w:val="bullet"/>
      <w:lvlText w:val="•"/>
      <w:lvlJc w:val="left"/>
      <w:pPr>
        <w:ind w:left="1353" w:hanging="455"/>
      </w:pPr>
    </w:lvl>
    <w:lvl w:ilvl="3">
      <w:numFmt w:val="bullet"/>
      <w:lvlText w:val="•"/>
      <w:lvlJc w:val="left"/>
      <w:pPr>
        <w:ind w:left="1749" w:hanging="455"/>
      </w:pPr>
    </w:lvl>
    <w:lvl w:ilvl="4">
      <w:numFmt w:val="bullet"/>
      <w:lvlText w:val="•"/>
      <w:lvlJc w:val="left"/>
      <w:pPr>
        <w:ind w:left="2146" w:hanging="455"/>
      </w:pPr>
    </w:lvl>
    <w:lvl w:ilvl="5">
      <w:numFmt w:val="bullet"/>
      <w:lvlText w:val="•"/>
      <w:lvlJc w:val="left"/>
      <w:pPr>
        <w:ind w:left="2543" w:hanging="455"/>
      </w:pPr>
    </w:lvl>
    <w:lvl w:ilvl="6">
      <w:numFmt w:val="bullet"/>
      <w:lvlText w:val="•"/>
      <w:lvlJc w:val="left"/>
      <w:pPr>
        <w:ind w:left="2939" w:hanging="455"/>
      </w:pPr>
    </w:lvl>
    <w:lvl w:ilvl="7">
      <w:numFmt w:val="bullet"/>
      <w:lvlText w:val="•"/>
      <w:lvlJc w:val="left"/>
      <w:pPr>
        <w:ind w:left="3336" w:hanging="455"/>
      </w:pPr>
    </w:lvl>
    <w:lvl w:ilvl="8">
      <w:numFmt w:val="bullet"/>
      <w:lvlText w:val="•"/>
      <w:lvlJc w:val="left"/>
      <w:pPr>
        <w:ind w:left="3732" w:hanging="455"/>
      </w:pPr>
    </w:lvl>
  </w:abstractNum>
  <w:abstractNum w:abstractNumId="18" w15:restartNumberingAfterBreak="0">
    <w:nsid w:val="64AD0007"/>
    <w:multiLevelType w:val="hybridMultilevel"/>
    <w:tmpl w:val="8744BC14"/>
    <w:lvl w:ilvl="0" w:tplc="17686664">
      <w:start w:val="1"/>
      <w:numFmt w:val="lowerRoman"/>
      <w:lvlText w:val="(%1)"/>
      <w:lvlJc w:val="right"/>
      <w:pPr>
        <w:ind w:left="1604" w:hanging="360"/>
      </w:pPr>
      <w:rPr>
        <w:rFonts w:cs="Times New Roman" w:hint="default"/>
      </w:rPr>
    </w:lvl>
    <w:lvl w:ilvl="1" w:tplc="0C090019" w:tentative="1">
      <w:start w:val="1"/>
      <w:numFmt w:val="lowerLetter"/>
      <w:lvlText w:val="%2."/>
      <w:lvlJc w:val="left"/>
      <w:pPr>
        <w:ind w:left="2324" w:hanging="360"/>
      </w:pPr>
      <w:rPr>
        <w:rFonts w:cs="Times New Roman"/>
      </w:rPr>
    </w:lvl>
    <w:lvl w:ilvl="2" w:tplc="0C09001B" w:tentative="1">
      <w:start w:val="1"/>
      <w:numFmt w:val="lowerRoman"/>
      <w:lvlText w:val="%3."/>
      <w:lvlJc w:val="right"/>
      <w:pPr>
        <w:ind w:left="3044" w:hanging="180"/>
      </w:pPr>
      <w:rPr>
        <w:rFonts w:cs="Times New Roman"/>
      </w:rPr>
    </w:lvl>
    <w:lvl w:ilvl="3" w:tplc="0C09000F" w:tentative="1">
      <w:start w:val="1"/>
      <w:numFmt w:val="decimal"/>
      <w:lvlText w:val="%4."/>
      <w:lvlJc w:val="left"/>
      <w:pPr>
        <w:ind w:left="3764" w:hanging="360"/>
      </w:pPr>
      <w:rPr>
        <w:rFonts w:cs="Times New Roman"/>
      </w:rPr>
    </w:lvl>
    <w:lvl w:ilvl="4" w:tplc="0C090019" w:tentative="1">
      <w:start w:val="1"/>
      <w:numFmt w:val="lowerLetter"/>
      <w:lvlText w:val="%5."/>
      <w:lvlJc w:val="left"/>
      <w:pPr>
        <w:ind w:left="4484" w:hanging="360"/>
      </w:pPr>
      <w:rPr>
        <w:rFonts w:cs="Times New Roman"/>
      </w:rPr>
    </w:lvl>
    <w:lvl w:ilvl="5" w:tplc="0C09001B" w:tentative="1">
      <w:start w:val="1"/>
      <w:numFmt w:val="lowerRoman"/>
      <w:lvlText w:val="%6."/>
      <w:lvlJc w:val="right"/>
      <w:pPr>
        <w:ind w:left="5204" w:hanging="180"/>
      </w:pPr>
      <w:rPr>
        <w:rFonts w:cs="Times New Roman"/>
      </w:rPr>
    </w:lvl>
    <w:lvl w:ilvl="6" w:tplc="0C09000F" w:tentative="1">
      <w:start w:val="1"/>
      <w:numFmt w:val="decimal"/>
      <w:lvlText w:val="%7."/>
      <w:lvlJc w:val="left"/>
      <w:pPr>
        <w:ind w:left="5924" w:hanging="360"/>
      </w:pPr>
      <w:rPr>
        <w:rFonts w:cs="Times New Roman"/>
      </w:rPr>
    </w:lvl>
    <w:lvl w:ilvl="7" w:tplc="0C090019" w:tentative="1">
      <w:start w:val="1"/>
      <w:numFmt w:val="lowerLetter"/>
      <w:lvlText w:val="%8."/>
      <w:lvlJc w:val="left"/>
      <w:pPr>
        <w:ind w:left="6644" w:hanging="360"/>
      </w:pPr>
      <w:rPr>
        <w:rFonts w:cs="Times New Roman"/>
      </w:rPr>
    </w:lvl>
    <w:lvl w:ilvl="8" w:tplc="0C09001B" w:tentative="1">
      <w:start w:val="1"/>
      <w:numFmt w:val="lowerRoman"/>
      <w:lvlText w:val="%9."/>
      <w:lvlJc w:val="right"/>
      <w:pPr>
        <w:ind w:left="7364" w:hanging="180"/>
      </w:pPr>
      <w:rPr>
        <w:rFonts w:cs="Times New Roman"/>
      </w:rPr>
    </w:lvl>
  </w:abstractNum>
  <w:abstractNum w:abstractNumId="19" w15:restartNumberingAfterBreak="0">
    <w:nsid w:val="667A2A7A"/>
    <w:multiLevelType w:val="hybridMultilevel"/>
    <w:tmpl w:val="E9F620F6"/>
    <w:lvl w:ilvl="0" w:tplc="14EA9C48">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77A36D01"/>
    <w:multiLevelType w:val="multilevel"/>
    <w:tmpl w:val="3AC060E0"/>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1134" w:hanging="1134"/>
      </w:pPr>
      <w:rPr>
        <w:rFonts w:cs="Times New Roman" w:hint="default"/>
      </w:rPr>
    </w:lvl>
    <w:lvl w:ilvl="2">
      <w:start w:val="1"/>
      <w:numFmt w:val="decimal"/>
      <w:lvlRestart w:val="0"/>
      <w:pStyle w:val="TAsectionheading3"/>
      <w:suff w:val="nothing"/>
      <w:lvlText w:val="%1.%3"/>
      <w:lvlJc w:val="left"/>
      <w:pPr>
        <w:ind w:left="720" w:hanging="720"/>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7C9F3339"/>
    <w:multiLevelType w:val="hybridMultilevel"/>
    <w:tmpl w:val="B42A4268"/>
    <w:lvl w:ilvl="0" w:tplc="70C22120">
      <w:start w:val="1"/>
      <w:numFmt w:val="decimal"/>
      <w:lvlText w:val="(%1)"/>
      <w:lvlJc w:val="left"/>
      <w:pPr>
        <w:ind w:left="360" w:hanging="360"/>
      </w:pPr>
      <w:rPr>
        <w:rFonts w:cs="Times New Roman" w:hint="default"/>
      </w:rPr>
    </w:lvl>
    <w:lvl w:ilvl="1" w:tplc="1DA48C58" w:tentative="1">
      <w:start w:val="1"/>
      <w:numFmt w:val="lowerLetter"/>
      <w:lvlText w:val="%2."/>
      <w:lvlJc w:val="left"/>
      <w:pPr>
        <w:ind w:left="1080" w:hanging="360"/>
      </w:pPr>
      <w:rPr>
        <w:rFonts w:cs="Times New Roman"/>
      </w:rPr>
    </w:lvl>
    <w:lvl w:ilvl="2" w:tplc="8932C17A" w:tentative="1">
      <w:start w:val="1"/>
      <w:numFmt w:val="lowerRoman"/>
      <w:lvlText w:val="%3."/>
      <w:lvlJc w:val="right"/>
      <w:pPr>
        <w:ind w:left="1800" w:hanging="180"/>
      </w:pPr>
      <w:rPr>
        <w:rFonts w:cs="Times New Roman"/>
      </w:rPr>
    </w:lvl>
    <w:lvl w:ilvl="3" w:tplc="1A28D782" w:tentative="1">
      <w:start w:val="1"/>
      <w:numFmt w:val="decimal"/>
      <w:lvlText w:val="%4."/>
      <w:lvlJc w:val="left"/>
      <w:pPr>
        <w:ind w:left="2520" w:hanging="360"/>
      </w:pPr>
      <w:rPr>
        <w:rFonts w:cs="Times New Roman"/>
      </w:rPr>
    </w:lvl>
    <w:lvl w:ilvl="4" w:tplc="2F786F56" w:tentative="1">
      <w:start w:val="1"/>
      <w:numFmt w:val="lowerLetter"/>
      <w:lvlText w:val="%5."/>
      <w:lvlJc w:val="left"/>
      <w:pPr>
        <w:ind w:left="3240" w:hanging="360"/>
      </w:pPr>
      <w:rPr>
        <w:rFonts w:cs="Times New Roman"/>
      </w:rPr>
    </w:lvl>
    <w:lvl w:ilvl="5" w:tplc="D7A2F54C" w:tentative="1">
      <w:start w:val="1"/>
      <w:numFmt w:val="lowerRoman"/>
      <w:lvlText w:val="%6."/>
      <w:lvlJc w:val="right"/>
      <w:pPr>
        <w:ind w:left="3960" w:hanging="180"/>
      </w:pPr>
      <w:rPr>
        <w:rFonts w:cs="Times New Roman"/>
      </w:rPr>
    </w:lvl>
    <w:lvl w:ilvl="6" w:tplc="112E94FE" w:tentative="1">
      <w:start w:val="1"/>
      <w:numFmt w:val="decimal"/>
      <w:lvlText w:val="%7."/>
      <w:lvlJc w:val="left"/>
      <w:pPr>
        <w:ind w:left="4680" w:hanging="360"/>
      </w:pPr>
      <w:rPr>
        <w:rFonts w:cs="Times New Roman"/>
      </w:rPr>
    </w:lvl>
    <w:lvl w:ilvl="7" w:tplc="3B02248A" w:tentative="1">
      <w:start w:val="1"/>
      <w:numFmt w:val="lowerLetter"/>
      <w:lvlText w:val="%8."/>
      <w:lvlJc w:val="left"/>
      <w:pPr>
        <w:ind w:left="5400" w:hanging="360"/>
      </w:pPr>
      <w:rPr>
        <w:rFonts w:cs="Times New Roman"/>
      </w:rPr>
    </w:lvl>
    <w:lvl w:ilvl="8" w:tplc="46F6A0A2" w:tentative="1">
      <w:start w:val="1"/>
      <w:numFmt w:val="lowerRoman"/>
      <w:lvlText w:val="%9."/>
      <w:lvlJc w:val="right"/>
      <w:pPr>
        <w:ind w:left="6120" w:hanging="180"/>
      </w:pPr>
      <w:rPr>
        <w:rFonts w:cs="Times New Roman"/>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4"/>
  </w:num>
  <w:num w:numId="7">
    <w:abstractNumId w:val="20"/>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2"/>
  </w:num>
  <w:num w:numId="11">
    <w:abstractNumId w:val="3"/>
  </w:num>
  <w:num w:numId="12">
    <w:abstractNumId w:val="8"/>
  </w:num>
  <w:num w:numId="13">
    <w:abstractNumId w:val="13"/>
  </w:num>
  <w:num w:numId="14">
    <w:abstractNumId w:val="7"/>
  </w:num>
  <w:num w:numId="15">
    <w:abstractNumId w:val="18"/>
  </w:num>
  <w:num w:numId="16">
    <w:abstractNumId w:val="21"/>
  </w:num>
  <w:num w:numId="17">
    <w:abstractNumId w:val="2"/>
  </w:num>
  <w:num w:numId="18">
    <w:abstractNumId w:val="6"/>
  </w:num>
  <w:num w:numId="19">
    <w:abstractNumId w:val="20"/>
  </w:num>
  <w:num w:numId="20">
    <w:abstractNumId w:val="5"/>
  </w:num>
  <w:num w:numId="21">
    <w:abstractNumId w:val="1"/>
  </w:num>
  <w:num w:numId="22">
    <w:abstractNumId w:val="0"/>
  </w:num>
  <w:num w:numId="23">
    <w:abstractNumId w:val="17"/>
  </w:num>
  <w:num w:numId="24">
    <w:abstractNumId w:val="8"/>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7822F5"/>
    <w:rsid w:val="0003312E"/>
    <w:rsid w:val="00075C98"/>
    <w:rsid w:val="00094A49"/>
    <w:rsid w:val="000C4F65"/>
    <w:rsid w:val="000C5A61"/>
    <w:rsid w:val="000D66D5"/>
    <w:rsid w:val="000E79BC"/>
    <w:rsid w:val="001710F8"/>
    <w:rsid w:val="00196185"/>
    <w:rsid w:val="001A629D"/>
    <w:rsid w:val="001E3B5D"/>
    <w:rsid w:val="001F69C9"/>
    <w:rsid w:val="00274951"/>
    <w:rsid w:val="00284D29"/>
    <w:rsid w:val="0028638B"/>
    <w:rsid w:val="002B0280"/>
    <w:rsid w:val="002B3938"/>
    <w:rsid w:val="003633B7"/>
    <w:rsid w:val="0037490A"/>
    <w:rsid w:val="003B53B5"/>
    <w:rsid w:val="003C0302"/>
    <w:rsid w:val="003E0DA3"/>
    <w:rsid w:val="004245B4"/>
    <w:rsid w:val="0042761F"/>
    <w:rsid w:val="004D14F8"/>
    <w:rsid w:val="004D7879"/>
    <w:rsid w:val="004E6866"/>
    <w:rsid w:val="00500689"/>
    <w:rsid w:val="00534148"/>
    <w:rsid w:val="00543275"/>
    <w:rsid w:val="0055367F"/>
    <w:rsid w:val="0056366D"/>
    <w:rsid w:val="005A2FEF"/>
    <w:rsid w:val="005B2F10"/>
    <w:rsid w:val="005D548F"/>
    <w:rsid w:val="005E5BD4"/>
    <w:rsid w:val="0060070A"/>
    <w:rsid w:val="006260E7"/>
    <w:rsid w:val="00630B44"/>
    <w:rsid w:val="00640361"/>
    <w:rsid w:val="006A3135"/>
    <w:rsid w:val="006A39DD"/>
    <w:rsid w:val="006C3DEE"/>
    <w:rsid w:val="006D00F9"/>
    <w:rsid w:val="006D53F4"/>
    <w:rsid w:val="00713BBD"/>
    <w:rsid w:val="00724695"/>
    <w:rsid w:val="00731AF7"/>
    <w:rsid w:val="007822F5"/>
    <w:rsid w:val="00792440"/>
    <w:rsid w:val="007A7384"/>
    <w:rsid w:val="007E4DC3"/>
    <w:rsid w:val="007E775C"/>
    <w:rsid w:val="007F687B"/>
    <w:rsid w:val="007F6E40"/>
    <w:rsid w:val="008368EA"/>
    <w:rsid w:val="00846078"/>
    <w:rsid w:val="008A0BD6"/>
    <w:rsid w:val="008A2AE9"/>
    <w:rsid w:val="008D672C"/>
    <w:rsid w:val="009125FE"/>
    <w:rsid w:val="00974C5D"/>
    <w:rsid w:val="00A33974"/>
    <w:rsid w:val="00AF0255"/>
    <w:rsid w:val="00B70E39"/>
    <w:rsid w:val="00BB0F7D"/>
    <w:rsid w:val="00BE441E"/>
    <w:rsid w:val="00C0173E"/>
    <w:rsid w:val="00C16ED3"/>
    <w:rsid w:val="00C31C20"/>
    <w:rsid w:val="00C53A30"/>
    <w:rsid w:val="00C63203"/>
    <w:rsid w:val="00CC7E68"/>
    <w:rsid w:val="00CD2EEF"/>
    <w:rsid w:val="00D25316"/>
    <w:rsid w:val="00D358C6"/>
    <w:rsid w:val="00D64D61"/>
    <w:rsid w:val="00D668F9"/>
    <w:rsid w:val="00D840DB"/>
    <w:rsid w:val="00D87324"/>
    <w:rsid w:val="00DB13B8"/>
    <w:rsid w:val="00DF7C32"/>
    <w:rsid w:val="00E043B1"/>
    <w:rsid w:val="00E234B2"/>
    <w:rsid w:val="00E34E1C"/>
    <w:rsid w:val="00E876DF"/>
    <w:rsid w:val="00EB3278"/>
    <w:rsid w:val="00EE1241"/>
    <w:rsid w:val="00F03D63"/>
    <w:rsid w:val="00F14D86"/>
    <w:rsid w:val="00F24A9D"/>
    <w:rsid w:val="00F73C39"/>
    <w:rsid w:val="00FA5096"/>
    <w:rsid w:val="00FC3C0E"/>
    <w:rsid w:val="00FF3E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57D48A05-9DDB-4848-A262-76923BB1F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7"/>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E6866"/>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sid w:val="004E6866"/>
    <w:rPr>
      <w:rFonts w:asciiTheme="majorHAnsi" w:eastAsiaTheme="majorEastAsia" w:hAnsiTheme="majorHAnsi" w:cs="Times New Roman"/>
      <w:color w:val="243F60" w:themeColor="accent1" w:themeShade="7F"/>
      <w:sz w:val="24"/>
      <w:szCs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paragraph" w:customStyle="1" w:styleId="Head1">
    <w:name w:val="Head 1"/>
    <w:basedOn w:val="Normal"/>
    <w:next w:val="BodyText"/>
    <w:pPr>
      <w:numPr>
        <w:numId w:val="1"/>
      </w:numPr>
      <w:spacing w:after="240"/>
    </w:pPr>
    <w:rPr>
      <w:b/>
      <w:sz w:val="36"/>
    </w:rPr>
  </w:style>
  <w:style w:type="paragraph" w:styleId="BodyText">
    <w:name w:val="Body Text"/>
    <w:basedOn w:val="Normal"/>
    <w:link w:val="BodyTextChar"/>
    <w:uiPriority w:val="99"/>
    <w:qFormat/>
    <w:pPr>
      <w:spacing w:after="120"/>
    </w:pPr>
  </w:style>
  <w:style w:type="character" w:customStyle="1" w:styleId="BodyTextChar1">
    <w:name w:val="Body Text Char1"/>
    <w:basedOn w:val="DefaultParagraphFont"/>
    <w:uiPriority w:val="99"/>
    <w:semiHidden/>
    <w:rPr>
      <w:rFonts w:ascii="Arial" w:hAnsi="Arial"/>
      <w:sz w:val="24"/>
      <w:szCs w:val="24"/>
    </w:r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tabs>
        <w:tab w:val="left" w:pos="1440"/>
      </w:tabs>
      <w:spacing w:before="0" w:after="240"/>
    </w:pPr>
    <w:rPr>
      <w:bCs w:val="0"/>
      <w:i w:val="0"/>
      <w:iCs w:val="0"/>
    </w:rPr>
  </w:style>
  <w:style w:type="paragraph" w:styleId="TOC3">
    <w:name w:val="toc 3"/>
    <w:basedOn w:val="Normal"/>
    <w:next w:val="BodyText"/>
    <w:autoRedefine/>
    <w:uiPriority w:val="3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11"/>
      </w:numPr>
      <w:pBdr>
        <w:top w:val="single" w:sz="4" w:space="1" w:color="auto"/>
        <w:left w:val="single" w:sz="4" w:space="4" w:color="auto"/>
        <w:bottom w:val="single" w:sz="4" w:space="1" w:color="auto"/>
        <w:right w:val="single" w:sz="4" w:space="4" w:color="auto"/>
      </w:pBdr>
      <w:shd w:val="clear" w:color="auto" w:fill="D9D9D9"/>
      <w:ind w:hanging="720"/>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pPr>
      <w:numPr>
        <w:ilvl w:val="1"/>
        <w:numId w:val="9"/>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10"/>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style>
  <w:style w:type="paragraph" w:customStyle="1" w:styleId="TAsectionheading3">
    <w:name w:val="TA section heading 3"/>
    <w:basedOn w:val="Heading3"/>
    <w:pPr>
      <w:keepNext w:val="0"/>
      <w:numPr>
        <w:ilvl w:val="2"/>
        <w:numId w:val="7"/>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12"/>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DefaultParagraphFont"/>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character" w:customStyle="1" w:styleId="TAbodytextChar">
    <w:name w:val="TA body text Char"/>
    <w:basedOn w:val="DefaultParagraphFont"/>
    <w:link w:val="TAbodytext"/>
    <w:locked/>
    <w:rsid w:val="004D14F8"/>
    <w:rPr>
      <w:rFonts w:ascii="Arial" w:hAnsi="Arial" w:cs="Times New Roman"/>
      <w:sz w:val="24"/>
      <w:szCs w:val="24"/>
    </w:rPr>
  </w:style>
  <w:style w:type="table" w:styleId="TableGrid">
    <w:name w:val="Table Grid"/>
    <w:basedOn w:val="TableNormal"/>
    <w:uiPriority w:val="59"/>
    <w:rsid w:val="004D14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D14F8"/>
    <w:rPr>
      <w:rFonts w:ascii="Calibri" w:hAnsi="Calibri"/>
      <w:sz w:val="22"/>
      <w:szCs w:val="22"/>
      <w:lang w:eastAsia="en-US"/>
    </w:rPr>
  </w:style>
  <w:style w:type="paragraph" w:styleId="ListParagraph">
    <w:name w:val="List Paragraph"/>
    <w:basedOn w:val="Normal"/>
    <w:uiPriority w:val="1"/>
    <w:qFormat/>
    <w:rsid w:val="008D672C"/>
    <w:pPr>
      <w:autoSpaceDE w:val="0"/>
      <w:autoSpaceDN w:val="0"/>
      <w:adjustRightInd w:val="0"/>
    </w:pPr>
    <w:rPr>
      <w:rFonts w:ascii="Times New Roman" w:hAnsi="Times New Roman"/>
    </w:rPr>
  </w:style>
  <w:style w:type="paragraph" w:customStyle="1" w:styleId="TableParagraph">
    <w:name w:val="Table Paragraph"/>
    <w:basedOn w:val="Normal"/>
    <w:uiPriority w:val="1"/>
    <w:qFormat/>
    <w:rsid w:val="008D672C"/>
    <w:pPr>
      <w:autoSpaceDE w:val="0"/>
      <w:autoSpaceDN w:val="0"/>
      <w:adjustRightInd w:val="0"/>
      <w:spacing w:before="58"/>
      <w:ind w:left="102"/>
    </w:pPr>
    <w:rPr>
      <w:rFonts w:cs="Arial"/>
    </w:rPr>
  </w:style>
  <w:style w:type="paragraph" w:customStyle="1" w:styleId="TAbody">
    <w:name w:val="TA body"/>
    <w:basedOn w:val="Normal"/>
    <w:rsid w:val="00D358C6"/>
    <w:rPr>
      <w:szCs w:val="20"/>
      <w:lang w:val="en-GB" w:eastAsia="en-US"/>
    </w:rPr>
  </w:style>
  <w:style w:type="paragraph" w:customStyle="1" w:styleId="Billname">
    <w:name w:val="Billname"/>
    <w:basedOn w:val="Normal"/>
    <w:rsid w:val="004E6866"/>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4E6866"/>
    <w:pPr>
      <w:pBdr>
        <w:bottom w:val="single" w:sz="12" w:space="1" w:color="auto"/>
      </w:pBdr>
      <w:jc w:val="both"/>
    </w:pPr>
    <w:rPr>
      <w:szCs w:val="20"/>
      <w:lang w:eastAsia="en-US"/>
    </w:rPr>
  </w:style>
  <w:style w:type="paragraph" w:customStyle="1" w:styleId="madeunder">
    <w:name w:val="made under"/>
    <w:basedOn w:val="Normal"/>
    <w:rsid w:val="004E6866"/>
    <w:pPr>
      <w:spacing w:before="180" w:after="60"/>
      <w:jc w:val="both"/>
    </w:pPr>
    <w:rPr>
      <w:szCs w:val="20"/>
      <w:lang w:eastAsia="en-US"/>
    </w:rPr>
  </w:style>
  <w:style w:type="paragraph" w:customStyle="1" w:styleId="CoverActName">
    <w:name w:val="CoverActName"/>
    <w:basedOn w:val="Normal"/>
    <w:rsid w:val="004E6866"/>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ta.comments@act.gov.au" TargetMode="Externa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1453</Words>
  <Characters>7574</Characters>
  <Application>Microsoft Office Word</Application>
  <DocSecurity>0</DocSecurity>
  <Lines>289</Lines>
  <Paragraphs>143</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 Planning and Land Authority</Company>
  <LinksUpToDate>false</LinksUpToDate>
  <CharactersWithSpaces>8925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2</cp:keywords>
  <dc:description/>
  <cp:lastModifiedBy>PCODCS</cp:lastModifiedBy>
  <cp:revision>5</cp:revision>
  <cp:lastPrinted>2017-06-05T23:17:00Z</cp:lastPrinted>
  <dcterms:created xsi:type="dcterms:W3CDTF">2018-09-20T03:56:00Z</dcterms:created>
  <dcterms:modified xsi:type="dcterms:W3CDTF">2018-09-20T03:56:00Z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A13838503</vt:lpwstr>
  </property>
  <property fmtid="{D5CDD505-2E9C-101B-9397-08002B2CF9AE}" pid="4" name="Objective-Title">
    <vt:lpwstr>TA2017-14 NI and Moncrieff precinct code</vt:lpwstr>
  </property>
  <property fmtid="{D5CDD505-2E9C-101B-9397-08002B2CF9AE}" pid="5" name="Objective-Comment">
    <vt:lpwstr/>
  </property>
  <property fmtid="{D5CDD505-2E9C-101B-9397-08002B2CF9AE}" pid="6" name="Objective-CreationStamp">
    <vt:filetime>2017-07-11T14:00:00Z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2017-07-15T14:00:00Z</vt:filetime>
  </property>
  <property fmtid="{D5CDD505-2E9C-101B-9397-08002B2CF9AE}" pid="10" name="Objective-ModificationStamp">
    <vt:filetime>2017-07-15T14:00:00Z</vt:filetime>
  </property>
  <property fmtid="{D5CDD505-2E9C-101B-9397-08002B2CF9AE}" pid="11" name="Objective-Owner">
    <vt:lpwstr>Simon Hawke</vt:lpwstr>
  </property>
  <property fmtid="{D5CDD505-2E9C-101B-9397-08002B2CF9AE}" pid="12" name="Objective-Path">
    <vt:lpwstr>Whole of ACT Government:EPSDD - Environment Planning and Sustainable Development Directorate:DIVISION - Planning Delivery:12. Planning Delivery - BRANCH - Territory Plan:02 Technical amendments:01 Active TA:2017 Technical Amendments:TA2017-14 Moncrieff pr</vt:lpwstr>
  </property>
  <property fmtid="{D5CDD505-2E9C-101B-9397-08002B2CF9AE}" pid="13" name="Objective-Parent">
    <vt:lpwstr>5. Commencement</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1-2017/13466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CHECKEDOUTFROMJMS">
    <vt:lpwstr/>
  </property>
  <property fmtid="{D5CDD505-2E9C-101B-9397-08002B2CF9AE}" pid="33" name="DMSID">
    <vt:lpwstr>843079</vt:lpwstr>
  </property>
  <property fmtid="{D5CDD505-2E9C-101B-9397-08002B2CF9AE}" pid="34" name="JMSREQUIREDCHECKIN">
    <vt:lpwstr/>
  </property>
</Properties>
</file>