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F24F85">
        <w:t>2</w:t>
      </w:r>
      <w:r w:rsidR="002140B2">
        <w:t>8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31FCA">
        <w:rPr>
          <w:sz w:val="20"/>
        </w:rPr>
        <w:t>7</w:t>
      </w:r>
      <w:r w:rsidR="002140B2">
        <w:rPr>
          <w:sz w:val="20"/>
        </w:rPr>
        <w:t>3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3E47D2">
        <w:rPr>
          <w:rFonts w:ascii="Arial" w:hAnsi="Arial" w:cs="Arial"/>
          <w:b/>
          <w:bCs/>
        </w:rPr>
        <w:t>593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24F85">
        <w:rPr>
          <w:i/>
          <w:iCs/>
        </w:rPr>
        <w:t>2</w:t>
      </w:r>
      <w:r w:rsidR="002140B2">
        <w:rPr>
          <w:i/>
          <w:iCs/>
        </w:rPr>
        <w:t>8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2140B2" w:rsidP="00E607D7">
            <w:pPr>
              <w:rPr>
                <w:bCs/>
                <w:szCs w:val="24"/>
              </w:rPr>
            </w:pPr>
            <w:r>
              <w:t>Canberra North Bowling Club Inc</w:t>
            </w:r>
          </w:p>
        </w:tc>
        <w:tc>
          <w:tcPr>
            <w:tcW w:w="3402" w:type="dxa"/>
          </w:tcPr>
          <w:p w:rsidR="00610093" w:rsidRDefault="00F31FCA" w:rsidP="00F24F85">
            <w:pPr>
              <w:rPr>
                <w:bCs/>
                <w:szCs w:val="24"/>
              </w:rPr>
            </w:pPr>
            <w:r>
              <w:t>Pest</w:t>
            </w:r>
            <w:r w:rsidR="00A42E1E">
              <w:t xml:space="preserve"> </w:t>
            </w:r>
            <w:r w:rsidR="00A42E1E"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2140B2" w:rsidP="00E607D7">
            <w:r>
              <w:t>Royal Pest Control</w:t>
            </w:r>
          </w:p>
        </w:tc>
        <w:tc>
          <w:tcPr>
            <w:tcW w:w="3402" w:type="dxa"/>
          </w:tcPr>
          <w:p w:rsidR="00E607D7" w:rsidRDefault="00F31FCA" w:rsidP="00E607D7"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2140B2">
      <w:pPr>
        <w:tabs>
          <w:tab w:val="left" w:pos="4320"/>
        </w:tabs>
      </w:pPr>
      <w:r>
        <w:t>24</w:t>
      </w:r>
      <w:r w:rsidR="003B53D9">
        <w:t xml:space="preserve"> October </w:t>
      </w:r>
      <w:r w:rsidR="008A004D">
        <w:t>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Pr="000212DE" w:rsidRDefault="000212DE" w:rsidP="000212DE">
    <w:pPr>
      <w:pStyle w:val="Footer"/>
      <w:jc w:val="center"/>
      <w:rPr>
        <w:rFonts w:cs="Arial"/>
        <w:sz w:val="14"/>
      </w:rPr>
    </w:pPr>
    <w:r w:rsidRPr="000212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2DE" w:rsidRDefault="000212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12DE"/>
    <w:rsid w:val="000D2E22"/>
    <w:rsid w:val="0011200A"/>
    <w:rsid w:val="001120D3"/>
    <w:rsid w:val="00132B2B"/>
    <w:rsid w:val="001440B3"/>
    <w:rsid w:val="00172FD1"/>
    <w:rsid w:val="002140B2"/>
    <w:rsid w:val="00216F82"/>
    <w:rsid w:val="00233CE5"/>
    <w:rsid w:val="00283719"/>
    <w:rsid w:val="002B00BA"/>
    <w:rsid w:val="00304B02"/>
    <w:rsid w:val="00316CED"/>
    <w:rsid w:val="003B53D9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25B12"/>
    <w:rsid w:val="007360FB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C923-FBBA-4DAE-AFA1-DFA14C98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1095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2018-06-26T00:56:00Z</cp:lastPrinted>
  <dcterms:created xsi:type="dcterms:W3CDTF">2018-10-24T21:30:00Z</dcterms:created>
  <dcterms:modified xsi:type="dcterms:W3CDTF">2018-10-24T21:30:00Z</dcterms:modified>
</cp:coreProperties>
</file>