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F02AB2">
      <w:pPr>
        <w:pStyle w:val="Billname"/>
        <w:spacing w:before="700"/>
      </w:pPr>
      <w:r>
        <w:t xml:space="preserve">Road Transport </w:t>
      </w:r>
      <w:r w:rsidR="001440B3">
        <w:t>(</w:t>
      </w:r>
      <w:r>
        <w:t>General</w:t>
      </w:r>
      <w:r w:rsidR="001440B3">
        <w:t xml:space="preserve">) </w:t>
      </w:r>
      <w:r>
        <w:t>National Heavy Vehicle Regulator Delegation 2019</w:t>
      </w:r>
      <w:r w:rsidR="001440B3">
        <w:t xml:space="preserve"> (No </w:t>
      </w:r>
      <w:r w:rsidR="00E30AE1">
        <w:t>1</w:t>
      </w:r>
      <w:r w:rsidR="001440B3">
        <w:t>)</w:t>
      </w:r>
      <w:r w:rsidR="00E30AE1">
        <w:t>*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02AB2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E518CE">
        <w:rPr>
          <w:rFonts w:ascii="Arial" w:hAnsi="Arial" w:cs="Arial"/>
          <w:b/>
          <w:bCs/>
        </w:rPr>
        <w:t>422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Pr="00F02AB2" w:rsidRDefault="00F02AB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54 (1) (Delegation of administering authority functions)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Pr="00F02AB2" w:rsidRDefault="001440B3" w:rsidP="0042011A">
      <w:pPr>
        <w:spacing w:before="140"/>
        <w:ind w:left="720"/>
      </w:pPr>
      <w:r>
        <w:t xml:space="preserve">This instrument is the </w:t>
      </w:r>
      <w:r w:rsidR="00F02AB2">
        <w:rPr>
          <w:i/>
        </w:rPr>
        <w:t xml:space="preserve">Road Transport (General) National Heavy Vehicle Regulator Delegation 2019 (No </w:t>
      </w:r>
      <w:r w:rsidR="00E30AE1">
        <w:rPr>
          <w:i/>
        </w:rPr>
        <w:t>1</w:t>
      </w:r>
      <w:r w:rsidR="00F02AB2">
        <w:rPr>
          <w:i/>
        </w:rPr>
        <w:t>)</w:t>
      </w:r>
      <w:r w:rsidR="00F02AB2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F02AB2">
        <w:t>the day after it is signed.</w:t>
      </w:r>
      <w:r>
        <w:t xml:space="preserve">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02AB2">
        <w:rPr>
          <w:rFonts w:ascii="Arial" w:hAnsi="Arial" w:cs="Arial"/>
          <w:b/>
          <w:bCs/>
        </w:rPr>
        <w:t>Delegation</w:t>
      </w:r>
    </w:p>
    <w:p w:rsidR="001440B3" w:rsidRDefault="00F02AB2" w:rsidP="0042011A">
      <w:pPr>
        <w:spacing w:before="140"/>
        <w:ind w:left="720"/>
      </w:pPr>
      <w:r>
        <w:t xml:space="preserve">1) I, </w:t>
      </w:r>
      <w:r w:rsidR="00774A26">
        <w:t xml:space="preserve">Duncan John Gay, </w:t>
      </w:r>
      <w:r w:rsidR="00774A26" w:rsidRPr="00774A26">
        <w:rPr>
          <w:b/>
        </w:rPr>
        <w:t>Chairperson</w:t>
      </w:r>
      <w:r w:rsidR="00774A26">
        <w:t xml:space="preserve"> of </w:t>
      </w:r>
      <w:r>
        <w:t>the National Heavy Vehicle Regulator</w:t>
      </w:r>
      <w:r w:rsidR="00774A26">
        <w:t>, pursuant to the authorisation of the National Heavy Vehicle Regulator Board,</w:t>
      </w:r>
      <w:r>
        <w:t xml:space="preserve"> in </w:t>
      </w:r>
      <w:r w:rsidR="00431F0E">
        <w:t>its</w:t>
      </w:r>
      <w:r>
        <w:t xml:space="preserve"> capacity as an administering authority for the purposes of heavy vehicle infringement notice offences, delegate those of </w:t>
      </w:r>
      <w:r w:rsidR="00431F0E">
        <w:t xml:space="preserve">its </w:t>
      </w:r>
      <w:r>
        <w:t xml:space="preserve">powers and functions under Part 3 – Infringement Notices for certain offences of the </w:t>
      </w:r>
      <w:r>
        <w:rPr>
          <w:i/>
        </w:rPr>
        <w:t>Road Transport (General) Act 1999</w:t>
      </w:r>
      <w:r>
        <w:t xml:space="preserve"> specified in schedule 1 of this instrument to the head of Access Canberra and the </w:t>
      </w:r>
      <w:r w:rsidR="00653C0C">
        <w:t>c</w:t>
      </w:r>
      <w:r>
        <w:t xml:space="preserve">hief </w:t>
      </w:r>
      <w:r w:rsidR="00653C0C">
        <w:t>o</w:t>
      </w:r>
      <w:r>
        <w:t xml:space="preserve">perating </w:t>
      </w:r>
      <w:r w:rsidR="00653C0C">
        <w:t>o</w:t>
      </w:r>
      <w:r>
        <w:t>fficer of Access Canberra.</w:t>
      </w:r>
    </w:p>
    <w:p w:rsidR="00F02AB2" w:rsidRPr="00F02AB2" w:rsidRDefault="00F02AB2" w:rsidP="0042011A">
      <w:pPr>
        <w:spacing w:before="140"/>
        <w:ind w:left="720"/>
      </w:pPr>
      <w:r>
        <w:t xml:space="preserve">2) I, </w:t>
      </w:r>
      <w:r w:rsidR="00774A26">
        <w:t xml:space="preserve">Duncan John Gay, </w:t>
      </w:r>
      <w:r w:rsidR="00774A26" w:rsidRPr="00774A26">
        <w:rPr>
          <w:b/>
        </w:rPr>
        <w:t>Chairperson</w:t>
      </w:r>
      <w:r w:rsidR="00774A26">
        <w:t xml:space="preserve"> of the National Heavy Vehicle Regulator, pursuant to the authorisation of the </w:t>
      </w:r>
      <w:r>
        <w:t xml:space="preserve">National Heavy Vehicle Regulator </w:t>
      </w:r>
      <w:r w:rsidR="00774A26">
        <w:t xml:space="preserve">Board, </w:t>
      </w:r>
      <w:r>
        <w:t xml:space="preserve">in </w:t>
      </w:r>
      <w:r w:rsidR="00431F0E">
        <w:t>its</w:t>
      </w:r>
      <w:r>
        <w:t xml:space="preserve"> capacity as an administering authority for the purposes of heavy vehicle infringement notice offences, delegate all </w:t>
      </w:r>
      <w:r w:rsidR="00431F0E">
        <w:t>its</w:t>
      </w:r>
      <w:r>
        <w:t xml:space="preserve"> powers and functions under sections 14B and 14D of the </w:t>
      </w:r>
      <w:r>
        <w:rPr>
          <w:i/>
        </w:rPr>
        <w:t>Road Transport (Offences) Regulation 2005</w:t>
      </w:r>
      <w:r>
        <w:t xml:space="preserve"> to the head of Access Canberra and the </w:t>
      </w:r>
      <w:r w:rsidR="00653C0C">
        <w:t>c</w:t>
      </w:r>
      <w:r>
        <w:t xml:space="preserve">hief </w:t>
      </w:r>
      <w:r w:rsidR="00653C0C">
        <w:t>o</w:t>
      </w:r>
      <w:r>
        <w:t xml:space="preserve">perating </w:t>
      </w:r>
      <w:r w:rsidR="00653C0C">
        <w:t>o</w:t>
      </w:r>
      <w:r>
        <w:t>fficer of Access Canberra.</w:t>
      </w:r>
    </w:p>
    <w:p w:rsidR="00182CD4" w:rsidRDefault="00653C0C" w:rsidP="00653C0C">
      <w:pPr>
        <w:spacing w:before="140"/>
        <w:ind w:left="1440" w:hanging="720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>
        <w:rPr>
          <w:sz w:val="22"/>
          <w:szCs w:val="22"/>
        </w:rPr>
        <w:tab/>
      </w:r>
      <w:r w:rsidRPr="00182CD4">
        <w:rPr>
          <w:sz w:val="22"/>
          <w:szCs w:val="22"/>
        </w:rPr>
        <w:t>Section 8 (</w:t>
      </w:r>
      <w:r w:rsidR="00182CD4" w:rsidRPr="00182CD4">
        <w:rPr>
          <w:sz w:val="22"/>
          <w:szCs w:val="22"/>
        </w:rPr>
        <w:t>3</w:t>
      </w:r>
      <w:r w:rsidRPr="00182CD4">
        <w:rPr>
          <w:sz w:val="22"/>
          <w:szCs w:val="22"/>
        </w:rPr>
        <w:t xml:space="preserve">) of the </w:t>
      </w:r>
      <w:r w:rsidRPr="00182CD4">
        <w:rPr>
          <w:i/>
          <w:sz w:val="22"/>
          <w:szCs w:val="22"/>
        </w:rPr>
        <w:t>Road Transport (Offences) Regulation 2005</w:t>
      </w:r>
      <w:r w:rsidRPr="00182CD4">
        <w:rPr>
          <w:sz w:val="22"/>
          <w:szCs w:val="22"/>
        </w:rPr>
        <w:t xml:space="preserve"> provides that </w:t>
      </w:r>
      <w:r w:rsidR="00182CD4" w:rsidRPr="00182CD4">
        <w:rPr>
          <w:sz w:val="22"/>
          <w:szCs w:val="22"/>
        </w:rPr>
        <w:t xml:space="preserve">the Regulator under the </w:t>
      </w:r>
      <w:r w:rsidR="00182CD4" w:rsidRPr="00182CD4">
        <w:rPr>
          <w:i/>
          <w:sz w:val="22"/>
          <w:szCs w:val="22"/>
        </w:rPr>
        <w:t>Heavy Vehicle National Law (ACT)</w:t>
      </w:r>
      <w:r w:rsidRPr="00182CD4">
        <w:rPr>
          <w:sz w:val="22"/>
          <w:szCs w:val="22"/>
        </w:rPr>
        <w:t xml:space="preserve"> is the</w:t>
      </w:r>
      <w:r>
        <w:rPr>
          <w:sz w:val="22"/>
          <w:szCs w:val="22"/>
        </w:rPr>
        <w:t xml:space="preserve"> administering authority </w:t>
      </w:r>
      <w:r w:rsidR="00182CD4">
        <w:rPr>
          <w:sz w:val="22"/>
          <w:szCs w:val="22"/>
        </w:rPr>
        <w:t xml:space="preserve">for heavy vehicle infringement notice offences. </w:t>
      </w:r>
    </w:p>
    <w:p w:rsidR="00182CD4" w:rsidRDefault="00182CD4" w:rsidP="00182CD4">
      <w:pPr>
        <w:spacing w:before="140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Section 8 (4) of the </w:t>
      </w:r>
      <w:r>
        <w:rPr>
          <w:i/>
          <w:sz w:val="22"/>
          <w:szCs w:val="22"/>
        </w:rPr>
        <w:t xml:space="preserve">Road Transport (Offences) Regulation </w:t>
      </w:r>
      <w:r w:rsidRPr="00182CD4">
        <w:rPr>
          <w:sz w:val="22"/>
          <w:szCs w:val="22"/>
        </w:rPr>
        <w:t>2005</w:t>
      </w:r>
      <w:r>
        <w:rPr>
          <w:sz w:val="22"/>
          <w:szCs w:val="22"/>
        </w:rPr>
        <w:t xml:space="preserve"> provides that </w:t>
      </w:r>
      <w:r>
        <w:rPr>
          <w:sz w:val="22"/>
          <w:szCs w:val="22"/>
        </w:rPr>
        <w:tab/>
        <w:t xml:space="preserve">the Regulator is taken to have delegated the Regulator’s functions in relation </w:t>
      </w:r>
      <w:r>
        <w:rPr>
          <w:sz w:val="22"/>
          <w:szCs w:val="22"/>
        </w:rPr>
        <w:tab/>
        <w:t xml:space="preserve">to the administration of infringement notice management plans (including </w:t>
      </w:r>
      <w:r>
        <w:rPr>
          <w:sz w:val="22"/>
          <w:szCs w:val="22"/>
        </w:rPr>
        <w:lastRenderedPageBreak/>
        <w:tab/>
        <w:t xml:space="preserve">applications for the plans) for heavy vehicle infringement notice offences to </w:t>
      </w:r>
      <w:r>
        <w:rPr>
          <w:sz w:val="22"/>
          <w:szCs w:val="22"/>
        </w:rPr>
        <w:tab/>
        <w:t>the road transport authority.</w:t>
      </w:r>
    </w:p>
    <w:p w:rsidR="00653C0C" w:rsidRDefault="00653C0C" w:rsidP="00653C0C">
      <w:pPr>
        <w:spacing w:before="1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Section 54 (1) (b) of the </w:t>
      </w:r>
      <w:r>
        <w:rPr>
          <w:i/>
          <w:sz w:val="22"/>
          <w:szCs w:val="22"/>
        </w:rPr>
        <w:t>Road Transport (General) Act 1999</w:t>
      </w:r>
      <w:r>
        <w:rPr>
          <w:sz w:val="22"/>
          <w:szCs w:val="22"/>
        </w:rPr>
        <w:t xml:space="preserve"> read with section 15 of the </w:t>
      </w:r>
      <w:r>
        <w:rPr>
          <w:i/>
          <w:sz w:val="22"/>
          <w:szCs w:val="22"/>
        </w:rPr>
        <w:t>Road Transport (Offences) Regulation 2005</w:t>
      </w:r>
      <w:r>
        <w:rPr>
          <w:sz w:val="22"/>
          <w:szCs w:val="22"/>
        </w:rPr>
        <w:t xml:space="preserve"> provides that an administering authority can delegate an administering authority’s functions to a public employee</w:t>
      </w:r>
      <w:r w:rsidR="00182CD4">
        <w:rPr>
          <w:sz w:val="22"/>
          <w:szCs w:val="22"/>
        </w:rPr>
        <w:t>.</w:t>
      </w:r>
    </w:p>
    <w:p w:rsidR="001440B3" w:rsidRDefault="00F02AB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Definitions</w:t>
      </w:r>
    </w:p>
    <w:p w:rsidR="001440B3" w:rsidRDefault="00F02AB2" w:rsidP="0042011A">
      <w:pPr>
        <w:spacing w:before="140"/>
        <w:ind w:left="720"/>
      </w:pPr>
      <w:r>
        <w:t>In this instrument:</w:t>
      </w:r>
    </w:p>
    <w:p w:rsidR="00F02AB2" w:rsidRDefault="00F02AB2" w:rsidP="0042011A">
      <w:pPr>
        <w:spacing w:before="140"/>
        <w:ind w:left="720"/>
      </w:pPr>
      <w:r>
        <w:rPr>
          <w:b/>
          <w:i/>
        </w:rPr>
        <w:t>Access Canberra</w:t>
      </w:r>
      <w:r>
        <w:rPr>
          <w:b/>
        </w:rPr>
        <w:t xml:space="preserve">, </w:t>
      </w:r>
      <w:r>
        <w:t>means the business unit known as Access Canberra.</w:t>
      </w:r>
    </w:p>
    <w:p w:rsidR="00653C0C" w:rsidRDefault="00653C0C" w:rsidP="0042011A">
      <w:pPr>
        <w:spacing w:before="140"/>
        <w:ind w:left="720"/>
        <w:rPr>
          <w:b/>
          <w:i/>
        </w:rPr>
      </w:pPr>
      <w:r>
        <w:rPr>
          <w:b/>
          <w:i/>
        </w:rPr>
        <w:t xml:space="preserve">chief operating officer, </w:t>
      </w:r>
      <w:r w:rsidRPr="000A2EFE">
        <w:t>of Access Canberra, means</w:t>
      </w:r>
      <w:r>
        <w:rPr>
          <w:b/>
          <w:i/>
        </w:rPr>
        <w:t xml:space="preserve"> </w:t>
      </w:r>
      <w:r w:rsidRPr="000A2EFE">
        <w:t xml:space="preserve">the public employee occupying, from time to time, the position of chief operating officer of Access Canberra  </w:t>
      </w:r>
    </w:p>
    <w:p w:rsidR="00653C0C" w:rsidRDefault="00653C0C" w:rsidP="00653C0C">
      <w:pPr>
        <w:spacing w:before="300"/>
        <w:ind w:left="720" w:hanging="720"/>
      </w:pPr>
      <w:r>
        <w:rPr>
          <w:b/>
          <w:i/>
        </w:rPr>
        <w:tab/>
        <w:t xml:space="preserve">head, </w:t>
      </w:r>
      <w:r w:rsidRPr="002A76E2">
        <w:t>of Access Canberra, means</w:t>
      </w:r>
      <w:r>
        <w:t xml:space="preserve"> the public employee occupying, from time to time, the position (however described) of head of Access Canberra.</w:t>
      </w:r>
    </w:p>
    <w:p w:rsidR="00653C0C" w:rsidRPr="00653C0C" w:rsidRDefault="00653C0C" w:rsidP="00653C0C">
      <w:pPr>
        <w:spacing w:before="300"/>
        <w:ind w:left="720" w:hanging="720"/>
      </w:pPr>
      <w:r>
        <w:tab/>
      </w:r>
      <w:r>
        <w:rPr>
          <w:b/>
          <w:i/>
        </w:rPr>
        <w:t>heavy vehicle infringement notice offence</w:t>
      </w:r>
      <w:r>
        <w:rPr>
          <w:b/>
        </w:rPr>
        <w:t xml:space="preserve">, </w:t>
      </w:r>
      <w:r>
        <w:t>means</w:t>
      </w:r>
      <w:r w:rsidR="00182CD4">
        <w:t xml:space="preserve"> </w:t>
      </w:r>
      <w:r w:rsidR="00182CD4" w:rsidRPr="00182CD4">
        <w:t xml:space="preserve">an offence prescribed </w:t>
      </w:r>
      <w:r w:rsidR="00182CD4">
        <w:t xml:space="preserve">in Schedule 1 of the </w:t>
      </w:r>
      <w:r w:rsidR="00182CD4">
        <w:rPr>
          <w:i/>
        </w:rPr>
        <w:t xml:space="preserve">Road Transport (Offences) Regulation 2005 </w:t>
      </w:r>
      <w:r w:rsidR="00182CD4" w:rsidRPr="00182CD4">
        <w:t>as an infringement notice offence</w:t>
      </w:r>
    </w:p>
    <w:p w:rsidR="00653C0C" w:rsidRDefault="00653C0C" w:rsidP="00653C0C">
      <w:pPr>
        <w:spacing w:before="300"/>
        <w:ind w:left="720" w:hanging="720"/>
      </w:pPr>
      <w:r w:rsidRPr="002A76E2">
        <w:rPr>
          <w:b/>
          <w:i/>
        </w:rPr>
        <w:tab/>
        <w:t>police</w:t>
      </w:r>
      <w:r>
        <w:rPr>
          <w:b/>
          <w:i/>
        </w:rPr>
        <w:t xml:space="preserve"> officer</w:t>
      </w:r>
      <w:r>
        <w:t>, means a person either declared a member or appointed a special member of the Australian Federal Police, who occupies, from time to time, a position (however described) in the Australian Federal Police.</w:t>
      </w:r>
    </w:p>
    <w:p w:rsidR="00182CD4" w:rsidRPr="00182CD4" w:rsidRDefault="00182CD4" w:rsidP="00182CD4">
      <w:pPr>
        <w:spacing w:before="300"/>
        <w:ind w:left="720" w:hanging="720"/>
      </w:pPr>
    </w:p>
    <w:p w:rsidR="00182CD4" w:rsidRDefault="00182CD4" w:rsidP="00182CD4">
      <w:pPr>
        <w:spacing w:before="300"/>
        <w:ind w:left="720" w:hanging="720"/>
      </w:pPr>
    </w:p>
    <w:p w:rsidR="0042011A" w:rsidRDefault="00774A26" w:rsidP="00182CD4">
      <w:pPr>
        <w:spacing w:before="300"/>
        <w:ind w:left="720" w:hanging="720"/>
      </w:pPr>
      <w:r>
        <w:t>Duncan John Gay</w:t>
      </w:r>
    </w:p>
    <w:p w:rsidR="00774A26" w:rsidRDefault="00774A26" w:rsidP="00182CD4">
      <w:pPr>
        <w:spacing w:before="300"/>
        <w:ind w:left="720" w:hanging="720"/>
      </w:pPr>
      <w:r>
        <w:t>Chairman</w:t>
      </w:r>
    </w:p>
    <w:p w:rsidR="001440B3" w:rsidRDefault="00653C0C" w:rsidP="0042011A">
      <w:pPr>
        <w:tabs>
          <w:tab w:val="left" w:pos="4320"/>
        </w:tabs>
      </w:pPr>
      <w:r>
        <w:t>National Heavy Vehicle Regulator</w:t>
      </w:r>
    </w:p>
    <w:bookmarkEnd w:id="0"/>
    <w:p w:rsidR="00653C0C" w:rsidRDefault="00774A26">
      <w:pPr>
        <w:tabs>
          <w:tab w:val="left" w:pos="4320"/>
        </w:tabs>
      </w:pPr>
      <w:r>
        <w:t xml:space="preserve"> </w:t>
      </w:r>
      <w:r w:rsidR="00653C0C">
        <w:br/>
      </w:r>
      <w:r>
        <w:t>Dated at Brisbane</w:t>
      </w:r>
      <w:r w:rsidR="00E518CE">
        <w:t xml:space="preserve"> 26 </w:t>
      </w:r>
      <w:r w:rsidR="00653C0C">
        <w:t>June 2019</w:t>
      </w:r>
    </w:p>
    <w:p w:rsidR="00653C0C" w:rsidRDefault="00653C0C">
      <w:r>
        <w:br w:type="page"/>
      </w:r>
    </w:p>
    <w:p w:rsidR="00653C0C" w:rsidRPr="00A54CE6" w:rsidRDefault="00653C0C" w:rsidP="00653C0C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 w:rsidRPr="00A54CE6">
        <w:rPr>
          <w:rFonts w:ascii="Arial" w:hAnsi="Arial" w:cs="Arial"/>
          <w:b/>
        </w:rPr>
        <w:lastRenderedPageBreak/>
        <w:t>Schedule 1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812"/>
      </w:tblGrid>
      <w:tr w:rsidR="00653C0C" w:rsidRPr="003E7339" w:rsidTr="00182CD4">
        <w:trPr>
          <w:tblHeader/>
        </w:trPr>
        <w:tc>
          <w:tcPr>
            <w:tcW w:w="4112" w:type="dxa"/>
            <w:shd w:val="clear" w:color="auto" w:fill="BFBFBF"/>
          </w:tcPr>
          <w:p w:rsidR="00653C0C" w:rsidRPr="003E7339" w:rsidRDefault="00653C0C" w:rsidP="00045B31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</w:rPr>
            </w:pPr>
            <w:r w:rsidRPr="003E7339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5812" w:type="dxa"/>
            <w:shd w:val="clear" w:color="auto" w:fill="BFBFBF"/>
          </w:tcPr>
          <w:p w:rsidR="00653C0C" w:rsidRPr="003E7339" w:rsidRDefault="00653C0C" w:rsidP="00045B31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Function</w:t>
            </w:r>
          </w:p>
        </w:tc>
      </w:tr>
      <w:tr w:rsidR="00653C0C" w:rsidRPr="00CF7CB4" w:rsidTr="00182CD4">
        <w:trPr>
          <w:trHeight w:val="557"/>
        </w:trPr>
        <w:tc>
          <w:tcPr>
            <w:tcW w:w="4112" w:type="dxa"/>
          </w:tcPr>
          <w:p w:rsidR="00653C0C" w:rsidRPr="003E7339" w:rsidRDefault="00653C0C" w:rsidP="00045B31">
            <w:pPr>
              <w:spacing w:line="276" w:lineRule="auto"/>
              <w:rPr>
                <w:b/>
              </w:rPr>
            </w:pPr>
            <w:r w:rsidRPr="003E7339">
              <w:rPr>
                <w:lang w:eastAsia="en-AU"/>
              </w:rPr>
              <w:t>Section 2</w:t>
            </w:r>
            <w:r w:rsidR="00CD3F61">
              <w:rPr>
                <w:lang w:eastAsia="en-AU"/>
              </w:rPr>
              <w:t>7</w:t>
            </w:r>
            <w:r>
              <w:rPr>
                <w:lang w:eastAsia="en-AU"/>
              </w:rPr>
              <w:t xml:space="preserve">, Part 3, </w:t>
            </w:r>
            <w:r w:rsidRPr="00AC681E">
              <w:rPr>
                <w:i/>
                <w:lang w:eastAsia="en-AU"/>
              </w:rPr>
              <w:t>Road Transport (General) Act 1999</w:t>
            </w:r>
          </w:p>
        </w:tc>
        <w:tc>
          <w:tcPr>
            <w:tcW w:w="5812" w:type="dxa"/>
          </w:tcPr>
          <w:p w:rsidR="00653C0C" w:rsidRPr="003E7339" w:rsidRDefault="00CD3F61" w:rsidP="00045B31">
            <w:pPr>
              <w:spacing w:line="276" w:lineRule="auto"/>
              <w:rPr>
                <w:b/>
              </w:rPr>
            </w:pPr>
            <w:r w:rsidRPr="00CD3F61">
              <w:rPr>
                <w:lang w:eastAsia="en-AU"/>
              </w:rPr>
              <w:t>Serve a reminder notice</w:t>
            </w:r>
          </w:p>
        </w:tc>
      </w:tr>
      <w:tr w:rsidR="00CD3F61" w:rsidRPr="00CF7CB4" w:rsidTr="00182CD4">
        <w:trPr>
          <w:trHeight w:val="557"/>
        </w:trPr>
        <w:tc>
          <w:tcPr>
            <w:tcW w:w="4112" w:type="dxa"/>
          </w:tcPr>
          <w:p w:rsidR="00CD3F61" w:rsidRPr="003E7339" w:rsidRDefault="00CD3F61" w:rsidP="00CD3F61">
            <w:pPr>
              <w:spacing w:line="276" w:lineRule="auto"/>
              <w:rPr>
                <w:b/>
              </w:rPr>
            </w:pPr>
            <w:r w:rsidRPr="003E7339">
              <w:rPr>
                <w:lang w:eastAsia="en-AU"/>
              </w:rPr>
              <w:t>Section 29</w:t>
            </w:r>
            <w:r>
              <w:rPr>
                <w:lang w:eastAsia="en-AU"/>
              </w:rPr>
              <w:t xml:space="preserve">, Part 3, </w:t>
            </w:r>
            <w:r w:rsidRPr="00AC681E">
              <w:rPr>
                <w:i/>
                <w:lang w:eastAsia="en-AU"/>
              </w:rPr>
              <w:t>Road Transport (General) Act 1999</w:t>
            </w:r>
          </w:p>
        </w:tc>
        <w:tc>
          <w:tcPr>
            <w:tcW w:w="5812" w:type="dxa"/>
          </w:tcPr>
          <w:p w:rsidR="00CD3F61" w:rsidRPr="003E7339" w:rsidRDefault="00CD3F61" w:rsidP="00CD3F61">
            <w:pPr>
              <w:spacing w:line="276" w:lineRule="auto"/>
              <w:rPr>
                <w:b/>
              </w:rPr>
            </w:pPr>
            <w:r w:rsidRPr="003E7339">
              <w:rPr>
                <w:lang w:eastAsia="en-AU"/>
              </w:rPr>
              <w:t>Allow or refuse an</w:t>
            </w:r>
            <w:r>
              <w:rPr>
                <w:lang w:eastAsia="en-AU"/>
              </w:rPr>
              <w:t xml:space="preserve"> </w:t>
            </w:r>
            <w:r w:rsidRPr="003E7339">
              <w:rPr>
                <w:lang w:eastAsia="en-AU"/>
              </w:rPr>
              <w:t>application for</w:t>
            </w:r>
            <w:r>
              <w:rPr>
                <w:lang w:eastAsia="en-AU"/>
              </w:rPr>
              <w:t xml:space="preserve"> </w:t>
            </w:r>
            <w:r w:rsidRPr="003E7339">
              <w:rPr>
                <w:lang w:eastAsia="en-AU"/>
              </w:rPr>
              <w:t>extension of time to do</w:t>
            </w:r>
            <w:r>
              <w:rPr>
                <w:lang w:eastAsia="en-AU"/>
              </w:rPr>
              <w:t xml:space="preserve"> </w:t>
            </w:r>
            <w:r w:rsidRPr="003E7339">
              <w:rPr>
                <w:lang w:eastAsia="en-AU"/>
              </w:rPr>
              <w:t>things</w:t>
            </w:r>
          </w:p>
        </w:tc>
      </w:tr>
      <w:tr w:rsidR="00653C0C" w:rsidRPr="003E7339" w:rsidTr="00182CD4">
        <w:trPr>
          <w:trHeight w:val="557"/>
        </w:trPr>
        <w:tc>
          <w:tcPr>
            <w:tcW w:w="4112" w:type="dxa"/>
          </w:tcPr>
          <w:p w:rsidR="00653C0C" w:rsidRPr="0072327A" w:rsidRDefault="00653C0C" w:rsidP="00045B31">
            <w:pPr>
              <w:spacing w:line="276" w:lineRule="auto"/>
              <w:rPr>
                <w:i/>
                <w:lang w:eastAsia="en-AU"/>
              </w:rPr>
            </w:pPr>
            <w:r>
              <w:rPr>
                <w:lang w:eastAsia="en-AU"/>
              </w:rPr>
              <w:t xml:space="preserve">Section 31G (1), Part 3, </w:t>
            </w:r>
            <w:r>
              <w:rPr>
                <w:i/>
                <w:lang w:eastAsia="en-AU"/>
              </w:rPr>
              <w:t>Road Transport (General) Act 1999</w:t>
            </w:r>
          </w:p>
        </w:tc>
        <w:tc>
          <w:tcPr>
            <w:tcW w:w="58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>Allow or refuse application for waiver of penalty</w:t>
            </w:r>
          </w:p>
        </w:tc>
      </w:tr>
      <w:tr w:rsidR="00653C0C" w:rsidRPr="003E7339" w:rsidTr="00182CD4">
        <w:trPr>
          <w:trHeight w:val="557"/>
        </w:trPr>
        <w:tc>
          <w:tcPr>
            <w:tcW w:w="4112" w:type="dxa"/>
          </w:tcPr>
          <w:p w:rsidR="00653C0C" w:rsidRPr="00C17718" w:rsidRDefault="00653C0C" w:rsidP="00045B31">
            <w:pPr>
              <w:spacing w:line="276" w:lineRule="auto"/>
              <w:rPr>
                <w:i/>
                <w:lang w:eastAsia="en-AU"/>
              </w:rPr>
            </w:pPr>
            <w:r>
              <w:rPr>
                <w:lang w:eastAsia="en-AU"/>
              </w:rPr>
              <w:t xml:space="preserve">Section 31G (2), Part 3, </w:t>
            </w:r>
            <w:r>
              <w:rPr>
                <w:i/>
                <w:lang w:eastAsia="en-AU"/>
              </w:rPr>
              <w:t>Road Transport (General) Act 1999</w:t>
            </w:r>
          </w:p>
        </w:tc>
        <w:tc>
          <w:tcPr>
            <w:tcW w:w="58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>Request information to determine application for waiver</w:t>
            </w:r>
          </w:p>
        </w:tc>
      </w:tr>
      <w:tr w:rsidR="00653C0C" w:rsidRPr="00B72F52" w:rsidTr="00182CD4">
        <w:trPr>
          <w:trHeight w:val="557"/>
        </w:trPr>
        <w:tc>
          <w:tcPr>
            <w:tcW w:w="41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Section 31G (3), Part 3, </w:t>
            </w:r>
            <w:r>
              <w:rPr>
                <w:i/>
                <w:lang w:eastAsia="en-AU"/>
              </w:rPr>
              <w:t>Road Transport (General) Act 1999</w:t>
            </w:r>
          </w:p>
        </w:tc>
        <w:tc>
          <w:tcPr>
            <w:tcW w:w="58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>Grounds to be satisfied of when allowing application for waiver</w:t>
            </w:r>
          </w:p>
        </w:tc>
      </w:tr>
      <w:tr w:rsidR="00653C0C" w:rsidTr="00182CD4">
        <w:trPr>
          <w:trHeight w:val="557"/>
        </w:trPr>
        <w:tc>
          <w:tcPr>
            <w:tcW w:w="41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Section 31G (4), Part 3, </w:t>
            </w:r>
            <w:r>
              <w:rPr>
                <w:i/>
                <w:lang w:eastAsia="en-AU"/>
              </w:rPr>
              <w:t>Road Transport (General) Act 1999</w:t>
            </w:r>
          </w:p>
        </w:tc>
        <w:tc>
          <w:tcPr>
            <w:tcW w:w="58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>Consult with director-general</w:t>
            </w:r>
          </w:p>
        </w:tc>
      </w:tr>
      <w:tr w:rsidR="00653C0C" w:rsidRPr="003E7339" w:rsidTr="00182CD4">
        <w:trPr>
          <w:trHeight w:val="557"/>
        </w:trPr>
        <w:tc>
          <w:tcPr>
            <w:tcW w:w="41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Section 31G (5), Part 3, </w:t>
            </w:r>
            <w:r>
              <w:rPr>
                <w:i/>
                <w:lang w:eastAsia="en-AU"/>
              </w:rPr>
              <w:t>Road Transport (General) Act 1999</w:t>
            </w:r>
          </w:p>
        </w:tc>
        <w:tc>
          <w:tcPr>
            <w:tcW w:w="58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>Inform applicant in writing of decision on application for waiver. If refuse must include reasons for refusal</w:t>
            </w:r>
          </w:p>
        </w:tc>
      </w:tr>
      <w:tr w:rsidR="00653C0C" w:rsidRPr="00CF7CB4" w:rsidTr="00182CD4">
        <w:trPr>
          <w:trHeight w:val="557"/>
        </w:trPr>
        <w:tc>
          <w:tcPr>
            <w:tcW w:w="41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Section 35, Part 3, </w:t>
            </w:r>
            <w:r>
              <w:rPr>
                <w:i/>
                <w:lang w:eastAsia="en-AU"/>
              </w:rPr>
              <w:t>Road Transport (General) Act 1999</w:t>
            </w:r>
          </w:p>
        </w:tc>
        <w:tc>
          <w:tcPr>
            <w:tcW w:w="5812" w:type="dxa"/>
          </w:tcPr>
          <w:p w:rsidR="00653C0C" w:rsidRDefault="00653C0C" w:rsidP="00045B31">
            <w:pPr>
              <w:spacing w:line="276" w:lineRule="auto"/>
              <w:rPr>
                <w:lang w:eastAsia="en-AU"/>
              </w:rPr>
            </w:pPr>
            <w:r w:rsidRPr="00A63B69">
              <w:rPr>
                <w:lang w:eastAsia="en-AU"/>
              </w:rPr>
              <w:t>Take action in response to an application for withdrawal of an infringement notice</w:t>
            </w:r>
          </w:p>
        </w:tc>
      </w:tr>
      <w:tr w:rsidR="00653C0C" w:rsidRPr="00CF7CB4" w:rsidTr="00182CD4">
        <w:tc>
          <w:tcPr>
            <w:tcW w:w="4112" w:type="dxa"/>
          </w:tcPr>
          <w:p w:rsidR="00653C0C" w:rsidRPr="00AC681E" w:rsidRDefault="00653C0C" w:rsidP="00045B31">
            <w:pPr>
              <w:spacing w:line="276" w:lineRule="auto"/>
              <w:rPr>
                <w:b/>
                <w:i/>
              </w:rPr>
            </w:pPr>
            <w:r w:rsidRPr="00D707B0">
              <w:rPr>
                <w:lang w:eastAsia="en-AU"/>
              </w:rPr>
              <w:t>Section 36,</w:t>
            </w:r>
            <w:r>
              <w:rPr>
                <w:lang w:eastAsia="en-AU"/>
              </w:rPr>
              <w:t xml:space="preserve"> Part 3,</w:t>
            </w:r>
            <w:r w:rsidRPr="00AC681E">
              <w:rPr>
                <w:i/>
                <w:lang w:eastAsia="en-AU"/>
              </w:rPr>
              <w:t xml:space="preserve"> Road Transport (General) Act 1999</w:t>
            </w:r>
          </w:p>
        </w:tc>
        <w:tc>
          <w:tcPr>
            <w:tcW w:w="5812" w:type="dxa"/>
          </w:tcPr>
          <w:p w:rsidR="00653C0C" w:rsidRPr="003E7339" w:rsidRDefault="00653C0C" w:rsidP="00045B31">
            <w:pPr>
              <w:tabs>
                <w:tab w:val="left" w:pos="-42"/>
              </w:tabs>
              <w:spacing w:line="276" w:lineRule="auto"/>
              <w:ind w:left="-42"/>
              <w:rPr>
                <w:b/>
              </w:rPr>
            </w:pPr>
            <w:r w:rsidRPr="003E7339">
              <w:rPr>
                <w:lang w:eastAsia="en-AU"/>
              </w:rPr>
              <w:t>Withdraw infringement notice</w:t>
            </w:r>
          </w:p>
        </w:tc>
      </w:tr>
      <w:tr w:rsidR="00653C0C" w:rsidRPr="00CF7CB4" w:rsidTr="00182CD4">
        <w:tc>
          <w:tcPr>
            <w:tcW w:w="4112" w:type="dxa"/>
          </w:tcPr>
          <w:p w:rsidR="00653C0C" w:rsidRPr="000F4F04" w:rsidRDefault="00653C0C" w:rsidP="00045B31">
            <w:pPr>
              <w:spacing w:line="276" w:lineRule="auto"/>
              <w:rPr>
                <w:i/>
                <w:lang w:eastAsia="en-AU"/>
              </w:rPr>
            </w:pPr>
            <w:r>
              <w:rPr>
                <w:lang w:eastAsia="en-AU"/>
              </w:rPr>
              <w:t xml:space="preserve">Section 44A, Part 3, </w:t>
            </w:r>
            <w:r>
              <w:rPr>
                <w:i/>
                <w:lang w:eastAsia="en-AU"/>
              </w:rPr>
              <w:t>Road Transport (General) Act 1999</w:t>
            </w:r>
          </w:p>
        </w:tc>
        <w:tc>
          <w:tcPr>
            <w:tcW w:w="5812" w:type="dxa"/>
          </w:tcPr>
          <w:p w:rsidR="00653C0C" w:rsidRDefault="00653C0C" w:rsidP="00045B31">
            <w:pPr>
              <w:tabs>
                <w:tab w:val="left" w:pos="-42"/>
              </w:tabs>
              <w:spacing w:line="276" w:lineRule="auto"/>
              <w:ind w:left="-42"/>
              <w:rPr>
                <w:lang w:eastAsia="en-AU"/>
              </w:rPr>
            </w:pPr>
            <w:r>
              <w:rPr>
                <w:lang w:eastAsia="en-AU"/>
              </w:rPr>
              <w:t xml:space="preserve">Inform road transport authority of non-compliance with infringement notice management plan </w:t>
            </w:r>
          </w:p>
        </w:tc>
      </w:tr>
    </w:tbl>
    <w:p w:rsidR="00653C0C" w:rsidRDefault="00653C0C" w:rsidP="00653C0C"/>
    <w:p w:rsidR="001440B3" w:rsidRDefault="001440B3">
      <w:pPr>
        <w:tabs>
          <w:tab w:val="left" w:pos="4320"/>
        </w:tabs>
      </w:pPr>
    </w:p>
    <w:sectPr w:rsidR="001440B3" w:rsidSect="00E30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6B2" w:rsidRDefault="00FC36B2" w:rsidP="001440B3">
      <w:r>
        <w:separator/>
      </w:r>
    </w:p>
  </w:endnote>
  <w:endnote w:type="continuationSeparator" w:id="0">
    <w:p w:rsidR="00FC36B2" w:rsidRDefault="00FC36B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6F7" w:rsidRDefault="00930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A59" w:rsidRDefault="00E46A59" w:rsidP="00774A26">
    <w:pPr>
      <w:pStyle w:val="Footer"/>
      <w:rPr>
        <w:rFonts w:asciiTheme="minorHAnsi" w:hAnsiTheme="minorHAnsi"/>
      </w:rPr>
    </w:pPr>
  </w:p>
  <w:p w:rsidR="00774A26" w:rsidRDefault="00774A26" w:rsidP="00774A26">
    <w:pPr>
      <w:pStyle w:val="Footer"/>
      <w:rPr>
        <w:rFonts w:asciiTheme="minorHAnsi" w:hAnsiTheme="minorHAnsi"/>
      </w:rPr>
    </w:pPr>
    <w:r w:rsidRPr="00660BF8">
      <w:rPr>
        <w:rFonts w:asciiTheme="minorHAnsi" w:hAnsiTheme="minorHAnsi"/>
      </w:rPr>
      <w:t xml:space="preserve">Instrument of Delegation </w:t>
    </w:r>
    <w:r>
      <w:rPr>
        <w:rFonts w:asciiTheme="minorHAnsi" w:hAnsiTheme="minorHAnsi"/>
      </w:rPr>
      <w:t>–</w:t>
    </w:r>
    <w:r w:rsidRPr="00660BF8">
      <w:rPr>
        <w:rFonts w:asciiTheme="minorHAnsi" w:hAnsiTheme="minorHAnsi"/>
      </w:rPr>
      <w:t xml:space="preserve"> </w:t>
    </w:r>
    <w:r>
      <w:rPr>
        <w:rFonts w:asciiTheme="minorHAnsi" w:hAnsiTheme="minorHAnsi"/>
      </w:rPr>
      <w:t>Road Transport Legislation (ACT)</w:t>
    </w:r>
    <w:r w:rsidR="00E46A59">
      <w:rPr>
        <w:rFonts w:asciiTheme="minorHAnsi" w:hAnsiTheme="minorHAnsi"/>
      </w:rPr>
      <w:t xml:space="preserve"> </w:t>
    </w:r>
    <w:r w:rsidRPr="00660BF8">
      <w:rPr>
        <w:rFonts w:asciiTheme="minorHAnsi" w:hAnsiTheme="minorHAnsi"/>
      </w:rPr>
      <w:t>- NHVR0</w:t>
    </w:r>
    <w:r>
      <w:rPr>
        <w:rFonts w:asciiTheme="minorHAnsi" w:hAnsiTheme="minorHAnsi"/>
      </w:rPr>
      <w:t>341</w:t>
    </w:r>
    <w:r w:rsidRPr="00660BF8">
      <w:rPr>
        <w:rFonts w:asciiTheme="minorHAnsi" w:hAnsiTheme="minorHAnsi"/>
      </w:rPr>
      <w:t>-01</w:t>
    </w:r>
  </w:p>
  <w:p w:rsidR="00774A26" w:rsidRPr="005254D7" w:rsidRDefault="00774A26" w:rsidP="00774A26">
    <w:pPr>
      <w:pStyle w:val="Footer"/>
      <w:jc w:val="right"/>
      <w:rPr>
        <w:rFonts w:asciiTheme="minorHAnsi" w:hAnsiTheme="minorHAnsi" w:cs="Calibri"/>
      </w:rPr>
    </w:pPr>
    <w:r w:rsidRPr="005254D7">
      <w:rPr>
        <w:rFonts w:asciiTheme="minorHAnsi" w:hAnsiTheme="minorHAnsi"/>
      </w:rPr>
      <w:t xml:space="preserve">Page </w:t>
    </w:r>
    <w:r w:rsidRPr="005254D7">
      <w:rPr>
        <w:rFonts w:asciiTheme="minorHAnsi" w:hAnsiTheme="minorHAnsi"/>
      </w:rPr>
      <w:fldChar w:fldCharType="begin"/>
    </w:r>
    <w:r w:rsidRPr="005254D7">
      <w:rPr>
        <w:rFonts w:asciiTheme="minorHAnsi" w:hAnsiTheme="minorHAnsi"/>
      </w:rPr>
      <w:instrText xml:space="preserve"> PAGE </w:instrText>
    </w:r>
    <w:r w:rsidRPr="005254D7">
      <w:rPr>
        <w:rFonts w:asciiTheme="minorHAnsi" w:hAnsiTheme="minorHAnsi"/>
      </w:rPr>
      <w:fldChar w:fldCharType="separate"/>
    </w:r>
    <w:r w:rsidR="00431F0E">
      <w:rPr>
        <w:rFonts w:asciiTheme="minorHAnsi" w:hAnsiTheme="minorHAnsi"/>
        <w:noProof/>
      </w:rPr>
      <w:t>2</w:t>
    </w:r>
    <w:r w:rsidRPr="005254D7">
      <w:rPr>
        <w:rFonts w:asciiTheme="minorHAnsi" w:hAnsiTheme="minorHAnsi"/>
      </w:rPr>
      <w:fldChar w:fldCharType="end"/>
    </w:r>
  </w:p>
  <w:p w:rsidR="0042011A" w:rsidRPr="009306F7" w:rsidRDefault="009306F7" w:rsidP="009306F7">
    <w:pPr>
      <w:pStyle w:val="Footer"/>
      <w:jc w:val="center"/>
      <w:rPr>
        <w:rFonts w:cs="Arial"/>
        <w:sz w:val="14"/>
      </w:rPr>
    </w:pPr>
    <w:r w:rsidRPr="009306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8DD" w:rsidRDefault="00E30AE1" w:rsidP="00E30AE1">
    <w:pPr>
      <w:pStyle w:val="Footer"/>
      <w:rPr>
        <w:rFonts w:cs="Arial"/>
      </w:rPr>
    </w:pPr>
    <w:r w:rsidRPr="00E30AE1">
      <w:rPr>
        <w:rFonts w:cs="Arial"/>
      </w:rPr>
      <w:t>*Name amended under Legislation Act, s 60</w:t>
    </w:r>
  </w:p>
  <w:p w:rsidR="00E30AE1" w:rsidRPr="009306F7" w:rsidRDefault="009306F7" w:rsidP="009306F7">
    <w:pPr>
      <w:pStyle w:val="Footer"/>
      <w:jc w:val="center"/>
      <w:rPr>
        <w:rFonts w:cs="Arial"/>
        <w:sz w:val="14"/>
      </w:rPr>
    </w:pPr>
    <w:r w:rsidRPr="009306F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6B2" w:rsidRDefault="00FC36B2" w:rsidP="001440B3">
      <w:r>
        <w:separator/>
      </w:r>
    </w:p>
  </w:footnote>
  <w:footnote w:type="continuationSeparator" w:id="0">
    <w:p w:rsidR="00FC36B2" w:rsidRDefault="00FC36B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6F7" w:rsidRDefault="00930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6F7" w:rsidRDefault="00930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6F7" w:rsidRDefault="00930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7F69C6"/>
    <w:multiLevelType w:val="hybridMultilevel"/>
    <w:tmpl w:val="BA76D398"/>
    <w:lvl w:ilvl="0" w:tplc="0810AB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348"/>
    <w:rsid w:val="000F515C"/>
    <w:rsid w:val="00103ED7"/>
    <w:rsid w:val="001440B3"/>
    <w:rsid w:val="00182CD4"/>
    <w:rsid w:val="00222933"/>
    <w:rsid w:val="00283719"/>
    <w:rsid w:val="0042011A"/>
    <w:rsid w:val="00431F0E"/>
    <w:rsid w:val="00525963"/>
    <w:rsid w:val="00653C0C"/>
    <w:rsid w:val="007148F2"/>
    <w:rsid w:val="00774A26"/>
    <w:rsid w:val="007B68E4"/>
    <w:rsid w:val="008C460C"/>
    <w:rsid w:val="009306F7"/>
    <w:rsid w:val="00AA35F7"/>
    <w:rsid w:val="00BD7E01"/>
    <w:rsid w:val="00CA2BC1"/>
    <w:rsid w:val="00CD3F61"/>
    <w:rsid w:val="00E30AE1"/>
    <w:rsid w:val="00E46A59"/>
    <w:rsid w:val="00E518CE"/>
    <w:rsid w:val="00E53D07"/>
    <w:rsid w:val="00EE38DD"/>
    <w:rsid w:val="00F02AB2"/>
    <w:rsid w:val="00FC36B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7515B0-346A-4C05-A0F7-FD26B560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53C0C"/>
    <w:pPr>
      <w:ind w:left="720"/>
      <w:contextualSpacing/>
    </w:pPr>
  </w:style>
  <w:style w:type="character" w:customStyle="1" w:styleId="FooterChar">
    <w:name w:val="Footer Char"/>
    <w:link w:val="Footer"/>
    <w:uiPriority w:val="99"/>
    <w:locked/>
    <w:rsid w:val="00774A26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A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3680</Characters>
  <Application>Microsoft Office Word</Application>
  <DocSecurity>0</DocSecurity>
  <Lines>103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2019-06-26T00:55:00Z</cp:lastPrinted>
  <dcterms:created xsi:type="dcterms:W3CDTF">2019-07-01T00:32:00Z</dcterms:created>
  <dcterms:modified xsi:type="dcterms:W3CDTF">2019-07-01T00:32:00Z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A20336391</vt:lpwstr>
  </property>
  <property fmtid="{D5CDD505-2E9C-101B-9397-08002B2CF9AE}" pid="4" name="Objective-Title">
    <vt:lpwstr>Road Transport (General) National Heavy Vehicle Regulator Delegation 2019 (No 1)</vt:lpwstr>
  </property>
  <property fmtid="{D5CDD505-2E9C-101B-9397-08002B2CF9AE}" pid="5" name="Objective-Comment">
    <vt:lpwstr/>
  </property>
  <property fmtid="{D5CDD505-2E9C-101B-9397-08002B2CF9AE}" pid="6" name="Objective-CreationStamp">
    <vt:filetime>2019-06-27T01:14:57Z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2019-06-27T01:19:53Z</vt:filetime>
  </property>
  <property fmtid="{D5CDD505-2E9C-101B-9397-08002B2CF9AE}" pid="10" name="Objective-ModificationStamp">
    <vt:filetime>2019-06-27T01:19:53Z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Instruments:02. Delegations and Appointments:Road Tr</vt:lpwstr>
  </property>
  <property fmtid="{D5CDD505-2E9C-101B-9397-08002B2CF9AE}" pid="13" name="Objective-Parent">
    <vt:lpwstr>Heavy Vehicle National Law Delegations/Appointments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1-2019/19825</vt:lpwstr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2016-09-19T14:00:00Z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1063285</vt:lpwstr>
  </property>
  <property fmtid="{D5CDD505-2E9C-101B-9397-08002B2CF9AE}" pid="34" name="JMSREQUIREDCHECKIN">
    <vt:lpwstr/>
  </property>
</Properties>
</file>