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C4" w:rsidRPr="002177A8" w:rsidRDefault="006B79C4" w:rsidP="006B79C4">
      <w:pPr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2177A8">
        <w:rPr>
          <w:rFonts w:ascii="Calibri" w:hAnsi="Calibri" w:cs="Calibri"/>
          <w:b/>
          <w:sz w:val="32"/>
          <w:szCs w:val="32"/>
        </w:rPr>
        <w:t>AUSTRALIAN CAPITAL TERRITORY</w:t>
      </w:r>
    </w:p>
    <w:p w:rsidR="00E25478" w:rsidRPr="00962877" w:rsidRDefault="00E25478" w:rsidP="00E25478">
      <w:pPr>
        <w:pStyle w:val="BlockText"/>
        <w:ind w:left="0"/>
        <w:rPr>
          <w:rFonts w:ascii="Calibri" w:hAnsi="Calibri"/>
          <w:sz w:val="40"/>
          <w:szCs w:val="40"/>
        </w:rPr>
      </w:pPr>
      <w:r w:rsidRPr="00962877">
        <w:rPr>
          <w:rFonts w:ascii="Calibri" w:hAnsi="Calibri"/>
          <w:sz w:val="40"/>
          <w:szCs w:val="40"/>
        </w:rPr>
        <w:t xml:space="preserve">Financial Management (Performance Criteria) Amendment </w:t>
      </w:r>
      <w:r>
        <w:rPr>
          <w:rFonts w:ascii="Calibri" w:hAnsi="Calibri"/>
          <w:sz w:val="40"/>
          <w:szCs w:val="40"/>
        </w:rPr>
        <w:t>2019</w:t>
      </w:r>
      <w:r w:rsidRPr="00962877">
        <w:rPr>
          <w:rFonts w:ascii="Calibri" w:hAnsi="Calibri"/>
          <w:sz w:val="40"/>
          <w:szCs w:val="40"/>
        </w:rPr>
        <w:t> (No</w:t>
      </w:r>
      <w:r>
        <w:rPr>
          <w:rFonts w:ascii="Calibri" w:hAnsi="Calibri"/>
          <w:sz w:val="40"/>
          <w:szCs w:val="40"/>
        </w:rPr>
        <w:t xml:space="preserve"> 1)*</w:t>
      </w:r>
    </w:p>
    <w:p w:rsidR="00E25478" w:rsidRDefault="00E25478" w:rsidP="00E25478">
      <w:pPr>
        <w:tabs>
          <w:tab w:val="left" w:pos="120"/>
        </w:tabs>
        <w:spacing w:before="240" w:after="60"/>
        <w:rPr>
          <w:rFonts w:ascii="Calibri" w:hAnsi="Calibri" w:cs="Arial"/>
          <w:b/>
          <w:bCs/>
          <w:sz w:val="24"/>
          <w:szCs w:val="24"/>
        </w:rPr>
      </w:pPr>
      <w:r w:rsidRPr="00E25478">
        <w:rPr>
          <w:rFonts w:ascii="Calibri" w:hAnsi="Calibri" w:cs="Arial"/>
          <w:b/>
          <w:bCs/>
          <w:sz w:val="24"/>
          <w:szCs w:val="24"/>
        </w:rPr>
        <w:t xml:space="preserve">Notifiable instrument </w:t>
      </w:r>
      <w:r>
        <w:rPr>
          <w:rFonts w:ascii="Calibri" w:hAnsi="Calibri" w:cs="Arial"/>
          <w:b/>
          <w:bCs/>
          <w:sz w:val="24"/>
          <w:szCs w:val="24"/>
        </w:rPr>
        <w:t>NI2019</w:t>
      </w:r>
      <w:r w:rsidRPr="00E25478">
        <w:rPr>
          <w:rFonts w:ascii="Calibri" w:hAnsi="Calibri" w:cs="Arial"/>
          <w:b/>
          <w:bCs/>
          <w:sz w:val="24"/>
          <w:szCs w:val="24"/>
        </w:rPr>
        <w:t>-</w:t>
      </w:r>
      <w:r>
        <w:rPr>
          <w:rFonts w:ascii="Calibri" w:hAnsi="Calibri" w:cs="Arial"/>
          <w:b/>
          <w:bCs/>
          <w:sz w:val="24"/>
          <w:szCs w:val="24"/>
        </w:rPr>
        <w:t>59</w:t>
      </w:r>
    </w:p>
    <w:p w:rsidR="00E25478" w:rsidRPr="00E25478" w:rsidRDefault="00E25478" w:rsidP="00E25478">
      <w:pPr>
        <w:tabs>
          <w:tab w:val="left" w:pos="120"/>
        </w:tabs>
        <w:spacing w:before="120" w:after="60"/>
        <w:rPr>
          <w:rFonts w:ascii="Calibri" w:hAnsi="Calibri" w:cs="Arial"/>
          <w:sz w:val="24"/>
          <w:szCs w:val="24"/>
        </w:rPr>
      </w:pPr>
    </w:p>
    <w:p w:rsidR="00355285" w:rsidRPr="00C9318B" w:rsidRDefault="00355285" w:rsidP="00355285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  <w:r w:rsidRPr="00C9318B">
        <w:rPr>
          <w:rFonts w:ascii="Calibri" w:hAnsi="Calibri" w:cs="Calibri"/>
          <w:b/>
          <w:sz w:val="32"/>
          <w:szCs w:val="32"/>
        </w:rPr>
        <w:t>AMENDMENT OF PERFORMANCE CRITERIA</w:t>
      </w:r>
    </w:p>
    <w:p w:rsidR="00355285" w:rsidRPr="00C9318B" w:rsidRDefault="00355285" w:rsidP="00355285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  <w:r w:rsidRPr="00C9318B">
        <w:rPr>
          <w:rFonts w:ascii="Calibri" w:hAnsi="Calibri" w:cs="Calibri"/>
          <w:b/>
          <w:sz w:val="32"/>
          <w:szCs w:val="32"/>
        </w:rPr>
        <w:t>UNDER SECTION 19D OF THE</w:t>
      </w:r>
    </w:p>
    <w:p w:rsidR="00355285" w:rsidRPr="00C9318B" w:rsidRDefault="00355285" w:rsidP="00355285">
      <w:pPr>
        <w:pStyle w:val="Header"/>
        <w:jc w:val="center"/>
        <w:rPr>
          <w:rFonts w:ascii="Calibri" w:hAnsi="Calibri" w:cs="Calibri"/>
          <w:b/>
          <w:i/>
          <w:sz w:val="32"/>
          <w:szCs w:val="32"/>
        </w:rPr>
      </w:pPr>
      <w:r w:rsidRPr="00C9318B">
        <w:rPr>
          <w:rFonts w:ascii="Calibri" w:hAnsi="Calibri" w:cs="Calibri"/>
          <w:b/>
          <w:i/>
          <w:sz w:val="32"/>
          <w:szCs w:val="32"/>
        </w:rPr>
        <w:t>FINANCIAL MANAGEMENT ACT 1996</w:t>
      </w:r>
    </w:p>
    <w:p w:rsidR="00355285" w:rsidRPr="000F2E42" w:rsidRDefault="00355285" w:rsidP="00355285">
      <w:pPr>
        <w:pBdr>
          <w:bottom w:val="single" w:sz="6" w:space="1" w:color="auto"/>
        </w:pBdr>
        <w:jc w:val="center"/>
        <w:outlineLvl w:val="0"/>
        <w:rPr>
          <w:rFonts w:ascii="Calibri" w:hAnsi="Calibri" w:cs="Calibri"/>
          <w:b/>
          <w:bCs/>
          <w:sz w:val="32"/>
          <w:szCs w:val="32"/>
        </w:rPr>
      </w:pPr>
      <w:r w:rsidRPr="00C9318B">
        <w:rPr>
          <w:rFonts w:ascii="Calibri" w:hAnsi="Calibri" w:cs="Calibri"/>
          <w:b/>
          <w:bCs/>
          <w:sz w:val="32"/>
          <w:szCs w:val="32"/>
        </w:rPr>
        <w:t>FINANCIAL INSTRUMENT</w:t>
      </w:r>
      <w:r w:rsidRPr="00C9318B">
        <w:rPr>
          <w:rFonts w:ascii="Calibri" w:hAnsi="Calibri" w:cs="Calibri"/>
          <w:b/>
          <w:i/>
          <w:sz w:val="28"/>
        </w:rPr>
        <w:t xml:space="preserve"> </w:t>
      </w:r>
      <w:r w:rsidRPr="00373057">
        <w:rPr>
          <w:rFonts w:ascii="Calibri" w:hAnsi="Calibri" w:cs="Calibri"/>
          <w:b/>
          <w:bCs/>
          <w:sz w:val="32"/>
          <w:szCs w:val="32"/>
        </w:rPr>
        <w:t>20</w:t>
      </w:r>
      <w:r w:rsidR="00373057" w:rsidRPr="00373057">
        <w:rPr>
          <w:rFonts w:ascii="Calibri" w:hAnsi="Calibri" w:cs="Calibri"/>
          <w:b/>
          <w:bCs/>
          <w:sz w:val="32"/>
          <w:szCs w:val="32"/>
        </w:rPr>
        <w:t>18</w:t>
      </w:r>
      <w:r w:rsidRPr="00373057">
        <w:rPr>
          <w:rFonts w:ascii="Calibri" w:hAnsi="Calibri" w:cs="Calibri"/>
          <w:b/>
          <w:bCs/>
          <w:sz w:val="32"/>
          <w:szCs w:val="32"/>
        </w:rPr>
        <w:t>-</w:t>
      </w:r>
      <w:r w:rsidR="00373057" w:rsidRPr="00373057">
        <w:rPr>
          <w:rFonts w:ascii="Calibri" w:hAnsi="Calibri" w:cs="Calibri"/>
          <w:b/>
          <w:bCs/>
          <w:sz w:val="32"/>
          <w:szCs w:val="32"/>
        </w:rPr>
        <w:t>19</w:t>
      </w:r>
    </w:p>
    <w:p w:rsidR="00FD2359" w:rsidRPr="004714C7" w:rsidRDefault="00FD2359">
      <w:pPr>
        <w:rPr>
          <w:rFonts w:ascii="Calibri" w:hAnsi="Calibri" w:cs="Calibri"/>
          <w:sz w:val="24"/>
        </w:rPr>
      </w:pPr>
    </w:p>
    <w:p w:rsidR="00FD2359" w:rsidRPr="003B3B27" w:rsidRDefault="00FD2359">
      <w:pPr>
        <w:jc w:val="both"/>
        <w:rPr>
          <w:rFonts w:ascii="Calibri" w:hAnsi="Calibri" w:cs="Calibri"/>
          <w:sz w:val="24"/>
        </w:rPr>
      </w:pPr>
      <w:r w:rsidRPr="003B3B27">
        <w:rPr>
          <w:rFonts w:ascii="Calibri" w:hAnsi="Calibri" w:cs="Calibri"/>
          <w:sz w:val="24"/>
        </w:rPr>
        <w:t xml:space="preserve">This statement outlines the reasons for </w:t>
      </w:r>
      <w:r w:rsidR="003B3B27" w:rsidRPr="003B3B27">
        <w:rPr>
          <w:rFonts w:ascii="Calibri" w:hAnsi="Calibri" w:cs="Calibri"/>
          <w:sz w:val="24"/>
        </w:rPr>
        <w:t>amending performance criteria under Section 19D</w:t>
      </w:r>
      <w:r w:rsidRPr="003B3B27">
        <w:rPr>
          <w:rFonts w:ascii="Calibri" w:hAnsi="Calibri" w:cs="Calibri"/>
          <w:sz w:val="24"/>
        </w:rPr>
        <w:t xml:space="preserve"> of the </w:t>
      </w:r>
      <w:r w:rsidRPr="003B3B27">
        <w:rPr>
          <w:rFonts w:ascii="Calibri" w:hAnsi="Calibri" w:cs="Calibri"/>
          <w:i/>
          <w:sz w:val="24"/>
        </w:rPr>
        <w:t>Financial Management Act 1996</w:t>
      </w:r>
      <w:r w:rsidRPr="003B3B27">
        <w:rPr>
          <w:rFonts w:ascii="Calibri" w:hAnsi="Calibri" w:cs="Calibri"/>
          <w:sz w:val="24"/>
        </w:rPr>
        <w:t xml:space="preserve"> (FMA).</w:t>
      </w:r>
    </w:p>
    <w:p w:rsidR="00FD2359" w:rsidRPr="003B3B27" w:rsidRDefault="00FD2359">
      <w:pPr>
        <w:jc w:val="both"/>
        <w:rPr>
          <w:rFonts w:ascii="Calibri" w:hAnsi="Calibri" w:cs="Calibri"/>
          <w:sz w:val="24"/>
        </w:rPr>
      </w:pPr>
    </w:p>
    <w:p w:rsidR="00FD2359" w:rsidRDefault="003B3B27">
      <w:pPr>
        <w:jc w:val="both"/>
        <w:rPr>
          <w:rFonts w:ascii="Calibri" w:hAnsi="Calibri" w:cs="Calibri"/>
          <w:sz w:val="24"/>
        </w:rPr>
      </w:pPr>
      <w:r w:rsidRPr="003B3B27">
        <w:rPr>
          <w:rFonts w:ascii="Calibri" w:hAnsi="Calibri" w:cs="Calibri"/>
          <w:sz w:val="24"/>
        </w:rPr>
        <w:t>Section 19D</w:t>
      </w:r>
      <w:r w:rsidR="00FD2359" w:rsidRPr="003B3B27">
        <w:rPr>
          <w:rFonts w:ascii="Calibri" w:hAnsi="Calibri" w:cs="Calibri"/>
          <w:sz w:val="24"/>
        </w:rPr>
        <w:t xml:space="preserve"> of the FMA allows for the amendment </w:t>
      </w:r>
      <w:r w:rsidR="00D41511">
        <w:rPr>
          <w:rFonts w:ascii="Calibri" w:hAnsi="Calibri" w:cs="Calibri"/>
          <w:sz w:val="24"/>
        </w:rPr>
        <w:t xml:space="preserve">by notifiable instrument </w:t>
      </w:r>
      <w:r w:rsidR="00FD2359" w:rsidRPr="003B3B27">
        <w:rPr>
          <w:rFonts w:ascii="Calibri" w:hAnsi="Calibri" w:cs="Calibri"/>
          <w:sz w:val="24"/>
        </w:rPr>
        <w:t xml:space="preserve">of </w:t>
      </w:r>
      <w:r w:rsidRPr="003B3B27">
        <w:rPr>
          <w:rFonts w:ascii="Calibri" w:hAnsi="Calibri" w:cs="Calibri"/>
          <w:sz w:val="24"/>
        </w:rPr>
        <w:t>performance criteria</w:t>
      </w:r>
      <w:r w:rsidR="009871EF">
        <w:rPr>
          <w:rFonts w:ascii="Calibri" w:hAnsi="Calibri" w:cs="Calibri"/>
          <w:sz w:val="24"/>
        </w:rPr>
        <w:t xml:space="preserve"> for </w:t>
      </w:r>
      <w:r w:rsidR="00952A5B">
        <w:rPr>
          <w:rFonts w:ascii="Calibri" w:hAnsi="Calibri" w:cs="Calibri"/>
          <w:sz w:val="24"/>
        </w:rPr>
        <w:t>the Canberra Health Services</w:t>
      </w:r>
      <w:r w:rsidR="007A0570">
        <w:rPr>
          <w:rFonts w:ascii="Calibri" w:hAnsi="Calibri" w:cs="Calibri"/>
          <w:sz w:val="24"/>
        </w:rPr>
        <w:t xml:space="preserve"> and the ACT Health Directorate</w:t>
      </w:r>
      <w:r w:rsidR="003103F9" w:rsidRPr="003B3B27">
        <w:rPr>
          <w:rFonts w:ascii="Calibri" w:hAnsi="Calibri" w:cs="Calibri"/>
          <w:sz w:val="24"/>
        </w:rPr>
        <w:t>.</w:t>
      </w:r>
      <w:r w:rsidR="00C9244A">
        <w:rPr>
          <w:rFonts w:ascii="Calibri" w:hAnsi="Calibri" w:cs="Calibri"/>
          <w:sz w:val="24"/>
        </w:rPr>
        <w:t xml:space="preserve"> The performance criteria may be amended where the responsible Minister and Treasurer are satisfied that other performance criteria should be adopted for the provision of outputs by the Directorate.</w:t>
      </w:r>
    </w:p>
    <w:p w:rsidR="003603E4" w:rsidRDefault="003603E4">
      <w:pPr>
        <w:jc w:val="both"/>
        <w:rPr>
          <w:rFonts w:ascii="Calibri" w:hAnsi="Calibri" w:cs="Calibri"/>
          <w:sz w:val="24"/>
        </w:rPr>
      </w:pPr>
    </w:p>
    <w:p w:rsidR="007A5E48" w:rsidRDefault="00D9143F" w:rsidP="00D9143F">
      <w:pPr>
        <w:rPr>
          <w:rFonts w:ascii="Calibri" w:hAnsi="Calibri" w:cs="Calibri"/>
          <w:b/>
          <w:sz w:val="24"/>
        </w:rPr>
      </w:pPr>
      <w:r w:rsidRPr="00C9318B">
        <w:rPr>
          <w:rFonts w:ascii="Calibri" w:hAnsi="Calibri" w:cs="Calibri"/>
          <w:b/>
          <w:sz w:val="24"/>
        </w:rPr>
        <w:t>Instrument Amendment:</w:t>
      </w:r>
    </w:p>
    <w:p w:rsidR="00373057" w:rsidRPr="00C9318B" w:rsidRDefault="00373057" w:rsidP="00D9143F">
      <w:pPr>
        <w:rPr>
          <w:rFonts w:ascii="Calibri" w:hAnsi="Calibri" w:cs="Calibri"/>
          <w:b/>
          <w:sz w:val="24"/>
        </w:rPr>
      </w:pPr>
    </w:p>
    <w:p w:rsidR="00C44DC3" w:rsidRPr="000D3B95" w:rsidRDefault="007A5E48" w:rsidP="00D9143F">
      <w:pPr>
        <w:rPr>
          <w:rFonts w:ascii="Calibri" w:hAnsi="Calibri" w:cs="Calibri"/>
          <w:b/>
          <w:sz w:val="24"/>
          <w:szCs w:val="24"/>
        </w:rPr>
      </w:pPr>
      <w:r w:rsidRPr="000D3B95">
        <w:rPr>
          <w:rFonts w:ascii="Calibri" w:hAnsi="Calibri" w:cs="Calibri"/>
          <w:b/>
          <w:sz w:val="24"/>
          <w:szCs w:val="24"/>
        </w:rPr>
        <w:t>Strategic Objectives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167"/>
        <w:gridCol w:w="5774"/>
        <w:gridCol w:w="1843"/>
      </w:tblGrid>
      <w:tr w:rsidR="00952A5B" w:rsidRPr="00C44DC3" w:rsidTr="00C44DC3">
        <w:trPr>
          <w:trHeight w:val="293"/>
        </w:trPr>
        <w:tc>
          <w:tcPr>
            <w:tcW w:w="1167" w:type="dxa"/>
            <w:vMerge w:val="restart"/>
            <w:shd w:val="pct25" w:color="auto" w:fill="auto"/>
          </w:tcPr>
          <w:p w:rsidR="00952A5B" w:rsidRPr="00C44DC3" w:rsidRDefault="00952A5B" w:rsidP="008D62BD">
            <w:pPr>
              <w:pStyle w:val="BodyText2"/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44DC3">
              <w:rPr>
                <w:rFonts w:ascii="Calibri" w:hAnsi="Calibri" w:cs="Calibri"/>
                <w:b/>
                <w:sz w:val="18"/>
                <w:szCs w:val="18"/>
              </w:rPr>
              <w:t>Strategic Objective</w:t>
            </w:r>
          </w:p>
        </w:tc>
        <w:tc>
          <w:tcPr>
            <w:tcW w:w="5774" w:type="dxa"/>
            <w:vMerge w:val="restart"/>
            <w:shd w:val="pct25" w:color="auto" w:fill="auto"/>
          </w:tcPr>
          <w:p w:rsidR="00952A5B" w:rsidRPr="00C44DC3" w:rsidRDefault="000C73D7" w:rsidP="008D62BD">
            <w:pPr>
              <w:pStyle w:val="BodyText2"/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44DC3">
              <w:rPr>
                <w:rFonts w:ascii="Calibri" w:hAnsi="Calibri" w:cs="Calibri"/>
                <w:b/>
                <w:sz w:val="18"/>
                <w:szCs w:val="18"/>
              </w:rPr>
              <w:t xml:space="preserve">Strategic Objective </w:t>
            </w:r>
            <w:r w:rsidR="00952A5B" w:rsidRPr="00C44DC3">
              <w:rPr>
                <w:rFonts w:ascii="Calibri" w:hAnsi="Calibri" w:cs="Calibri"/>
                <w:b/>
                <w:sz w:val="18"/>
                <w:szCs w:val="18"/>
              </w:rPr>
              <w:t>Description</w:t>
            </w:r>
          </w:p>
        </w:tc>
        <w:tc>
          <w:tcPr>
            <w:tcW w:w="1843" w:type="dxa"/>
            <w:vMerge w:val="restart"/>
            <w:shd w:val="pct25" w:color="auto" w:fill="auto"/>
          </w:tcPr>
          <w:p w:rsidR="00952A5B" w:rsidRPr="00C44DC3" w:rsidRDefault="00952A5B" w:rsidP="008D62BD">
            <w:pPr>
              <w:pStyle w:val="BodyText2"/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44DC3">
              <w:rPr>
                <w:rFonts w:ascii="Calibri" w:hAnsi="Calibri" w:cs="Calibri"/>
                <w:b/>
                <w:sz w:val="18"/>
                <w:szCs w:val="18"/>
              </w:rPr>
              <w:t>Action</w:t>
            </w:r>
          </w:p>
        </w:tc>
      </w:tr>
      <w:tr w:rsidR="00952A5B" w:rsidRPr="008D62BD" w:rsidTr="00C44DC3">
        <w:trPr>
          <w:trHeight w:val="434"/>
        </w:trPr>
        <w:tc>
          <w:tcPr>
            <w:tcW w:w="1167" w:type="dxa"/>
            <w:vMerge/>
            <w:shd w:val="pct25" w:color="auto" w:fill="auto"/>
          </w:tcPr>
          <w:p w:rsidR="00952A5B" w:rsidRPr="000D3B95" w:rsidRDefault="00952A5B" w:rsidP="008D62BD">
            <w:pPr>
              <w:pStyle w:val="BodyText2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5774" w:type="dxa"/>
            <w:vMerge/>
            <w:shd w:val="pct25" w:color="auto" w:fill="auto"/>
          </w:tcPr>
          <w:p w:rsidR="00952A5B" w:rsidRPr="000D3B95" w:rsidRDefault="00952A5B" w:rsidP="008D62BD">
            <w:pPr>
              <w:pStyle w:val="BodyText2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vMerge/>
            <w:shd w:val="pct25" w:color="auto" w:fill="auto"/>
          </w:tcPr>
          <w:p w:rsidR="00952A5B" w:rsidRPr="000D3B95" w:rsidRDefault="00952A5B" w:rsidP="008D62BD">
            <w:pPr>
              <w:pStyle w:val="BodyText2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952A5B" w:rsidRPr="00C44DC3" w:rsidTr="00C44DC3">
        <w:trPr>
          <w:trHeight w:val="209"/>
        </w:trPr>
        <w:tc>
          <w:tcPr>
            <w:tcW w:w="1167" w:type="dxa"/>
          </w:tcPr>
          <w:p w:rsidR="00952A5B" w:rsidRPr="00C44DC3" w:rsidRDefault="00952A5B" w:rsidP="00952A5B">
            <w:pPr>
              <w:pStyle w:val="BodyText2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774" w:type="dxa"/>
          </w:tcPr>
          <w:p w:rsidR="00952A5B" w:rsidRPr="00C44DC3" w:rsidRDefault="00952A5B" w:rsidP="005B1BBB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Management of Chronic Disease: Maintenance of the Highest Life Expectancy at Birth</w:t>
            </w:r>
          </w:p>
        </w:tc>
        <w:tc>
          <w:tcPr>
            <w:tcW w:w="1843" w:type="dxa"/>
            <w:vMerge w:val="restart"/>
          </w:tcPr>
          <w:p w:rsidR="00952A5B" w:rsidRPr="00C44DC3" w:rsidRDefault="000C73D7" w:rsidP="000C73D7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 xml:space="preserve">Transfer Strategic Objectives 8 to 15 (and associated indicators and targets) </w:t>
            </w:r>
            <w:r w:rsidR="00952A5B" w:rsidRPr="00C44DC3">
              <w:rPr>
                <w:rFonts w:ascii="Calibri" w:hAnsi="Calibri" w:cs="Calibri"/>
                <w:sz w:val="18"/>
                <w:szCs w:val="18"/>
              </w:rPr>
              <w:t>from the Canberra Health Services to the ACT Health Directorate</w:t>
            </w:r>
          </w:p>
        </w:tc>
      </w:tr>
      <w:tr w:rsidR="00952A5B" w:rsidRPr="00C44DC3" w:rsidTr="00C44DC3">
        <w:trPr>
          <w:trHeight w:val="273"/>
        </w:trPr>
        <w:tc>
          <w:tcPr>
            <w:tcW w:w="1167" w:type="dxa"/>
          </w:tcPr>
          <w:p w:rsidR="00952A5B" w:rsidRPr="00C44DC3" w:rsidRDefault="00952A5B" w:rsidP="00952A5B">
            <w:pPr>
              <w:pStyle w:val="BodyText2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5774" w:type="dxa"/>
          </w:tcPr>
          <w:p w:rsidR="00952A5B" w:rsidRPr="00C44DC3" w:rsidRDefault="00952A5B" w:rsidP="005B1BBB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Lower Prevalence of Circulatory Disease than the National Average</w:t>
            </w:r>
          </w:p>
        </w:tc>
        <w:tc>
          <w:tcPr>
            <w:tcW w:w="1843" w:type="dxa"/>
            <w:vMerge/>
          </w:tcPr>
          <w:p w:rsidR="00952A5B" w:rsidRPr="00C44DC3" w:rsidRDefault="00952A5B" w:rsidP="005B1BBB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52A5B" w:rsidRPr="00C44DC3" w:rsidTr="00C44DC3">
        <w:trPr>
          <w:trHeight w:val="277"/>
        </w:trPr>
        <w:tc>
          <w:tcPr>
            <w:tcW w:w="1167" w:type="dxa"/>
          </w:tcPr>
          <w:p w:rsidR="00952A5B" w:rsidRPr="00C44DC3" w:rsidRDefault="00952A5B" w:rsidP="00952A5B">
            <w:pPr>
              <w:pStyle w:val="BodyText2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774" w:type="dxa"/>
          </w:tcPr>
          <w:p w:rsidR="00952A5B" w:rsidRPr="00C44DC3" w:rsidRDefault="00952A5B" w:rsidP="005B1BBB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Lower Prevalence of Overweight and Obese People</w:t>
            </w:r>
          </w:p>
        </w:tc>
        <w:tc>
          <w:tcPr>
            <w:tcW w:w="1843" w:type="dxa"/>
            <w:vMerge/>
          </w:tcPr>
          <w:p w:rsidR="00952A5B" w:rsidRPr="00C44DC3" w:rsidRDefault="00952A5B" w:rsidP="005B1BBB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52A5B" w:rsidRPr="00C44DC3" w:rsidTr="00C44DC3">
        <w:trPr>
          <w:trHeight w:val="263"/>
        </w:trPr>
        <w:tc>
          <w:tcPr>
            <w:tcW w:w="1167" w:type="dxa"/>
          </w:tcPr>
          <w:p w:rsidR="00952A5B" w:rsidRPr="00C44DC3" w:rsidRDefault="00952A5B" w:rsidP="00952A5B">
            <w:pPr>
              <w:pStyle w:val="BodyText2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774" w:type="dxa"/>
          </w:tcPr>
          <w:p w:rsidR="00952A5B" w:rsidRPr="00C44DC3" w:rsidRDefault="00952A5B" w:rsidP="005B1BBB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Addressing Gaps in Aboriginal and Torres Strait Islander Immunisation Status</w:t>
            </w:r>
          </w:p>
        </w:tc>
        <w:tc>
          <w:tcPr>
            <w:tcW w:w="1843" w:type="dxa"/>
            <w:vMerge/>
          </w:tcPr>
          <w:p w:rsidR="00952A5B" w:rsidRPr="00C44DC3" w:rsidRDefault="00952A5B" w:rsidP="005B1BBB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52A5B" w:rsidRPr="00C44DC3" w:rsidTr="00C44DC3">
        <w:trPr>
          <w:trHeight w:val="267"/>
        </w:trPr>
        <w:tc>
          <w:tcPr>
            <w:tcW w:w="1167" w:type="dxa"/>
          </w:tcPr>
          <w:p w:rsidR="00952A5B" w:rsidRPr="00C44DC3" w:rsidRDefault="00952A5B" w:rsidP="00952A5B">
            <w:pPr>
              <w:pStyle w:val="BodyText2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774" w:type="dxa"/>
          </w:tcPr>
          <w:p w:rsidR="00952A5B" w:rsidRPr="00C44DC3" w:rsidRDefault="00952A5B" w:rsidP="005B1BBB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Higher Participation Rate in the Cervical Screening Program than the National Average</w:t>
            </w:r>
          </w:p>
        </w:tc>
        <w:tc>
          <w:tcPr>
            <w:tcW w:w="1843" w:type="dxa"/>
            <w:vMerge/>
          </w:tcPr>
          <w:p w:rsidR="00952A5B" w:rsidRPr="00C44DC3" w:rsidRDefault="00952A5B" w:rsidP="005B1BBB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52A5B" w:rsidRPr="00C44DC3" w:rsidTr="00C44DC3">
        <w:trPr>
          <w:trHeight w:val="365"/>
        </w:trPr>
        <w:tc>
          <w:tcPr>
            <w:tcW w:w="1167" w:type="dxa"/>
          </w:tcPr>
          <w:p w:rsidR="00952A5B" w:rsidRPr="00C44DC3" w:rsidRDefault="00952A5B" w:rsidP="00952A5B">
            <w:pPr>
              <w:pStyle w:val="BodyText2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5774" w:type="dxa"/>
          </w:tcPr>
          <w:p w:rsidR="00952A5B" w:rsidRPr="00C44DC3" w:rsidRDefault="00952A5B" w:rsidP="005B1BBB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Achieve Lower than the Australian Average in the Decayed, Missing or Filled Teeth (DMFT) Index</w:t>
            </w:r>
          </w:p>
        </w:tc>
        <w:tc>
          <w:tcPr>
            <w:tcW w:w="1843" w:type="dxa"/>
            <w:vMerge/>
          </w:tcPr>
          <w:p w:rsidR="00952A5B" w:rsidRPr="00C44DC3" w:rsidRDefault="00952A5B" w:rsidP="005B1BBB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52A5B" w:rsidRPr="00C44DC3" w:rsidTr="00C44DC3">
        <w:trPr>
          <w:trHeight w:val="201"/>
        </w:trPr>
        <w:tc>
          <w:tcPr>
            <w:tcW w:w="1167" w:type="dxa"/>
          </w:tcPr>
          <w:p w:rsidR="00952A5B" w:rsidRPr="00C44DC3" w:rsidRDefault="00952A5B" w:rsidP="00952A5B">
            <w:pPr>
              <w:pStyle w:val="BodyText2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774" w:type="dxa"/>
          </w:tcPr>
          <w:p w:rsidR="00952A5B" w:rsidRPr="00C44DC3" w:rsidRDefault="00952A5B" w:rsidP="005B1BBB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Reducing the Risk of Fractured Femurs in ACT Residents Aged over 75 years</w:t>
            </w:r>
          </w:p>
        </w:tc>
        <w:tc>
          <w:tcPr>
            <w:tcW w:w="1843" w:type="dxa"/>
            <w:vMerge/>
          </w:tcPr>
          <w:p w:rsidR="00952A5B" w:rsidRPr="00C44DC3" w:rsidRDefault="00952A5B" w:rsidP="005B1BBB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52A5B" w:rsidRPr="00C44DC3" w:rsidTr="00C44DC3">
        <w:trPr>
          <w:trHeight w:val="235"/>
        </w:trPr>
        <w:tc>
          <w:tcPr>
            <w:tcW w:w="1167" w:type="dxa"/>
          </w:tcPr>
          <w:p w:rsidR="00952A5B" w:rsidRPr="00C44DC3" w:rsidRDefault="00952A5B" w:rsidP="00952A5B">
            <w:pPr>
              <w:pStyle w:val="BodyText2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774" w:type="dxa"/>
          </w:tcPr>
          <w:p w:rsidR="00952A5B" w:rsidRPr="00C44DC3" w:rsidRDefault="00952A5B" w:rsidP="005B1BBB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Reduction in the Youth Smoking Rate</w:t>
            </w:r>
          </w:p>
        </w:tc>
        <w:tc>
          <w:tcPr>
            <w:tcW w:w="1843" w:type="dxa"/>
            <w:vMerge/>
          </w:tcPr>
          <w:p w:rsidR="00952A5B" w:rsidRPr="00C44DC3" w:rsidRDefault="00952A5B" w:rsidP="005B1BBB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44DC3" w:rsidRDefault="00C44DC3" w:rsidP="007A0570">
      <w:pPr>
        <w:rPr>
          <w:rFonts w:ascii="Calibri" w:hAnsi="Calibri" w:cs="Calibri"/>
          <w:b/>
          <w:sz w:val="24"/>
          <w:szCs w:val="24"/>
        </w:rPr>
      </w:pPr>
    </w:p>
    <w:p w:rsidR="000B708A" w:rsidRPr="000C73D7" w:rsidRDefault="007A0570" w:rsidP="00E25478">
      <w:pPr>
        <w:keepNext/>
        <w:rPr>
          <w:rFonts w:ascii="Calibri" w:hAnsi="Calibri" w:cs="Calibri"/>
          <w:b/>
          <w:sz w:val="24"/>
          <w:szCs w:val="24"/>
        </w:rPr>
      </w:pPr>
      <w:r w:rsidRPr="000C73D7">
        <w:rPr>
          <w:rFonts w:ascii="Calibri" w:hAnsi="Calibri" w:cs="Calibri"/>
          <w:b/>
          <w:sz w:val="24"/>
          <w:szCs w:val="24"/>
        </w:rPr>
        <w:lastRenderedPageBreak/>
        <w:t>Accountability Indicators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271"/>
        <w:gridCol w:w="1012"/>
        <w:gridCol w:w="4658"/>
        <w:gridCol w:w="1843"/>
      </w:tblGrid>
      <w:tr w:rsidR="00B6237D" w:rsidRPr="008D62BD" w:rsidTr="00C44DC3">
        <w:trPr>
          <w:trHeight w:val="435"/>
        </w:trPr>
        <w:tc>
          <w:tcPr>
            <w:tcW w:w="1271" w:type="dxa"/>
            <w:shd w:val="pct25" w:color="auto" w:fill="auto"/>
          </w:tcPr>
          <w:p w:rsidR="00B6237D" w:rsidRPr="000D3B95" w:rsidRDefault="00B6237D" w:rsidP="00E25478">
            <w:pPr>
              <w:pStyle w:val="BodyText2"/>
              <w:keepNext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0D3B95">
              <w:rPr>
                <w:rFonts w:ascii="Calibri" w:hAnsi="Calibri" w:cs="Calibri"/>
                <w:b/>
                <w:szCs w:val="24"/>
              </w:rPr>
              <w:t>Output Class</w:t>
            </w:r>
          </w:p>
        </w:tc>
        <w:tc>
          <w:tcPr>
            <w:tcW w:w="1012" w:type="dxa"/>
            <w:shd w:val="pct25" w:color="auto" w:fill="auto"/>
          </w:tcPr>
          <w:p w:rsidR="00B6237D" w:rsidRPr="000D3B95" w:rsidRDefault="00B6237D" w:rsidP="00E25478">
            <w:pPr>
              <w:pStyle w:val="BodyText2"/>
              <w:keepNext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0D3B95">
              <w:rPr>
                <w:rFonts w:ascii="Calibri" w:hAnsi="Calibri" w:cs="Calibri"/>
                <w:b/>
                <w:szCs w:val="24"/>
              </w:rPr>
              <w:t>Output</w:t>
            </w:r>
          </w:p>
        </w:tc>
        <w:tc>
          <w:tcPr>
            <w:tcW w:w="4658" w:type="dxa"/>
            <w:shd w:val="pct25" w:color="auto" w:fill="auto"/>
          </w:tcPr>
          <w:p w:rsidR="00B6237D" w:rsidRPr="000D3B95" w:rsidRDefault="00B6237D" w:rsidP="00E25478">
            <w:pPr>
              <w:pStyle w:val="BodyText2"/>
              <w:keepNext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0D3B95">
              <w:rPr>
                <w:rFonts w:ascii="Calibri" w:hAnsi="Calibri" w:cs="Calibri"/>
                <w:b/>
                <w:szCs w:val="24"/>
              </w:rPr>
              <w:t>Indicators</w:t>
            </w:r>
          </w:p>
        </w:tc>
        <w:tc>
          <w:tcPr>
            <w:tcW w:w="1843" w:type="dxa"/>
            <w:shd w:val="pct25" w:color="auto" w:fill="auto"/>
          </w:tcPr>
          <w:p w:rsidR="00B6237D" w:rsidRPr="00487FC9" w:rsidRDefault="00B6237D" w:rsidP="00E25478">
            <w:pPr>
              <w:pStyle w:val="BodyText2"/>
              <w:keepNext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487FC9">
              <w:rPr>
                <w:rFonts w:ascii="Calibri" w:hAnsi="Calibri" w:cs="Calibri"/>
                <w:b/>
                <w:szCs w:val="24"/>
              </w:rPr>
              <w:t>Action</w:t>
            </w:r>
          </w:p>
        </w:tc>
      </w:tr>
      <w:tr w:rsidR="00373057" w:rsidRPr="00C44DC3" w:rsidTr="00C44DC3">
        <w:trPr>
          <w:trHeight w:val="564"/>
        </w:trPr>
        <w:tc>
          <w:tcPr>
            <w:tcW w:w="1271" w:type="dxa"/>
            <w:vMerge w:val="restart"/>
          </w:tcPr>
          <w:p w:rsidR="00373057" w:rsidRPr="00C44DC3" w:rsidRDefault="00373057" w:rsidP="00E25478">
            <w:pPr>
              <w:pStyle w:val="BodyText2"/>
              <w:keepNext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1.</w:t>
            </w:r>
            <w:r w:rsidRPr="00C44DC3">
              <w:rPr>
                <w:sz w:val="18"/>
                <w:szCs w:val="18"/>
              </w:rPr>
              <w:t xml:space="preserve"> </w:t>
            </w:r>
            <w:r w:rsidRPr="00C44DC3">
              <w:rPr>
                <w:rFonts w:ascii="Calibri" w:hAnsi="Calibri" w:cs="Calibri"/>
                <w:sz w:val="18"/>
                <w:szCs w:val="18"/>
              </w:rPr>
              <w:t>Health and Community Care</w:t>
            </w:r>
          </w:p>
        </w:tc>
        <w:tc>
          <w:tcPr>
            <w:tcW w:w="1012" w:type="dxa"/>
          </w:tcPr>
          <w:p w:rsidR="00373057" w:rsidRPr="00C44DC3" w:rsidRDefault="00373057" w:rsidP="00E25478">
            <w:pPr>
              <w:pStyle w:val="BodyText2"/>
              <w:keepNext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1.1 Acute Services</w:t>
            </w:r>
          </w:p>
          <w:p w:rsidR="00373057" w:rsidRPr="00C44DC3" w:rsidRDefault="00373057" w:rsidP="00E25478">
            <w:pPr>
              <w:pStyle w:val="BodyText2"/>
              <w:keepNext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58" w:type="dxa"/>
          </w:tcPr>
          <w:p w:rsidR="00373057" w:rsidRPr="00C44DC3" w:rsidRDefault="00373057" w:rsidP="00E25478">
            <w:pPr>
              <w:pStyle w:val="BodyText2"/>
              <w:keepNext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f. Calvary services (out of scope)</w:t>
            </w:r>
          </w:p>
        </w:tc>
        <w:tc>
          <w:tcPr>
            <w:tcW w:w="1843" w:type="dxa"/>
            <w:vMerge w:val="restart"/>
          </w:tcPr>
          <w:p w:rsidR="00373057" w:rsidRPr="00C44DC3" w:rsidRDefault="000C73D7" w:rsidP="00E25478">
            <w:pPr>
              <w:pStyle w:val="BodyText2"/>
              <w:keepNext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Transfer</w:t>
            </w:r>
            <w:r w:rsidR="00373057" w:rsidRPr="00C44DC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44DC3">
              <w:rPr>
                <w:rFonts w:ascii="Calibri" w:hAnsi="Calibri" w:cs="Calibri"/>
                <w:sz w:val="18"/>
                <w:szCs w:val="18"/>
              </w:rPr>
              <w:t xml:space="preserve">Accountability Indicators 1.1.f and 1.3.a through to 1.3.f (and associated targets) </w:t>
            </w:r>
            <w:r w:rsidR="00373057" w:rsidRPr="00C44DC3">
              <w:rPr>
                <w:rFonts w:ascii="Calibri" w:hAnsi="Calibri" w:cs="Calibri"/>
                <w:sz w:val="18"/>
                <w:szCs w:val="18"/>
              </w:rPr>
              <w:t>from the Canberra Health Services to the ACT Health Directorate</w:t>
            </w:r>
          </w:p>
        </w:tc>
      </w:tr>
      <w:tr w:rsidR="00373057" w:rsidRPr="00C44DC3" w:rsidTr="00C44DC3">
        <w:trPr>
          <w:trHeight w:val="399"/>
        </w:trPr>
        <w:tc>
          <w:tcPr>
            <w:tcW w:w="1271" w:type="dxa"/>
            <w:vMerge/>
          </w:tcPr>
          <w:p w:rsidR="00373057" w:rsidRPr="00C44DC3" w:rsidRDefault="00373057" w:rsidP="007B1276">
            <w:pPr>
              <w:pStyle w:val="BodyText2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</w:tcPr>
          <w:p w:rsidR="00373057" w:rsidRPr="00C44DC3" w:rsidRDefault="00373057" w:rsidP="007B1276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1.3 Population Health</w:t>
            </w:r>
          </w:p>
        </w:tc>
        <w:tc>
          <w:tcPr>
            <w:tcW w:w="4658" w:type="dxa"/>
          </w:tcPr>
          <w:p w:rsidR="00373057" w:rsidRPr="00C44DC3" w:rsidRDefault="00373057" w:rsidP="007B1276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a. Samples analysed</w:t>
            </w:r>
          </w:p>
        </w:tc>
        <w:tc>
          <w:tcPr>
            <w:tcW w:w="1843" w:type="dxa"/>
            <w:vMerge/>
          </w:tcPr>
          <w:p w:rsidR="00373057" w:rsidRPr="00C44DC3" w:rsidRDefault="00373057" w:rsidP="007B1276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73057" w:rsidRPr="00C44DC3" w:rsidTr="00C44DC3">
        <w:trPr>
          <w:trHeight w:val="460"/>
        </w:trPr>
        <w:tc>
          <w:tcPr>
            <w:tcW w:w="1271" w:type="dxa"/>
            <w:vMerge/>
          </w:tcPr>
          <w:p w:rsidR="00373057" w:rsidRPr="00C44DC3" w:rsidRDefault="00373057" w:rsidP="007A0570">
            <w:pPr>
              <w:pStyle w:val="BodyText2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2" w:type="dxa"/>
            <w:vMerge/>
          </w:tcPr>
          <w:p w:rsidR="00373057" w:rsidRPr="00C44DC3" w:rsidRDefault="00373057" w:rsidP="007B1276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58" w:type="dxa"/>
          </w:tcPr>
          <w:p w:rsidR="00373057" w:rsidRPr="00C44DC3" w:rsidRDefault="00373057" w:rsidP="007B1276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b. Total number of inspections and proactive site visits of food business</w:t>
            </w:r>
          </w:p>
        </w:tc>
        <w:tc>
          <w:tcPr>
            <w:tcW w:w="1843" w:type="dxa"/>
            <w:vMerge/>
          </w:tcPr>
          <w:p w:rsidR="00373057" w:rsidRPr="00C44DC3" w:rsidRDefault="00373057" w:rsidP="007B1276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73057" w:rsidRPr="00C44DC3" w:rsidTr="00C44DC3">
        <w:trPr>
          <w:trHeight w:val="247"/>
        </w:trPr>
        <w:tc>
          <w:tcPr>
            <w:tcW w:w="1271" w:type="dxa"/>
            <w:vMerge/>
          </w:tcPr>
          <w:p w:rsidR="00373057" w:rsidRPr="00C44DC3" w:rsidRDefault="00373057" w:rsidP="007B1276">
            <w:pPr>
              <w:pStyle w:val="BodyText2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2" w:type="dxa"/>
            <w:vMerge/>
          </w:tcPr>
          <w:p w:rsidR="00373057" w:rsidRPr="00C44DC3" w:rsidRDefault="00373057" w:rsidP="007B1276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58" w:type="dxa"/>
          </w:tcPr>
          <w:p w:rsidR="00373057" w:rsidRPr="00C44DC3" w:rsidRDefault="00373057" w:rsidP="007B1276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 xml:space="preserve">c. Number of teachers who complete </w:t>
            </w:r>
            <w:proofErr w:type="spellStart"/>
            <w:r w:rsidRPr="00C44DC3">
              <w:rPr>
                <w:rFonts w:ascii="Calibri" w:hAnsi="Calibri" w:cs="Calibri"/>
                <w:sz w:val="18"/>
                <w:szCs w:val="18"/>
              </w:rPr>
              <w:t>Food&amp;Me</w:t>
            </w:r>
            <w:proofErr w:type="spellEnd"/>
            <w:r w:rsidRPr="00C44DC3">
              <w:rPr>
                <w:rFonts w:ascii="Calibri" w:hAnsi="Calibri" w:cs="Calibri"/>
                <w:sz w:val="18"/>
                <w:szCs w:val="18"/>
              </w:rPr>
              <w:t xml:space="preserve"> training</w:t>
            </w:r>
          </w:p>
        </w:tc>
        <w:tc>
          <w:tcPr>
            <w:tcW w:w="1843" w:type="dxa"/>
            <w:vMerge/>
          </w:tcPr>
          <w:p w:rsidR="00373057" w:rsidRPr="00C44DC3" w:rsidRDefault="00373057" w:rsidP="007B1276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73057" w:rsidRPr="00C44DC3" w:rsidTr="00C44DC3">
        <w:trPr>
          <w:trHeight w:val="407"/>
        </w:trPr>
        <w:tc>
          <w:tcPr>
            <w:tcW w:w="1271" w:type="dxa"/>
            <w:vMerge/>
          </w:tcPr>
          <w:p w:rsidR="00373057" w:rsidRPr="00C44DC3" w:rsidRDefault="00373057" w:rsidP="007B1276">
            <w:pPr>
              <w:pStyle w:val="BodyText2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2" w:type="dxa"/>
            <w:vMerge/>
          </w:tcPr>
          <w:p w:rsidR="00373057" w:rsidRPr="00C44DC3" w:rsidRDefault="00373057" w:rsidP="007B1276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58" w:type="dxa"/>
          </w:tcPr>
          <w:p w:rsidR="00373057" w:rsidRPr="00C44DC3" w:rsidRDefault="00373057" w:rsidP="007B1276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d. Number of It’s Your Move schools recruited to the Program</w:t>
            </w:r>
          </w:p>
        </w:tc>
        <w:tc>
          <w:tcPr>
            <w:tcW w:w="1843" w:type="dxa"/>
            <w:vMerge/>
          </w:tcPr>
          <w:p w:rsidR="00373057" w:rsidRPr="00C44DC3" w:rsidRDefault="00373057" w:rsidP="007B1276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73057" w:rsidRPr="00C44DC3" w:rsidTr="00C44DC3">
        <w:trPr>
          <w:trHeight w:val="672"/>
        </w:trPr>
        <w:tc>
          <w:tcPr>
            <w:tcW w:w="1271" w:type="dxa"/>
            <w:vMerge/>
          </w:tcPr>
          <w:p w:rsidR="00373057" w:rsidRPr="00C44DC3" w:rsidRDefault="00373057" w:rsidP="007B1276">
            <w:pPr>
              <w:pStyle w:val="BodyText2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2" w:type="dxa"/>
            <w:vMerge/>
          </w:tcPr>
          <w:p w:rsidR="00373057" w:rsidRPr="00C44DC3" w:rsidRDefault="00373057" w:rsidP="007B1276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58" w:type="dxa"/>
          </w:tcPr>
          <w:p w:rsidR="00373057" w:rsidRPr="00C44DC3" w:rsidRDefault="00373057" w:rsidP="007B1276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44DC3">
              <w:rPr>
                <w:rFonts w:ascii="Calibri" w:hAnsi="Calibri" w:cs="Calibri"/>
                <w:sz w:val="18"/>
                <w:szCs w:val="18"/>
              </w:rPr>
              <w:t>e. Immunisation coverage for the primary immunisation schedule measured at 1 year of age, in accordance with the Australian Childhood Immunisation Register</w:t>
            </w:r>
          </w:p>
        </w:tc>
        <w:tc>
          <w:tcPr>
            <w:tcW w:w="1843" w:type="dxa"/>
            <w:vMerge/>
          </w:tcPr>
          <w:p w:rsidR="00373057" w:rsidRPr="00C44DC3" w:rsidRDefault="00373057" w:rsidP="007B1276">
            <w:pPr>
              <w:pStyle w:val="BodyText2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5101" w:rsidRDefault="00CB5101" w:rsidP="000B708A">
      <w:pPr>
        <w:rPr>
          <w:rFonts w:asciiTheme="minorHAnsi" w:hAnsiTheme="minorHAnsi"/>
          <w:b/>
          <w:sz w:val="24"/>
          <w:szCs w:val="24"/>
        </w:rPr>
      </w:pPr>
    </w:p>
    <w:p w:rsidR="00CB5101" w:rsidRDefault="00CB5101" w:rsidP="000B708A">
      <w:pPr>
        <w:rPr>
          <w:rFonts w:asciiTheme="minorHAnsi" w:hAnsiTheme="minorHAnsi"/>
          <w:b/>
          <w:sz w:val="24"/>
          <w:szCs w:val="24"/>
        </w:rPr>
      </w:pPr>
    </w:p>
    <w:p w:rsidR="000B708A" w:rsidRPr="00C9318B" w:rsidRDefault="000B708A" w:rsidP="000B708A">
      <w:pPr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C9318B">
        <w:rPr>
          <w:rFonts w:asciiTheme="minorHAnsi" w:hAnsiTheme="minorHAnsi"/>
          <w:b/>
          <w:sz w:val="24"/>
          <w:szCs w:val="24"/>
        </w:rPr>
        <w:t>Statement of Reasons:</w:t>
      </w:r>
    </w:p>
    <w:p w:rsidR="00225FA5" w:rsidRPr="009871EF" w:rsidRDefault="00225FA5" w:rsidP="00225FA5">
      <w:pPr>
        <w:pStyle w:val="BodyText2"/>
        <w:ind w:left="0"/>
        <w:rPr>
          <w:rFonts w:ascii="Calibri" w:hAnsi="Calibri" w:cs="Calibri"/>
        </w:rPr>
      </w:pPr>
      <w:r w:rsidRPr="009871EF">
        <w:rPr>
          <w:rFonts w:ascii="Calibri" w:hAnsi="Calibri" w:cs="Calibri"/>
        </w:rPr>
        <w:t xml:space="preserve">This Instrument </w:t>
      </w:r>
      <w:r w:rsidR="00373057">
        <w:rPr>
          <w:rFonts w:ascii="Calibri" w:hAnsi="Calibri" w:cs="Calibri"/>
        </w:rPr>
        <w:t xml:space="preserve">is </w:t>
      </w:r>
      <w:r w:rsidR="003F3647">
        <w:rPr>
          <w:rFonts w:ascii="Calibri" w:hAnsi="Calibri" w:cs="Calibri"/>
        </w:rPr>
        <w:t xml:space="preserve">required to enable the </w:t>
      </w:r>
      <w:r w:rsidR="003F3647" w:rsidRPr="003F3647">
        <w:rPr>
          <w:rFonts w:ascii="Calibri" w:hAnsi="Calibri" w:cs="Calibri"/>
        </w:rPr>
        <w:t>Administrative Arrangements (AA</w:t>
      </w:r>
      <w:r w:rsidR="003F3647">
        <w:rPr>
          <w:rFonts w:ascii="Calibri" w:hAnsi="Calibri" w:cs="Calibri"/>
        </w:rPr>
        <w:t xml:space="preserve">) to </w:t>
      </w:r>
      <w:r w:rsidR="003F3647">
        <w:rPr>
          <w:rStyle w:val="Calibri12"/>
        </w:rPr>
        <w:t xml:space="preserve">take effect 1 October 2018 to </w:t>
      </w:r>
      <w:r w:rsidR="003F3647" w:rsidRPr="003F3647">
        <w:rPr>
          <w:rFonts w:ascii="Calibri" w:hAnsi="Calibri" w:cs="Calibri"/>
        </w:rPr>
        <w:t>transfer</w:t>
      </w:r>
      <w:r w:rsidR="003F3647">
        <w:rPr>
          <w:rFonts w:ascii="Calibri" w:hAnsi="Calibri" w:cs="Calibri"/>
        </w:rPr>
        <w:t xml:space="preserve"> </w:t>
      </w:r>
      <w:r w:rsidR="003F3647" w:rsidRPr="003F3647">
        <w:rPr>
          <w:rFonts w:ascii="Calibri" w:hAnsi="Calibri" w:cs="Calibri"/>
        </w:rPr>
        <w:t xml:space="preserve">health ministry functions </w:t>
      </w:r>
      <w:r w:rsidR="00C44DC3">
        <w:rPr>
          <w:rFonts w:ascii="Calibri" w:hAnsi="Calibri" w:cs="Calibri"/>
        </w:rPr>
        <w:t>and associated Strategic Objectives and Accountability I</w:t>
      </w:r>
      <w:r w:rsidR="003F3647">
        <w:rPr>
          <w:rFonts w:ascii="Calibri" w:hAnsi="Calibri" w:cs="Calibri"/>
        </w:rPr>
        <w:t xml:space="preserve">ndicators </w:t>
      </w:r>
      <w:r w:rsidR="003F3647" w:rsidRPr="003F3647">
        <w:rPr>
          <w:rFonts w:ascii="Calibri" w:hAnsi="Calibri" w:cs="Calibri"/>
        </w:rPr>
        <w:t xml:space="preserve">from Canberra Health Services to the ACT Health </w:t>
      </w:r>
      <w:r w:rsidR="003F3647">
        <w:rPr>
          <w:rFonts w:ascii="Calibri" w:hAnsi="Calibri" w:cs="Calibri"/>
        </w:rPr>
        <w:t xml:space="preserve">Directorate. </w:t>
      </w:r>
    </w:p>
    <w:p w:rsidR="006B2805" w:rsidRDefault="006B2805">
      <w:pPr>
        <w:pStyle w:val="BodyText2"/>
        <w:ind w:left="0"/>
        <w:rPr>
          <w:rFonts w:ascii="Calibri" w:hAnsi="Calibri" w:cs="Calibri"/>
        </w:rPr>
      </w:pPr>
    </w:p>
    <w:p w:rsidR="00E40647" w:rsidRPr="003D0F5D" w:rsidRDefault="00E40647" w:rsidP="00E40647">
      <w:pPr>
        <w:pStyle w:val="BodyText2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amendment is to commence from </w:t>
      </w:r>
      <w:r w:rsidR="00952A5B">
        <w:rPr>
          <w:rFonts w:ascii="Calibri" w:hAnsi="Calibri" w:cs="Calibri"/>
        </w:rPr>
        <w:t>1 October 2018</w:t>
      </w:r>
      <w:r w:rsidR="00B30AD5">
        <w:rPr>
          <w:rFonts w:ascii="Calibri" w:hAnsi="Calibri" w:cs="Calibri"/>
        </w:rPr>
        <w:t>.</w:t>
      </w:r>
    </w:p>
    <w:p w:rsidR="00225FA5" w:rsidRDefault="00225FA5">
      <w:pPr>
        <w:pStyle w:val="BodyText2"/>
        <w:ind w:left="0"/>
        <w:rPr>
          <w:rFonts w:ascii="Calibri" w:hAnsi="Calibri" w:cs="Calibri"/>
        </w:rPr>
      </w:pPr>
    </w:p>
    <w:p w:rsidR="00225FA5" w:rsidRDefault="00225FA5">
      <w:pPr>
        <w:pStyle w:val="BodyText2"/>
        <w:ind w:left="0"/>
        <w:rPr>
          <w:rFonts w:ascii="Calibri" w:hAnsi="Calibri" w:cs="Calibri"/>
        </w:rPr>
      </w:pPr>
    </w:p>
    <w:p w:rsidR="00E40647" w:rsidRDefault="00E40647">
      <w:pPr>
        <w:pStyle w:val="BodyText2"/>
        <w:ind w:left="0"/>
        <w:rPr>
          <w:rFonts w:ascii="Calibri" w:hAnsi="Calibri" w:cs="Calibri"/>
        </w:rPr>
      </w:pPr>
    </w:p>
    <w:p w:rsidR="00C44DC3" w:rsidRDefault="00C44DC3">
      <w:pPr>
        <w:pStyle w:val="BodyText2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C44DC3" w:rsidRDefault="00C44DC3">
      <w:pPr>
        <w:pStyle w:val="BodyText2"/>
        <w:ind w:left="0"/>
        <w:rPr>
          <w:rFonts w:ascii="Calibri" w:hAnsi="Calibri" w:cs="Calibri"/>
        </w:rPr>
      </w:pPr>
    </w:p>
    <w:p w:rsidR="00C44DC3" w:rsidRPr="003D0F5D" w:rsidRDefault="00C44DC3">
      <w:pPr>
        <w:pStyle w:val="BodyText2"/>
        <w:ind w:left="0"/>
        <w:rPr>
          <w:rFonts w:ascii="Calibri" w:hAnsi="Calibri" w:cs="Calibri"/>
        </w:rPr>
      </w:pPr>
    </w:p>
    <w:p w:rsidR="00FD2359" w:rsidRDefault="00C44DC3">
      <w:pPr>
        <w:pStyle w:val="BodyText2"/>
        <w:ind w:left="0"/>
        <w:rPr>
          <w:rFonts w:ascii="Calibri" w:hAnsi="Calibri" w:cs="Calibri"/>
        </w:rPr>
      </w:pPr>
      <w:proofErr w:type="spellStart"/>
      <w:r w:rsidRPr="00C44DC3">
        <w:rPr>
          <w:rFonts w:ascii="Calibri" w:hAnsi="Calibri" w:cs="Calibri"/>
        </w:rPr>
        <w:t>Meegan</w:t>
      </w:r>
      <w:proofErr w:type="spellEnd"/>
      <w:r w:rsidRPr="00C44DC3">
        <w:rPr>
          <w:rFonts w:ascii="Calibri" w:hAnsi="Calibri" w:cs="Calibri"/>
        </w:rPr>
        <w:t xml:space="preserve"> </w:t>
      </w:r>
      <w:proofErr w:type="spellStart"/>
      <w:r w:rsidRPr="00C44DC3">
        <w:rPr>
          <w:rFonts w:ascii="Calibri" w:hAnsi="Calibri" w:cs="Calibri"/>
        </w:rPr>
        <w:t>Fitzharris</w:t>
      </w:r>
      <w:proofErr w:type="spellEnd"/>
      <w:r w:rsidR="006B2805" w:rsidRPr="00C44DC3">
        <w:rPr>
          <w:rFonts w:ascii="Calibri" w:hAnsi="Calibri" w:cs="Calibri"/>
        </w:rPr>
        <w:t xml:space="preserve"> </w:t>
      </w:r>
      <w:r w:rsidR="0031403E" w:rsidRPr="00C44DC3">
        <w:rPr>
          <w:rFonts w:ascii="Calibri" w:hAnsi="Calibri" w:cs="Calibri"/>
        </w:rPr>
        <w:t>MLA</w:t>
      </w:r>
      <w:r w:rsidR="0031403E" w:rsidRPr="00C44DC3">
        <w:rPr>
          <w:rFonts w:ascii="Calibri" w:hAnsi="Calibri" w:cs="Calibri"/>
        </w:rPr>
        <w:tab/>
      </w:r>
      <w:r w:rsidR="0031403E" w:rsidRPr="00C44DC3">
        <w:rPr>
          <w:rFonts w:ascii="Calibri" w:hAnsi="Calibri" w:cs="Calibri"/>
        </w:rPr>
        <w:tab/>
      </w:r>
      <w:r w:rsidR="0031403E" w:rsidRPr="00C44DC3">
        <w:rPr>
          <w:rFonts w:ascii="Calibri" w:hAnsi="Calibri" w:cs="Calibri"/>
        </w:rPr>
        <w:tab/>
      </w:r>
      <w:r w:rsidR="0031403E" w:rsidRPr="00C44DC3">
        <w:rPr>
          <w:rFonts w:ascii="Calibri" w:hAnsi="Calibri" w:cs="Calibri"/>
        </w:rPr>
        <w:tab/>
      </w:r>
      <w:r w:rsidR="0031403E" w:rsidRPr="00C44DC3">
        <w:rPr>
          <w:rFonts w:ascii="Calibri" w:hAnsi="Calibri" w:cs="Calibri"/>
        </w:rPr>
        <w:tab/>
      </w:r>
      <w:r w:rsidRPr="00C44DC3">
        <w:rPr>
          <w:rFonts w:ascii="Calibri" w:hAnsi="Calibri" w:cs="Calibri"/>
        </w:rPr>
        <w:t>Andrew Barr</w:t>
      </w:r>
      <w:r w:rsidR="0031403E" w:rsidRPr="00C44DC3">
        <w:rPr>
          <w:rFonts w:ascii="Calibri" w:hAnsi="Calibri" w:cs="Calibri"/>
        </w:rPr>
        <w:t xml:space="preserve"> MLA</w:t>
      </w:r>
    </w:p>
    <w:p w:rsidR="006B2805" w:rsidRDefault="006B2805">
      <w:pPr>
        <w:pStyle w:val="BodyText2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Minister for </w:t>
      </w:r>
      <w:r w:rsidR="00C44DC3">
        <w:rPr>
          <w:rFonts w:ascii="Calibri" w:hAnsi="Calibri" w:cs="Calibri"/>
        </w:rPr>
        <w:t>Health and Wellbeing</w:t>
      </w:r>
      <w:r w:rsidR="00C44DC3">
        <w:rPr>
          <w:rFonts w:ascii="Calibri" w:hAnsi="Calibri" w:cs="Calibri"/>
        </w:rPr>
        <w:tab/>
      </w:r>
      <w:r w:rsidR="00C44DC3">
        <w:rPr>
          <w:rFonts w:ascii="Calibri" w:hAnsi="Calibri" w:cs="Calibri"/>
        </w:rPr>
        <w:tab/>
      </w:r>
      <w:r w:rsidR="00C44DC3">
        <w:rPr>
          <w:rFonts w:ascii="Calibri" w:hAnsi="Calibri" w:cs="Calibri"/>
        </w:rPr>
        <w:tab/>
      </w:r>
      <w:r w:rsidR="00C44DC3">
        <w:rPr>
          <w:rFonts w:ascii="Calibri" w:hAnsi="Calibri" w:cs="Calibri"/>
        </w:rPr>
        <w:tab/>
      </w:r>
      <w:r w:rsidR="0031403E">
        <w:rPr>
          <w:rFonts w:ascii="Calibri" w:hAnsi="Calibri" w:cs="Calibri"/>
        </w:rPr>
        <w:t>Treasurer</w:t>
      </w:r>
    </w:p>
    <w:p w:rsidR="0031403E" w:rsidRDefault="0031403E">
      <w:pPr>
        <w:pStyle w:val="BodyText2"/>
        <w:ind w:left="0"/>
        <w:rPr>
          <w:rFonts w:ascii="Calibri" w:hAnsi="Calibri" w:cs="Calibri"/>
        </w:rPr>
      </w:pPr>
    </w:p>
    <w:p w:rsidR="006B2805" w:rsidRPr="004714C7" w:rsidRDefault="00FB6D09">
      <w:pPr>
        <w:pStyle w:val="BodyText2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28 </w:t>
      </w:r>
      <w:r w:rsidR="00C44DC3">
        <w:rPr>
          <w:rFonts w:ascii="Calibri" w:hAnsi="Calibri" w:cs="Calibri"/>
        </w:rPr>
        <w:t>September 2018</w:t>
      </w:r>
      <w:r w:rsidR="00C44DC3">
        <w:rPr>
          <w:rFonts w:ascii="Calibri" w:hAnsi="Calibri" w:cs="Calibri"/>
        </w:rPr>
        <w:tab/>
      </w:r>
      <w:r w:rsidR="00C44DC3">
        <w:rPr>
          <w:rFonts w:ascii="Calibri" w:hAnsi="Calibri" w:cs="Calibri"/>
        </w:rPr>
        <w:tab/>
      </w:r>
      <w:r w:rsidR="00C44DC3">
        <w:rPr>
          <w:rFonts w:ascii="Calibri" w:hAnsi="Calibri" w:cs="Calibri"/>
        </w:rPr>
        <w:tab/>
      </w:r>
      <w:r w:rsidR="00C44DC3">
        <w:rPr>
          <w:rFonts w:ascii="Calibri" w:hAnsi="Calibri" w:cs="Calibri"/>
        </w:rPr>
        <w:tab/>
        <w:t xml:space="preserve">                           </w:t>
      </w:r>
      <w:r>
        <w:rPr>
          <w:rFonts w:ascii="Calibri" w:hAnsi="Calibri" w:cs="Calibri"/>
        </w:rPr>
        <w:t xml:space="preserve">28 </w:t>
      </w:r>
      <w:r w:rsidR="00C44DC3">
        <w:rPr>
          <w:rFonts w:ascii="Calibri" w:hAnsi="Calibri" w:cs="Calibri"/>
        </w:rPr>
        <w:t>September 2018</w:t>
      </w:r>
    </w:p>
    <w:sectPr w:rsidR="006B2805" w:rsidRPr="004714C7" w:rsidSect="00795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559" w:bottom="1418" w:left="1559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08A" w:rsidRDefault="000B708A">
      <w:r>
        <w:separator/>
      </w:r>
    </w:p>
  </w:endnote>
  <w:endnote w:type="continuationSeparator" w:id="0">
    <w:p w:rsidR="000B708A" w:rsidRDefault="000B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Helvetic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97" w:rsidRDefault="00B80F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97" w:rsidRPr="00B80F97" w:rsidRDefault="00B80F97" w:rsidP="00B80F97">
    <w:pPr>
      <w:pStyle w:val="Footer"/>
      <w:jc w:val="center"/>
      <w:rPr>
        <w:rFonts w:ascii="Arial" w:hAnsi="Arial" w:cs="Arial"/>
        <w:sz w:val="14"/>
      </w:rPr>
    </w:pPr>
    <w:r w:rsidRPr="00B80F9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8A" w:rsidRDefault="007955C2" w:rsidP="007955C2">
    <w:pPr>
      <w:pStyle w:val="Footer"/>
      <w:rPr>
        <w:rFonts w:ascii="Arial" w:hAnsi="Arial" w:cs="Arial"/>
        <w:sz w:val="18"/>
      </w:rPr>
    </w:pPr>
    <w:r w:rsidRPr="007955C2">
      <w:rPr>
        <w:rFonts w:ascii="Arial" w:hAnsi="Arial" w:cs="Arial"/>
        <w:sz w:val="18"/>
      </w:rPr>
      <w:t>*Name amended under Legislation Act, s 60</w:t>
    </w:r>
  </w:p>
  <w:p w:rsidR="007955C2" w:rsidRPr="00B80F97" w:rsidRDefault="00B80F97" w:rsidP="00B80F97">
    <w:pPr>
      <w:pStyle w:val="Footer"/>
      <w:spacing w:before="60"/>
      <w:jc w:val="center"/>
      <w:rPr>
        <w:rFonts w:ascii="Arial" w:hAnsi="Arial" w:cs="Arial"/>
        <w:sz w:val="14"/>
      </w:rPr>
    </w:pPr>
    <w:r w:rsidRPr="00B80F97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08A" w:rsidRDefault="000B708A">
      <w:r>
        <w:separator/>
      </w:r>
    </w:p>
  </w:footnote>
  <w:footnote w:type="continuationSeparator" w:id="0">
    <w:p w:rsidR="000B708A" w:rsidRDefault="000B7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97" w:rsidRDefault="00B80F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97" w:rsidRDefault="00B80F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97" w:rsidRDefault="00B80F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45"/>
    <w:rsid w:val="0000073D"/>
    <w:rsid w:val="000B708A"/>
    <w:rsid w:val="000C73D7"/>
    <w:rsid w:val="000D3B95"/>
    <w:rsid w:val="000F2E42"/>
    <w:rsid w:val="001744F3"/>
    <w:rsid w:val="001F4049"/>
    <w:rsid w:val="00216427"/>
    <w:rsid w:val="002209AB"/>
    <w:rsid w:val="0022146E"/>
    <w:rsid w:val="00225FA5"/>
    <w:rsid w:val="00287A6F"/>
    <w:rsid w:val="00297F6B"/>
    <w:rsid w:val="002B2762"/>
    <w:rsid w:val="003011B9"/>
    <w:rsid w:val="003103F9"/>
    <w:rsid w:val="0031403E"/>
    <w:rsid w:val="003242AC"/>
    <w:rsid w:val="00355285"/>
    <w:rsid w:val="003603E4"/>
    <w:rsid w:val="003622A0"/>
    <w:rsid w:val="00362566"/>
    <w:rsid w:val="00373057"/>
    <w:rsid w:val="00376863"/>
    <w:rsid w:val="003B3B27"/>
    <w:rsid w:val="003B7B4E"/>
    <w:rsid w:val="003D0F5D"/>
    <w:rsid w:val="003D7D80"/>
    <w:rsid w:val="003F3647"/>
    <w:rsid w:val="004444BD"/>
    <w:rsid w:val="004714C7"/>
    <w:rsid w:val="00487FC9"/>
    <w:rsid w:val="004E3884"/>
    <w:rsid w:val="00546099"/>
    <w:rsid w:val="00574163"/>
    <w:rsid w:val="005B1BBB"/>
    <w:rsid w:val="005D3822"/>
    <w:rsid w:val="006B2805"/>
    <w:rsid w:val="006B79C4"/>
    <w:rsid w:val="006D1B62"/>
    <w:rsid w:val="006E55B4"/>
    <w:rsid w:val="007141C4"/>
    <w:rsid w:val="00763B31"/>
    <w:rsid w:val="007955C2"/>
    <w:rsid w:val="007A0570"/>
    <w:rsid w:val="007A5E48"/>
    <w:rsid w:val="007C6887"/>
    <w:rsid w:val="007D0B42"/>
    <w:rsid w:val="007F709A"/>
    <w:rsid w:val="008660CF"/>
    <w:rsid w:val="00880343"/>
    <w:rsid w:val="0089041E"/>
    <w:rsid w:val="008C651D"/>
    <w:rsid w:val="008D62BD"/>
    <w:rsid w:val="008D6B7C"/>
    <w:rsid w:val="00952A5B"/>
    <w:rsid w:val="009648AF"/>
    <w:rsid w:val="009871EF"/>
    <w:rsid w:val="009D76E7"/>
    <w:rsid w:val="00A33C71"/>
    <w:rsid w:val="00A355FD"/>
    <w:rsid w:val="00A52935"/>
    <w:rsid w:val="00AD31BD"/>
    <w:rsid w:val="00B20EF7"/>
    <w:rsid w:val="00B26652"/>
    <w:rsid w:val="00B30AD5"/>
    <w:rsid w:val="00B6237D"/>
    <w:rsid w:val="00B80F97"/>
    <w:rsid w:val="00BA0945"/>
    <w:rsid w:val="00BA7800"/>
    <w:rsid w:val="00C44DC3"/>
    <w:rsid w:val="00C9244A"/>
    <w:rsid w:val="00C9318B"/>
    <w:rsid w:val="00CB5101"/>
    <w:rsid w:val="00CD5FB4"/>
    <w:rsid w:val="00D41511"/>
    <w:rsid w:val="00D9143F"/>
    <w:rsid w:val="00DA6593"/>
    <w:rsid w:val="00DB42D9"/>
    <w:rsid w:val="00DD1AB5"/>
    <w:rsid w:val="00E25478"/>
    <w:rsid w:val="00E40647"/>
    <w:rsid w:val="00E5524B"/>
    <w:rsid w:val="00E86532"/>
    <w:rsid w:val="00FB64C3"/>
    <w:rsid w:val="00FB6D09"/>
    <w:rsid w:val="00F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docId w15:val="{3E9B70F9-5444-4B95-B53D-B15C2524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F6B"/>
    <w:rPr>
      <w:lang w:eastAsia="en-US"/>
    </w:rPr>
  </w:style>
  <w:style w:type="paragraph" w:styleId="Heading1">
    <w:name w:val="heading 1"/>
    <w:basedOn w:val="Normal"/>
    <w:next w:val="Normal"/>
    <w:qFormat/>
    <w:rsid w:val="00297F6B"/>
    <w:pPr>
      <w:keepNext/>
      <w:pBdr>
        <w:bottom w:val="single" w:sz="6" w:space="1" w:color="auto"/>
      </w:pBdr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7F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7F6B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297F6B"/>
    <w:pPr>
      <w:ind w:left="284"/>
      <w:jc w:val="both"/>
    </w:pPr>
    <w:rPr>
      <w:sz w:val="24"/>
    </w:rPr>
  </w:style>
  <w:style w:type="table" w:styleId="TableGrid">
    <w:name w:val="Table Grid"/>
    <w:basedOn w:val="TableNormal"/>
    <w:rsid w:val="008D6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12">
    <w:name w:val="Calibri 12"/>
    <w:basedOn w:val="DefaultParagraphFont"/>
    <w:uiPriority w:val="1"/>
    <w:qFormat/>
    <w:rsid w:val="003F3647"/>
    <w:rPr>
      <w:rFonts w:ascii="Calibri" w:hAnsi="Calibri"/>
      <w:sz w:val="24"/>
    </w:rPr>
  </w:style>
  <w:style w:type="paragraph" w:styleId="BlockText">
    <w:name w:val="Block Text"/>
    <w:basedOn w:val="Normal"/>
    <w:rsid w:val="00E25478"/>
    <w:pPr>
      <w:spacing w:before="700" w:after="100"/>
      <w:ind w:left="840" w:right="141"/>
    </w:pPr>
    <w:rPr>
      <w:rFonts w:ascii="Arial" w:hAnsi="Arial" w:cs="Arial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8DBF286B-44AF-43D0-AC23-A27341F815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C2B0CA6D.dotm</Template>
  <TotalTime>0</TotalTime>
  <Pages>2</Pages>
  <Words>395</Words>
  <Characters>2422</Characters>
  <Application>Microsoft Office Word</Application>
  <DocSecurity>0</DocSecurity>
  <Lines>484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KFDA Statement of Reasonsr</vt:lpstr>
    </vt:vector>
  </TitlesOfParts>
  <Company>ACT Government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KFDA Statement of Reasonsr</dc:title>
  <dc:creator>Simon Gallacher</dc:creator>
  <cp:keywords>2</cp:keywords>
  <cp:lastModifiedBy>  </cp:lastModifiedBy>
  <cp:revision>5</cp:revision>
  <cp:lastPrinted>2018-09-24T03:04:00Z</cp:lastPrinted>
  <dcterms:created xsi:type="dcterms:W3CDTF">2019-02-04T05:34:00Z</dcterms:created>
  <dcterms:modified xsi:type="dcterms:W3CDTF">2019-02-04T05:43:00Z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aad59fcc-07ad-41c3-a1d2-130fecdae24e</vt:lpwstr>
  </property>
  <property fmtid="{D5CDD505-2E9C-101B-9397-08002B2CF9AE}" pid="3" name="bjSaver">
    <vt:lpwstr>kGVUu/45UEnzWfo0aH/z0Lsce5tRxneF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CHECKEDOUTFROMJMS">
    <vt:lpwstr/>
  </property>
  <property fmtid="{D5CDD505-2E9C-101B-9397-08002B2CF9AE}" pid="10" name="DMSID">
    <vt:lpwstr>1008059</vt:lpwstr>
  </property>
  <property fmtid="{D5CDD505-2E9C-101B-9397-08002B2CF9AE}" pid="11" name="JMSREQUIREDCHECKIN">
    <vt:lpwstr/>
  </property>
</Properties>
</file>