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60FB" w14:textId="77777777" w:rsidR="00CB1D69" w:rsidRDefault="00CB1D69" w:rsidP="00CB1D69">
      <w:pPr>
        <w:pStyle w:val="Header"/>
      </w:pPr>
      <w:bookmarkStart w:id="0" w:name="_GoBack"/>
      <w:bookmarkEnd w:id="0"/>
      <w:r>
        <w:t>Australian Capital Territory</w:t>
      </w:r>
    </w:p>
    <w:p w14:paraId="34D66183" w14:textId="77777777" w:rsidR="00CB1D69" w:rsidRPr="00442935" w:rsidRDefault="00CB1D69" w:rsidP="00CB1D69">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Plan Variation No </w:t>
      </w:r>
      <w:r w:rsidRPr="00DE6EE6">
        <w:rPr>
          <w:rFonts w:ascii="Arial" w:hAnsi="Arial"/>
          <w:szCs w:val="36"/>
        </w:rPr>
        <w:t>3</w:t>
      </w:r>
      <w:r>
        <w:rPr>
          <w:rFonts w:ascii="Arial" w:hAnsi="Arial"/>
          <w:szCs w:val="36"/>
        </w:rPr>
        <w:t xml:space="preserve">73) Approval </w:t>
      </w:r>
      <w:r w:rsidRPr="00442935">
        <w:rPr>
          <w:rFonts w:ascii="Arial" w:hAnsi="Arial"/>
          <w:szCs w:val="36"/>
        </w:rPr>
        <w:t>20</w:t>
      </w:r>
      <w:r w:rsidRPr="00DE6EE6">
        <w:rPr>
          <w:rFonts w:ascii="Arial" w:hAnsi="Arial"/>
          <w:szCs w:val="36"/>
        </w:rPr>
        <w:t>20</w:t>
      </w:r>
    </w:p>
    <w:p w14:paraId="1F67C0C0" w14:textId="77F934EC" w:rsidR="00CB1D69" w:rsidRPr="008555A6" w:rsidRDefault="00CB1D69" w:rsidP="00CB1D69">
      <w:pPr>
        <w:pStyle w:val="Heading5"/>
        <w:spacing w:before="340"/>
        <w:rPr>
          <w:rFonts w:ascii="Arial" w:eastAsia="Times New Roman" w:hAnsi="Arial" w:cs="Arial"/>
          <w:b/>
          <w:color w:val="auto"/>
          <w:szCs w:val="24"/>
        </w:rPr>
      </w:pPr>
      <w:r w:rsidRPr="008555A6">
        <w:rPr>
          <w:rFonts w:ascii="Arial" w:eastAsia="Times New Roman" w:hAnsi="Arial" w:cs="Arial"/>
          <w:b/>
          <w:color w:val="auto"/>
          <w:szCs w:val="24"/>
        </w:rPr>
        <w:t>Notifiable instrument NI2020-</w:t>
      </w:r>
      <w:r w:rsidR="00CC322C">
        <w:rPr>
          <w:rFonts w:ascii="Arial" w:eastAsia="Times New Roman" w:hAnsi="Arial" w:cs="Arial"/>
          <w:b/>
          <w:color w:val="auto"/>
          <w:szCs w:val="24"/>
        </w:rPr>
        <w:t>335</w:t>
      </w:r>
    </w:p>
    <w:p w14:paraId="6A5A3746" w14:textId="77777777" w:rsidR="00CB1D69" w:rsidRPr="004B2EAF" w:rsidRDefault="00CB1D69" w:rsidP="00CB1D69">
      <w:pPr>
        <w:pStyle w:val="madeunder"/>
        <w:spacing w:before="300" w:after="0" w:line="240" w:lineRule="auto"/>
        <w:rPr>
          <w:rFonts w:ascii="Times New Roman" w:hAnsi="Times New Roman" w:cs="Times New Roman"/>
          <w:sz w:val="24"/>
          <w:szCs w:val="20"/>
        </w:rPr>
      </w:pPr>
      <w:bookmarkStart w:id="1" w:name="Citation"/>
      <w:r w:rsidRPr="004B2EAF">
        <w:rPr>
          <w:rFonts w:ascii="Times New Roman" w:hAnsi="Times New Roman" w:cs="Times New Roman"/>
          <w:sz w:val="24"/>
          <w:szCs w:val="20"/>
        </w:rPr>
        <w:t>made under the</w:t>
      </w:r>
    </w:p>
    <w:p w14:paraId="22077B1B" w14:textId="77777777" w:rsidR="00CB1D69" w:rsidRDefault="00CB1D69" w:rsidP="00CB1D69">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140A8C42" w14:textId="77777777" w:rsidR="00CB1D69" w:rsidRDefault="00CB1D69" w:rsidP="00CB1D69">
      <w:pPr>
        <w:pStyle w:val="CoverActName"/>
        <w:spacing w:before="60" w:after="0" w:line="240" w:lineRule="auto"/>
        <w:jc w:val="left"/>
        <w:rPr>
          <w:rFonts w:ascii="Arial" w:eastAsia="Times New Roman" w:hAnsi="Arial"/>
          <w:bCs w:val="0"/>
          <w:sz w:val="20"/>
          <w:szCs w:val="20"/>
        </w:rPr>
      </w:pPr>
    </w:p>
    <w:bookmarkEnd w:id="1"/>
    <w:p w14:paraId="73B38475" w14:textId="77777777" w:rsidR="00CB1D69" w:rsidRPr="00A13376" w:rsidRDefault="00CB1D69" w:rsidP="00CB1D69">
      <w:pPr>
        <w:pStyle w:val="N-line3"/>
        <w:pBdr>
          <w:top w:val="single" w:sz="12" w:space="1" w:color="auto"/>
          <w:bottom w:val="none" w:sz="0" w:space="0" w:color="auto"/>
        </w:pBdr>
        <w:spacing w:after="0" w:line="240" w:lineRule="auto"/>
        <w:jc w:val="left"/>
        <w:rPr>
          <w:rFonts w:ascii="Arial" w:hAnsi="Arial"/>
          <w:sz w:val="24"/>
        </w:rPr>
      </w:pPr>
    </w:p>
    <w:p w14:paraId="48ED7D75" w14:textId="77777777" w:rsidR="00CB1D69" w:rsidRPr="00227454" w:rsidRDefault="00CB1D69" w:rsidP="00CB1D69">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59F2BC35" w14:textId="77777777" w:rsidR="00CB1D69" w:rsidRPr="00785870" w:rsidRDefault="00CB1D69" w:rsidP="00CB1D69">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No </w:t>
      </w:r>
      <w:r w:rsidRPr="00DE6EE6">
        <w:rPr>
          <w:rFonts w:ascii="Times New Roman" w:hAnsi="Times New Roman"/>
          <w:i/>
          <w:lang w:eastAsia="en-AU"/>
        </w:rPr>
        <w:t>3</w:t>
      </w:r>
      <w:r>
        <w:rPr>
          <w:rFonts w:ascii="Times New Roman" w:hAnsi="Times New Roman"/>
          <w:i/>
          <w:lang w:eastAsia="en-AU"/>
        </w:rPr>
        <w:t>73</w:t>
      </w:r>
      <w:r w:rsidRPr="00785870">
        <w:rPr>
          <w:rFonts w:ascii="Times New Roman" w:hAnsi="Times New Roman"/>
          <w:i/>
          <w:lang w:eastAsia="en-AU"/>
        </w:rPr>
        <w:t>) Approval 20</w:t>
      </w:r>
      <w:r w:rsidRPr="00DE6EE6">
        <w:rPr>
          <w:rFonts w:ascii="Times New Roman" w:hAnsi="Times New Roman"/>
          <w:i/>
          <w:lang w:eastAsia="en-AU"/>
        </w:rPr>
        <w:t>20</w:t>
      </w:r>
      <w:r w:rsidRPr="00785870">
        <w:rPr>
          <w:rFonts w:ascii="Times New Roman" w:hAnsi="Times New Roman"/>
          <w:lang w:eastAsia="en-AU"/>
        </w:rPr>
        <w:t>.</w:t>
      </w:r>
    </w:p>
    <w:p w14:paraId="502B1AC4" w14:textId="77777777" w:rsidR="00CB1D69" w:rsidRPr="00227454" w:rsidRDefault="00CB1D69" w:rsidP="00CB1D69">
      <w:pPr>
        <w:autoSpaceDE w:val="0"/>
        <w:autoSpaceDN w:val="0"/>
        <w:adjustRightInd w:val="0"/>
        <w:spacing w:before="300"/>
        <w:rPr>
          <w:rFonts w:cs="Arial"/>
          <w:b/>
          <w:lang w:eastAsia="en-AU"/>
        </w:rPr>
      </w:pPr>
      <w:r w:rsidRPr="00227454">
        <w:rPr>
          <w:rFonts w:cs="Arial"/>
          <w:b/>
          <w:lang w:eastAsia="en-AU"/>
        </w:rPr>
        <w:t>2</w:t>
      </w:r>
      <w:r>
        <w:rPr>
          <w:rFonts w:cs="Arial"/>
          <w:b/>
          <w:lang w:eastAsia="en-AU"/>
        </w:rPr>
        <w:tab/>
      </w:r>
      <w:r w:rsidRPr="00227454">
        <w:rPr>
          <w:rFonts w:cs="Arial"/>
          <w:b/>
          <w:lang w:eastAsia="en-AU"/>
        </w:rPr>
        <w:t>Approval of draft plan variation</w:t>
      </w:r>
    </w:p>
    <w:p w14:paraId="20AE9F0E" w14:textId="77777777" w:rsidR="00CB1D69" w:rsidRPr="00564A4F" w:rsidRDefault="00CB1D69" w:rsidP="00CB1D69">
      <w:pPr>
        <w:tabs>
          <w:tab w:val="left" w:pos="-720"/>
        </w:tabs>
        <w:spacing w:before="140"/>
        <w:ind w:left="709"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I approve under section 76</w:t>
      </w:r>
      <w:r>
        <w:rPr>
          <w:rFonts w:ascii="Times New Roman" w:hAnsi="Times New Roman"/>
          <w:lang w:eastAsia="en-AU"/>
        </w:rPr>
        <w:t xml:space="preserve"> </w:t>
      </w:r>
      <w:r w:rsidRPr="00564A4F">
        <w:rPr>
          <w:rFonts w:ascii="Times New Roman" w:hAnsi="Times New Roman"/>
          <w:lang w:eastAsia="en-AU"/>
        </w:rPr>
        <w:t>(2)</w:t>
      </w:r>
      <w:r>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draft plan variation No </w:t>
      </w:r>
      <w:r w:rsidRPr="00DE6EE6">
        <w:rPr>
          <w:rFonts w:ascii="Times New Roman" w:hAnsi="Times New Roman"/>
          <w:lang w:eastAsia="en-AU"/>
        </w:rPr>
        <w:t>3</w:t>
      </w:r>
      <w:r>
        <w:rPr>
          <w:rFonts w:ascii="Times New Roman" w:hAnsi="Times New Roman"/>
          <w:lang w:eastAsia="en-AU"/>
        </w:rPr>
        <w:t>73</w:t>
      </w:r>
      <w:r w:rsidRPr="00564A4F">
        <w:rPr>
          <w:rFonts w:ascii="Times New Roman" w:hAnsi="Times New Roman"/>
          <w:lang w:eastAsia="en-AU"/>
        </w:rPr>
        <w:t xml:space="preserve"> to the Territory Plan.</w:t>
      </w:r>
    </w:p>
    <w:p w14:paraId="6618AB5C" w14:textId="77777777" w:rsidR="00CB1D69" w:rsidRPr="00564A4F" w:rsidRDefault="00CB1D69" w:rsidP="00CB1D69">
      <w:pPr>
        <w:tabs>
          <w:tab w:val="left" w:pos="-720"/>
        </w:tabs>
        <w:spacing w:before="140"/>
        <w:ind w:left="709"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5B72C901" w14:textId="0C75C62E" w:rsidR="00CB1D69" w:rsidRPr="00564A4F" w:rsidRDefault="005651B0" w:rsidP="00CB1D69">
      <w:pPr>
        <w:tabs>
          <w:tab w:val="left" w:pos="-720"/>
        </w:tabs>
        <w:spacing w:before="140"/>
        <w:ind w:left="709"/>
        <w:rPr>
          <w:rFonts w:ascii="Times New Roman" w:hAnsi="Times New Roman"/>
          <w:i/>
          <w:lang w:eastAsia="en-AU"/>
        </w:rPr>
      </w:pPr>
      <w:r>
        <w:rPr>
          <w:rFonts w:ascii="Times New Roman" w:hAnsi="Times New Roman"/>
          <w:b/>
          <w:i/>
          <w:lang w:eastAsia="en-AU"/>
        </w:rPr>
        <w:t>d</w:t>
      </w:r>
      <w:r w:rsidR="00CB1D69" w:rsidRPr="00564A4F">
        <w:rPr>
          <w:rFonts w:ascii="Times New Roman" w:hAnsi="Times New Roman"/>
          <w:b/>
          <w:i/>
          <w:lang w:eastAsia="en-AU"/>
        </w:rPr>
        <w:t xml:space="preserve">raft plan variation No </w:t>
      </w:r>
      <w:r w:rsidR="00CB1D69" w:rsidRPr="00DE6EE6">
        <w:rPr>
          <w:rFonts w:ascii="Times New Roman" w:hAnsi="Times New Roman"/>
          <w:b/>
          <w:i/>
          <w:lang w:eastAsia="en-AU"/>
        </w:rPr>
        <w:t>3</w:t>
      </w:r>
      <w:r w:rsidR="00CB1D69">
        <w:rPr>
          <w:rFonts w:ascii="Times New Roman" w:hAnsi="Times New Roman"/>
          <w:b/>
          <w:i/>
          <w:lang w:eastAsia="en-AU"/>
        </w:rPr>
        <w:t>73</w:t>
      </w:r>
      <w:r w:rsidR="00CB1D69" w:rsidRPr="00564A4F">
        <w:rPr>
          <w:rFonts w:ascii="Times New Roman" w:hAnsi="Times New Roman"/>
          <w:b/>
          <w:i/>
          <w:lang w:eastAsia="en-AU"/>
        </w:rPr>
        <w:t xml:space="preserve"> to the Territory Plan </w:t>
      </w:r>
      <w:r w:rsidR="00CB1D69" w:rsidRPr="00564A4F">
        <w:rPr>
          <w:rFonts w:ascii="Times New Roman" w:hAnsi="Times New Roman"/>
          <w:lang w:eastAsia="en-AU"/>
        </w:rPr>
        <w:t xml:space="preserve">means the draft plan variation in the schedule. </w:t>
      </w:r>
    </w:p>
    <w:p w14:paraId="5D960A5F" w14:textId="77777777" w:rsidR="00CB1D69" w:rsidRPr="00227454" w:rsidRDefault="00CB1D69" w:rsidP="00CB1D69">
      <w:pPr>
        <w:autoSpaceDE w:val="0"/>
        <w:autoSpaceDN w:val="0"/>
        <w:adjustRightInd w:val="0"/>
        <w:spacing w:before="240" w:after="120"/>
        <w:rPr>
          <w:rFonts w:cs="Arial"/>
          <w:b/>
          <w:lang w:eastAsia="en-AU"/>
        </w:rPr>
      </w:pPr>
    </w:p>
    <w:p w14:paraId="6018C4A3" w14:textId="77777777" w:rsidR="00CB1D69" w:rsidRPr="00785870" w:rsidRDefault="00CB1D69" w:rsidP="00CB1D69">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313C9129" w14:textId="77777777" w:rsidR="00CB1D69" w:rsidRPr="00785870" w:rsidRDefault="00CB1D69" w:rsidP="00CB1D69">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7B99939A" w14:textId="7259CEAF" w:rsidR="00CB1D69" w:rsidRPr="00785870" w:rsidRDefault="00CC322C" w:rsidP="00CB1D69">
      <w:pPr>
        <w:autoSpaceDE w:val="0"/>
        <w:autoSpaceDN w:val="0"/>
        <w:adjustRightInd w:val="0"/>
        <w:rPr>
          <w:rFonts w:ascii="Times New Roman" w:hAnsi="Times New Roman"/>
          <w:lang w:eastAsia="en-AU"/>
        </w:rPr>
      </w:pPr>
      <w:r>
        <w:rPr>
          <w:rFonts w:ascii="Times New Roman" w:hAnsi="Times New Roman"/>
          <w:lang w:eastAsia="en-AU"/>
        </w:rPr>
        <w:t>1</w:t>
      </w:r>
      <w:r w:rsidR="00585FF9">
        <w:rPr>
          <w:rFonts w:ascii="Times New Roman" w:hAnsi="Times New Roman"/>
          <w:lang w:eastAsia="en-AU"/>
        </w:rPr>
        <w:t>7</w:t>
      </w:r>
      <w:r>
        <w:rPr>
          <w:rFonts w:ascii="Times New Roman" w:hAnsi="Times New Roman"/>
          <w:lang w:eastAsia="en-AU"/>
        </w:rPr>
        <w:t xml:space="preserve"> June </w:t>
      </w:r>
      <w:r w:rsidR="00CB1D69" w:rsidRPr="00785870">
        <w:rPr>
          <w:rFonts w:ascii="Times New Roman" w:hAnsi="Times New Roman"/>
          <w:lang w:eastAsia="en-AU"/>
        </w:rPr>
        <w:t>20</w:t>
      </w:r>
      <w:r w:rsidR="00CB1D69" w:rsidRPr="00DE6EE6">
        <w:rPr>
          <w:rFonts w:ascii="Times New Roman" w:hAnsi="Times New Roman"/>
          <w:lang w:eastAsia="en-AU"/>
        </w:rPr>
        <w:t>20</w:t>
      </w:r>
    </w:p>
    <w:p w14:paraId="4DC0869C" w14:textId="77777777" w:rsidR="00CB1D69" w:rsidRDefault="00CB1D69" w:rsidP="00CB1D69">
      <w:pPr>
        <w:pStyle w:val="BodyText"/>
      </w:pPr>
    </w:p>
    <w:p w14:paraId="0B1CD2D5" w14:textId="4607D6D4" w:rsidR="008555A6" w:rsidRDefault="008555A6" w:rsidP="00D93017">
      <w:pPr>
        <w:pStyle w:val="BodyText"/>
      </w:pPr>
    </w:p>
    <w:p w14:paraId="35C94A46" w14:textId="77777777" w:rsidR="008730E2" w:rsidRDefault="008730E2" w:rsidP="00D93017">
      <w:pPr>
        <w:pStyle w:val="BodyText"/>
      </w:pPr>
    </w:p>
    <w:p w14:paraId="6BD0ED33" w14:textId="77777777" w:rsidR="008555A6" w:rsidRDefault="008555A6" w:rsidP="00D93017">
      <w:pPr>
        <w:pStyle w:val="BodyText"/>
        <w:sectPr w:rsidR="008555A6" w:rsidSect="00AA3627">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474" w:left="1531" w:header="720" w:footer="589" w:gutter="0"/>
          <w:pgNumType w:fmt="lowerRoman" w:start="1"/>
          <w:cols w:space="720"/>
          <w:titlePg/>
          <w:docGrid w:linePitch="326"/>
        </w:sectPr>
      </w:pPr>
    </w:p>
    <w:p w14:paraId="4928A3BB" w14:textId="77777777" w:rsidR="00575B48" w:rsidRDefault="00575B48" w:rsidP="00D93017">
      <w:pPr>
        <w:pStyle w:val="BodyText"/>
      </w:pPr>
    </w:p>
    <w:p w14:paraId="371E0D7B" w14:textId="77777777" w:rsidR="00D93017" w:rsidRDefault="00D93017" w:rsidP="00D93017">
      <w:pPr>
        <w:pStyle w:val="BodyText"/>
      </w:pPr>
    </w:p>
    <w:p w14:paraId="16F80BA4" w14:textId="77777777" w:rsidR="001C7FD4" w:rsidRPr="00D93017" w:rsidRDefault="001C7FD4" w:rsidP="00D93017">
      <w:pPr>
        <w:pStyle w:val="BodyText"/>
        <w:jc w:val="center"/>
        <w:rPr>
          <w:i/>
          <w:sz w:val="32"/>
          <w:szCs w:val="32"/>
        </w:rPr>
      </w:pPr>
      <w:r w:rsidRPr="00D93017">
        <w:rPr>
          <w:i/>
          <w:sz w:val="32"/>
          <w:szCs w:val="32"/>
        </w:rPr>
        <w:t>Planning and Development Act 2007</w:t>
      </w:r>
    </w:p>
    <w:p w14:paraId="44E351E4" w14:textId="77777777" w:rsidR="001C7FD4" w:rsidRPr="00D93017" w:rsidRDefault="001C7FD4" w:rsidP="00D93017">
      <w:pPr>
        <w:pStyle w:val="BodyText"/>
      </w:pPr>
    </w:p>
    <w:p w14:paraId="5FC98453" w14:textId="0F6B6A21"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D06ACE">
        <w:rPr>
          <w:rFonts w:ascii="Arial" w:hAnsi="Arial" w:cs="Arial"/>
          <w:caps w:val="0"/>
          <w:sz w:val="64"/>
          <w:szCs w:val="64"/>
        </w:rPr>
        <w:t>3</w:t>
      </w:r>
      <w:r w:rsidR="008730E2">
        <w:rPr>
          <w:rFonts w:ascii="Arial" w:hAnsi="Arial" w:cs="Arial"/>
          <w:caps w:val="0"/>
          <w:sz w:val="64"/>
          <w:szCs w:val="64"/>
        </w:rPr>
        <w:t>73</w:t>
      </w:r>
    </w:p>
    <w:p w14:paraId="50E63E97" w14:textId="77777777" w:rsidR="005A252E" w:rsidRDefault="005A252E" w:rsidP="00D93017">
      <w:pPr>
        <w:pStyle w:val="BodyText"/>
      </w:pPr>
    </w:p>
    <w:p w14:paraId="2BFC09EA" w14:textId="77777777" w:rsidR="005A252E" w:rsidRDefault="005A252E" w:rsidP="00D93017">
      <w:pPr>
        <w:pStyle w:val="BodyText"/>
      </w:pPr>
    </w:p>
    <w:p w14:paraId="7F150E6D" w14:textId="27E8A889" w:rsidR="00AA3627" w:rsidRPr="0080562F" w:rsidRDefault="008730E2" w:rsidP="00AA3627">
      <w:pPr>
        <w:pStyle w:val="TATitleexplanatoryheading"/>
        <w:spacing w:after="120"/>
        <w:rPr>
          <w:sz w:val="48"/>
        </w:rPr>
      </w:pPr>
      <w:r>
        <w:rPr>
          <w:sz w:val="48"/>
        </w:rPr>
        <w:t xml:space="preserve">Removal of mandatory gas provision from the Estate Development Code </w:t>
      </w:r>
    </w:p>
    <w:p w14:paraId="1304D805" w14:textId="032A80A1" w:rsidR="004965FA" w:rsidRDefault="004965FA" w:rsidP="008730E2">
      <w:pPr>
        <w:autoSpaceDE w:val="0"/>
        <w:autoSpaceDN w:val="0"/>
        <w:adjustRightInd w:val="0"/>
        <w:rPr>
          <w:rFonts w:ascii="Calibri" w:hAnsi="Calibri" w:cs="Calibri"/>
          <w:szCs w:val="24"/>
          <w:lang w:eastAsia="en-AU"/>
        </w:rPr>
      </w:pPr>
    </w:p>
    <w:p w14:paraId="10954F9F" w14:textId="77777777" w:rsidR="008730E2" w:rsidRPr="008730E2" w:rsidRDefault="008730E2" w:rsidP="008730E2">
      <w:pPr>
        <w:autoSpaceDE w:val="0"/>
        <w:autoSpaceDN w:val="0"/>
        <w:adjustRightInd w:val="0"/>
        <w:rPr>
          <w:rFonts w:ascii="Calibri" w:hAnsi="Calibri" w:cs="Calibri"/>
          <w:szCs w:val="24"/>
          <w:lang w:eastAsia="en-AU"/>
        </w:rPr>
      </w:pPr>
    </w:p>
    <w:p w14:paraId="3BDFF868" w14:textId="77777777"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1A49774A" w14:textId="77777777" w:rsidR="00AE0C37" w:rsidRPr="00AE0C37" w:rsidRDefault="00AE0C37" w:rsidP="001C7FD4">
      <w:pPr>
        <w:pStyle w:val="BlockText"/>
        <w:jc w:val="center"/>
        <w:rPr>
          <w:rFonts w:cs="Arial"/>
          <w:i/>
          <w:szCs w:val="24"/>
        </w:rPr>
      </w:pPr>
      <w:r>
        <w:rPr>
          <w:rFonts w:cs="Arial"/>
          <w:i/>
          <w:szCs w:val="24"/>
        </w:rPr>
        <w:t>Planning and Development Act 2007</w:t>
      </w:r>
    </w:p>
    <w:p w14:paraId="0F720CA1" w14:textId="77777777" w:rsidR="001C7FD4" w:rsidRPr="0074529E" w:rsidRDefault="001C7FD4" w:rsidP="00D93017">
      <w:pPr>
        <w:pStyle w:val="BodyText"/>
      </w:pPr>
    </w:p>
    <w:p w14:paraId="255B3F8D" w14:textId="77777777" w:rsidR="0074529E" w:rsidRDefault="0074529E" w:rsidP="00D93017">
      <w:pPr>
        <w:pStyle w:val="BodyText"/>
      </w:pPr>
    </w:p>
    <w:p w14:paraId="38A1CD81" w14:textId="77777777" w:rsidR="0074529E" w:rsidRDefault="0074529E" w:rsidP="00D93017">
      <w:pPr>
        <w:pStyle w:val="BodyText"/>
      </w:pPr>
    </w:p>
    <w:p w14:paraId="32559A11" w14:textId="77777777" w:rsidR="0074529E" w:rsidRDefault="0074529E" w:rsidP="00D93017">
      <w:pPr>
        <w:pStyle w:val="BodyText"/>
      </w:pPr>
    </w:p>
    <w:p w14:paraId="19044D9A" w14:textId="77777777" w:rsidR="006466FF" w:rsidRPr="0074529E" w:rsidRDefault="006466FF" w:rsidP="00D93017">
      <w:pPr>
        <w:pStyle w:val="BodyText"/>
      </w:pPr>
      <w:r w:rsidRPr="0074529E">
        <w:br w:type="page"/>
      </w:r>
    </w:p>
    <w:p w14:paraId="5521D51A" w14:textId="77777777" w:rsidR="00D93017" w:rsidRDefault="00D93017" w:rsidP="00D93017">
      <w:pPr>
        <w:pStyle w:val="ContentsTitle"/>
      </w:pPr>
      <w:r w:rsidRPr="00785E51">
        <w:lastRenderedPageBreak/>
        <w:t>Contents</w:t>
      </w:r>
    </w:p>
    <w:p w14:paraId="0DF91D37" w14:textId="77777777" w:rsidR="00D93017" w:rsidRPr="00785E51" w:rsidRDefault="00D93017" w:rsidP="00D93017">
      <w:pPr>
        <w:pStyle w:val="BodyText"/>
      </w:pPr>
    </w:p>
    <w:p w14:paraId="28E2877F" w14:textId="77777777" w:rsidR="00836F71"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34989973" w:history="1">
        <w:r w:rsidR="00836F71" w:rsidRPr="000A4A6A">
          <w:rPr>
            <w:rStyle w:val="Hyperlink"/>
          </w:rPr>
          <w:t>1.</w:t>
        </w:r>
        <w:r w:rsidR="00836F71">
          <w:rPr>
            <w:rFonts w:asciiTheme="minorHAnsi" w:hAnsiTheme="minorHAnsi" w:cstheme="minorBidi"/>
            <w:b w:val="0"/>
            <w:caps w:val="0"/>
            <w:sz w:val="22"/>
            <w:szCs w:val="22"/>
          </w:rPr>
          <w:tab/>
        </w:r>
        <w:r w:rsidR="00836F71" w:rsidRPr="000A4A6A">
          <w:rPr>
            <w:rStyle w:val="Hyperlink"/>
          </w:rPr>
          <w:t>EXPLANATORY STATEMENT</w:t>
        </w:r>
        <w:r w:rsidR="00836F71">
          <w:rPr>
            <w:webHidden/>
          </w:rPr>
          <w:tab/>
        </w:r>
        <w:r w:rsidR="00836F71">
          <w:rPr>
            <w:webHidden/>
          </w:rPr>
          <w:fldChar w:fldCharType="begin"/>
        </w:r>
        <w:r w:rsidR="00836F71">
          <w:rPr>
            <w:webHidden/>
          </w:rPr>
          <w:instrText xml:space="preserve"> PAGEREF _Toc34989973 \h </w:instrText>
        </w:r>
        <w:r w:rsidR="00836F71">
          <w:rPr>
            <w:webHidden/>
          </w:rPr>
        </w:r>
        <w:r w:rsidR="00836F71">
          <w:rPr>
            <w:webHidden/>
          </w:rPr>
          <w:fldChar w:fldCharType="separate"/>
        </w:r>
        <w:r w:rsidR="00836F71">
          <w:rPr>
            <w:webHidden/>
          </w:rPr>
          <w:t>1</w:t>
        </w:r>
        <w:r w:rsidR="00836F71">
          <w:rPr>
            <w:webHidden/>
          </w:rPr>
          <w:fldChar w:fldCharType="end"/>
        </w:r>
      </w:hyperlink>
    </w:p>
    <w:p w14:paraId="1574D5AD" w14:textId="77777777" w:rsidR="00836F71" w:rsidRDefault="00B86CDB">
      <w:pPr>
        <w:pStyle w:val="TOC2"/>
        <w:rPr>
          <w:rFonts w:asciiTheme="minorHAnsi" w:hAnsiTheme="minorHAnsi" w:cstheme="minorBidi"/>
          <w:sz w:val="22"/>
          <w:szCs w:val="22"/>
        </w:rPr>
      </w:pPr>
      <w:hyperlink w:anchor="_Toc34989974" w:history="1">
        <w:r w:rsidR="00836F71" w:rsidRPr="000A4A6A">
          <w:rPr>
            <w:rStyle w:val="Hyperlink"/>
          </w:rPr>
          <w:t>1.1</w:t>
        </w:r>
        <w:r w:rsidR="00836F71">
          <w:rPr>
            <w:rFonts w:asciiTheme="minorHAnsi" w:hAnsiTheme="minorHAnsi" w:cstheme="minorBidi"/>
            <w:sz w:val="22"/>
            <w:szCs w:val="22"/>
          </w:rPr>
          <w:tab/>
        </w:r>
        <w:r w:rsidR="00836F71" w:rsidRPr="000A4A6A">
          <w:rPr>
            <w:rStyle w:val="Hyperlink"/>
          </w:rPr>
          <w:t>Background</w:t>
        </w:r>
        <w:r w:rsidR="00836F71">
          <w:rPr>
            <w:webHidden/>
          </w:rPr>
          <w:tab/>
        </w:r>
        <w:r w:rsidR="00836F71">
          <w:rPr>
            <w:webHidden/>
          </w:rPr>
          <w:fldChar w:fldCharType="begin"/>
        </w:r>
        <w:r w:rsidR="00836F71">
          <w:rPr>
            <w:webHidden/>
          </w:rPr>
          <w:instrText xml:space="preserve"> PAGEREF _Toc34989974 \h </w:instrText>
        </w:r>
        <w:r w:rsidR="00836F71">
          <w:rPr>
            <w:webHidden/>
          </w:rPr>
        </w:r>
        <w:r w:rsidR="00836F71">
          <w:rPr>
            <w:webHidden/>
          </w:rPr>
          <w:fldChar w:fldCharType="separate"/>
        </w:r>
        <w:r w:rsidR="00836F71">
          <w:rPr>
            <w:webHidden/>
          </w:rPr>
          <w:t>1</w:t>
        </w:r>
        <w:r w:rsidR="00836F71">
          <w:rPr>
            <w:webHidden/>
          </w:rPr>
          <w:fldChar w:fldCharType="end"/>
        </w:r>
      </w:hyperlink>
    </w:p>
    <w:p w14:paraId="3E360CB7" w14:textId="77777777" w:rsidR="00836F71" w:rsidRDefault="00B86CDB">
      <w:pPr>
        <w:pStyle w:val="TOC2"/>
        <w:rPr>
          <w:rFonts w:asciiTheme="minorHAnsi" w:hAnsiTheme="minorHAnsi" w:cstheme="minorBidi"/>
          <w:sz w:val="22"/>
          <w:szCs w:val="22"/>
        </w:rPr>
      </w:pPr>
      <w:hyperlink w:anchor="_Toc34989975" w:history="1">
        <w:r w:rsidR="00836F71" w:rsidRPr="000A4A6A">
          <w:rPr>
            <w:rStyle w:val="Hyperlink"/>
          </w:rPr>
          <w:t>1.2</w:t>
        </w:r>
        <w:r w:rsidR="00836F71">
          <w:rPr>
            <w:rFonts w:asciiTheme="minorHAnsi" w:hAnsiTheme="minorHAnsi" w:cstheme="minorBidi"/>
            <w:sz w:val="22"/>
            <w:szCs w:val="22"/>
          </w:rPr>
          <w:tab/>
        </w:r>
        <w:r w:rsidR="00836F71" w:rsidRPr="000A4A6A">
          <w:rPr>
            <w:rStyle w:val="Hyperlink"/>
          </w:rPr>
          <w:t>Summary of the Proposal</w:t>
        </w:r>
        <w:r w:rsidR="00836F71">
          <w:rPr>
            <w:webHidden/>
          </w:rPr>
          <w:tab/>
        </w:r>
        <w:r w:rsidR="00836F71">
          <w:rPr>
            <w:webHidden/>
          </w:rPr>
          <w:fldChar w:fldCharType="begin"/>
        </w:r>
        <w:r w:rsidR="00836F71">
          <w:rPr>
            <w:webHidden/>
          </w:rPr>
          <w:instrText xml:space="preserve"> PAGEREF _Toc34989975 \h </w:instrText>
        </w:r>
        <w:r w:rsidR="00836F71">
          <w:rPr>
            <w:webHidden/>
          </w:rPr>
        </w:r>
        <w:r w:rsidR="00836F71">
          <w:rPr>
            <w:webHidden/>
          </w:rPr>
          <w:fldChar w:fldCharType="separate"/>
        </w:r>
        <w:r w:rsidR="00836F71">
          <w:rPr>
            <w:webHidden/>
          </w:rPr>
          <w:t>1</w:t>
        </w:r>
        <w:r w:rsidR="00836F71">
          <w:rPr>
            <w:webHidden/>
          </w:rPr>
          <w:fldChar w:fldCharType="end"/>
        </w:r>
      </w:hyperlink>
    </w:p>
    <w:p w14:paraId="3A928B2B" w14:textId="77777777" w:rsidR="00836F71" w:rsidRDefault="00B86CDB">
      <w:pPr>
        <w:pStyle w:val="TOC2"/>
        <w:rPr>
          <w:rFonts w:asciiTheme="minorHAnsi" w:hAnsiTheme="minorHAnsi" w:cstheme="minorBidi"/>
          <w:sz w:val="22"/>
          <w:szCs w:val="22"/>
        </w:rPr>
      </w:pPr>
      <w:hyperlink w:anchor="_Toc34989976" w:history="1">
        <w:r w:rsidR="00836F71" w:rsidRPr="000A4A6A">
          <w:rPr>
            <w:rStyle w:val="Hyperlink"/>
          </w:rPr>
          <w:t>1.3</w:t>
        </w:r>
        <w:r w:rsidR="00836F71">
          <w:rPr>
            <w:rFonts w:asciiTheme="minorHAnsi" w:hAnsiTheme="minorHAnsi" w:cstheme="minorBidi"/>
            <w:sz w:val="22"/>
            <w:szCs w:val="22"/>
          </w:rPr>
          <w:tab/>
        </w:r>
        <w:r w:rsidR="00836F71" w:rsidRPr="000A4A6A">
          <w:rPr>
            <w:rStyle w:val="Hyperlink"/>
          </w:rPr>
          <w:t>The National Capital Plan</w:t>
        </w:r>
        <w:r w:rsidR="00836F71">
          <w:rPr>
            <w:webHidden/>
          </w:rPr>
          <w:tab/>
        </w:r>
        <w:r w:rsidR="00836F71">
          <w:rPr>
            <w:webHidden/>
          </w:rPr>
          <w:fldChar w:fldCharType="begin"/>
        </w:r>
        <w:r w:rsidR="00836F71">
          <w:rPr>
            <w:webHidden/>
          </w:rPr>
          <w:instrText xml:space="preserve"> PAGEREF _Toc34989976 \h </w:instrText>
        </w:r>
        <w:r w:rsidR="00836F71">
          <w:rPr>
            <w:webHidden/>
          </w:rPr>
        </w:r>
        <w:r w:rsidR="00836F71">
          <w:rPr>
            <w:webHidden/>
          </w:rPr>
          <w:fldChar w:fldCharType="separate"/>
        </w:r>
        <w:r w:rsidR="00836F71">
          <w:rPr>
            <w:webHidden/>
          </w:rPr>
          <w:t>3</w:t>
        </w:r>
        <w:r w:rsidR="00836F71">
          <w:rPr>
            <w:webHidden/>
          </w:rPr>
          <w:fldChar w:fldCharType="end"/>
        </w:r>
      </w:hyperlink>
    </w:p>
    <w:p w14:paraId="22F1BD6D" w14:textId="77777777" w:rsidR="00836F71" w:rsidRDefault="00B86CDB">
      <w:pPr>
        <w:pStyle w:val="TOC2"/>
        <w:rPr>
          <w:rFonts w:asciiTheme="minorHAnsi" w:hAnsiTheme="minorHAnsi" w:cstheme="minorBidi"/>
          <w:sz w:val="22"/>
          <w:szCs w:val="22"/>
        </w:rPr>
      </w:pPr>
      <w:hyperlink w:anchor="_Toc34989977" w:history="1">
        <w:r w:rsidR="00836F71" w:rsidRPr="000A4A6A">
          <w:rPr>
            <w:rStyle w:val="Hyperlink"/>
          </w:rPr>
          <w:t>1.4</w:t>
        </w:r>
        <w:r w:rsidR="00836F71">
          <w:rPr>
            <w:rFonts w:asciiTheme="minorHAnsi" w:hAnsiTheme="minorHAnsi" w:cstheme="minorBidi"/>
            <w:sz w:val="22"/>
            <w:szCs w:val="22"/>
          </w:rPr>
          <w:tab/>
        </w:r>
        <w:r w:rsidR="00836F71" w:rsidRPr="000A4A6A">
          <w:rPr>
            <w:rStyle w:val="Hyperlink"/>
          </w:rPr>
          <w:t>Current Territory Plan Provisions</w:t>
        </w:r>
        <w:r w:rsidR="00836F71">
          <w:rPr>
            <w:webHidden/>
          </w:rPr>
          <w:tab/>
        </w:r>
        <w:r w:rsidR="00836F71">
          <w:rPr>
            <w:webHidden/>
          </w:rPr>
          <w:fldChar w:fldCharType="begin"/>
        </w:r>
        <w:r w:rsidR="00836F71">
          <w:rPr>
            <w:webHidden/>
          </w:rPr>
          <w:instrText xml:space="preserve"> PAGEREF _Toc34989977 \h </w:instrText>
        </w:r>
        <w:r w:rsidR="00836F71">
          <w:rPr>
            <w:webHidden/>
          </w:rPr>
        </w:r>
        <w:r w:rsidR="00836F71">
          <w:rPr>
            <w:webHidden/>
          </w:rPr>
          <w:fldChar w:fldCharType="separate"/>
        </w:r>
        <w:r w:rsidR="00836F71">
          <w:rPr>
            <w:webHidden/>
          </w:rPr>
          <w:t>4</w:t>
        </w:r>
        <w:r w:rsidR="00836F71">
          <w:rPr>
            <w:webHidden/>
          </w:rPr>
          <w:fldChar w:fldCharType="end"/>
        </w:r>
      </w:hyperlink>
    </w:p>
    <w:p w14:paraId="2EFCB90B" w14:textId="77777777" w:rsidR="00836F71" w:rsidRDefault="00B86CDB">
      <w:pPr>
        <w:pStyle w:val="TOC2"/>
        <w:rPr>
          <w:rFonts w:asciiTheme="minorHAnsi" w:hAnsiTheme="minorHAnsi" w:cstheme="minorBidi"/>
          <w:sz w:val="22"/>
          <w:szCs w:val="22"/>
        </w:rPr>
      </w:pPr>
      <w:hyperlink w:anchor="_Toc34989978" w:history="1">
        <w:r w:rsidR="00836F71" w:rsidRPr="000A4A6A">
          <w:rPr>
            <w:rStyle w:val="Hyperlink"/>
          </w:rPr>
          <w:t>1.5</w:t>
        </w:r>
        <w:r w:rsidR="00836F71">
          <w:rPr>
            <w:rFonts w:asciiTheme="minorHAnsi" w:hAnsiTheme="minorHAnsi" w:cstheme="minorBidi"/>
            <w:sz w:val="22"/>
            <w:szCs w:val="22"/>
          </w:rPr>
          <w:tab/>
        </w:r>
        <w:r w:rsidR="00836F71" w:rsidRPr="000A4A6A">
          <w:rPr>
            <w:rStyle w:val="Hyperlink"/>
          </w:rPr>
          <w:t>Changes to the Territory Plan</w:t>
        </w:r>
        <w:r w:rsidR="00836F71">
          <w:rPr>
            <w:webHidden/>
          </w:rPr>
          <w:tab/>
        </w:r>
        <w:r w:rsidR="00836F71">
          <w:rPr>
            <w:webHidden/>
          </w:rPr>
          <w:fldChar w:fldCharType="begin"/>
        </w:r>
        <w:r w:rsidR="00836F71">
          <w:rPr>
            <w:webHidden/>
          </w:rPr>
          <w:instrText xml:space="preserve"> PAGEREF _Toc34989978 \h </w:instrText>
        </w:r>
        <w:r w:rsidR="00836F71">
          <w:rPr>
            <w:webHidden/>
          </w:rPr>
        </w:r>
        <w:r w:rsidR="00836F71">
          <w:rPr>
            <w:webHidden/>
          </w:rPr>
          <w:fldChar w:fldCharType="separate"/>
        </w:r>
        <w:r w:rsidR="00836F71">
          <w:rPr>
            <w:webHidden/>
          </w:rPr>
          <w:t>5</w:t>
        </w:r>
        <w:r w:rsidR="00836F71">
          <w:rPr>
            <w:webHidden/>
          </w:rPr>
          <w:fldChar w:fldCharType="end"/>
        </w:r>
      </w:hyperlink>
    </w:p>
    <w:p w14:paraId="3053A88C" w14:textId="77777777" w:rsidR="00836F71" w:rsidRDefault="00B86CDB">
      <w:pPr>
        <w:pStyle w:val="TOC2"/>
        <w:rPr>
          <w:rFonts w:asciiTheme="minorHAnsi" w:hAnsiTheme="minorHAnsi" w:cstheme="minorBidi"/>
          <w:sz w:val="22"/>
          <w:szCs w:val="22"/>
        </w:rPr>
      </w:pPr>
      <w:hyperlink w:anchor="_Toc34989979" w:history="1">
        <w:r w:rsidR="00836F71" w:rsidRPr="000A4A6A">
          <w:rPr>
            <w:rStyle w:val="Hyperlink"/>
          </w:rPr>
          <w:t>1.6</w:t>
        </w:r>
        <w:r w:rsidR="00836F71">
          <w:rPr>
            <w:rFonts w:asciiTheme="minorHAnsi" w:hAnsiTheme="minorHAnsi" w:cstheme="minorBidi"/>
            <w:sz w:val="22"/>
            <w:szCs w:val="22"/>
          </w:rPr>
          <w:tab/>
        </w:r>
        <w:r w:rsidR="00836F71" w:rsidRPr="000A4A6A">
          <w:rPr>
            <w:rStyle w:val="Hyperlink"/>
          </w:rPr>
          <w:t>Consultation on the Draft Variation</w:t>
        </w:r>
        <w:r w:rsidR="00836F71">
          <w:rPr>
            <w:webHidden/>
          </w:rPr>
          <w:tab/>
        </w:r>
        <w:r w:rsidR="00836F71">
          <w:rPr>
            <w:webHidden/>
          </w:rPr>
          <w:fldChar w:fldCharType="begin"/>
        </w:r>
        <w:r w:rsidR="00836F71">
          <w:rPr>
            <w:webHidden/>
          </w:rPr>
          <w:instrText xml:space="preserve"> PAGEREF _Toc34989979 \h </w:instrText>
        </w:r>
        <w:r w:rsidR="00836F71">
          <w:rPr>
            <w:webHidden/>
          </w:rPr>
        </w:r>
        <w:r w:rsidR="00836F71">
          <w:rPr>
            <w:webHidden/>
          </w:rPr>
          <w:fldChar w:fldCharType="separate"/>
        </w:r>
        <w:r w:rsidR="00836F71">
          <w:rPr>
            <w:webHidden/>
          </w:rPr>
          <w:t>5</w:t>
        </w:r>
        <w:r w:rsidR="00836F71">
          <w:rPr>
            <w:webHidden/>
          </w:rPr>
          <w:fldChar w:fldCharType="end"/>
        </w:r>
      </w:hyperlink>
    </w:p>
    <w:p w14:paraId="1475DCA0" w14:textId="77777777" w:rsidR="00836F71" w:rsidRDefault="00B86CDB">
      <w:pPr>
        <w:pStyle w:val="TOC1"/>
        <w:rPr>
          <w:rFonts w:asciiTheme="minorHAnsi" w:hAnsiTheme="minorHAnsi" w:cstheme="minorBidi"/>
          <w:b w:val="0"/>
          <w:caps w:val="0"/>
          <w:sz w:val="22"/>
          <w:szCs w:val="22"/>
        </w:rPr>
      </w:pPr>
      <w:hyperlink w:anchor="_Toc34989980" w:history="1">
        <w:r w:rsidR="00836F71" w:rsidRPr="000A4A6A">
          <w:rPr>
            <w:rStyle w:val="Hyperlink"/>
          </w:rPr>
          <w:t>2.</w:t>
        </w:r>
        <w:r w:rsidR="00836F71">
          <w:rPr>
            <w:rFonts w:asciiTheme="minorHAnsi" w:hAnsiTheme="minorHAnsi" w:cstheme="minorBidi"/>
            <w:b w:val="0"/>
            <w:caps w:val="0"/>
            <w:sz w:val="22"/>
            <w:szCs w:val="22"/>
          </w:rPr>
          <w:tab/>
        </w:r>
        <w:r w:rsidR="00836F71" w:rsidRPr="000A4A6A">
          <w:rPr>
            <w:rStyle w:val="Hyperlink"/>
          </w:rPr>
          <w:t>VARIATION</w:t>
        </w:r>
        <w:r w:rsidR="00836F71">
          <w:rPr>
            <w:webHidden/>
          </w:rPr>
          <w:tab/>
        </w:r>
        <w:r w:rsidR="00836F71">
          <w:rPr>
            <w:webHidden/>
          </w:rPr>
          <w:fldChar w:fldCharType="begin"/>
        </w:r>
        <w:r w:rsidR="00836F71">
          <w:rPr>
            <w:webHidden/>
          </w:rPr>
          <w:instrText xml:space="preserve"> PAGEREF _Toc34989980 \h </w:instrText>
        </w:r>
        <w:r w:rsidR="00836F71">
          <w:rPr>
            <w:webHidden/>
          </w:rPr>
        </w:r>
        <w:r w:rsidR="00836F71">
          <w:rPr>
            <w:webHidden/>
          </w:rPr>
          <w:fldChar w:fldCharType="separate"/>
        </w:r>
        <w:r w:rsidR="00836F71">
          <w:rPr>
            <w:webHidden/>
          </w:rPr>
          <w:t>6</w:t>
        </w:r>
        <w:r w:rsidR="00836F71">
          <w:rPr>
            <w:webHidden/>
          </w:rPr>
          <w:fldChar w:fldCharType="end"/>
        </w:r>
      </w:hyperlink>
    </w:p>
    <w:p w14:paraId="089DB0D5" w14:textId="77777777" w:rsidR="00836F71" w:rsidRDefault="00B86CDB">
      <w:pPr>
        <w:pStyle w:val="TOC2"/>
        <w:rPr>
          <w:rFonts w:asciiTheme="minorHAnsi" w:hAnsiTheme="minorHAnsi" w:cstheme="minorBidi"/>
          <w:sz w:val="22"/>
          <w:szCs w:val="22"/>
        </w:rPr>
      </w:pPr>
      <w:hyperlink w:anchor="_Toc34989981" w:history="1">
        <w:r w:rsidR="00836F71" w:rsidRPr="000A4A6A">
          <w:rPr>
            <w:rStyle w:val="Hyperlink"/>
          </w:rPr>
          <w:t>2.1</w:t>
        </w:r>
        <w:r w:rsidR="00836F71">
          <w:rPr>
            <w:rFonts w:asciiTheme="minorHAnsi" w:hAnsiTheme="minorHAnsi" w:cstheme="minorBidi"/>
            <w:sz w:val="22"/>
            <w:szCs w:val="22"/>
          </w:rPr>
          <w:tab/>
        </w:r>
        <w:r w:rsidR="00836F71" w:rsidRPr="000A4A6A">
          <w:rPr>
            <w:rStyle w:val="Hyperlink"/>
          </w:rPr>
          <w:t>Variation to the Territory Plan</w:t>
        </w:r>
        <w:r w:rsidR="00836F71">
          <w:rPr>
            <w:webHidden/>
          </w:rPr>
          <w:tab/>
        </w:r>
        <w:r w:rsidR="00836F71">
          <w:rPr>
            <w:webHidden/>
          </w:rPr>
          <w:fldChar w:fldCharType="begin"/>
        </w:r>
        <w:r w:rsidR="00836F71">
          <w:rPr>
            <w:webHidden/>
          </w:rPr>
          <w:instrText xml:space="preserve"> PAGEREF _Toc34989981 \h </w:instrText>
        </w:r>
        <w:r w:rsidR="00836F71">
          <w:rPr>
            <w:webHidden/>
          </w:rPr>
        </w:r>
        <w:r w:rsidR="00836F71">
          <w:rPr>
            <w:webHidden/>
          </w:rPr>
          <w:fldChar w:fldCharType="separate"/>
        </w:r>
        <w:r w:rsidR="00836F71">
          <w:rPr>
            <w:webHidden/>
          </w:rPr>
          <w:t>6</w:t>
        </w:r>
        <w:r w:rsidR="00836F71">
          <w:rPr>
            <w:webHidden/>
          </w:rPr>
          <w:fldChar w:fldCharType="end"/>
        </w:r>
      </w:hyperlink>
    </w:p>
    <w:p w14:paraId="24959287" w14:textId="77777777" w:rsidR="001C7FD4" w:rsidRDefault="001A4AA3" w:rsidP="006C39CF">
      <w:pPr>
        <w:pStyle w:val="TOC1"/>
      </w:pPr>
      <w:r>
        <w:fldChar w:fldCharType="end"/>
      </w:r>
    </w:p>
    <w:p w14:paraId="192312E5" w14:textId="77777777" w:rsidR="006466FF" w:rsidRDefault="006466FF" w:rsidP="00D93017">
      <w:pPr>
        <w:pStyle w:val="BodyText"/>
      </w:pPr>
    </w:p>
    <w:p w14:paraId="7198AA76" w14:textId="77777777" w:rsidR="006466FF" w:rsidRDefault="006466FF" w:rsidP="00D93017">
      <w:pPr>
        <w:pStyle w:val="BodyText"/>
      </w:pPr>
    </w:p>
    <w:p w14:paraId="08D077D1" w14:textId="77777777" w:rsidR="006466FF" w:rsidRDefault="006466FF" w:rsidP="00D93017">
      <w:pPr>
        <w:pStyle w:val="BodyText"/>
      </w:pPr>
    </w:p>
    <w:p w14:paraId="409145A6" w14:textId="77777777" w:rsidR="006466FF" w:rsidRPr="00137C11" w:rsidRDefault="006466FF" w:rsidP="00D93017">
      <w:pPr>
        <w:pStyle w:val="BodyText"/>
      </w:pPr>
    </w:p>
    <w:p w14:paraId="2029B80A" w14:textId="77777777" w:rsidR="006466FF" w:rsidRDefault="006466FF" w:rsidP="00D93017">
      <w:pPr>
        <w:pStyle w:val="BodyText"/>
        <w:sectPr w:rsidR="006466FF" w:rsidSect="00AA3627">
          <w:headerReference w:type="first" r:id="rId14"/>
          <w:footerReference w:type="first" r:id="rId15"/>
          <w:pgSz w:w="11907" w:h="16840" w:code="9"/>
          <w:pgMar w:top="1418" w:right="1531" w:bottom="1474" w:left="1531" w:header="720" w:footer="589" w:gutter="0"/>
          <w:pgNumType w:fmt="lowerRoman" w:start="1"/>
          <w:cols w:space="720"/>
          <w:titlePg/>
          <w:docGrid w:linePitch="326"/>
        </w:sectPr>
      </w:pPr>
    </w:p>
    <w:p w14:paraId="7B861D17" w14:textId="77777777" w:rsidR="001C7FD4" w:rsidRDefault="001C7FD4" w:rsidP="001C7FD4">
      <w:pPr>
        <w:pStyle w:val="Head1"/>
        <w:numPr>
          <w:ilvl w:val="0"/>
          <w:numId w:val="3"/>
        </w:numPr>
        <w:tabs>
          <w:tab w:val="clear" w:pos="851"/>
        </w:tabs>
        <w:ind w:left="851" w:hanging="851"/>
      </w:pPr>
      <w:bookmarkStart w:id="2" w:name="_Toc34989973"/>
      <w:r>
        <w:lastRenderedPageBreak/>
        <w:t>EXPLANATORY STATEMENT</w:t>
      </w:r>
      <w:bookmarkEnd w:id="2"/>
    </w:p>
    <w:p w14:paraId="6316E3CE" w14:textId="77777777" w:rsidR="001C7FD4" w:rsidRPr="00C3544D" w:rsidRDefault="001C7FD4" w:rsidP="00D93017">
      <w:pPr>
        <w:pStyle w:val="Head2"/>
        <w:keepNext/>
        <w:rPr>
          <w:rFonts w:cs="Arial"/>
          <w:szCs w:val="28"/>
        </w:rPr>
      </w:pPr>
      <w:bookmarkStart w:id="3" w:name="_Toc34989974"/>
      <w:r w:rsidRPr="00006764">
        <w:rPr>
          <w:rFonts w:cs="Arial"/>
        </w:rPr>
        <w:t>Background</w:t>
      </w:r>
      <w:bookmarkEnd w:id="3"/>
    </w:p>
    <w:p w14:paraId="5CE42C06" w14:textId="48B8D633" w:rsidR="006B700E" w:rsidRPr="006B700E" w:rsidRDefault="006B700E" w:rsidP="006B700E">
      <w:pPr>
        <w:spacing w:after="120" w:line="288" w:lineRule="auto"/>
        <w:rPr>
          <w:rFonts w:cs="Arial"/>
          <w:bCs/>
        </w:rPr>
      </w:pPr>
      <w:r w:rsidRPr="006B700E">
        <w:rPr>
          <w:rFonts w:cs="Arial"/>
          <w:bCs/>
        </w:rPr>
        <w:t xml:space="preserve">The Estate Development Code in the Territory Plan applies to all development proposals in the ACT for the subdivision of land requiring the preparation of an estate development plan. The code provides additional planning, design and environmental controls, including a mandatory rule (R43) requiring utility services, including water, sewer, stormwater, electricity, gas and telecommunications to be provided to each block. </w:t>
      </w:r>
    </w:p>
    <w:p w14:paraId="3879CED4" w14:textId="77777777" w:rsidR="006B700E" w:rsidRPr="006B700E" w:rsidRDefault="006B700E" w:rsidP="006B700E">
      <w:pPr>
        <w:spacing w:after="120" w:line="288" w:lineRule="auto"/>
        <w:rPr>
          <w:rFonts w:cs="Arial"/>
          <w:bCs/>
        </w:rPr>
      </w:pPr>
      <w:r w:rsidRPr="006B700E">
        <w:rPr>
          <w:rFonts w:cs="Arial"/>
          <w:bCs/>
        </w:rPr>
        <w:t xml:space="preserve">The ACT is the only jurisdiction in Australia that has a mandatory requirement for gas infrastructure to be provided in new estates and subdivisions. </w:t>
      </w:r>
    </w:p>
    <w:p w14:paraId="34005D07" w14:textId="77777777" w:rsidR="006B700E" w:rsidRPr="006B700E" w:rsidRDefault="006B700E" w:rsidP="006B700E">
      <w:pPr>
        <w:spacing w:after="120" w:line="288" w:lineRule="auto"/>
        <w:rPr>
          <w:rFonts w:cs="Arial"/>
          <w:bCs/>
        </w:rPr>
      </w:pPr>
      <w:r w:rsidRPr="006B700E">
        <w:rPr>
          <w:rFonts w:cs="Arial"/>
          <w:bCs/>
        </w:rPr>
        <w:t xml:space="preserve">Variation 356, which commenced in November 2018, supported a pilot project of 350 dwellings in Stage 1 of the Ginninderry Estate in West Belconnen to trial electric-only utility service provision in the residential area. This was achieved by amending the West Belconnen Concept Plan to make the provision of reticulated gas optional, rather than a mandatory requirement. The pilot was subsequently expanded to include Stage 2 of Ginninderry Estate via Variation 362 (V362). V362 took effect in June 2019. </w:t>
      </w:r>
    </w:p>
    <w:p w14:paraId="32EC1004" w14:textId="4B76F08F" w:rsidR="006B700E" w:rsidRDefault="006B700E" w:rsidP="006B700E">
      <w:pPr>
        <w:spacing w:after="120" w:line="288" w:lineRule="auto"/>
        <w:rPr>
          <w:rFonts w:cs="Arial"/>
          <w:bCs/>
        </w:rPr>
      </w:pPr>
      <w:r w:rsidRPr="006B700E">
        <w:rPr>
          <w:rFonts w:cs="Arial"/>
          <w:bCs/>
        </w:rPr>
        <w:t xml:space="preserve">The ACT Climate Change Strategy 2019-2025 (the strategy) sets out the actions required to reduce emissions and to build resilience to climate change impacts. </w:t>
      </w:r>
      <w:r>
        <w:rPr>
          <w:rFonts w:cs="Arial"/>
          <w:bCs/>
        </w:rPr>
        <w:t>(</w:t>
      </w:r>
      <w:hyperlink r:id="rId16" w:history="1">
        <w:r w:rsidRPr="002E1DCB">
          <w:rPr>
            <w:rStyle w:val="Hyperlink"/>
            <w:rFonts w:cs="Arial"/>
            <w:bCs/>
          </w:rPr>
          <w:t>www.environment.act.gov.au/cc/act-climate-change-strategy</w:t>
        </w:r>
      </w:hyperlink>
      <w:r>
        <w:rPr>
          <w:rFonts w:cs="Arial"/>
          <w:bCs/>
        </w:rPr>
        <w:t>)</w:t>
      </w:r>
    </w:p>
    <w:p w14:paraId="7B637297" w14:textId="77777777" w:rsidR="006B700E" w:rsidRPr="006B700E" w:rsidRDefault="006B700E" w:rsidP="006B700E">
      <w:pPr>
        <w:spacing w:after="120" w:line="288" w:lineRule="auto"/>
        <w:rPr>
          <w:rFonts w:cs="Arial"/>
          <w:bCs/>
        </w:rPr>
      </w:pPr>
      <w:r w:rsidRPr="006B700E">
        <w:rPr>
          <w:rFonts w:cs="Arial"/>
          <w:bCs/>
        </w:rPr>
        <w:t xml:space="preserve">The strategy sets out the next key challenges from 2020, once the ACT is powered by 100% renewable electricity. This will involve reducing emissions from transport, gas and waste. </w:t>
      </w:r>
    </w:p>
    <w:p w14:paraId="312FFB66" w14:textId="58301D08" w:rsidR="006B700E" w:rsidRPr="006B700E" w:rsidRDefault="006B700E" w:rsidP="006B700E">
      <w:pPr>
        <w:spacing w:after="120" w:line="288" w:lineRule="auto"/>
        <w:rPr>
          <w:rFonts w:cs="Arial"/>
          <w:bCs/>
        </w:rPr>
      </w:pPr>
      <w:r w:rsidRPr="006B700E">
        <w:rPr>
          <w:rFonts w:cs="Arial"/>
          <w:bCs/>
        </w:rPr>
        <w:t>Variation 373 implement</w:t>
      </w:r>
      <w:r>
        <w:rPr>
          <w:rFonts w:cs="Arial"/>
          <w:bCs/>
        </w:rPr>
        <w:t>s</w:t>
      </w:r>
      <w:r w:rsidRPr="006B700E">
        <w:rPr>
          <w:rFonts w:cs="Arial"/>
          <w:bCs/>
        </w:rPr>
        <w:t xml:space="preserve"> an action in the strategy under the goal of reducing emissions from gas by amending planning regulations to remove the mandating of reticulated gas in new suburbs by 2020. </w:t>
      </w:r>
    </w:p>
    <w:p w14:paraId="18CC4B4E" w14:textId="78D845D3" w:rsidR="006B700E" w:rsidRPr="006B700E" w:rsidRDefault="006B700E" w:rsidP="006B700E">
      <w:pPr>
        <w:spacing w:after="120" w:line="288" w:lineRule="auto"/>
        <w:rPr>
          <w:rFonts w:cs="Arial"/>
          <w:bCs/>
        </w:rPr>
      </w:pPr>
      <w:r w:rsidRPr="006B700E">
        <w:rPr>
          <w:rFonts w:cs="Arial"/>
          <w:bCs/>
        </w:rPr>
        <w:t xml:space="preserve">This </w:t>
      </w:r>
      <w:r>
        <w:rPr>
          <w:rFonts w:cs="Arial"/>
          <w:bCs/>
        </w:rPr>
        <w:t>is</w:t>
      </w:r>
      <w:r w:rsidRPr="006B700E">
        <w:rPr>
          <w:rFonts w:cs="Arial"/>
          <w:bCs/>
        </w:rPr>
        <w:t xml:space="preserve"> achieved by amending Rule R43 of the Estate Development Code to remove the requirement for the mandatory supply of gas reticulation to blocks in new subdivisions. Th</w:t>
      </w:r>
      <w:r w:rsidR="006818E2">
        <w:rPr>
          <w:rFonts w:cs="Arial"/>
          <w:bCs/>
        </w:rPr>
        <w:t>e</w:t>
      </w:r>
      <w:r w:rsidRPr="006B700E">
        <w:rPr>
          <w:rFonts w:cs="Arial"/>
          <w:bCs/>
        </w:rPr>
        <w:t xml:space="preserve"> change to the code supports the ACT Climate Change Strategy by extending the optional provision of gas reticulation to all new subdivisions in the ACT. </w:t>
      </w:r>
    </w:p>
    <w:p w14:paraId="79E1FBD6" w14:textId="70719B3E" w:rsidR="001C7FD4" w:rsidRPr="006B700E" w:rsidRDefault="006B700E" w:rsidP="006B700E">
      <w:pPr>
        <w:spacing w:after="120" w:line="288" w:lineRule="auto"/>
        <w:rPr>
          <w:rFonts w:cs="Arial"/>
          <w:bCs/>
        </w:rPr>
      </w:pPr>
      <w:r w:rsidRPr="006B700E">
        <w:rPr>
          <w:rFonts w:cs="Arial"/>
          <w:bCs/>
        </w:rPr>
        <w:t>The mandatory utility service requirements for water, sewer, stormwater, electricity, and telecommunications to each block will be retained.</w:t>
      </w:r>
    </w:p>
    <w:p w14:paraId="716ADB1C" w14:textId="505E73FA" w:rsidR="006B700E" w:rsidRDefault="006B700E" w:rsidP="001C7FD4">
      <w:pPr>
        <w:pStyle w:val="BodyText"/>
        <w:spacing w:after="0"/>
      </w:pPr>
    </w:p>
    <w:p w14:paraId="52942B84" w14:textId="19563DCC" w:rsidR="006818E2" w:rsidRDefault="006818E2" w:rsidP="001C7FD4">
      <w:pPr>
        <w:pStyle w:val="BodyText"/>
        <w:spacing w:after="0"/>
      </w:pPr>
    </w:p>
    <w:p w14:paraId="1C8D8298" w14:textId="77777777" w:rsidR="006818E2" w:rsidRDefault="006818E2" w:rsidP="001C7FD4">
      <w:pPr>
        <w:pStyle w:val="BodyText"/>
        <w:spacing w:after="0"/>
      </w:pPr>
    </w:p>
    <w:p w14:paraId="6D8749B5" w14:textId="77777777" w:rsidR="00F15049" w:rsidRPr="00E215A4" w:rsidRDefault="00F15049" w:rsidP="00D93017">
      <w:pPr>
        <w:pStyle w:val="Head2"/>
        <w:keepNext/>
        <w:rPr>
          <w:szCs w:val="28"/>
        </w:rPr>
      </w:pPr>
      <w:bookmarkStart w:id="4" w:name="_Toc34989975"/>
      <w:r>
        <w:rPr>
          <w:rFonts w:cs="Arial"/>
        </w:rPr>
        <w:lastRenderedPageBreak/>
        <w:t>Summary of the Proposal</w:t>
      </w:r>
      <w:bookmarkEnd w:id="4"/>
    </w:p>
    <w:p w14:paraId="3A0F29C0" w14:textId="1F726B38" w:rsidR="006818E2" w:rsidRPr="006818E2" w:rsidRDefault="00DF7877" w:rsidP="006818E2">
      <w:pPr>
        <w:pStyle w:val="BodyText"/>
      </w:pPr>
      <w:r w:rsidRPr="006818E2">
        <w:t>Th</w:t>
      </w:r>
      <w:r w:rsidR="006818E2" w:rsidRPr="006818E2">
        <w:t>e variation remove</w:t>
      </w:r>
      <w:r w:rsidR="006818E2">
        <w:t>s</w:t>
      </w:r>
      <w:r w:rsidR="006818E2" w:rsidRPr="006818E2">
        <w:t xml:space="preserve"> the mandatory requirement for gas connection to blocks in new suburbs from the Estate Development Code in the Territory Plan. The provision of gas will be optional rather than mandated. </w:t>
      </w:r>
    </w:p>
    <w:p w14:paraId="72C17035" w14:textId="77777777" w:rsidR="006818E2" w:rsidRPr="006818E2" w:rsidRDefault="006818E2" w:rsidP="006818E2">
      <w:pPr>
        <w:pStyle w:val="BodyText"/>
      </w:pPr>
      <w:r w:rsidRPr="006818E2">
        <w:t xml:space="preserve">The ACT Climate Change Strategy 2019-2025 outlines the next stage of the ACT Government’s climate change response and identifies actions to meet its emissions reduction target of net zero emissions by 2045 and prepare for climate change. This strategy places a strong focus on reducing emissions from transport and gas - the two largest sources of emissions from 2020 once emissions from electricity are zero. </w:t>
      </w:r>
    </w:p>
    <w:p w14:paraId="33ED6A34" w14:textId="01FA89B5" w:rsidR="00DF7877" w:rsidRPr="006818E2" w:rsidRDefault="006818E2" w:rsidP="006818E2">
      <w:pPr>
        <w:pStyle w:val="BodyText"/>
      </w:pPr>
      <w:r w:rsidRPr="006818E2">
        <w:t>One of the key priorities of the strategy is in the area of energy, buildings and urban development - to encourage a shift from gas to electricity by removing the mandated requirement for gas infrastructure in new suburbs, supporting gas to electric appliance upgrades and transitioning to all-electric new builds.</w:t>
      </w:r>
    </w:p>
    <w:p w14:paraId="6B445189" w14:textId="77777777" w:rsidR="00F15049" w:rsidRDefault="00F15049" w:rsidP="00D93017">
      <w:pPr>
        <w:pStyle w:val="BodyText"/>
      </w:pPr>
    </w:p>
    <w:p w14:paraId="36F8D607" w14:textId="77777777" w:rsidR="001C7FD4" w:rsidRPr="00E215A4" w:rsidRDefault="001C7FD4" w:rsidP="00D93017">
      <w:pPr>
        <w:pStyle w:val="Head2"/>
        <w:keepNext/>
        <w:rPr>
          <w:szCs w:val="28"/>
        </w:rPr>
      </w:pPr>
      <w:bookmarkStart w:id="5" w:name="_Toc34989976"/>
      <w:bookmarkStart w:id="6" w:name="_Toc134526692"/>
      <w:r w:rsidRPr="00006764">
        <w:rPr>
          <w:rFonts w:cs="Arial"/>
        </w:rPr>
        <w:t>The</w:t>
      </w:r>
      <w:r w:rsidRPr="00E215A4">
        <w:rPr>
          <w:szCs w:val="28"/>
        </w:rPr>
        <w:t xml:space="preserve"> National Capital Plan</w:t>
      </w:r>
      <w:bookmarkEnd w:id="5"/>
    </w:p>
    <w:p w14:paraId="03379BB2"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075CA447" w14:textId="77777777"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14:paraId="0816FC82" w14:textId="1DE480EE"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232F889" w14:textId="77777777" w:rsidR="006818E2" w:rsidRDefault="006818E2" w:rsidP="00D93017">
      <w:pPr>
        <w:pStyle w:val="BodyText"/>
      </w:pPr>
    </w:p>
    <w:p w14:paraId="13B57638" w14:textId="77777777" w:rsidR="001C7FD4" w:rsidRDefault="001C7FD4" w:rsidP="001C7FD4">
      <w:pPr>
        <w:pStyle w:val="BodyText"/>
        <w:spacing w:after="0"/>
      </w:pPr>
    </w:p>
    <w:bookmarkEnd w:id="6"/>
    <w:p w14:paraId="3384F9DE" w14:textId="77777777" w:rsidR="001C7FD4" w:rsidRDefault="001C7FD4" w:rsidP="001C7FD4">
      <w:pPr>
        <w:pStyle w:val="BodyText"/>
        <w:spacing w:after="0"/>
      </w:pPr>
    </w:p>
    <w:p w14:paraId="0F7283FB" w14:textId="77777777" w:rsidR="001C7FD4" w:rsidRDefault="001C7FD4" w:rsidP="00D93017">
      <w:pPr>
        <w:pStyle w:val="BodyText"/>
      </w:pPr>
      <w:r>
        <w:br w:type="page"/>
      </w:r>
    </w:p>
    <w:p w14:paraId="373DEEDA" w14:textId="77777777" w:rsidR="001C7FD4" w:rsidRDefault="00F15049" w:rsidP="00D93017">
      <w:pPr>
        <w:pStyle w:val="Head2"/>
        <w:keepNext/>
        <w:rPr>
          <w:rFonts w:cs="Arial"/>
        </w:rPr>
      </w:pPr>
      <w:bookmarkStart w:id="7" w:name="_Toc34989977"/>
      <w:r>
        <w:rPr>
          <w:rFonts w:cs="Arial"/>
        </w:rPr>
        <w:lastRenderedPageBreak/>
        <w:t>Current Territory Plan Provisions</w:t>
      </w:r>
      <w:bookmarkEnd w:id="7"/>
    </w:p>
    <w:p w14:paraId="7DBEB839" w14:textId="77777777" w:rsidR="006818E2" w:rsidRDefault="006818E2" w:rsidP="006818E2">
      <w:pPr>
        <w:pStyle w:val="BodyText"/>
        <w:rPr>
          <w:b/>
        </w:rPr>
      </w:pPr>
      <w:r>
        <w:t>The current rule in the Estate Development Code in the Territory Plan is:</w:t>
      </w: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6818E2" w14:paraId="62BFE928" w14:textId="77777777" w:rsidTr="003571A5">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18AE520E" w14:textId="77777777" w:rsidR="006818E2" w:rsidRPr="00C935A7" w:rsidRDefault="006818E2" w:rsidP="003571A5">
            <w:pPr>
              <w:spacing w:before="60" w:after="60"/>
              <w:rPr>
                <w:rFonts w:cs="Arial"/>
                <w:b/>
                <w:sz w:val="22"/>
                <w:szCs w:val="22"/>
                <w:lang w:eastAsia="en-AU"/>
              </w:rPr>
            </w:pPr>
            <w:r>
              <w:rPr>
                <w:rFonts w:cs="Arial"/>
                <w:b/>
                <w:sz w:val="22"/>
                <w:szCs w:val="22"/>
                <w:lang w:eastAsia="en-AU"/>
              </w:rPr>
              <w:t xml:space="preserve">  </w:t>
            </w:r>
            <w:r w:rsidRPr="00C935A7">
              <w:rPr>
                <w:rFonts w:cs="Arial"/>
                <w:b/>
                <w:sz w:val="22"/>
                <w:szCs w:val="22"/>
                <w:lang w:eastAsia="en-AU"/>
              </w:rPr>
              <w:t>6.2</w:t>
            </w:r>
            <w:r>
              <w:rPr>
                <w:rFonts w:cs="Arial"/>
                <w:b/>
                <w:lang w:eastAsia="en-AU"/>
              </w:rPr>
              <w:t xml:space="preserve">  </w:t>
            </w:r>
            <w:r w:rsidRPr="00C935A7">
              <w:rPr>
                <w:rFonts w:cs="Arial"/>
                <w:b/>
                <w:sz w:val="22"/>
                <w:szCs w:val="22"/>
                <w:lang w:eastAsia="en-AU"/>
              </w:rPr>
              <w:t>Utility Services</w:t>
            </w:r>
          </w:p>
          <w:p w14:paraId="728E9390" w14:textId="77777777" w:rsidR="006818E2" w:rsidRDefault="006818E2" w:rsidP="003571A5">
            <w:pPr>
              <w:pStyle w:val="TableParagraph"/>
              <w:spacing w:line="267" w:lineRule="exact"/>
              <w:ind w:left="203"/>
              <w:rPr>
                <w:rFonts w:ascii="Calibri" w:hAnsi="Calibri" w:cs="Calibri"/>
              </w:rPr>
            </w:pPr>
          </w:p>
        </w:tc>
      </w:tr>
      <w:tr w:rsidR="006818E2" w14:paraId="1BABAE2B" w14:textId="77777777" w:rsidTr="003571A5">
        <w:trPr>
          <w:trHeight w:hRule="exact" w:val="2272"/>
        </w:trPr>
        <w:tc>
          <w:tcPr>
            <w:tcW w:w="4258" w:type="dxa"/>
            <w:tcBorders>
              <w:top w:val="single" w:sz="5" w:space="0" w:color="000000"/>
              <w:left w:val="single" w:sz="5" w:space="0" w:color="000000"/>
              <w:bottom w:val="single" w:sz="5" w:space="0" w:color="000000"/>
              <w:right w:val="single" w:sz="5" w:space="0" w:color="000000"/>
            </w:tcBorders>
          </w:tcPr>
          <w:p w14:paraId="77608875" w14:textId="77777777" w:rsidR="006818E2" w:rsidRPr="00C935A7" w:rsidRDefault="006818E2" w:rsidP="003571A5">
            <w:pPr>
              <w:autoSpaceDE w:val="0"/>
              <w:autoSpaceDN w:val="0"/>
              <w:adjustRightInd w:val="0"/>
              <w:spacing w:before="60"/>
              <w:ind w:left="68"/>
              <w:rPr>
                <w:rFonts w:cs="Arial"/>
                <w:sz w:val="22"/>
                <w:szCs w:val="22"/>
              </w:rPr>
            </w:pPr>
            <w:r w:rsidRPr="00C935A7">
              <w:rPr>
                <w:rFonts w:cs="Arial"/>
                <w:sz w:val="22"/>
                <w:szCs w:val="22"/>
              </w:rPr>
              <w:t>R43</w:t>
            </w:r>
          </w:p>
          <w:p w14:paraId="4D5FE40B" w14:textId="77777777" w:rsidR="006818E2" w:rsidRPr="00C935A7" w:rsidRDefault="006818E2" w:rsidP="003571A5">
            <w:pPr>
              <w:pStyle w:val="ListParagraph"/>
              <w:spacing w:before="60" w:after="60"/>
              <w:ind w:left="68"/>
              <w:rPr>
                <w:rFonts w:ascii="Arial" w:hAnsi="Arial" w:cs="Arial"/>
              </w:rPr>
            </w:pPr>
            <w:r w:rsidRPr="00C935A7">
              <w:rPr>
                <w:rFonts w:ascii="Arial" w:hAnsi="Arial" w:cs="Arial"/>
              </w:rPr>
              <w:t xml:space="preserve">Utility services, </w:t>
            </w:r>
            <w:r>
              <w:rPr>
                <w:rFonts w:ascii="Arial" w:hAnsi="Arial" w:cs="Arial"/>
              </w:rPr>
              <w:t xml:space="preserve">including water, sewer, stormwater, electricity, gas and telecommunications are provided to each block. </w:t>
            </w:r>
          </w:p>
          <w:p w14:paraId="72BC576E" w14:textId="77777777" w:rsidR="006818E2" w:rsidRPr="00C91C04" w:rsidRDefault="006818E2" w:rsidP="003571A5">
            <w:pPr>
              <w:autoSpaceDE w:val="0"/>
              <w:autoSpaceDN w:val="0"/>
              <w:adjustRightInd w:val="0"/>
              <w:rPr>
                <w:rFonts w:cs="Arial"/>
                <w:i/>
                <w:sz w:val="20"/>
              </w:rPr>
            </w:pPr>
            <w:r w:rsidRPr="00C935A7">
              <w:rPr>
                <w:rFonts w:cs="Arial"/>
                <w:b/>
                <w:sz w:val="18"/>
                <w:szCs w:val="18"/>
              </w:rPr>
              <w:t>Note</w:t>
            </w:r>
            <w:r w:rsidRPr="00C935A7">
              <w:rPr>
                <w:rFonts w:cs="Arial"/>
                <w:sz w:val="18"/>
                <w:szCs w:val="18"/>
              </w:rPr>
              <w:t>: A condition of development approval may be imposed to ensure compliance with this rule</w:t>
            </w:r>
            <w:r w:rsidRPr="00C91C04">
              <w:rPr>
                <w:rFonts w:cs="Arial"/>
                <w:i/>
                <w:sz w:val="20"/>
              </w:rPr>
              <w:t>.</w:t>
            </w:r>
          </w:p>
          <w:p w14:paraId="3E730435" w14:textId="77777777" w:rsidR="006818E2" w:rsidRDefault="006818E2" w:rsidP="003571A5">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5D7538CC" w14:textId="77777777" w:rsidR="006818E2" w:rsidRPr="00C935A7" w:rsidRDefault="006818E2" w:rsidP="003571A5">
            <w:pPr>
              <w:pStyle w:val="ListParagraph"/>
              <w:spacing w:before="60" w:after="0"/>
              <w:ind w:left="0"/>
              <w:rPr>
                <w:rFonts w:ascii="Arial" w:hAnsi="Arial" w:cs="Arial"/>
                <w:lang w:eastAsia="en-AU"/>
              </w:rPr>
            </w:pPr>
          </w:p>
          <w:p w14:paraId="7510D840" w14:textId="77777777" w:rsidR="006818E2" w:rsidRPr="00C935A7" w:rsidRDefault="006818E2" w:rsidP="003571A5">
            <w:pPr>
              <w:pStyle w:val="ListParagraph"/>
              <w:spacing w:after="0"/>
              <w:ind w:left="68"/>
              <w:rPr>
                <w:rFonts w:ascii="Arial" w:hAnsi="Arial" w:cs="Arial"/>
              </w:rPr>
            </w:pPr>
            <w:r w:rsidRPr="00C935A7">
              <w:rPr>
                <w:rFonts w:ascii="Arial" w:hAnsi="Arial" w:cs="Arial"/>
              </w:rPr>
              <w:t>This is a mandatory requirement. There is no applicable criterion.</w:t>
            </w:r>
          </w:p>
          <w:p w14:paraId="22450FE7" w14:textId="77777777" w:rsidR="006818E2" w:rsidRPr="00C91C04" w:rsidRDefault="006818E2" w:rsidP="003571A5">
            <w:pPr>
              <w:pStyle w:val="ListParagraph"/>
              <w:spacing w:after="0"/>
              <w:ind w:left="0"/>
              <w:rPr>
                <w:rFonts w:ascii="Arial" w:hAnsi="Arial" w:cs="Arial"/>
                <w:sz w:val="24"/>
                <w:szCs w:val="24"/>
              </w:rPr>
            </w:pPr>
          </w:p>
          <w:p w14:paraId="4E7FE61C" w14:textId="77777777" w:rsidR="006818E2" w:rsidRDefault="006818E2" w:rsidP="003571A5">
            <w:pPr>
              <w:pStyle w:val="TableParagraph"/>
              <w:ind w:left="102" w:right="145" w:hanging="1"/>
              <w:rPr>
                <w:rFonts w:ascii="Calibri" w:hAnsi="Calibri" w:cs="Calibri"/>
              </w:rPr>
            </w:pPr>
          </w:p>
        </w:tc>
      </w:tr>
    </w:tbl>
    <w:p w14:paraId="0BAD0695" w14:textId="43468E68" w:rsidR="001C7FD4" w:rsidRDefault="001C7FD4" w:rsidP="001C7FD4">
      <w:pPr>
        <w:pStyle w:val="BodyText"/>
        <w:jc w:val="center"/>
        <w:rPr>
          <w:b/>
        </w:rPr>
      </w:pPr>
    </w:p>
    <w:p w14:paraId="07E22DF7" w14:textId="77777777" w:rsidR="001C7FD4" w:rsidRDefault="001C7FD4" w:rsidP="00D93017">
      <w:pPr>
        <w:pStyle w:val="Head2"/>
        <w:keepNext/>
        <w:rPr>
          <w:rFonts w:cs="Arial"/>
        </w:rPr>
      </w:pPr>
      <w:bookmarkStart w:id="8" w:name="_Toc34989978"/>
      <w:r>
        <w:rPr>
          <w:rFonts w:cs="Arial"/>
        </w:rPr>
        <w:t>Changes to the Territory Plan</w:t>
      </w:r>
      <w:bookmarkEnd w:id="8"/>
    </w:p>
    <w:p w14:paraId="0B0A1A2D" w14:textId="77777777"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1D9AE1BA" w14:textId="77777777" w:rsidR="001C7FD4" w:rsidRDefault="001C7FD4" w:rsidP="00D93017">
      <w:pPr>
        <w:pStyle w:val="BodyText"/>
      </w:pPr>
    </w:p>
    <w:p w14:paraId="59D26AF2" w14:textId="77777777" w:rsidR="001C7FD4" w:rsidRDefault="001C7FD4" w:rsidP="00D93017">
      <w:pPr>
        <w:pStyle w:val="Head2"/>
        <w:keepNext/>
        <w:rPr>
          <w:rFonts w:cs="Arial"/>
        </w:rPr>
      </w:pPr>
      <w:bookmarkStart w:id="9" w:name="_Toc34989979"/>
      <w:r>
        <w:rPr>
          <w:rFonts w:cs="Arial"/>
        </w:rPr>
        <w:t xml:space="preserve">Consultation on the </w:t>
      </w:r>
      <w:r w:rsidR="00DB6CD9">
        <w:rPr>
          <w:rFonts w:cs="Arial"/>
        </w:rPr>
        <w:t>Draft Variation</w:t>
      </w:r>
      <w:bookmarkEnd w:id="9"/>
    </w:p>
    <w:p w14:paraId="5A33D470" w14:textId="601AFF36" w:rsidR="006818E2" w:rsidRDefault="006818E2" w:rsidP="006818E2">
      <w:pPr>
        <w:pStyle w:val="Default"/>
        <w:rPr>
          <w:sz w:val="23"/>
          <w:szCs w:val="23"/>
        </w:rPr>
      </w:pPr>
      <w:r>
        <w:rPr>
          <w:sz w:val="23"/>
          <w:szCs w:val="23"/>
        </w:rPr>
        <w:t xml:space="preserve">The draft variation was released for public comment between 17 January 2020 and 6 March 2020. A consultation notice under section 63 of the </w:t>
      </w:r>
      <w:r>
        <w:rPr>
          <w:i/>
          <w:iCs/>
          <w:sz w:val="23"/>
          <w:szCs w:val="23"/>
        </w:rPr>
        <w:t xml:space="preserve">Planning and Development Act 2007 </w:t>
      </w:r>
      <w:r>
        <w:rPr>
          <w:sz w:val="23"/>
          <w:szCs w:val="23"/>
        </w:rPr>
        <w:t xml:space="preserve">(P&amp;D Act) was published on the ACT Legislation Register on 17 January 2020. </w:t>
      </w:r>
    </w:p>
    <w:p w14:paraId="52BA7850" w14:textId="67F952D9" w:rsidR="006818E2" w:rsidRDefault="006818E2" w:rsidP="006818E2">
      <w:pPr>
        <w:pStyle w:val="Default"/>
        <w:rPr>
          <w:sz w:val="23"/>
          <w:szCs w:val="23"/>
        </w:rPr>
      </w:pPr>
    </w:p>
    <w:p w14:paraId="42C2483B" w14:textId="77777777" w:rsidR="00BF208E" w:rsidRDefault="006818E2" w:rsidP="006818E2">
      <w:pPr>
        <w:pStyle w:val="Default"/>
        <w:rPr>
          <w:color w:val="auto"/>
          <w:sz w:val="23"/>
          <w:szCs w:val="23"/>
        </w:rPr>
      </w:pPr>
      <w:r>
        <w:rPr>
          <w:color w:val="auto"/>
          <w:sz w:val="23"/>
          <w:szCs w:val="23"/>
        </w:rPr>
        <w:t xml:space="preserve">Consultation resulted in nine written submissions being received.  </w:t>
      </w:r>
    </w:p>
    <w:p w14:paraId="39A3DE9D" w14:textId="77777777" w:rsidR="00BF208E" w:rsidRDefault="00BF208E" w:rsidP="006818E2">
      <w:pPr>
        <w:pStyle w:val="Default"/>
        <w:rPr>
          <w:color w:val="auto"/>
          <w:sz w:val="23"/>
          <w:szCs w:val="23"/>
        </w:rPr>
      </w:pPr>
    </w:p>
    <w:p w14:paraId="62EC4C56" w14:textId="3259C9EA" w:rsidR="006818E2" w:rsidRDefault="006818E2" w:rsidP="006818E2">
      <w:pPr>
        <w:pStyle w:val="Default"/>
        <w:rPr>
          <w:sz w:val="23"/>
          <w:szCs w:val="23"/>
        </w:rPr>
      </w:pPr>
      <w:r>
        <w:rPr>
          <w:color w:val="auto"/>
          <w:sz w:val="23"/>
          <w:szCs w:val="23"/>
        </w:rPr>
        <w:t>The main comments were:</w:t>
      </w:r>
    </w:p>
    <w:p w14:paraId="37F953BD" w14:textId="77777777" w:rsidR="006818E2" w:rsidRDefault="006818E2" w:rsidP="006818E2">
      <w:pPr>
        <w:pStyle w:val="Default"/>
        <w:rPr>
          <w:sz w:val="23"/>
          <w:szCs w:val="23"/>
        </w:rPr>
      </w:pPr>
    </w:p>
    <w:tbl>
      <w:tblPr>
        <w:tblStyle w:val="TableGrid"/>
        <w:tblW w:w="0" w:type="auto"/>
        <w:jc w:val="center"/>
        <w:tblLook w:val="04A0" w:firstRow="1" w:lastRow="0" w:firstColumn="1" w:lastColumn="0" w:noHBand="0" w:noVBand="1"/>
      </w:tblPr>
      <w:tblGrid>
        <w:gridCol w:w="7044"/>
        <w:gridCol w:w="1622"/>
      </w:tblGrid>
      <w:tr w:rsidR="006818E2" w14:paraId="512BA244" w14:textId="77777777" w:rsidTr="00770CB7">
        <w:trPr>
          <w:jc w:val="center"/>
        </w:trPr>
        <w:tc>
          <w:tcPr>
            <w:tcW w:w="7044" w:type="dxa"/>
          </w:tcPr>
          <w:p w14:paraId="67246F7B" w14:textId="023B5D92" w:rsidR="006818E2" w:rsidRDefault="006818E2" w:rsidP="00770CB7">
            <w:pPr>
              <w:pStyle w:val="Default"/>
              <w:rPr>
                <w:sz w:val="23"/>
                <w:szCs w:val="23"/>
              </w:rPr>
            </w:pPr>
            <w:r>
              <w:rPr>
                <w:b/>
                <w:bCs/>
                <w:sz w:val="23"/>
                <w:szCs w:val="23"/>
              </w:rPr>
              <w:t>Issue</w:t>
            </w:r>
          </w:p>
        </w:tc>
        <w:tc>
          <w:tcPr>
            <w:tcW w:w="1622" w:type="dxa"/>
          </w:tcPr>
          <w:p w14:paraId="7BD5B91E" w14:textId="03AEE9F3" w:rsidR="006818E2" w:rsidRDefault="006818E2" w:rsidP="00770CB7">
            <w:pPr>
              <w:pStyle w:val="Default"/>
              <w:jc w:val="center"/>
              <w:rPr>
                <w:sz w:val="23"/>
                <w:szCs w:val="23"/>
              </w:rPr>
            </w:pPr>
            <w:r>
              <w:rPr>
                <w:b/>
                <w:bCs/>
                <w:sz w:val="23"/>
                <w:szCs w:val="23"/>
              </w:rPr>
              <w:t>Number of submissions</w:t>
            </w:r>
          </w:p>
        </w:tc>
      </w:tr>
      <w:tr w:rsidR="006818E2" w14:paraId="177DE9BE" w14:textId="77777777" w:rsidTr="00770CB7">
        <w:trPr>
          <w:jc w:val="center"/>
        </w:trPr>
        <w:tc>
          <w:tcPr>
            <w:tcW w:w="7044" w:type="dxa"/>
          </w:tcPr>
          <w:p w14:paraId="11FCF9FA" w14:textId="32C75DEE" w:rsidR="006818E2" w:rsidRDefault="006818E2" w:rsidP="00770CB7">
            <w:pPr>
              <w:pStyle w:val="Default"/>
              <w:spacing w:after="240"/>
              <w:rPr>
                <w:sz w:val="23"/>
                <w:szCs w:val="23"/>
              </w:rPr>
            </w:pPr>
            <w:r>
              <w:rPr>
                <w:color w:val="242424"/>
                <w:sz w:val="23"/>
                <w:szCs w:val="23"/>
              </w:rPr>
              <w:t xml:space="preserve">The draft variation is supported </w:t>
            </w:r>
          </w:p>
        </w:tc>
        <w:tc>
          <w:tcPr>
            <w:tcW w:w="1622" w:type="dxa"/>
          </w:tcPr>
          <w:p w14:paraId="310E952F" w14:textId="256B3F84" w:rsidR="006818E2" w:rsidRDefault="006818E2" w:rsidP="00770CB7">
            <w:pPr>
              <w:pStyle w:val="Default"/>
              <w:spacing w:after="240"/>
              <w:jc w:val="center"/>
              <w:rPr>
                <w:sz w:val="23"/>
                <w:szCs w:val="23"/>
              </w:rPr>
            </w:pPr>
            <w:r>
              <w:rPr>
                <w:sz w:val="23"/>
                <w:szCs w:val="23"/>
              </w:rPr>
              <w:t>7</w:t>
            </w:r>
          </w:p>
        </w:tc>
      </w:tr>
      <w:tr w:rsidR="006818E2" w14:paraId="400A5CEE" w14:textId="77777777" w:rsidTr="00770CB7">
        <w:trPr>
          <w:jc w:val="center"/>
        </w:trPr>
        <w:tc>
          <w:tcPr>
            <w:tcW w:w="7044" w:type="dxa"/>
          </w:tcPr>
          <w:p w14:paraId="547CE44E" w14:textId="2FFBC3C2" w:rsidR="006818E2" w:rsidRDefault="00BF208E" w:rsidP="00770CB7">
            <w:pPr>
              <w:pStyle w:val="Default"/>
              <w:spacing w:after="240"/>
              <w:rPr>
                <w:sz w:val="23"/>
                <w:szCs w:val="23"/>
              </w:rPr>
            </w:pPr>
            <w:r>
              <w:rPr>
                <w:sz w:val="23"/>
                <w:szCs w:val="23"/>
              </w:rPr>
              <w:t xml:space="preserve">Changes do not go far enough – should also prohibit the installation of new gas infrastructure (in new suburbs, new developments, new houses) </w:t>
            </w:r>
          </w:p>
        </w:tc>
        <w:tc>
          <w:tcPr>
            <w:tcW w:w="1622" w:type="dxa"/>
          </w:tcPr>
          <w:p w14:paraId="564F6CB6" w14:textId="70CCEDB7" w:rsidR="006818E2" w:rsidRDefault="00BF208E" w:rsidP="00770CB7">
            <w:pPr>
              <w:pStyle w:val="Default"/>
              <w:spacing w:after="240"/>
              <w:jc w:val="center"/>
              <w:rPr>
                <w:sz w:val="23"/>
                <w:szCs w:val="23"/>
              </w:rPr>
            </w:pPr>
            <w:r>
              <w:rPr>
                <w:sz w:val="23"/>
                <w:szCs w:val="23"/>
              </w:rPr>
              <w:t>5</w:t>
            </w:r>
          </w:p>
        </w:tc>
      </w:tr>
      <w:tr w:rsidR="006818E2" w14:paraId="20078206" w14:textId="77777777" w:rsidTr="00770CB7">
        <w:trPr>
          <w:jc w:val="center"/>
        </w:trPr>
        <w:tc>
          <w:tcPr>
            <w:tcW w:w="7044" w:type="dxa"/>
          </w:tcPr>
          <w:p w14:paraId="689BF5FE" w14:textId="6891BDFE" w:rsidR="006818E2" w:rsidRDefault="00BF208E" w:rsidP="00770CB7">
            <w:pPr>
              <w:pStyle w:val="Default"/>
              <w:spacing w:after="240"/>
              <w:rPr>
                <w:sz w:val="23"/>
                <w:szCs w:val="23"/>
              </w:rPr>
            </w:pPr>
            <w:r>
              <w:rPr>
                <w:sz w:val="23"/>
                <w:szCs w:val="23"/>
              </w:rPr>
              <w:t xml:space="preserve">Substitutes to sustain the gas network cannot perpetuate emissions </w:t>
            </w:r>
          </w:p>
        </w:tc>
        <w:tc>
          <w:tcPr>
            <w:tcW w:w="1622" w:type="dxa"/>
          </w:tcPr>
          <w:p w14:paraId="423901D1" w14:textId="00C87607" w:rsidR="006818E2" w:rsidRDefault="00BF208E" w:rsidP="00770CB7">
            <w:pPr>
              <w:pStyle w:val="Default"/>
              <w:spacing w:after="240"/>
              <w:jc w:val="center"/>
              <w:rPr>
                <w:sz w:val="23"/>
                <w:szCs w:val="23"/>
              </w:rPr>
            </w:pPr>
            <w:r>
              <w:rPr>
                <w:sz w:val="23"/>
                <w:szCs w:val="23"/>
              </w:rPr>
              <w:t>1</w:t>
            </w:r>
          </w:p>
        </w:tc>
      </w:tr>
      <w:tr w:rsidR="006818E2" w14:paraId="19E3D52F" w14:textId="77777777" w:rsidTr="00770CB7">
        <w:trPr>
          <w:jc w:val="center"/>
        </w:trPr>
        <w:tc>
          <w:tcPr>
            <w:tcW w:w="7044" w:type="dxa"/>
          </w:tcPr>
          <w:p w14:paraId="5B13E483" w14:textId="73BBCDCE" w:rsidR="006818E2" w:rsidRDefault="00BF208E" w:rsidP="00770CB7">
            <w:pPr>
              <w:pStyle w:val="Default"/>
              <w:spacing w:after="240"/>
              <w:rPr>
                <w:sz w:val="23"/>
                <w:szCs w:val="23"/>
              </w:rPr>
            </w:pPr>
            <w:r>
              <w:rPr>
                <w:color w:val="242424"/>
                <w:sz w:val="23"/>
                <w:szCs w:val="23"/>
              </w:rPr>
              <w:t xml:space="preserve">The ACT Government should increase </w:t>
            </w:r>
            <w:r>
              <w:rPr>
                <w:sz w:val="23"/>
                <w:szCs w:val="23"/>
              </w:rPr>
              <w:t xml:space="preserve">programs, public education, and support for community to switch from gas to electric appliances </w:t>
            </w:r>
          </w:p>
        </w:tc>
        <w:tc>
          <w:tcPr>
            <w:tcW w:w="1622" w:type="dxa"/>
          </w:tcPr>
          <w:p w14:paraId="2532689B" w14:textId="2564976D" w:rsidR="006818E2" w:rsidRDefault="00BF208E" w:rsidP="00770CB7">
            <w:pPr>
              <w:pStyle w:val="Default"/>
              <w:spacing w:after="240"/>
              <w:jc w:val="center"/>
              <w:rPr>
                <w:sz w:val="23"/>
                <w:szCs w:val="23"/>
              </w:rPr>
            </w:pPr>
            <w:r>
              <w:rPr>
                <w:sz w:val="23"/>
                <w:szCs w:val="23"/>
              </w:rPr>
              <w:t>1</w:t>
            </w:r>
          </w:p>
        </w:tc>
      </w:tr>
      <w:tr w:rsidR="006818E2" w14:paraId="6437157C" w14:textId="77777777" w:rsidTr="00770CB7">
        <w:trPr>
          <w:jc w:val="center"/>
        </w:trPr>
        <w:tc>
          <w:tcPr>
            <w:tcW w:w="7044" w:type="dxa"/>
          </w:tcPr>
          <w:p w14:paraId="54761B81" w14:textId="1F3615CA" w:rsidR="006818E2" w:rsidRDefault="00BF208E" w:rsidP="00770CB7">
            <w:pPr>
              <w:pStyle w:val="Default"/>
              <w:spacing w:after="240"/>
              <w:rPr>
                <w:sz w:val="23"/>
                <w:szCs w:val="23"/>
              </w:rPr>
            </w:pPr>
            <w:r>
              <w:rPr>
                <w:sz w:val="23"/>
                <w:szCs w:val="23"/>
              </w:rPr>
              <w:t xml:space="preserve">The ACT Government’s 2045 timeline requires more detail for homeowners and developers </w:t>
            </w:r>
          </w:p>
        </w:tc>
        <w:tc>
          <w:tcPr>
            <w:tcW w:w="1622" w:type="dxa"/>
          </w:tcPr>
          <w:p w14:paraId="5209FCE1" w14:textId="1F1202DF" w:rsidR="006818E2" w:rsidRDefault="00BF208E" w:rsidP="00770CB7">
            <w:pPr>
              <w:pStyle w:val="Default"/>
              <w:spacing w:after="240"/>
              <w:jc w:val="center"/>
              <w:rPr>
                <w:sz w:val="23"/>
                <w:szCs w:val="23"/>
              </w:rPr>
            </w:pPr>
            <w:r>
              <w:rPr>
                <w:sz w:val="23"/>
                <w:szCs w:val="23"/>
              </w:rPr>
              <w:t>1</w:t>
            </w:r>
          </w:p>
        </w:tc>
      </w:tr>
    </w:tbl>
    <w:p w14:paraId="23A3C8C2" w14:textId="77777777" w:rsidR="00770CB7" w:rsidRDefault="00770CB7">
      <w:r>
        <w:br w:type="page"/>
      </w:r>
    </w:p>
    <w:tbl>
      <w:tblPr>
        <w:tblStyle w:val="TableGrid"/>
        <w:tblW w:w="0" w:type="auto"/>
        <w:jc w:val="center"/>
        <w:tblLook w:val="04A0" w:firstRow="1" w:lastRow="0" w:firstColumn="1" w:lastColumn="0" w:noHBand="0" w:noVBand="1"/>
      </w:tblPr>
      <w:tblGrid>
        <w:gridCol w:w="7044"/>
        <w:gridCol w:w="1622"/>
      </w:tblGrid>
      <w:tr w:rsidR="006818E2" w14:paraId="47269998" w14:textId="77777777" w:rsidTr="00770CB7">
        <w:trPr>
          <w:jc w:val="center"/>
        </w:trPr>
        <w:tc>
          <w:tcPr>
            <w:tcW w:w="7044" w:type="dxa"/>
          </w:tcPr>
          <w:p w14:paraId="30401668" w14:textId="7794D45C" w:rsidR="006818E2" w:rsidRDefault="00BF208E" w:rsidP="00770CB7">
            <w:pPr>
              <w:pStyle w:val="Default"/>
              <w:spacing w:after="240"/>
              <w:rPr>
                <w:sz w:val="23"/>
                <w:szCs w:val="23"/>
              </w:rPr>
            </w:pPr>
            <w:r>
              <w:rPr>
                <w:sz w:val="23"/>
                <w:szCs w:val="23"/>
              </w:rPr>
              <w:lastRenderedPageBreak/>
              <w:t xml:space="preserve">ACT Government policy and programs must clearly guide both corporate action and community transition </w:t>
            </w:r>
          </w:p>
        </w:tc>
        <w:tc>
          <w:tcPr>
            <w:tcW w:w="1622" w:type="dxa"/>
          </w:tcPr>
          <w:p w14:paraId="25A85DE3" w14:textId="1104F4ED" w:rsidR="006818E2" w:rsidRDefault="00BF208E" w:rsidP="00770CB7">
            <w:pPr>
              <w:pStyle w:val="Default"/>
              <w:spacing w:after="240"/>
              <w:jc w:val="center"/>
              <w:rPr>
                <w:sz w:val="23"/>
                <w:szCs w:val="23"/>
              </w:rPr>
            </w:pPr>
            <w:r>
              <w:rPr>
                <w:sz w:val="23"/>
                <w:szCs w:val="23"/>
              </w:rPr>
              <w:t>1</w:t>
            </w:r>
          </w:p>
        </w:tc>
      </w:tr>
      <w:tr w:rsidR="006818E2" w14:paraId="1E601B05" w14:textId="77777777" w:rsidTr="00770CB7">
        <w:trPr>
          <w:jc w:val="center"/>
        </w:trPr>
        <w:tc>
          <w:tcPr>
            <w:tcW w:w="7044" w:type="dxa"/>
          </w:tcPr>
          <w:p w14:paraId="2EDF24AD" w14:textId="78EE9FA0" w:rsidR="006818E2" w:rsidRDefault="00BF208E" w:rsidP="00770CB7">
            <w:pPr>
              <w:pStyle w:val="Default"/>
              <w:spacing w:after="240"/>
              <w:rPr>
                <w:sz w:val="23"/>
                <w:szCs w:val="23"/>
              </w:rPr>
            </w:pPr>
            <w:r>
              <w:rPr>
                <w:sz w:val="23"/>
                <w:szCs w:val="23"/>
              </w:rPr>
              <w:t xml:space="preserve">Natural gas can be replaced by biogas, which is renewable, reliable and a local source of energy. </w:t>
            </w:r>
          </w:p>
        </w:tc>
        <w:tc>
          <w:tcPr>
            <w:tcW w:w="1622" w:type="dxa"/>
          </w:tcPr>
          <w:p w14:paraId="418ECD20" w14:textId="0634E402" w:rsidR="006818E2" w:rsidRDefault="00BF208E" w:rsidP="00770CB7">
            <w:pPr>
              <w:pStyle w:val="Default"/>
              <w:spacing w:after="240"/>
              <w:jc w:val="center"/>
              <w:rPr>
                <w:sz w:val="23"/>
                <w:szCs w:val="23"/>
              </w:rPr>
            </w:pPr>
            <w:r>
              <w:rPr>
                <w:sz w:val="23"/>
                <w:szCs w:val="23"/>
              </w:rPr>
              <w:t>1</w:t>
            </w:r>
          </w:p>
        </w:tc>
      </w:tr>
    </w:tbl>
    <w:p w14:paraId="4D54DEEC" w14:textId="4BF8D88E" w:rsidR="006818E2" w:rsidRDefault="006818E2" w:rsidP="006818E2">
      <w:pPr>
        <w:pStyle w:val="Default"/>
        <w:rPr>
          <w:sz w:val="23"/>
          <w:szCs w:val="23"/>
        </w:rPr>
      </w:pPr>
    </w:p>
    <w:p w14:paraId="12BC10DF" w14:textId="1E63D952" w:rsidR="006F22CB" w:rsidRDefault="00DC46B5" w:rsidP="006F22CB">
      <w:pPr>
        <w:pStyle w:val="BodyText"/>
        <w:spacing w:before="240" w:after="0"/>
      </w:pPr>
      <w:r>
        <w:t xml:space="preserve">The comments </w:t>
      </w:r>
      <w:r w:rsidR="006818E2">
        <w:t>on</w:t>
      </w:r>
      <w:r>
        <w:t xml:space="preserve"> the draft variation were noted</w:t>
      </w:r>
      <w:r w:rsidR="006F22CB">
        <w:t xml:space="preserve"> and </w:t>
      </w:r>
      <w:r w:rsidR="006818E2">
        <w:t xml:space="preserve">responses </w:t>
      </w:r>
      <w:r w:rsidR="006F22CB">
        <w:t xml:space="preserve">are detailed in a report on consultation which is available at </w:t>
      </w:r>
      <w:r w:rsidR="006F22CB" w:rsidRPr="00E5623F">
        <w:rPr>
          <w:b/>
        </w:rPr>
        <w:t>www.act.gov.au/recommendedvariations</w:t>
      </w:r>
      <w:r w:rsidR="006F22CB" w:rsidRPr="00E5623F">
        <w:t>.</w:t>
      </w:r>
      <w:r w:rsidR="006F22CB">
        <w:t xml:space="preserve"> </w:t>
      </w:r>
      <w:r w:rsidR="006818E2" w:rsidRPr="0025569F">
        <w:rPr>
          <w:szCs w:val="24"/>
        </w:rPr>
        <w:t>Minor changes were made to the revised rule to clarify that the provision of gas is optional</w:t>
      </w:r>
      <w:r w:rsidR="006F22CB" w:rsidRPr="0025569F">
        <w:rPr>
          <w:szCs w:val="24"/>
        </w:rPr>
        <w:t>. The Minister responsible for planning considered the outcomes of consultation prior to approval of this variation</w:t>
      </w:r>
      <w:r w:rsidR="006F22CB">
        <w:t xml:space="preserve">.  </w:t>
      </w:r>
    </w:p>
    <w:p w14:paraId="53DFF1C9" w14:textId="77777777" w:rsidR="00EA4F6C" w:rsidRDefault="00EA4F6C" w:rsidP="00EA4F6C">
      <w:pPr>
        <w:pStyle w:val="BodyText"/>
      </w:pPr>
    </w:p>
    <w:p w14:paraId="514B7D64" w14:textId="77777777" w:rsidR="00575B48" w:rsidRDefault="00575B48" w:rsidP="00D93017">
      <w:pPr>
        <w:pStyle w:val="BodyText"/>
        <w:rPr>
          <w:sz w:val="32"/>
        </w:rPr>
      </w:pPr>
      <w:r>
        <w:br w:type="page"/>
      </w:r>
    </w:p>
    <w:p w14:paraId="58164935" w14:textId="77777777" w:rsidR="001C7FD4" w:rsidRDefault="001C7FD4" w:rsidP="0092522E">
      <w:pPr>
        <w:pStyle w:val="Head1"/>
        <w:numPr>
          <w:ilvl w:val="0"/>
          <w:numId w:val="3"/>
        </w:numPr>
        <w:tabs>
          <w:tab w:val="clear" w:pos="567"/>
          <w:tab w:val="clear" w:pos="851"/>
        </w:tabs>
        <w:rPr>
          <w:rFonts w:cs="Arial"/>
        </w:rPr>
      </w:pPr>
      <w:bookmarkStart w:id="10" w:name="_Toc34989980"/>
      <w:r>
        <w:rPr>
          <w:rFonts w:cs="Arial"/>
        </w:rPr>
        <w:lastRenderedPageBreak/>
        <w:t>VARIATION</w:t>
      </w:r>
      <w:bookmarkEnd w:id="10"/>
      <w:r w:rsidR="00D5669E">
        <w:rPr>
          <w:rFonts w:cs="Arial"/>
        </w:rPr>
        <w:t xml:space="preserve"> </w:t>
      </w:r>
    </w:p>
    <w:p w14:paraId="6A0354F6" w14:textId="77777777" w:rsidR="006C39CF" w:rsidRDefault="006C39CF" w:rsidP="00D93017">
      <w:pPr>
        <w:pStyle w:val="Head2"/>
        <w:keepNext/>
        <w:rPr>
          <w:rFonts w:cs="Arial"/>
        </w:rPr>
      </w:pPr>
      <w:bookmarkStart w:id="11" w:name="_Toc34989981"/>
      <w:bookmarkStart w:id="12" w:name="_Toc189989954"/>
      <w:r>
        <w:rPr>
          <w:rFonts w:cs="Arial"/>
        </w:rPr>
        <w:t>Variation to the Territory Plan</w:t>
      </w:r>
      <w:bookmarkEnd w:id="11"/>
      <w:r>
        <w:rPr>
          <w:rFonts w:cs="Arial"/>
        </w:rPr>
        <w:t xml:space="preserve"> </w:t>
      </w:r>
    </w:p>
    <w:p w14:paraId="31E0A10D" w14:textId="7E67255E" w:rsidR="00BF208E" w:rsidRPr="00211049" w:rsidRDefault="00BF208E" w:rsidP="00BF208E">
      <w:pPr>
        <w:pStyle w:val="BodyText"/>
      </w:pPr>
      <w:r>
        <w:t>The Territory Plan is varied in the following way:</w:t>
      </w:r>
      <w:r>
        <w:rPr>
          <w:i/>
        </w:rPr>
        <w:t xml:space="preserve"> </w:t>
      </w:r>
    </w:p>
    <w:p w14:paraId="118F44FF" w14:textId="77777777" w:rsidR="00BF208E" w:rsidRDefault="00BF208E" w:rsidP="00BF208E">
      <w:pPr>
        <w:pStyle w:val="TAsubheadinglocationinterritoryplan"/>
      </w:pPr>
      <w:r>
        <w:t>Variation to the Estate Development C</w:t>
      </w:r>
      <w:r w:rsidRPr="00D201C1">
        <w:t>ode</w:t>
      </w:r>
      <w:r>
        <w:rPr>
          <w:i/>
        </w:rPr>
        <w:t xml:space="preserve"> </w:t>
      </w:r>
    </w:p>
    <w:p w14:paraId="405692E0" w14:textId="77777777" w:rsidR="00BF208E" w:rsidRPr="00A31E1E" w:rsidRDefault="00BF208E" w:rsidP="00BF208E">
      <w:pPr>
        <w:pStyle w:val="TAeditorialitemgeneralheading"/>
        <w:pBdr>
          <w:right w:val="single" w:sz="4" w:space="3" w:color="auto"/>
        </w:pBdr>
      </w:pPr>
      <w:r w:rsidRPr="00A31E1E">
        <w:t>Element 6: Services and Infrastructure; I</w:t>
      </w:r>
      <w:r>
        <w:t>tem 6.2 Utility Services; Rule </w:t>
      </w:r>
      <w:r w:rsidRPr="00A31E1E">
        <w:t>43</w:t>
      </w:r>
    </w:p>
    <w:p w14:paraId="544D639B" w14:textId="77777777" w:rsidR="00BF208E" w:rsidRDefault="00BF208E" w:rsidP="00BF208E">
      <w:pPr>
        <w:pStyle w:val="BodyText"/>
      </w:pPr>
    </w:p>
    <w:p w14:paraId="37F30F0B" w14:textId="77777777" w:rsidR="00BF208E" w:rsidRPr="00A31E1E" w:rsidRDefault="00BF208E" w:rsidP="00BF208E">
      <w:pPr>
        <w:pStyle w:val="BodyText"/>
        <w:rPr>
          <w:i/>
        </w:rPr>
      </w:pPr>
      <w:r w:rsidRPr="00A31E1E">
        <w:rPr>
          <w:i/>
        </w:rPr>
        <w:t>Substitute</w:t>
      </w: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BF208E" w14:paraId="72746DE3" w14:textId="77777777" w:rsidTr="003571A5">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0294FBC1" w14:textId="77777777" w:rsidR="00BF208E" w:rsidRPr="00C935A7" w:rsidRDefault="00BF208E" w:rsidP="003571A5">
            <w:pPr>
              <w:spacing w:before="60" w:after="60"/>
              <w:rPr>
                <w:rFonts w:cs="Arial"/>
                <w:b/>
                <w:sz w:val="22"/>
                <w:szCs w:val="22"/>
                <w:lang w:eastAsia="en-AU"/>
              </w:rPr>
            </w:pPr>
            <w:r>
              <w:rPr>
                <w:rFonts w:cs="Arial"/>
                <w:b/>
                <w:sz w:val="22"/>
                <w:szCs w:val="22"/>
                <w:lang w:eastAsia="en-AU"/>
              </w:rPr>
              <w:t xml:space="preserve">  </w:t>
            </w:r>
            <w:r w:rsidRPr="00C935A7">
              <w:rPr>
                <w:rFonts w:cs="Arial"/>
                <w:b/>
                <w:sz w:val="22"/>
                <w:szCs w:val="22"/>
                <w:lang w:eastAsia="en-AU"/>
              </w:rPr>
              <w:t>6.2</w:t>
            </w:r>
            <w:r>
              <w:rPr>
                <w:rFonts w:cs="Arial"/>
                <w:b/>
                <w:lang w:eastAsia="en-AU"/>
              </w:rPr>
              <w:t xml:space="preserve">  </w:t>
            </w:r>
            <w:r w:rsidRPr="00C935A7">
              <w:rPr>
                <w:rFonts w:cs="Arial"/>
                <w:b/>
                <w:sz w:val="22"/>
                <w:szCs w:val="22"/>
                <w:lang w:eastAsia="en-AU"/>
              </w:rPr>
              <w:t>Utility Services</w:t>
            </w:r>
          </w:p>
          <w:p w14:paraId="288ADE07" w14:textId="77777777" w:rsidR="00BF208E" w:rsidRDefault="00BF208E" w:rsidP="003571A5">
            <w:pPr>
              <w:pStyle w:val="TableParagraph"/>
              <w:spacing w:line="267" w:lineRule="exact"/>
              <w:ind w:left="203"/>
              <w:rPr>
                <w:rFonts w:ascii="Calibri" w:hAnsi="Calibri" w:cs="Calibri"/>
              </w:rPr>
            </w:pPr>
          </w:p>
        </w:tc>
      </w:tr>
      <w:tr w:rsidR="00BF208E" w14:paraId="3B8257B5" w14:textId="77777777" w:rsidTr="00BF208E">
        <w:trPr>
          <w:trHeight w:hRule="exact" w:val="3233"/>
        </w:trPr>
        <w:tc>
          <w:tcPr>
            <w:tcW w:w="4258" w:type="dxa"/>
            <w:tcBorders>
              <w:top w:val="single" w:sz="5" w:space="0" w:color="000000"/>
              <w:left w:val="single" w:sz="5" w:space="0" w:color="000000"/>
              <w:bottom w:val="single" w:sz="5" w:space="0" w:color="000000"/>
              <w:right w:val="single" w:sz="5" w:space="0" w:color="000000"/>
            </w:tcBorders>
          </w:tcPr>
          <w:p w14:paraId="77A888E9" w14:textId="77777777" w:rsidR="00BF208E" w:rsidRPr="00C935A7" w:rsidRDefault="00BF208E" w:rsidP="003571A5">
            <w:pPr>
              <w:autoSpaceDE w:val="0"/>
              <w:autoSpaceDN w:val="0"/>
              <w:adjustRightInd w:val="0"/>
              <w:spacing w:before="60"/>
              <w:ind w:left="68"/>
              <w:rPr>
                <w:rFonts w:cs="Arial"/>
                <w:sz w:val="22"/>
                <w:szCs w:val="22"/>
              </w:rPr>
            </w:pPr>
            <w:r w:rsidRPr="00C935A7">
              <w:rPr>
                <w:rFonts w:cs="Arial"/>
                <w:sz w:val="22"/>
                <w:szCs w:val="22"/>
              </w:rPr>
              <w:t>R43</w:t>
            </w:r>
          </w:p>
          <w:p w14:paraId="17993EC5" w14:textId="08C76999" w:rsidR="00BF208E" w:rsidRDefault="00BF208E" w:rsidP="003571A5">
            <w:pPr>
              <w:pStyle w:val="ListParagraph"/>
              <w:spacing w:before="60" w:after="60"/>
              <w:ind w:left="68"/>
              <w:rPr>
                <w:rFonts w:ascii="Arial" w:hAnsi="Arial" w:cs="Arial"/>
              </w:rPr>
            </w:pPr>
            <w:r w:rsidRPr="00C935A7">
              <w:rPr>
                <w:rFonts w:ascii="Arial" w:hAnsi="Arial" w:cs="Arial"/>
              </w:rPr>
              <w:t xml:space="preserve">Utility services, </w:t>
            </w:r>
            <w:r>
              <w:rPr>
                <w:rFonts w:ascii="Arial" w:hAnsi="Arial" w:cs="Arial"/>
              </w:rPr>
              <w:t xml:space="preserve">including water, sewer, stormwater, electricity and telecommunications are provided to each block. </w:t>
            </w:r>
          </w:p>
          <w:p w14:paraId="652AD198" w14:textId="77777777" w:rsidR="00BF208E" w:rsidRPr="00BF208E" w:rsidRDefault="00BF208E" w:rsidP="003571A5">
            <w:pPr>
              <w:pStyle w:val="ListParagraph"/>
              <w:spacing w:before="60" w:after="60"/>
              <w:ind w:left="68"/>
              <w:rPr>
                <w:rFonts w:ascii="Arial" w:hAnsi="Arial" w:cs="Arial"/>
                <w:sz w:val="16"/>
                <w:szCs w:val="16"/>
              </w:rPr>
            </w:pPr>
          </w:p>
          <w:p w14:paraId="6D09C33C" w14:textId="46846852" w:rsidR="00BF208E" w:rsidRPr="00BF208E" w:rsidRDefault="00BF208E" w:rsidP="00BF208E">
            <w:pPr>
              <w:pStyle w:val="ListParagraph"/>
              <w:spacing w:before="60" w:after="60"/>
              <w:ind w:left="68"/>
              <w:rPr>
                <w:rFonts w:ascii="Arial" w:hAnsi="Arial" w:cs="Arial"/>
                <w:sz w:val="18"/>
                <w:szCs w:val="18"/>
              </w:rPr>
            </w:pPr>
            <w:r w:rsidRPr="00BF208E">
              <w:rPr>
                <w:rFonts w:ascii="Arial" w:hAnsi="Arial" w:cs="Arial"/>
                <w:b/>
                <w:bCs/>
                <w:sz w:val="18"/>
                <w:szCs w:val="18"/>
              </w:rPr>
              <w:t>Note 1</w:t>
            </w:r>
            <w:r w:rsidRPr="00BF208E">
              <w:rPr>
                <w:rFonts w:ascii="Arial" w:hAnsi="Arial" w:cs="Arial"/>
                <w:sz w:val="18"/>
                <w:szCs w:val="18"/>
              </w:rPr>
              <w:t>: A condition of development approval may be imposed to ensure compliance with this rule.</w:t>
            </w:r>
          </w:p>
          <w:p w14:paraId="7A850DCD" w14:textId="52310C96" w:rsidR="00BF208E" w:rsidRPr="00BF208E" w:rsidRDefault="00BF208E" w:rsidP="00BF208E">
            <w:pPr>
              <w:pStyle w:val="ListParagraph"/>
              <w:spacing w:before="60" w:after="60"/>
              <w:ind w:left="68"/>
              <w:rPr>
                <w:rFonts w:ascii="Arial" w:hAnsi="Arial" w:cs="Arial"/>
                <w:sz w:val="16"/>
                <w:szCs w:val="16"/>
              </w:rPr>
            </w:pPr>
          </w:p>
          <w:p w14:paraId="23212CE2" w14:textId="55B99A64" w:rsidR="00BF208E" w:rsidRPr="00BF208E" w:rsidRDefault="00BF208E" w:rsidP="00BF208E">
            <w:pPr>
              <w:pStyle w:val="ListParagraph"/>
              <w:spacing w:before="60" w:after="60"/>
              <w:ind w:left="68"/>
              <w:rPr>
                <w:rFonts w:ascii="Arial" w:hAnsi="Arial" w:cs="Arial"/>
                <w:sz w:val="18"/>
                <w:szCs w:val="18"/>
              </w:rPr>
            </w:pPr>
            <w:r w:rsidRPr="00BF208E">
              <w:rPr>
                <w:rFonts w:ascii="Arial" w:hAnsi="Arial" w:cs="Arial"/>
                <w:b/>
                <w:bCs/>
                <w:sz w:val="18"/>
                <w:szCs w:val="18"/>
              </w:rPr>
              <w:t>Note 2</w:t>
            </w:r>
            <w:r w:rsidRPr="00BF208E">
              <w:rPr>
                <w:rFonts w:ascii="Arial" w:hAnsi="Arial" w:cs="Arial"/>
                <w:sz w:val="18"/>
                <w:szCs w:val="18"/>
              </w:rPr>
              <w:t xml:space="preserve">: The provision of other utility services including the provision of gas is optional. </w:t>
            </w:r>
          </w:p>
          <w:p w14:paraId="3EBCB846" w14:textId="7E1BBB01" w:rsidR="00BF208E" w:rsidRPr="00BF208E" w:rsidRDefault="00BF208E" w:rsidP="00BF208E">
            <w:pPr>
              <w:pStyle w:val="ListParagraph"/>
              <w:spacing w:before="60" w:after="60"/>
              <w:ind w:left="68"/>
              <w:rPr>
                <w:rFonts w:ascii="Arial" w:hAnsi="Arial" w:cs="Arial"/>
              </w:rPr>
            </w:pPr>
          </w:p>
          <w:p w14:paraId="148BCC80" w14:textId="77777777" w:rsidR="00BF208E" w:rsidRPr="00C91C04" w:rsidRDefault="00BF208E" w:rsidP="003571A5">
            <w:pPr>
              <w:autoSpaceDE w:val="0"/>
              <w:autoSpaceDN w:val="0"/>
              <w:adjustRightInd w:val="0"/>
              <w:rPr>
                <w:rFonts w:cs="Arial"/>
                <w:i/>
                <w:sz w:val="20"/>
              </w:rPr>
            </w:pPr>
          </w:p>
          <w:p w14:paraId="2A93D36D" w14:textId="77777777" w:rsidR="00BF208E" w:rsidRDefault="00BF208E" w:rsidP="003571A5">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0422D58B" w14:textId="77777777" w:rsidR="00BF208E" w:rsidRPr="00C935A7" w:rsidRDefault="00BF208E" w:rsidP="003571A5">
            <w:pPr>
              <w:pStyle w:val="ListParagraph"/>
              <w:spacing w:before="60" w:after="0"/>
              <w:ind w:left="0"/>
              <w:rPr>
                <w:rFonts w:ascii="Arial" w:hAnsi="Arial" w:cs="Arial"/>
                <w:lang w:eastAsia="en-AU"/>
              </w:rPr>
            </w:pPr>
          </w:p>
          <w:p w14:paraId="4766D9E9" w14:textId="77777777" w:rsidR="00BF208E" w:rsidRPr="00C935A7" w:rsidRDefault="00BF208E" w:rsidP="003571A5">
            <w:pPr>
              <w:pStyle w:val="ListParagraph"/>
              <w:spacing w:after="0"/>
              <w:ind w:left="68"/>
              <w:rPr>
                <w:rFonts w:ascii="Arial" w:hAnsi="Arial" w:cs="Arial"/>
              </w:rPr>
            </w:pPr>
            <w:r w:rsidRPr="00C935A7">
              <w:rPr>
                <w:rFonts w:ascii="Arial" w:hAnsi="Arial" w:cs="Arial"/>
              </w:rPr>
              <w:t>This is a mandatory requirement. There is no applicable criterion.</w:t>
            </w:r>
          </w:p>
          <w:p w14:paraId="4FC2A41F" w14:textId="77777777" w:rsidR="00BF208E" w:rsidRPr="00C91C04" w:rsidRDefault="00BF208E" w:rsidP="003571A5">
            <w:pPr>
              <w:pStyle w:val="ListParagraph"/>
              <w:spacing w:after="0"/>
              <w:ind w:left="0"/>
              <w:rPr>
                <w:rFonts w:ascii="Arial" w:hAnsi="Arial" w:cs="Arial"/>
                <w:sz w:val="24"/>
                <w:szCs w:val="24"/>
              </w:rPr>
            </w:pPr>
          </w:p>
          <w:p w14:paraId="791F295A" w14:textId="77777777" w:rsidR="00BF208E" w:rsidRDefault="00BF208E" w:rsidP="003571A5">
            <w:pPr>
              <w:pStyle w:val="TableParagraph"/>
              <w:ind w:left="102" w:right="145" w:hanging="1"/>
              <w:rPr>
                <w:rFonts w:ascii="Calibri" w:hAnsi="Calibri" w:cs="Calibri"/>
              </w:rPr>
            </w:pPr>
          </w:p>
        </w:tc>
      </w:tr>
    </w:tbl>
    <w:p w14:paraId="126B97E5" w14:textId="77777777" w:rsidR="00BF208E" w:rsidRDefault="00BF208E" w:rsidP="00BF208E">
      <w:pPr>
        <w:pStyle w:val="BodyText"/>
      </w:pPr>
    </w:p>
    <w:p w14:paraId="00190948" w14:textId="3596CB08" w:rsidR="008B77D9" w:rsidRPr="008B77D9" w:rsidRDefault="008B77D9" w:rsidP="008B77D9">
      <w:pPr>
        <w:pStyle w:val="BodyText"/>
      </w:pPr>
    </w:p>
    <w:bookmarkEnd w:id="12"/>
    <w:p w14:paraId="5F0B8A2E" w14:textId="77777777" w:rsidR="00BF208E" w:rsidRDefault="00BF208E">
      <w:pPr>
        <w:rPr>
          <w:rFonts w:cs="Arial"/>
          <w:b/>
          <w:bCs/>
        </w:rPr>
      </w:pPr>
      <w:r>
        <w:rPr>
          <w:b/>
          <w:bCs/>
        </w:rPr>
        <w:br w:type="page"/>
      </w:r>
    </w:p>
    <w:p w14:paraId="5B85B824" w14:textId="74F7BC9B" w:rsidR="001C7FD4" w:rsidRDefault="001C7FD4" w:rsidP="004965FA">
      <w:pPr>
        <w:pStyle w:val="BodyText"/>
        <w:spacing w:after="240"/>
        <w:rPr>
          <w:b/>
          <w:bCs/>
        </w:rPr>
      </w:pPr>
      <w:r>
        <w:rPr>
          <w:b/>
          <w:bCs/>
        </w:rPr>
        <w:lastRenderedPageBreak/>
        <w:t>Interpretation service</w:t>
      </w:r>
    </w:p>
    <w:p w14:paraId="33F624A2" w14:textId="77777777" w:rsidR="001C7FD4" w:rsidRDefault="00346D1B" w:rsidP="00D93017">
      <w:pPr>
        <w:pStyle w:val="BodyText"/>
      </w:pPr>
      <w:r>
        <w:rPr>
          <w:noProof/>
          <w:lang w:eastAsia="en-AU"/>
        </w:rPr>
        <w:drawing>
          <wp:inline distT="0" distB="0" distL="0" distR="0" wp14:anchorId="61AC151D" wp14:editId="21B2E7D5">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7"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04E81D04" w14:textId="77777777" w:rsidR="00356231" w:rsidRPr="0070443B" w:rsidRDefault="00356231" w:rsidP="00D93017">
      <w:pPr>
        <w:pStyle w:val="BodyText"/>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24F0" w14:textId="77777777" w:rsidR="00CB1BF1" w:rsidRDefault="00CB1BF1">
      <w:r>
        <w:separator/>
      </w:r>
    </w:p>
  </w:endnote>
  <w:endnote w:type="continuationSeparator" w:id="0">
    <w:p w14:paraId="447DC588" w14:textId="77777777" w:rsidR="00CB1BF1" w:rsidRDefault="00CB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55657"/>
      <w:docPartObj>
        <w:docPartGallery w:val="Page Numbers (Top of Page)"/>
        <w:docPartUnique/>
      </w:docPartObj>
    </w:sdtPr>
    <w:sdtEndPr/>
    <w:sdtContent>
      <w:p w14:paraId="1FDD0AF4" w14:textId="77777777"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Pr>
            <w:rFonts w:ascii="Arial" w:hAnsi="Arial" w:cs="Arial"/>
          </w:rPr>
          <w:t>2</w:t>
        </w:r>
        <w:r w:rsidR="001A4AA3" w:rsidRPr="007456C5">
          <w:rPr>
            <w:rFonts w:ascii="Arial" w:hAnsi="Arial" w:cs="Arial"/>
          </w:rPr>
          <w:fldChar w:fldCharType="end"/>
        </w:r>
        <w:r w:rsidRPr="007456C5">
          <w:rPr>
            <w:rFonts w:ascii="Arial" w:hAnsi="Arial" w:cs="Arial"/>
          </w:rPr>
          <w:tab/>
          <w:t>Variation 000 – final variation version</w:t>
        </w:r>
      </w:p>
      <w:p w14:paraId="7DF9E4EA" w14:textId="77777777"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55651"/>
      <w:docPartObj>
        <w:docPartGallery w:val="Page Numbers (Bottom of Page)"/>
        <w:docPartUnique/>
      </w:docPartObj>
    </w:sdtPr>
    <w:sdtEndPr/>
    <w:sdtContent>
      <w:sdt>
        <w:sdtPr>
          <w:rPr>
            <w:rFonts w:ascii="Arial" w:hAnsi="Arial" w:cs="Arial"/>
          </w:rPr>
          <w:id w:val="8755652"/>
          <w:docPartObj>
            <w:docPartGallery w:val="Page Numbers (Top of Page)"/>
            <w:docPartUnique/>
          </w:docPartObj>
        </w:sdtPr>
        <w:sdtEndPr/>
        <w:sdtContent>
          <w:p w14:paraId="1FE9C254" w14:textId="77777777" w:rsidR="00BE4E8D"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sidR="00DC46B5">
              <w:rPr>
                <w:rFonts w:ascii="Arial" w:hAnsi="Arial" w:cs="Arial"/>
              </w:rPr>
              <w:t>2</w:t>
            </w:r>
            <w:r w:rsidR="001A4AA3" w:rsidRPr="007456C5">
              <w:rPr>
                <w:rFonts w:ascii="Arial" w:hAnsi="Arial" w:cs="Arial"/>
              </w:rPr>
              <w:fldChar w:fldCharType="end"/>
            </w:r>
          </w:p>
          <w:p w14:paraId="65D0E6C2" w14:textId="4B232C27" w:rsidR="00BE4E8D" w:rsidRDefault="00222529" w:rsidP="007456C5">
            <w:pPr>
              <w:pStyle w:val="Footer"/>
              <w:tabs>
                <w:tab w:val="clear" w:pos="4153"/>
                <w:tab w:val="clear" w:pos="8306"/>
                <w:tab w:val="right" w:pos="6096"/>
              </w:tabs>
              <w:rPr>
                <w:rFonts w:ascii="Arial" w:hAnsi="Arial" w:cs="Arial"/>
              </w:rPr>
            </w:pPr>
            <w:r w:rsidRPr="00DF7877">
              <w:rPr>
                <w:rFonts w:ascii="Arial" w:hAnsi="Arial" w:cs="Arial"/>
              </w:rPr>
              <w:t>Variation</w:t>
            </w:r>
            <w:r w:rsidR="00D93017" w:rsidRPr="00DF7877">
              <w:rPr>
                <w:rFonts w:ascii="Arial" w:hAnsi="Arial" w:cs="Arial"/>
              </w:rPr>
              <w:t xml:space="preserve"> </w:t>
            </w:r>
            <w:r w:rsidR="00DF7877" w:rsidRPr="00DF7877">
              <w:rPr>
                <w:rFonts w:ascii="Arial" w:hAnsi="Arial" w:cs="Arial"/>
              </w:rPr>
              <w:t>3</w:t>
            </w:r>
            <w:r w:rsidR="008730E2">
              <w:rPr>
                <w:rFonts w:ascii="Arial" w:hAnsi="Arial" w:cs="Arial"/>
              </w:rPr>
              <w:t>73</w:t>
            </w:r>
          </w:p>
        </w:sdtContent>
      </w:sdt>
    </w:sdtContent>
  </w:sdt>
  <w:p w14:paraId="1F61BEB8" w14:textId="03DE5790" w:rsidR="007F58DB" w:rsidRPr="007F58DB" w:rsidRDefault="007F58DB" w:rsidP="007F58DB">
    <w:pPr>
      <w:pStyle w:val="Footer"/>
      <w:tabs>
        <w:tab w:val="clear" w:pos="4153"/>
        <w:tab w:val="clear" w:pos="8306"/>
        <w:tab w:val="right" w:pos="6096"/>
      </w:tabs>
      <w:rPr>
        <w:rFonts w:ascii="Arial" w:hAnsi="Arial" w:cs="Arial"/>
        <w:sz w:val="14"/>
      </w:rPr>
    </w:pPr>
    <w:r w:rsidRPr="007F58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9D24" w14:textId="2D204C7D" w:rsidR="007F58DB" w:rsidRPr="007F58DB" w:rsidRDefault="007F58DB" w:rsidP="007F58DB">
    <w:pPr>
      <w:pStyle w:val="Footer"/>
      <w:rPr>
        <w:rFonts w:ascii="Arial" w:hAnsi="Arial" w:cs="Arial"/>
        <w:sz w:val="14"/>
      </w:rPr>
    </w:pPr>
    <w:r w:rsidRPr="007F58D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0F8F" w14:textId="42AFBA36" w:rsidR="008555A6" w:rsidRPr="007F58DB" w:rsidRDefault="007F58DB" w:rsidP="007F58DB">
    <w:pPr>
      <w:pStyle w:val="Footer"/>
      <w:rPr>
        <w:rFonts w:ascii="Arial" w:hAnsi="Arial" w:cs="Arial"/>
        <w:sz w:val="14"/>
      </w:rPr>
    </w:pPr>
    <w:r w:rsidRPr="007F58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48E9" w14:textId="77777777" w:rsidR="00CB1BF1" w:rsidRDefault="00CB1BF1">
      <w:r>
        <w:separator/>
      </w:r>
    </w:p>
  </w:footnote>
  <w:footnote w:type="continuationSeparator" w:id="0">
    <w:p w14:paraId="1001302C" w14:textId="77777777" w:rsidR="00CB1BF1" w:rsidRDefault="00CB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D650" w14:textId="77777777" w:rsidR="007F58DB" w:rsidRDefault="007F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3BC2" w14:textId="77777777" w:rsidR="007F58DB" w:rsidRDefault="007F5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CAF7" w14:textId="77777777" w:rsidR="007F58DB" w:rsidRDefault="007F58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E291" w14:textId="77777777" w:rsidR="008555A6" w:rsidRDefault="008555A6" w:rsidP="008555A6">
    <w:pPr>
      <w:pStyle w:val="Header"/>
      <w:ind w:left="-142"/>
      <w:rPr>
        <w:rFonts w:ascii="Calibri" w:hAnsi="Calibri" w:cs="Calibri"/>
        <w:b/>
        <w:sz w:val="32"/>
        <w:szCs w:val="32"/>
      </w:rPr>
    </w:pPr>
    <w:r>
      <w:rPr>
        <w:rFonts w:ascii="Calibri" w:hAnsi="Calibri" w:cs="Calibri"/>
        <w:b/>
        <w:sz w:val="32"/>
        <w:szCs w:val="32"/>
      </w:rPr>
      <w:t>Schedule</w:t>
    </w:r>
  </w:p>
  <w:p w14:paraId="590ADDA5" w14:textId="77777777" w:rsidR="008555A6" w:rsidRPr="006F6210" w:rsidRDefault="008555A6" w:rsidP="008555A6">
    <w:pPr>
      <w:pStyle w:val="Header"/>
      <w:pBdr>
        <w:bottom w:val="single" w:sz="6" w:space="1" w:color="auto"/>
      </w:pBdr>
      <w:ind w:left="-142"/>
      <w:rPr>
        <w:rFonts w:ascii="Calibri" w:hAnsi="Calibri" w:cs="Calibri"/>
        <w:sz w:val="28"/>
        <w:szCs w:val="32"/>
      </w:rPr>
    </w:pPr>
    <w:r w:rsidRPr="009A4FFC">
      <w:rPr>
        <w:rFonts w:ascii="Calibri" w:hAnsi="Calibri" w:cs="Calibri"/>
        <w:sz w:val="28"/>
        <w:szCs w:val="32"/>
      </w:rPr>
      <w:t>(See section 2(2))</w:t>
    </w:r>
  </w:p>
  <w:p w14:paraId="10E5DE48" w14:textId="77777777" w:rsidR="008555A6" w:rsidRDefault="008555A6" w:rsidP="00460DD4">
    <w:pPr>
      <w:pStyle w:val="Header"/>
      <w:spacing w:before="360"/>
      <w:ind w:left="-142"/>
      <w:rPr>
        <w:rFonts w:ascii="Calibri" w:hAnsi="Calibri" w:cs="Calibri"/>
        <w:b/>
        <w:sz w:val="32"/>
        <w:szCs w:val="32"/>
      </w:rPr>
    </w:pPr>
    <w:r>
      <w:rPr>
        <w:noProof/>
        <w:lang w:eastAsia="en-AU"/>
      </w:rPr>
      <w:drawing>
        <wp:inline distT="0" distB="0" distL="0" distR="0" wp14:anchorId="472F1ADE" wp14:editId="75268445">
          <wp:extent cx="2604799" cy="969872"/>
          <wp:effectExtent l="19050" t="0" r="5051" b="0"/>
          <wp:docPr id="5"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p>
  <w:p w14:paraId="5D8D33BD" w14:textId="77777777" w:rsidR="008555A6" w:rsidRDefault="0085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5"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11"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2"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8361B0"/>
    <w:multiLevelType w:val="hybridMultilevel"/>
    <w:tmpl w:val="DE32B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1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FD4"/>
    <w:rsid w:val="00006764"/>
    <w:rsid w:val="00040679"/>
    <w:rsid w:val="00084447"/>
    <w:rsid w:val="00096FC2"/>
    <w:rsid w:val="000C7078"/>
    <w:rsid w:val="000D628B"/>
    <w:rsid w:val="00111B0E"/>
    <w:rsid w:val="00141685"/>
    <w:rsid w:val="0015090C"/>
    <w:rsid w:val="00161834"/>
    <w:rsid w:val="001A4AA3"/>
    <w:rsid w:val="001B34D2"/>
    <w:rsid w:val="001C7FD4"/>
    <w:rsid w:val="001E089E"/>
    <w:rsid w:val="00222529"/>
    <w:rsid w:val="002429BC"/>
    <w:rsid w:val="002541B6"/>
    <w:rsid w:val="0025569F"/>
    <w:rsid w:val="002672A4"/>
    <w:rsid w:val="002C0B57"/>
    <w:rsid w:val="002D7E17"/>
    <w:rsid w:val="002E43AD"/>
    <w:rsid w:val="00331FFE"/>
    <w:rsid w:val="00346D1B"/>
    <w:rsid w:val="003558AD"/>
    <w:rsid w:val="00356231"/>
    <w:rsid w:val="0036285F"/>
    <w:rsid w:val="003B648B"/>
    <w:rsid w:val="003D3A8D"/>
    <w:rsid w:val="003F30D0"/>
    <w:rsid w:val="004160CF"/>
    <w:rsid w:val="00426208"/>
    <w:rsid w:val="0043284E"/>
    <w:rsid w:val="00456E7A"/>
    <w:rsid w:val="00460DD4"/>
    <w:rsid w:val="004843F2"/>
    <w:rsid w:val="004965FA"/>
    <w:rsid w:val="00563F0A"/>
    <w:rsid w:val="005651B0"/>
    <w:rsid w:val="00575B48"/>
    <w:rsid w:val="00581EDB"/>
    <w:rsid w:val="00585FF9"/>
    <w:rsid w:val="005A252E"/>
    <w:rsid w:val="006466FF"/>
    <w:rsid w:val="00661595"/>
    <w:rsid w:val="006764C0"/>
    <w:rsid w:val="006818E2"/>
    <w:rsid w:val="006B700E"/>
    <w:rsid w:val="006C39CF"/>
    <w:rsid w:val="006F22CB"/>
    <w:rsid w:val="0070443B"/>
    <w:rsid w:val="0074529E"/>
    <w:rsid w:val="007456C5"/>
    <w:rsid w:val="00770CB7"/>
    <w:rsid w:val="0078707C"/>
    <w:rsid w:val="007D65CA"/>
    <w:rsid w:val="007F58DB"/>
    <w:rsid w:val="0080562F"/>
    <w:rsid w:val="00822B62"/>
    <w:rsid w:val="00836F71"/>
    <w:rsid w:val="008555A6"/>
    <w:rsid w:val="0085707F"/>
    <w:rsid w:val="008730E2"/>
    <w:rsid w:val="00873EAD"/>
    <w:rsid w:val="008A2BAC"/>
    <w:rsid w:val="008B77D9"/>
    <w:rsid w:val="008D6E3B"/>
    <w:rsid w:val="008F5692"/>
    <w:rsid w:val="0092522E"/>
    <w:rsid w:val="009B3BED"/>
    <w:rsid w:val="009B7B97"/>
    <w:rsid w:val="009C3888"/>
    <w:rsid w:val="00A06D67"/>
    <w:rsid w:val="00A73776"/>
    <w:rsid w:val="00A74C38"/>
    <w:rsid w:val="00A84F8E"/>
    <w:rsid w:val="00AA3627"/>
    <w:rsid w:val="00AE0C37"/>
    <w:rsid w:val="00B05685"/>
    <w:rsid w:val="00B35A74"/>
    <w:rsid w:val="00B5714D"/>
    <w:rsid w:val="00B86CDB"/>
    <w:rsid w:val="00BE4E8D"/>
    <w:rsid w:val="00BF208E"/>
    <w:rsid w:val="00C010B1"/>
    <w:rsid w:val="00C14346"/>
    <w:rsid w:val="00C3544D"/>
    <w:rsid w:val="00C40CD7"/>
    <w:rsid w:val="00C8148A"/>
    <w:rsid w:val="00C827D2"/>
    <w:rsid w:val="00C83A96"/>
    <w:rsid w:val="00C84118"/>
    <w:rsid w:val="00C92D20"/>
    <w:rsid w:val="00CB1BF1"/>
    <w:rsid w:val="00CB1D69"/>
    <w:rsid w:val="00CC322C"/>
    <w:rsid w:val="00CF2A49"/>
    <w:rsid w:val="00D06ACE"/>
    <w:rsid w:val="00D110BD"/>
    <w:rsid w:val="00D179CD"/>
    <w:rsid w:val="00D37419"/>
    <w:rsid w:val="00D458BB"/>
    <w:rsid w:val="00D5669E"/>
    <w:rsid w:val="00D93017"/>
    <w:rsid w:val="00D97283"/>
    <w:rsid w:val="00DB6CD9"/>
    <w:rsid w:val="00DC46B5"/>
    <w:rsid w:val="00DC7A6F"/>
    <w:rsid w:val="00DF2B25"/>
    <w:rsid w:val="00DF7877"/>
    <w:rsid w:val="00E03B8B"/>
    <w:rsid w:val="00E215A4"/>
    <w:rsid w:val="00E22A27"/>
    <w:rsid w:val="00E74D20"/>
    <w:rsid w:val="00EA4F6C"/>
    <w:rsid w:val="00EC6492"/>
    <w:rsid w:val="00F062FF"/>
    <w:rsid w:val="00F12CB9"/>
    <w:rsid w:val="00F15049"/>
    <w:rsid w:val="00F254A3"/>
    <w:rsid w:val="00F47A94"/>
    <w:rsid w:val="00F72482"/>
    <w:rsid w:val="00F76B34"/>
    <w:rsid w:val="00FC1477"/>
    <w:rsid w:val="00FC63EA"/>
    <w:rsid w:val="00FD1276"/>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5DBEA"/>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555A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character" w:styleId="FollowedHyperlink">
    <w:name w:val="FollowedHyperlink"/>
    <w:basedOn w:val="DefaultParagraphFont"/>
    <w:semiHidden/>
    <w:unhideWhenUsed/>
    <w:rsid w:val="00B5714D"/>
    <w:rPr>
      <w:color w:val="800080" w:themeColor="followedHyperlink"/>
      <w:u w:val="single"/>
    </w:rPr>
  </w:style>
  <w:style w:type="character" w:customStyle="1" w:styleId="Heading5Char">
    <w:name w:val="Heading 5 Char"/>
    <w:basedOn w:val="DefaultParagraphFont"/>
    <w:link w:val="Heading5"/>
    <w:semiHidden/>
    <w:rsid w:val="008555A6"/>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8555A6"/>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8555A6"/>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8555A6"/>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8555A6"/>
    <w:pPr>
      <w:tabs>
        <w:tab w:val="left" w:pos="2600"/>
      </w:tabs>
      <w:spacing w:before="200" w:after="60" w:line="276" w:lineRule="auto"/>
      <w:jc w:val="both"/>
    </w:pPr>
    <w:rPr>
      <w:rFonts w:ascii="Calibri" w:eastAsia="Calibri" w:hAnsi="Calibri" w:cs="Arial"/>
      <w:b/>
      <w:bCs/>
      <w:sz w:val="22"/>
      <w:szCs w:val="24"/>
    </w:rPr>
  </w:style>
  <w:style w:type="paragraph" w:customStyle="1" w:styleId="Default">
    <w:name w:val="Default"/>
    <w:rsid w:val="006B700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B700E"/>
    <w:rPr>
      <w:color w:val="605E5C"/>
      <w:shd w:val="clear" w:color="auto" w:fill="E1DFDD"/>
    </w:rPr>
  </w:style>
  <w:style w:type="paragraph" w:styleId="ListParagraph">
    <w:name w:val="List Paragraph"/>
    <w:basedOn w:val="Normal"/>
    <w:uiPriority w:val="34"/>
    <w:qFormat/>
    <w:rsid w:val="006818E2"/>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6818E2"/>
    <w:pPr>
      <w:autoSpaceDE w:val="0"/>
      <w:autoSpaceDN w:val="0"/>
    </w:pPr>
    <w:rPr>
      <w:rFonts w:ascii="Times New Roman" w:eastAsia="Calibri" w:hAnsi="Times New Roman"/>
      <w:szCs w:val="24"/>
      <w:lang w:eastAsia="en-AU"/>
    </w:rPr>
  </w:style>
  <w:style w:type="table" w:styleId="TableGrid">
    <w:name w:val="Table Grid"/>
    <w:basedOn w:val="TableNormal"/>
    <w:rsid w:val="0068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nvironment.act.gov.au/cc/act-climate-change-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F153-B6EA-4463-A565-C0735A71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6760</Characters>
  <Application>Microsoft Office Word</Application>
  <DocSecurity>0</DocSecurity>
  <Lines>232</Lines>
  <Paragraphs>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7948</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2020-03-13T00:06:00Z</cp:lastPrinted>
  <dcterms:created xsi:type="dcterms:W3CDTF">2020-06-17T01:23:00Z</dcterms:created>
  <dcterms:modified xsi:type="dcterms:W3CDTF">2020-06-17T01:23:00Z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A25686210</vt:lpwstr>
  </property>
  <property fmtid="{D5CDD505-2E9C-101B-9397-08002B2CF9AE}" pid="3" name="Objective-Comment">
    <vt:lpwstr/>
  </property>
  <property fmtid="{D5CDD505-2E9C-101B-9397-08002B2CF9AE}" pid="4" name="Objective-CreationStamp">
    <vt:filetime>2020-06-02T02:53:45Z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2020-06-15T06:13:04Z</vt:filetime>
  </property>
  <property fmtid="{D5CDD505-2E9C-101B-9397-08002B2CF9AE}" pid="8" name="Objective-ModificationStamp">
    <vt:filetime>2020-06-15T06:33:23Z</vt:filetime>
  </property>
  <property fmtid="{D5CDD505-2E9C-101B-9397-08002B2CF9AE}" pid="9" name="Objective-Owner">
    <vt:lpwstr>Janine Ridsdale</vt:lpwstr>
  </property>
  <property fmtid="{D5CDD505-2E9C-101B-9397-08002B2CF9AE}" pid="10" name="Objective-Path">
    <vt:lpwstr>Whole of ACT Government:EPSDD - Environment Planning and Sustainable Development Directorate:07. Ministerial, Cabinet and Government Relations:06. Ministerials:2020 - Ministerial and Chief Ministerial Briefs / Correspondence:Planning, Land and Building:06</vt:lpwstr>
  </property>
  <property fmtid="{D5CDD505-2E9C-101B-9397-08002B2CF9AE}" pid="11" name="Objective-Parent">
    <vt:lpwstr>20/34750 - Ministerial Information Brief - Approval and tabling of DV373 - removal of mandatory gas from the Estate Development Code</vt:lpwstr>
  </property>
  <property fmtid="{D5CDD505-2E9C-101B-9397-08002B2CF9AE}" pid="12" name="Objective-State">
    <vt:lpwstr>Published</vt:lpwstr>
  </property>
  <property fmtid="{D5CDD505-2E9C-101B-9397-08002B2CF9AE}" pid="13" name="Objective-Title">
    <vt:lpwstr>Attachment A - DV373_NI</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1-2020/34750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