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6CA7" w14:textId="77777777" w:rsidR="007B4583" w:rsidRPr="001D21AA" w:rsidRDefault="007B4583" w:rsidP="007B4583">
      <w:pPr>
        <w:spacing w:before="120"/>
        <w:rPr>
          <w:rFonts w:ascii="Arial" w:hAnsi="Arial" w:cs="Arial"/>
        </w:rPr>
      </w:pPr>
      <w:bookmarkStart w:id="0" w:name="_Toc44738651"/>
      <w:bookmarkStart w:id="1" w:name="_GoBack"/>
      <w:bookmarkEnd w:id="1"/>
      <w:r w:rsidRPr="001D21AA">
        <w:rPr>
          <w:rFonts w:ascii="Arial" w:hAnsi="Arial" w:cs="Arial"/>
        </w:rPr>
        <w:t>Australian Capital Territory</w:t>
      </w:r>
    </w:p>
    <w:p w14:paraId="5AF522E0" w14:textId="13ADF085" w:rsidR="007B4583" w:rsidRDefault="007B4583" w:rsidP="007B4583">
      <w:pPr>
        <w:spacing w:before="340"/>
        <w:rPr>
          <w:rFonts w:ascii="Arial" w:eastAsia="Times New Roman" w:hAnsi="Arial" w:cs="Times New Roman"/>
          <w:b/>
          <w:sz w:val="40"/>
          <w:szCs w:val="20"/>
        </w:rPr>
      </w:pPr>
      <w:r w:rsidRPr="00FB634E">
        <w:rPr>
          <w:rFonts w:ascii="Arial" w:eastAsia="Times New Roman" w:hAnsi="Arial" w:cs="Times New Roman"/>
          <w:b/>
          <w:sz w:val="40"/>
          <w:szCs w:val="20"/>
        </w:rPr>
        <w:t xml:space="preserve">Integrity Commission </w:t>
      </w:r>
      <w:r>
        <w:rPr>
          <w:rFonts w:ascii="Arial" w:eastAsia="Times New Roman" w:hAnsi="Arial" w:cs="Times New Roman"/>
          <w:b/>
          <w:sz w:val="40"/>
          <w:szCs w:val="20"/>
        </w:rPr>
        <w:t>Reputational Repair</w:t>
      </w:r>
      <w:r w:rsidRPr="00FB634E">
        <w:rPr>
          <w:rFonts w:ascii="Arial" w:eastAsia="Times New Roman" w:hAnsi="Arial" w:cs="Times New Roman"/>
          <w:b/>
          <w:sz w:val="40"/>
          <w:szCs w:val="20"/>
        </w:rPr>
        <w:t xml:space="preserve"> </w:t>
      </w:r>
      <w:r>
        <w:rPr>
          <w:rFonts w:ascii="Arial" w:eastAsia="Times New Roman" w:hAnsi="Arial" w:cs="Times New Roman"/>
          <w:b/>
          <w:sz w:val="40"/>
          <w:szCs w:val="20"/>
        </w:rPr>
        <w:t>Protocols</w:t>
      </w:r>
      <w:r w:rsidRPr="00FB634E">
        <w:rPr>
          <w:rFonts w:ascii="Arial" w:eastAsia="Times New Roman" w:hAnsi="Arial" w:cs="Times New Roman"/>
          <w:b/>
          <w:sz w:val="40"/>
          <w:szCs w:val="20"/>
        </w:rPr>
        <w:t xml:space="preserve"> 20</w:t>
      </w:r>
      <w:r>
        <w:rPr>
          <w:rFonts w:ascii="Arial" w:eastAsia="Times New Roman" w:hAnsi="Arial" w:cs="Times New Roman"/>
          <w:b/>
          <w:sz w:val="40"/>
          <w:szCs w:val="20"/>
        </w:rPr>
        <w:t>20</w:t>
      </w:r>
    </w:p>
    <w:p w14:paraId="0947CDE9" w14:textId="5EBAA30D" w:rsidR="007B4583" w:rsidRPr="001D21AA" w:rsidRDefault="007B4583" w:rsidP="007B4583">
      <w:pPr>
        <w:spacing w:before="340"/>
        <w:rPr>
          <w:rFonts w:ascii="Arial" w:hAnsi="Arial" w:cs="Arial"/>
          <w:b/>
          <w:bCs/>
        </w:rPr>
      </w:pPr>
      <w:r w:rsidRPr="001D21AA">
        <w:rPr>
          <w:rFonts w:ascii="Arial" w:hAnsi="Arial" w:cs="Arial"/>
          <w:b/>
          <w:bCs/>
        </w:rPr>
        <w:t>Notifiable instrument NI20</w:t>
      </w:r>
      <w:r>
        <w:rPr>
          <w:rFonts w:ascii="Arial" w:hAnsi="Arial" w:cs="Arial"/>
          <w:b/>
          <w:bCs/>
        </w:rPr>
        <w:t>20</w:t>
      </w:r>
      <w:r w:rsidRPr="001D21AA">
        <w:rPr>
          <w:rFonts w:ascii="Arial" w:hAnsi="Arial" w:cs="Arial"/>
          <w:b/>
          <w:bCs/>
        </w:rPr>
        <w:t>–</w:t>
      </w:r>
      <w:r w:rsidR="00ED495C">
        <w:rPr>
          <w:rFonts w:ascii="Arial" w:hAnsi="Arial" w:cs="Arial"/>
          <w:b/>
          <w:bCs/>
        </w:rPr>
        <w:t>594</w:t>
      </w:r>
    </w:p>
    <w:p w14:paraId="22B311A7" w14:textId="77777777" w:rsidR="007B4583" w:rsidRPr="001D21AA" w:rsidRDefault="007B4583" w:rsidP="007B4583">
      <w:pPr>
        <w:pStyle w:val="madeunder"/>
        <w:spacing w:before="300" w:after="0"/>
      </w:pPr>
      <w:r w:rsidRPr="001D21AA">
        <w:t>made under the</w:t>
      </w:r>
    </w:p>
    <w:p w14:paraId="4AB8FB60" w14:textId="36DCDA8E" w:rsidR="007B4583" w:rsidRPr="000F4A8C" w:rsidRDefault="007B4583" w:rsidP="007B4583">
      <w:pPr>
        <w:pStyle w:val="CoverActName"/>
        <w:spacing w:before="320" w:after="0"/>
        <w:rPr>
          <w:rFonts w:cs="Arial"/>
          <w:szCs w:val="24"/>
        </w:rPr>
      </w:pPr>
      <w:r w:rsidRPr="000F4A8C">
        <w:rPr>
          <w:rFonts w:cs="Arial"/>
          <w:i/>
          <w:iCs/>
          <w:szCs w:val="24"/>
        </w:rPr>
        <w:t>Integrity Commission Act 2018</w:t>
      </w:r>
      <w:r w:rsidRPr="000F4A8C">
        <w:rPr>
          <w:rFonts w:cs="Arial"/>
          <w:szCs w:val="24"/>
        </w:rPr>
        <w:t xml:space="preserve">, section </w:t>
      </w:r>
      <w:r>
        <w:rPr>
          <w:rFonts w:cs="Arial"/>
          <w:szCs w:val="24"/>
        </w:rPr>
        <w:t>204</w:t>
      </w:r>
      <w:r w:rsidRPr="000F4A8C">
        <w:rPr>
          <w:rFonts w:cs="Arial"/>
          <w:szCs w:val="24"/>
        </w:rPr>
        <w:t xml:space="preserve"> (</w:t>
      </w:r>
      <w:r>
        <w:rPr>
          <w:rFonts w:cs="Arial"/>
          <w:szCs w:val="24"/>
        </w:rPr>
        <w:t>Reputational repair protocols</w:t>
      </w:r>
      <w:r w:rsidRPr="000F4A8C">
        <w:rPr>
          <w:rFonts w:cs="Arial"/>
          <w:szCs w:val="24"/>
        </w:rPr>
        <w:t>)</w:t>
      </w:r>
    </w:p>
    <w:p w14:paraId="35906532" w14:textId="77777777" w:rsidR="007B4583" w:rsidRPr="001D21AA" w:rsidRDefault="007B4583" w:rsidP="007B4583">
      <w:pPr>
        <w:pStyle w:val="N-line3"/>
        <w:pBdr>
          <w:bottom w:val="none" w:sz="0" w:space="0" w:color="auto"/>
        </w:pBdr>
        <w:spacing w:before="60"/>
      </w:pPr>
    </w:p>
    <w:p w14:paraId="7F870866" w14:textId="77777777" w:rsidR="007B4583" w:rsidRPr="001D21AA" w:rsidRDefault="007B4583" w:rsidP="007B4583">
      <w:pPr>
        <w:pStyle w:val="N-line3"/>
        <w:pBdr>
          <w:top w:val="single" w:sz="12" w:space="1" w:color="auto"/>
          <w:bottom w:val="none" w:sz="0" w:space="0" w:color="auto"/>
        </w:pBdr>
      </w:pPr>
    </w:p>
    <w:p w14:paraId="7A5A3E11" w14:textId="77777777" w:rsidR="007B4583" w:rsidRPr="001D21AA" w:rsidRDefault="007B4583" w:rsidP="007B4583">
      <w:pPr>
        <w:spacing w:before="60" w:after="60"/>
        <w:ind w:left="720" w:hanging="720"/>
        <w:rPr>
          <w:rFonts w:ascii="Arial" w:hAnsi="Arial" w:cs="Arial"/>
          <w:b/>
          <w:bCs/>
        </w:rPr>
      </w:pPr>
      <w:r w:rsidRPr="001D21AA">
        <w:rPr>
          <w:rFonts w:ascii="Arial" w:hAnsi="Arial" w:cs="Arial"/>
          <w:b/>
          <w:bCs/>
        </w:rPr>
        <w:t>1</w:t>
      </w:r>
      <w:r w:rsidRPr="001D21AA">
        <w:rPr>
          <w:rFonts w:ascii="Arial" w:hAnsi="Arial" w:cs="Arial"/>
          <w:b/>
          <w:bCs/>
        </w:rPr>
        <w:tab/>
        <w:t>Name of instrument</w:t>
      </w:r>
    </w:p>
    <w:p w14:paraId="730C0CAE" w14:textId="7BDDEFCE" w:rsidR="007B4583" w:rsidRPr="000F4A8C" w:rsidRDefault="007B4583" w:rsidP="007B4583">
      <w:pPr>
        <w:spacing w:before="140"/>
        <w:ind w:left="720"/>
        <w:rPr>
          <w:rFonts w:ascii="Times New Roman" w:hAnsi="Times New Roman" w:cs="Times New Roman"/>
        </w:rPr>
      </w:pPr>
      <w:r w:rsidRPr="000F4A8C">
        <w:rPr>
          <w:rFonts w:ascii="Times New Roman" w:hAnsi="Times New Roman" w:cs="Times New Roman"/>
        </w:rPr>
        <w:t xml:space="preserve">This instrument is the </w:t>
      </w:r>
      <w:r w:rsidRPr="000F4A8C">
        <w:rPr>
          <w:rFonts w:ascii="Times New Roman" w:hAnsi="Times New Roman" w:cs="Times New Roman"/>
          <w:i/>
        </w:rPr>
        <w:t xml:space="preserve">Integrity Commission </w:t>
      </w:r>
      <w:r>
        <w:rPr>
          <w:rFonts w:ascii="Times New Roman" w:hAnsi="Times New Roman" w:cs="Times New Roman"/>
          <w:i/>
        </w:rPr>
        <w:t>Reputational Repai</w:t>
      </w:r>
      <w:r w:rsidR="00B801F0">
        <w:rPr>
          <w:rFonts w:ascii="Times New Roman" w:hAnsi="Times New Roman" w:cs="Times New Roman"/>
          <w:i/>
        </w:rPr>
        <w:t>r</w:t>
      </w:r>
      <w:r w:rsidRPr="000F4A8C">
        <w:rPr>
          <w:rFonts w:ascii="Times New Roman" w:hAnsi="Times New Roman" w:cs="Times New Roman"/>
          <w:i/>
        </w:rPr>
        <w:t xml:space="preserve"> </w:t>
      </w:r>
      <w:r>
        <w:rPr>
          <w:rFonts w:ascii="Times New Roman" w:hAnsi="Times New Roman" w:cs="Times New Roman"/>
          <w:i/>
        </w:rPr>
        <w:t>Protocols</w:t>
      </w:r>
      <w:r w:rsidRPr="000F4A8C">
        <w:rPr>
          <w:rFonts w:ascii="Times New Roman" w:hAnsi="Times New Roman" w:cs="Times New Roman"/>
          <w:i/>
        </w:rPr>
        <w:t xml:space="preserve"> 2020.</w:t>
      </w:r>
    </w:p>
    <w:p w14:paraId="304F6ED1" w14:textId="77777777" w:rsidR="007B4583" w:rsidRPr="001D21AA" w:rsidRDefault="007B4583" w:rsidP="007B4583">
      <w:pPr>
        <w:spacing w:before="300"/>
        <w:ind w:left="720" w:hanging="720"/>
        <w:rPr>
          <w:rFonts w:ascii="Arial" w:hAnsi="Arial" w:cs="Arial"/>
          <w:b/>
          <w:bCs/>
        </w:rPr>
      </w:pPr>
      <w:r w:rsidRPr="001D21AA">
        <w:rPr>
          <w:rFonts w:ascii="Arial" w:hAnsi="Arial" w:cs="Arial"/>
          <w:b/>
          <w:bCs/>
        </w:rPr>
        <w:t>2</w:t>
      </w:r>
      <w:r w:rsidRPr="001D21AA">
        <w:rPr>
          <w:rFonts w:ascii="Arial" w:hAnsi="Arial" w:cs="Arial"/>
          <w:b/>
          <w:bCs/>
        </w:rPr>
        <w:tab/>
        <w:t xml:space="preserve">Commencement </w:t>
      </w:r>
    </w:p>
    <w:p w14:paraId="725B0849" w14:textId="77777777" w:rsidR="007B4583" w:rsidRPr="000F4A8C" w:rsidRDefault="007B4583" w:rsidP="007B4583">
      <w:pPr>
        <w:spacing w:before="140"/>
        <w:ind w:left="720"/>
        <w:rPr>
          <w:rFonts w:ascii="Times New Roman" w:hAnsi="Times New Roman" w:cs="Times New Roman"/>
        </w:rPr>
      </w:pPr>
      <w:r w:rsidRPr="000F4A8C">
        <w:rPr>
          <w:rFonts w:ascii="Times New Roman" w:hAnsi="Times New Roman" w:cs="Times New Roman"/>
        </w:rPr>
        <w:t xml:space="preserve">This instrument commences on the day after notification. </w:t>
      </w:r>
    </w:p>
    <w:p w14:paraId="2959D9D9" w14:textId="77777777" w:rsidR="007B4583" w:rsidRPr="001D21AA" w:rsidRDefault="007B4583" w:rsidP="007B4583">
      <w:pPr>
        <w:spacing w:before="300"/>
        <w:ind w:left="720" w:hanging="720"/>
        <w:rPr>
          <w:rFonts w:ascii="Arial" w:hAnsi="Arial" w:cs="Arial"/>
          <w:b/>
          <w:bCs/>
        </w:rPr>
      </w:pPr>
      <w:r w:rsidRPr="001D21AA">
        <w:rPr>
          <w:rFonts w:ascii="Arial" w:hAnsi="Arial" w:cs="Arial"/>
          <w:b/>
          <w:bCs/>
        </w:rPr>
        <w:t>3</w:t>
      </w:r>
      <w:r w:rsidRPr="001D21AA">
        <w:rPr>
          <w:rFonts w:ascii="Arial" w:hAnsi="Arial" w:cs="Arial"/>
          <w:b/>
          <w:bCs/>
        </w:rPr>
        <w:tab/>
      </w:r>
      <w:r>
        <w:rPr>
          <w:rFonts w:ascii="Arial" w:hAnsi="Arial" w:cs="Arial"/>
          <w:b/>
          <w:bCs/>
        </w:rPr>
        <w:t>Commission’s</w:t>
      </w:r>
      <w:r w:rsidRPr="001D21AA">
        <w:rPr>
          <w:rFonts w:ascii="Arial" w:hAnsi="Arial" w:cs="Arial"/>
          <w:b/>
          <w:bCs/>
        </w:rPr>
        <w:t xml:space="preserve"> Guidelines</w:t>
      </w:r>
    </w:p>
    <w:p w14:paraId="77072116" w14:textId="18D25BED" w:rsidR="007B4583" w:rsidRPr="000F4A8C" w:rsidRDefault="007B4583" w:rsidP="007B4583">
      <w:pPr>
        <w:spacing w:before="140"/>
        <w:ind w:left="720"/>
        <w:rPr>
          <w:rFonts w:ascii="Times New Roman" w:hAnsi="Times New Roman" w:cs="Times New Roman"/>
        </w:rPr>
      </w:pPr>
      <w:r w:rsidRPr="000F4A8C">
        <w:rPr>
          <w:rFonts w:ascii="Times New Roman" w:hAnsi="Times New Roman" w:cs="Times New Roman"/>
        </w:rPr>
        <w:t xml:space="preserve">I make the Commission’s </w:t>
      </w:r>
      <w:r>
        <w:rPr>
          <w:rFonts w:ascii="Times New Roman" w:hAnsi="Times New Roman" w:cs="Times New Roman"/>
        </w:rPr>
        <w:t xml:space="preserve">Reputational </w:t>
      </w:r>
      <w:r w:rsidR="00B801F0">
        <w:rPr>
          <w:rFonts w:ascii="Times New Roman" w:hAnsi="Times New Roman" w:cs="Times New Roman"/>
        </w:rPr>
        <w:t>Repair Protocols</w:t>
      </w:r>
      <w:r w:rsidRPr="000F4A8C">
        <w:rPr>
          <w:rFonts w:ascii="Times New Roman" w:hAnsi="Times New Roman" w:cs="Times New Roman"/>
        </w:rPr>
        <w:t xml:space="preserve"> as set out at Schedule 1 to this instrument.</w:t>
      </w:r>
    </w:p>
    <w:bookmarkEnd w:id="0"/>
    <w:p w14:paraId="678D3F3A" w14:textId="77777777" w:rsidR="007B4583" w:rsidRPr="000F4A8C" w:rsidRDefault="007B4583" w:rsidP="007B4583">
      <w:pPr>
        <w:tabs>
          <w:tab w:val="left" w:pos="-720"/>
        </w:tabs>
        <w:suppressAutoHyphens/>
        <w:jc w:val="both"/>
        <w:rPr>
          <w:rFonts w:ascii="Times New Roman" w:hAnsi="Times New Roman" w:cs="Times New Roman"/>
          <w:spacing w:val="-3"/>
          <w:szCs w:val="24"/>
        </w:rPr>
      </w:pPr>
    </w:p>
    <w:p w14:paraId="30BF8630" w14:textId="77777777" w:rsidR="007B4583" w:rsidRDefault="007B4583" w:rsidP="007B4583">
      <w:pPr>
        <w:tabs>
          <w:tab w:val="left" w:pos="-720"/>
        </w:tabs>
        <w:suppressAutoHyphens/>
        <w:jc w:val="both"/>
        <w:rPr>
          <w:rFonts w:ascii="Times New Roman" w:hAnsi="Times New Roman" w:cs="Times New Roman"/>
          <w:spacing w:val="-3"/>
          <w:szCs w:val="24"/>
        </w:rPr>
      </w:pPr>
    </w:p>
    <w:p w14:paraId="3E8BAB6A" w14:textId="77777777" w:rsidR="007B4583" w:rsidRPr="000F4A8C" w:rsidRDefault="007B4583" w:rsidP="007B4583">
      <w:pPr>
        <w:tabs>
          <w:tab w:val="left" w:pos="-720"/>
        </w:tabs>
        <w:suppressAutoHyphens/>
        <w:jc w:val="both"/>
        <w:rPr>
          <w:rFonts w:ascii="Times New Roman" w:hAnsi="Times New Roman" w:cs="Times New Roman"/>
          <w:spacing w:val="-3"/>
          <w:szCs w:val="24"/>
        </w:rPr>
      </w:pPr>
    </w:p>
    <w:p w14:paraId="0F3BE265" w14:textId="77777777" w:rsidR="007B4583" w:rsidRPr="000F4A8C" w:rsidRDefault="007B4583" w:rsidP="007B4583">
      <w:pPr>
        <w:tabs>
          <w:tab w:val="left" w:pos="-720"/>
          <w:tab w:val="left" w:pos="0"/>
        </w:tabs>
        <w:suppressAutoHyphens/>
        <w:ind w:left="720" w:hanging="720"/>
        <w:rPr>
          <w:rFonts w:ascii="Times New Roman" w:hAnsi="Times New Roman" w:cs="Times New Roman"/>
          <w:spacing w:val="-3"/>
          <w:szCs w:val="24"/>
        </w:rPr>
      </w:pPr>
      <w:r w:rsidRPr="000F4A8C">
        <w:rPr>
          <w:rFonts w:ascii="Times New Roman" w:hAnsi="Times New Roman" w:cs="Times New Roman"/>
          <w:spacing w:val="-3"/>
          <w:szCs w:val="24"/>
        </w:rPr>
        <w:t>The Hon D A Cowdroy AO QC</w:t>
      </w:r>
    </w:p>
    <w:p w14:paraId="0768EADA" w14:textId="74D1C796" w:rsidR="007B4583" w:rsidRPr="000F4A8C" w:rsidRDefault="00E8210C" w:rsidP="007B4583">
      <w:pPr>
        <w:tabs>
          <w:tab w:val="left" w:pos="4320"/>
        </w:tabs>
        <w:rPr>
          <w:rFonts w:ascii="Times New Roman" w:hAnsi="Times New Roman" w:cs="Times New Roman"/>
        </w:rPr>
      </w:pPr>
      <w:r>
        <w:rPr>
          <w:rFonts w:ascii="Times New Roman" w:hAnsi="Times New Roman" w:cs="Times New Roman"/>
        </w:rPr>
        <w:t xml:space="preserve">Integrity </w:t>
      </w:r>
      <w:r w:rsidR="007B4583" w:rsidRPr="000F4A8C">
        <w:rPr>
          <w:rFonts w:ascii="Times New Roman" w:hAnsi="Times New Roman" w:cs="Times New Roman"/>
        </w:rPr>
        <w:t>Commissioner</w:t>
      </w:r>
      <w:r>
        <w:rPr>
          <w:rFonts w:ascii="Times New Roman" w:hAnsi="Times New Roman" w:cs="Times New Roman"/>
        </w:rPr>
        <w:t>, ACT</w:t>
      </w:r>
    </w:p>
    <w:p w14:paraId="5F065C79" w14:textId="74018D34" w:rsidR="007B4583" w:rsidRPr="000F4A8C" w:rsidRDefault="00ED495C" w:rsidP="007B4583">
      <w:pPr>
        <w:jc w:val="both"/>
        <w:rPr>
          <w:rFonts w:ascii="Times New Roman" w:hAnsi="Times New Roman" w:cs="Times New Roman"/>
          <w:b/>
          <w:bCs/>
          <w:sz w:val="24"/>
          <w:szCs w:val="24"/>
        </w:rPr>
      </w:pPr>
      <w:r>
        <w:rPr>
          <w:rFonts w:ascii="Times New Roman" w:hAnsi="Times New Roman" w:cs="Times New Roman"/>
          <w:b/>
          <w:bCs/>
          <w:sz w:val="24"/>
          <w:szCs w:val="24"/>
        </w:rPr>
        <w:t>4</w:t>
      </w:r>
      <w:r w:rsidR="007B4583">
        <w:rPr>
          <w:rFonts w:ascii="Times New Roman" w:hAnsi="Times New Roman" w:cs="Times New Roman"/>
          <w:b/>
          <w:bCs/>
          <w:sz w:val="24"/>
          <w:szCs w:val="24"/>
        </w:rPr>
        <w:t xml:space="preserve"> </w:t>
      </w:r>
      <w:r w:rsidR="007B4583" w:rsidRPr="00D202DE">
        <w:rPr>
          <w:rFonts w:ascii="Times New Roman" w:hAnsi="Times New Roman" w:cs="Times New Roman"/>
          <w:b/>
          <w:bCs/>
          <w:sz w:val="24"/>
          <w:szCs w:val="24"/>
        </w:rPr>
        <w:t>September 2020</w:t>
      </w:r>
    </w:p>
    <w:p w14:paraId="12167F67" w14:textId="77777777" w:rsidR="007B4583" w:rsidRDefault="007B4583" w:rsidP="007B4583">
      <w:pPr>
        <w:rPr>
          <w:rFonts w:ascii="Arial" w:hAnsi="Arial" w:cs="Arial"/>
          <w:b/>
          <w:bCs/>
          <w:sz w:val="24"/>
          <w:szCs w:val="24"/>
        </w:rPr>
      </w:pPr>
      <w:r>
        <w:rPr>
          <w:rFonts w:ascii="Arial" w:hAnsi="Arial" w:cs="Arial"/>
          <w:b/>
          <w:bCs/>
          <w:sz w:val="24"/>
          <w:szCs w:val="24"/>
        </w:rPr>
        <w:br w:type="page"/>
      </w:r>
    </w:p>
    <w:p w14:paraId="6753EC59" w14:textId="5981438A" w:rsidR="00153124" w:rsidRDefault="00153124" w:rsidP="00153124">
      <w:pPr>
        <w:rPr>
          <w:rFonts w:cstheme="minorHAnsi"/>
          <w:sz w:val="24"/>
          <w:szCs w:val="24"/>
        </w:rPr>
      </w:pPr>
    </w:p>
    <w:p w14:paraId="4F08DEBF" w14:textId="22562885" w:rsidR="00B801F0" w:rsidRDefault="00B801F0" w:rsidP="00153124">
      <w:pPr>
        <w:rPr>
          <w:rFonts w:cstheme="minorHAnsi"/>
          <w:sz w:val="24"/>
          <w:szCs w:val="24"/>
        </w:rPr>
      </w:pPr>
    </w:p>
    <w:p w14:paraId="5E5D35B4" w14:textId="1C2901E9" w:rsidR="00B801F0" w:rsidRPr="00B801F0" w:rsidRDefault="00B801F0" w:rsidP="00153124">
      <w:pPr>
        <w:rPr>
          <w:rFonts w:cstheme="minorHAnsi"/>
          <w:b/>
          <w:bCs/>
          <w:sz w:val="24"/>
          <w:szCs w:val="24"/>
        </w:rPr>
      </w:pPr>
      <w:r w:rsidRPr="00B801F0">
        <w:rPr>
          <w:rFonts w:cstheme="minorHAnsi"/>
          <w:b/>
          <w:bCs/>
          <w:sz w:val="24"/>
          <w:szCs w:val="24"/>
        </w:rPr>
        <w:t>Schedule 1</w:t>
      </w:r>
    </w:p>
    <w:p w14:paraId="580600E0" w14:textId="6C3B1173" w:rsidR="00B801F0" w:rsidRDefault="00B801F0" w:rsidP="00153124">
      <w:pPr>
        <w:rPr>
          <w:rFonts w:cstheme="minorHAnsi"/>
          <w:sz w:val="24"/>
          <w:szCs w:val="24"/>
        </w:rPr>
      </w:pPr>
    </w:p>
    <w:p w14:paraId="31194DC8" w14:textId="32C9C5CD" w:rsidR="00B801F0" w:rsidRDefault="00B801F0" w:rsidP="00153124">
      <w:pPr>
        <w:rPr>
          <w:rFonts w:cstheme="minorHAnsi"/>
          <w:sz w:val="24"/>
          <w:szCs w:val="24"/>
        </w:rPr>
      </w:pPr>
    </w:p>
    <w:p w14:paraId="01B622A4" w14:textId="435BA6E6" w:rsidR="00B801F0" w:rsidRDefault="00B801F0" w:rsidP="00153124">
      <w:pPr>
        <w:rPr>
          <w:rFonts w:cstheme="minorHAnsi"/>
          <w:sz w:val="24"/>
          <w:szCs w:val="24"/>
        </w:rPr>
      </w:pPr>
    </w:p>
    <w:p w14:paraId="2E1E9DAD" w14:textId="77777777" w:rsidR="00B801F0" w:rsidRDefault="00B801F0" w:rsidP="00153124">
      <w:pPr>
        <w:rPr>
          <w:rFonts w:cstheme="minorHAnsi"/>
          <w:sz w:val="24"/>
          <w:szCs w:val="24"/>
        </w:rPr>
      </w:pPr>
    </w:p>
    <w:p w14:paraId="11E5AAC9" w14:textId="1D80AF50" w:rsidR="00153124" w:rsidRPr="00B801F0" w:rsidRDefault="00153124" w:rsidP="00B801F0">
      <w:pPr>
        <w:jc w:val="center"/>
        <w:rPr>
          <w:rFonts w:asciiTheme="majorHAnsi" w:eastAsia="Times New Roman" w:hAnsiTheme="majorHAnsi" w:cstheme="majorHAnsi"/>
          <w:sz w:val="72"/>
          <w:szCs w:val="72"/>
        </w:rPr>
      </w:pPr>
      <w:r w:rsidRPr="00B801F0">
        <w:rPr>
          <w:rFonts w:asciiTheme="majorHAnsi" w:eastAsia="Times New Roman" w:hAnsiTheme="majorHAnsi" w:cstheme="majorHAnsi"/>
          <w:sz w:val="72"/>
          <w:szCs w:val="72"/>
        </w:rPr>
        <w:t>Reputational Repair Protocol</w:t>
      </w:r>
      <w:r w:rsidR="00C3208D" w:rsidRPr="00B801F0">
        <w:rPr>
          <w:rFonts w:asciiTheme="majorHAnsi" w:eastAsia="Times New Roman" w:hAnsiTheme="majorHAnsi" w:cstheme="majorHAnsi"/>
          <w:sz w:val="72"/>
          <w:szCs w:val="72"/>
        </w:rPr>
        <w:t>s</w:t>
      </w:r>
    </w:p>
    <w:p w14:paraId="0294B4AF" w14:textId="6793B157" w:rsidR="00153124" w:rsidRDefault="00153124" w:rsidP="00153124">
      <w:pPr>
        <w:rPr>
          <w:lang w:eastAsia="en-AU"/>
        </w:rPr>
      </w:pPr>
    </w:p>
    <w:p w14:paraId="280738FD" w14:textId="77777777" w:rsidR="00B801F0" w:rsidRDefault="00B801F0" w:rsidP="00153124">
      <w:pPr>
        <w:rPr>
          <w:lang w:eastAsia="en-AU"/>
        </w:rPr>
      </w:pPr>
    </w:p>
    <w:p w14:paraId="5C39C38F" w14:textId="1D1A15BB" w:rsidR="00153124" w:rsidRPr="00153124" w:rsidRDefault="00153124" w:rsidP="00153124">
      <w:pPr>
        <w:jc w:val="center"/>
        <w:rPr>
          <w:sz w:val="36"/>
          <w:szCs w:val="36"/>
          <w:lang w:eastAsia="en-AU"/>
        </w:rPr>
      </w:pPr>
      <w:r w:rsidRPr="00153124">
        <w:rPr>
          <w:sz w:val="36"/>
          <w:szCs w:val="36"/>
          <w:lang w:eastAsia="en-AU"/>
        </w:rPr>
        <w:t>September 2020</w:t>
      </w:r>
    </w:p>
    <w:p w14:paraId="0651E68D" w14:textId="413047F2" w:rsidR="00153124" w:rsidRDefault="00153124">
      <w:pPr>
        <w:rPr>
          <w:rFonts w:cstheme="minorHAnsi"/>
          <w:sz w:val="24"/>
          <w:szCs w:val="24"/>
        </w:rPr>
      </w:pPr>
      <w:r>
        <w:rPr>
          <w:rFonts w:cstheme="minorHAnsi"/>
          <w:sz w:val="24"/>
          <w:szCs w:val="24"/>
        </w:rPr>
        <w:br w:type="page"/>
      </w:r>
    </w:p>
    <w:p w14:paraId="7444F723" w14:textId="77777777" w:rsidR="00153124" w:rsidRPr="00126D35" w:rsidRDefault="00153124" w:rsidP="00153124">
      <w:pPr>
        <w:jc w:val="center"/>
        <w:rPr>
          <w:rFonts w:cstheme="minorHAnsi"/>
          <w:sz w:val="24"/>
          <w:szCs w:val="24"/>
        </w:rPr>
      </w:pPr>
    </w:p>
    <w:p w14:paraId="2FF333C5" w14:textId="77777777" w:rsidR="00B801F0" w:rsidRDefault="00B801F0" w:rsidP="00153124">
      <w:pPr>
        <w:jc w:val="both"/>
        <w:rPr>
          <w:rFonts w:asciiTheme="majorHAnsi" w:hAnsiTheme="majorHAnsi" w:cstheme="majorHAnsi"/>
          <w:color w:val="2F5496" w:themeColor="accent1" w:themeShade="BF"/>
          <w:sz w:val="32"/>
          <w:szCs w:val="32"/>
        </w:rPr>
      </w:pPr>
    </w:p>
    <w:p w14:paraId="0F065211" w14:textId="78961010" w:rsidR="00153124" w:rsidRPr="003D3C0C" w:rsidRDefault="00153124" w:rsidP="00153124">
      <w:pPr>
        <w:jc w:val="both"/>
        <w:rPr>
          <w:rFonts w:asciiTheme="majorHAnsi" w:hAnsiTheme="majorHAnsi" w:cstheme="majorHAnsi"/>
          <w:color w:val="2F5496" w:themeColor="accent1" w:themeShade="BF"/>
          <w:sz w:val="32"/>
          <w:szCs w:val="32"/>
        </w:rPr>
      </w:pPr>
      <w:r w:rsidRPr="003D3C0C">
        <w:rPr>
          <w:rFonts w:asciiTheme="majorHAnsi" w:hAnsiTheme="majorHAnsi" w:cstheme="majorHAnsi"/>
          <w:color w:val="2F5496" w:themeColor="accent1" w:themeShade="BF"/>
          <w:sz w:val="32"/>
          <w:szCs w:val="32"/>
        </w:rPr>
        <w:t xml:space="preserve">Table of Contents </w:t>
      </w:r>
    </w:p>
    <w:p w14:paraId="00871B6A" w14:textId="77777777" w:rsidR="00153124" w:rsidRPr="00D202DE" w:rsidRDefault="00153124" w:rsidP="00153124">
      <w:pPr>
        <w:jc w:val="both"/>
        <w:rPr>
          <w:rFonts w:cstheme="minorHAnsi"/>
          <w:b/>
          <w:bCs/>
          <w:sz w:val="24"/>
          <w:szCs w:val="24"/>
        </w:rPr>
      </w:pPr>
    </w:p>
    <w:p w14:paraId="5A335EB0" w14:textId="77777777" w:rsidR="00153124" w:rsidRPr="00D202DE" w:rsidRDefault="00E36BCA" w:rsidP="00153124">
      <w:pPr>
        <w:pStyle w:val="TOC1"/>
        <w:rPr>
          <w:rFonts w:asciiTheme="minorHAnsi" w:eastAsiaTheme="minorEastAsia" w:hAnsiTheme="minorHAnsi" w:cstheme="minorBidi"/>
          <w:noProof/>
          <w:sz w:val="24"/>
          <w:szCs w:val="24"/>
        </w:rPr>
      </w:pPr>
      <w:hyperlink w:anchor="_Toc27399604" w:history="1">
        <w:r w:rsidR="00153124" w:rsidRPr="00D202DE">
          <w:rPr>
            <w:rStyle w:val="Hyperlink"/>
            <w:noProof/>
            <w:color w:val="auto"/>
            <w:sz w:val="24"/>
            <w:szCs w:val="24"/>
            <w:u w:val="none"/>
            <w14:scene3d>
              <w14:camera w14:prst="orthographicFront"/>
              <w14:lightRig w14:rig="threePt" w14:dir="t">
                <w14:rot w14:lat="0" w14:lon="0" w14:rev="0"/>
              </w14:lightRig>
            </w14:scene3d>
          </w:rPr>
          <w:t>1.</w:t>
        </w:r>
        <w:r w:rsidR="00153124" w:rsidRPr="00D202DE">
          <w:rPr>
            <w:rFonts w:asciiTheme="minorHAnsi" w:eastAsiaTheme="minorEastAsia" w:hAnsiTheme="minorHAnsi" w:cstheme="minorBidi"/>
            <w:noProof/>
            <w:sz w:val="24"/>
            <w:szCs w:val="24"/>
          </w:rPr>
          <w:tab/>
        </w:r>
        <w:r w:rsidR="00153124" w:rsidRPr="00D202DE">
          <w:rPr>
            <w:rStyle w:val="Hyperlink"/>
            <w:noProof/>
            <w:color w:val="auto"/>
            <w:sz w:val="24"/>
            <w:szCs w:val="24"/>
            <w:u w:val="none"/>
          </w:rPr>
          <w:t>Introduction</w:t>
        </w:r>
        <w:r w:rsidR="00153124" w:rsidRPr="00D202DE">
          <w:rPr>
            <w:noProof/>
            <w:webHidden/>
            <w:sz w:val="24"/>
            <w:szCs w:val="24"/>
          </w:rPr>
          <w:tab/>
          <w:t>4</w:t>
        </w:r>
      </w:hyperlink>
    </w:p>
    <w:p w14:paraId="7FC47414" w14:textId="1A7D2B31" w:rsidR="00153124" w:rsidRPr="00D202DE" w:rsidRDefault="00E36BCA" w:rsidP="00153124">
      <w:pPr>
        <w:pStyle w:val="TOC1"/>
        <w:rPr>
          <w:rFonts w:asciiTheme="minorHAnsi" w:eastAsiaTheme="minorEastAsia" w:hAnsiTheme="minorHAnsi" w:cstheme="minorBidi"/>
          <w:noProof/>
          <w:sz w:val="24"/>
          <w:szCs w:val="24"/>
        </w:rPr>
      </w:pPr>
      <w:hyperlink w:anchor="_Toc27399605" w:history="1">
        <w:r w:rsidR="00153124" w:rsidRPr="00D202DE">
          <w:rPr>
            <w:rStyle w:val="Hyperlink"/>
            <w:noProof/>
            <w:color w:val="auto"/>
            <w:sz w:val="24"/>
            <w:szCs w:val="24"/>
            <w:u w:val="none"/>
            <w14:scene3d>
              <w14:camera w14:prst="orthographicFront"/>
              <w14:lightRig w14:rig="threePt" w14:dir="t">
                <w14:rot w14:lat="0" w14:lon="0" w14:rev="0"/>
              </w14:lightRig>
            </w14:scene3d>
          </w:rPr>
          <w:t>2.</w:t>
        </w:r>
        <w:r w:rsidR="00153124" w:rsidRPr="00D202DE">
          <w:rPr>
            <w:rFonts w:asciiTheme="minorHAnsi" w:eastAsiaTheme="minorEastAsia" w:hAnsiTheme="minorHAnsi" w:cstheme="minorBidi"/>
            <w:noProof/>
            <w:sz w:val="24"/>
            <w:szCs w:val="24"/>
          </w:rPr>
          <w:tab/>
        </w:r>
        <w:r w:rsidR="00153124" w:rsidRPr="00D202DE">
          <w:rPr>
            <w:rStyle w:val="Hyperlink"/>
            <w:noProof/>
            <w:color w:val="auto"/>
            <w:sz w:val="24"/>
            <w:szCs w:val="24"/>
            <w:u w:val="none"/>
          </w:rPr>
          <w:t xml:space="preserve">Legislation </w:t>
        </w:r>
        <w:r w:rsidR="00153124" w:rsidRPr="00D202DE">
          <w:rPr>
            <w:noProof/>
            <w:webHidden/>
            <w:sz w:val="24"/>
            <w:szCs w:val="24"/>
          </w:rPr>
          <w:tab/>
        </w:r>
      </w:hyperlink>
      <w:r w:rsidR="00B801F0" w:rsidRPr="00D202DE">
        <w:rPr>
          <w:noProof/>
          <w:sz w:val="24"/>
          <w:szCs w:val="24"/>
        </w:rPr>
        <w:t>5</w:t>
      </w:r>
    </w:p>
    <w:p w14:paraId="2EA62F62" w14:textId="345D9F19" w:rsidR="00153124" w:rsidRPr="00D202DE" w:rsidRDefault="00E36BCA" w:rsidP="00153124">
      <w:pPr>
        <w:pStyle w:val="TOC1"/>
        <w:rPr>
          <w:rFonts w:asciiTheme="minorHAnsi" w:eastAsiaTheme="minorEastAsia" w:hAnsiTheme="minorHAnsi" w:cstheme="minorBidi"/>
          <w:noProof/>
          <w:sz w:val="24"/>
          <w:szCs w:val="24"/>
        </w:rPr>
      </w:pPr>
      <w:hyperlink w:anchor="_Toc27399606" w:history="1">
        <w:r w:rsidR="00153124" w:rsidRPr="00D202DE">
          <w:rPr>
            <w:rStyle w:val="Hyperlink"/>
            <w:noProof/>
            <w:color w:val="auto"/>
            <w:sz w:val="24"/>
            <w:szCs w:val="24"/>
            <w:u w:val="none"/>
            <w14:scene3d>
              <w14:camera w14:prst="orthographicFront"/>
              <w14:lightRig w14:rig="threePt" w14:dir="t">
                <w14:rot w14:lat="0" w14:lon="0" w14:rev="0"/>
              </w14:lightRig>
            </w14:scene3d>
          </w:rPr>
          <w:t>3.</w:t>
        </w:r>
        <w:r w:rsidR="00153124" w:rsidRPr="00D202DE">
          <w:rPr>
            <w:rFonts w:asciiTheme="minorHAnsi" w:eastAsiaTheme="minorEastAsia" w:hAnsiTheme="minorHAnsi" w:cstheme="minorBidi"/>
            <w:noProof/>
            <w:sz w:val="24"/>
            <w:szCs w:val="24"/>
          </w:rPr>
          <w:tab/>
        </w:r>
        <w:r w:rsidR="00153124" w:rsidRPr="00D202DE">
          <w:rPr>
            <w:rStyle w:val="Hyperlink"/>
            <w:noProof/>
            <w:color w:val="auto"/>
            <w:sz w:val="24"/>
            <w:szCs w:val="24"/>
            <w:u w:val="none"/>
          </w:rPr>
          <w:t xml:space="preserve">Procedure </w:t>
        </w:r>
        <w:r w:rsidR="00153124" w:rsidRPr="00D202DE">
          <w:rPr>
            <w:noProof/>
            <w:webHidden/>
            <w:sz w:val="24"/>
            <w:szCs w:val="24"/>
          </w:rPr>
          <w:tab/>
        </w:r>
      </w:hyperlink>
      <w:r w:rsidR="00B801F0" w:rsidRPr="00D202DE">
        <w:rPr>
          <w:noProof/>
          <w:sz w:val="24"/>
          <w:szCs w:val="24"/>
        </w:rPr>
        <w:t>7</w:t>
      </w:r>
    </w:p>
    <w:p w14:paraId="46E5DD56" w14:textId="77777777" w:rsidR="00153124" w:rsidRPr="00D202DE" w:rsidRDefault="00153124" w:rsidP="00153124">
      <w:pPr>
        <w:pStyle w:val="TOC1"/>
        <w:rPr>
          <w:noProof/>
          <w:sz w:val="24"/>
          <w:szCs w:val="24"/>
        </w:rPr>
      </w:pPr>
    </w:p>
    <w:p w14:paraId="076574B9" w14:textId="77777777" w:rsidR="00153124" w:rsidRPr="00D202DE" w:rsidRDefault="00153124" w:rsidP="00153124">
      <w:pPr>
        <w:tabs>
          <w:tab w:val="left" w:pos="1324"/>
          <w:tab w:val="left" w:pos="1325"/>
        </w:tabs>
        <w:spacing w:before="1" w:line="249" w:lineRule="auto"/>
        <w:ind w:right="166"/>
        <w:jc w:val="both"/>
        <w:rPr>
          <w:rFonts w:cstheme="minorHAnsi"/>
          <w:w w:val="105"/>
          <w:sz w:val="24"/>
          <w:szCs w:val="24"/>
        </w:rPr>
      </w:pPr>
    </w:p>
    <w:p w14:paraId="5A3B987A" w14:textId="77777777" w:rsidR="00153124" w:rsidRPr="00126D35" w:rsidRDefault="00153124" w:rsidP="00153124">
      <w:pPr>
        <w:jc w:val="both"/>
        <w:rPr>
          <w:rFonts w:cstheme="minorHAnsi"/>
          <w:b/>
          <w:bCs/>
          <w:sz w:val="24"/>
          <w:szCs w:val="24"/>
        </w:rPr>
      </w:pPr>
    </w:p>
    <w:p w14:paraId="3B5564CA" w14:textId="77777777" w:rsidR="00153124" w:rsidRDefault="00153124" w:rsidP="00153124"/>
    <w:p w14:paraId="5C68F5BF" w14:textId="038C4BE4" w:rsidR="00153124" w:rsidRDefault="00153124" w:rsidP="00C3208D">
      <w:pPr>
        <w:jc w:val="both"/>
      </w:pPr>
      <w:r>
        <w:br w:type="page"/>
      </w:r>
    </w:p>
    <w:p w14:paraId="3848137D" w14:textId="14B6AF9E" w:rsidR="00AE76C9" w:rsidRDefault="00153124" w:rsidP="00C3208D">
      <w:pPr>
        <w:pStyle w:val="Heading1"/>
        <w:numPr>
          <w:ilvl w:val="0"/>
          <w:numId w:val="29"/>
        </w:numPr>
        <w:jc w:val="both"/>
      </w:pPr>
      <w:r>
        <w:lastRenderedPageBreak/>
        <w:t>Introduction</w:t>
      </w:r>
    </w:p>
    <w:p w14:paraId="3F7BEF14" w14:textId="108FB254" w:rsidR="00153124" w:rsidRDefault="00153124" w:rsidP="00C3208D">
      <w:pPr>
        <w:jc w:val="both"/>
      </w:pPr>
    </w:p>
    <w:p w14:paraId="773333DB" w14:textId="3DBFA63F" w:rsidR="006636C5" w:rsidRPr="006636C5" w:rsidRDefault="006636C5" w:rsidP="00C3208D">
      <w:pPr>
        <w:pStyle w:val="ListParagraph"/>
        <w:numPr>
          <w:ilvl w:val="1"/>
          <w:numId w:val="2"/>
        </w:numPr>
        <w:jc w:val="both"/>
        <w:rPr>
          <w:rFonts w:cstheme="minorHAnsi"/>
          <w:sz w:val="24"/>
          <w:szCs w:val="24"/>
        </w:rPr>
      </w:pPr>
      <w:r>
        <w:rPr>
          <w:sz w:val="24"/>
          <w:szCs w:val="24"/>
        </w:rPr>
        <w:t xml:space="preserve">The ACT is a </w:t>
      </w:r>
      <w:r w:rsidR="001B32E3">
        <w:rPr>
          <w:sz w:val="24"/>
          <w:szCs w:val="24"/>
        </w:rPr>
        <w:t>jurisdiction in which human rights are afforded paramount consideration</w:t>
      </w:r>
      <w:r>
        <w:rPr>
          <w:sz w:val="24"/>
          <w:szCs w:val="24"/>
        </w:rPr>
        <w:t xml:space="preserve">.  To this end, the </w:t>
      </w:r>
      <w:r w:rsidRPr="006636C5">
        <w:rPr>
          <w:i/>
          <w:iCs/>
          <w:sz w:val="24"/>
          <w:szCs w:val="24"/>
        </w:rPr>
        <w:t>Human Rights Act 2004</w:t>
      </w:r>
      <w:r>
        <w:rPr>
          <w:sz w:val="24"/>
          <w:szCs w:val="24"/>
        </w:rPr>
        <w:t xml:space="preserve"> (ACT) (“the Human Rights Act”) was passed in 2004.  The Human Rights Act requires all ACT legislation to be interpreted so far as it is possible to do so consistently with its purpose, in a way that is compatible with human rights.</w:t>
      </w:r>
      <w:r>
        <w:rPr>
          <w:rStyle w:val="FootnoteReference"/>
          <w:sz w:val="24"/>
          <w:szCs w:val="24"/>
        </w:rPr>
        <w:footnoteReference w:id="1"/>
      </w:r>
      <w:r>
        <w:rPr>
          <w:sz w:val="24"/>
          <w:szCs w:val="24"/>
        </w:rPr>
        <w:t xml:space="preserve">  </w:t>
      </w:r>
    </w:p>
    <w:p w14:paraId="34C6AF98" w14:textId="77777777" w:rsidR="006636C5" w:rsidRPr="006636C5" w:rsidRDefault="006636C5" w:rsidP="00C3208D">
      <w:pPr>
        <w:pStyle w:val="ListParagraph"/>
        <w:jc w:val="both"/>
        <w:rPr>
          <w:rFonts w:cstheme="minorHAnsi"/>
          <w:sz w:val="24"/>
          <w:szCs w:val="24"/>
        </w:rPr>
      </w:pPr>
    </w:p>
    <w:p w14:paraId="79369A08" w14:textId="3BA44B8A" w:rsidR="006636C5" w:rsidRPr="006636C5" w:rsidRDefault="006636C5" w:rsidP="00C3208D">
      <w:pPr>
        <w:pStyle w:val="ListParagraph"/>
        <w:numPr>
          <w:ilvl w:val="1"/>
          <w:numId w:val="2"/>
        </w:numPr>
        <w:jc w:val="both"/>
        <w:rPr>
          <w:rFonts w:cstheme="minorHAnsi"/>
          <w:sz w:val="24"/>
          <w:szCs w:val="24"/>
        </w:rPr>
      </w:pPr>
      <w:r w:rsidRPr="006636C5">
        <w:rPr>
          <w:rFonts w:cstheme="minorHAnsi"/>
          <w:sz w:val="24"/>
          <w:szCs w:val="24"/>
        </w:rPr>
        <w:t>Section 12 of the Human Rights Act states that everyone has the right not to have his or her privacy, family, home or correspondence interfered with unlawfully or arbitrarily and not to have his or her reputation unlawfully attacked.</w:t>
      </w:r>
    </w:p>
    <w:p w14:paraId="01C428BB" w14:textId="77777777" w:rsidR="00153124" w:rsidRPr="00E34E01" w:rsidRDefault="00153124" w:rsidP="00C3208D">
      <w:pPr>
        <w:pStyle w:val="ListParagraph"/>
        <w:jc w:val="both"/>
        <w:rPr>
          <w:rFonts w:cstheme="minorHAnsi"/>
          <w:sz w:val="24"/>
          <w:szCs w:val="24"/>
        </w:rPr>
      </w:pPr>
    </w:p>
    <w:p w14:paraId="4524117E" w14:textId="104D8F29" w:rsidR="00153124" w:rsidRPr="00E34E01" w:rsidRDefault="006636C5" w:rsidP="00C3208D">
      <w:pPr>
        <w:pStyle w:val="ListParagraph"/>
        <w:numPr>
          <w:ilvl w:val="1"/>
          <w:numId w:val="2"/>
        </w:numPr>
        <w:jc w:val="both"/>
        <w:rPr>
          <w:bCs/>
          <w:sz w:val="24"/>
          <w:szCs w:val="24"/>
        </w:rPr>
      </w:pPr>
      <w:r>
        <w:rPr>
          <w:rFonts w:cstheme="minorHAnsi"/>
          <w:sz w:val="24"/>
          <w:szCs w:val="24"/>
        </w:rPr>
        <w:t>Mindful of this requirement,</w:t>
      </w:r>
      <w:r w:rsidR="00153124" w:rsidRPr="00E34E01">
        <w:rPr>
          <w:bCs/>
          <w:sz w:val="24"/>
          <w:szCs w:val="24"/>
        </w:rPr>
        <w:t xml:space="preserve"> the Select Committee on an Independent Integrity Commission in its report to the Legislative Assembly for the Australian Capital Territory published in October 2017 when the Select Committee recommended:  </w:t>
      </w:r>
    </w:p>
    <w:p w14:paraId="13BFDDAD" w14:textId="4EC0D5C7" w:rsidR="00153124" w:rsidRPr="00E34E01" w:rsidRDefault="00153124" w:rsidP="00C3208D">
      <w:pPr>
        <w:ind w:left="1440"/>
        <w:jc w:val="both"/>
        <w:rPr>
          <w:bCs/>
          <w:i/>
          <w:iCs/>
          <w:sz w:val="24"/>
          <w:szCs w:val="24"/>
        </w:rPr>
      </w:pPr>
      <w:r w:rsidRPr="00E34E01">
        <w:rPr>
          <w:bCs/>
          <w:i/>
          <w:iCs/>
          <w:sz w:val="24"/>
          <w:szCs w:val="24"/>
        </w:rPr>
        <w:t>“The Committee recommends that an ACT Anti-Corruption and Integrity Commission Institute an Exoneration Protocol that can be accessed in circumstances where an individual is subsequently exonerated or cleared of any personal corruption – after a finding of corruption. The Protocol among things should include:</w:t>
      </w:r>
    </w:p>
    <w:p w14:paraId="42A7F397" w14:textId="77777777" w:rsidR="00153124" w:rsidRPr="00E34E01" w:rsidRDefault="00153124" w:rsidP="00C3208D">
      <w:pPr>
        <w:pStyle w:val="ListParagraph"/>
        <w:numPr>
          <w:ilvl w:val="0"/>
          <w:numId w:val="30"/>
        </w:numPr>
        <w:ind w:left="2160"/>
        <w:jc w:val="both"/>
        <w:rPr>
          <w:bCs/>
          <w:i/>
          <w:iCs/>
          <w:sz w:val="24"/>
          <w:szCs w:val="24"/>
        </w:rPr>
      </w:pPr>
      <w:r w:rsidRPr="00E34E01">
        <w:rPr>
          <w:bCs/>
          <w:i/>
          <w:iCs/>
          <w:sz w:val="24"/>
          <w:szCs w:val="24"/>
        </w:rPr>
        <w:t xml:space="preserve">a mechanism for public acknowledgement of the exoneration or clearance of any person if corruption is not found after the person’s reputation has been attacked publicly; and </w:t>
      </w:r>
    </w:p>
    <w:p w14:paraId="4038B51B" w14:textId="2FF65927" w:rsidR="00153124" w:rsidRDefault="00153124" w:rsidP="00C3208D">
      <w:pPr>
        <w:pStyle w:val="ListParagraph"/>
        <w:numPr>
          <w:ilvl w:val="0"/>
          <w:numId w:val="30"/>
        </w:numPr>
        <w:ind w:left="2160"/>
        <w:jc w:val="both"/>
        <w:rPr>
          <w:bCs/>
          <w:i/>
          <w:iCs/>
          <w:sz w:val="24"/>
          <w:szCs w:val="24"/>
        </w:rPr>
      </w:pPr>
      <w:r w:rsidRPr="00E34E01">
        <w:rPr>
          <w:bCs/>
          <w:i/>
          <w:iCs/>
          <w:sz w:val="24"/>
          <w:szCs w:val="24"/>
        </w:rPr>
        <w:t>the development of guidelines to govern such a process.”</w:t>
      </w:r>
    </w:p>
    <w:p w14:paraId="18C6F208" w14:textId="77777777" w:rsidR="006636C5" w:rsidRPr="00E34E01" w:rsidRDefault="006636C5" w:rsidP="00C3208D">
      <w:pPr>
        <w:pStyle w:val="ListParagraph"/>
        <w:ind w:left="2160"/>
        <w:jc w:val="both"/>
        <w:rPr>
          <w:bCs/>
          <w:i/>
          <w:iCs/>
          <w:sz w:val="24"/>
          <w:szCs w:val="24"/>
        </w:rPr>
      </w:pPr>
    </w:p>
    <w:p w14:paraId="0D3A0A51" w14:textId="5028EBA2" w:rsidR="006636C5" w:rsidRPr="00E34E01" w:rsidRDefault="006636C5" w:rsidP="00C3208D">
      <w:pPr>
        <w:pStyle w:val="ListParagraph"/>
        <w:numPr>
          <w:ilvl w:val="1"/>
          <w:numId w:val="2"/>
        </w:numPr>
        <w:jc w:val="both"/>
        <w:rPr>
          <w:rFonts w:cstheme="minorHAnsi"/>
          <w:sz w:val="24"/>
          <w:szCs w:val="24"/>
        </w:rPr>
      </w:pPr>
      <w:r>
        <w:rPr>
          <w:rFonts w:cstheme="minorHAnsi"/>
          <w:sz w:val="24"/>
          <w:szCs w:val="24"/>
        </w:rPr>
        <w:t>To that end, o</w:t>
      </w:r>
      <w:r w:rsidRPr="00E34E01">
        <w:rPr>
          <w:rFonts w:cstheme="minorHAnsi"/>
          <w:sz w:val="24"/>
          <w:szCs w:val="24"/>
        </w:rPr>
        <w:t xml:space="preserve">ne of the objects of the </w:t>
      </w:r>
      <w:r w:rsidRPr="00E34E01">
        <w:rPr>
          <w:rFonts w:cstheme="minorHAnsi"/>
          <w:i/>
          <w:iCs/>
          <w:sz w:val="24"/>
          <w:szCs w:val="24"/>
        </w:rPr>
        <w:t>Integrity Commission Act 2018</w:t>
      </w:r>
      <w:r w:rsidRPr="00E34E01">
        <w:rPr>
          <w:rFonts w:cstheme="minorHAnsi"/>
          <w:sz w:val="24"/>
          <w:szCs w:val="24"/>
        </w:rPr>
        <w:t xml:space="preserve"> (ACT) (“the Act”) is, as outlined in section 6(c):</w:t>
      </w:r>
    </w:p>
    <w:p w14:paraId="06AA8724" w14:textId="77777777" w:rsidR="006636C5" w:rsidRPr="00E34E01" w:rsidRDefault="006636C5" w:rsidP="00C3208D">
      <w:pPr>
        <w:pStyle w:val="ListParagraph"/>
        <w:jc w:val="both"/>
        <w:rPr>
          <w:rFonts w:cstheme="minorHAnsi"/>
          <w:sz w:val="24"/>
          <w:szCs w:val="24"/>
        </w:rPr>
      </w:pPr>
    </w:p>
    <w:p w14:paraId="570F2F04" w14:textId="77777777" w:rsidR="006636C5" w:rsidRPr="00E34E01" w:rsidRDefault="006636C5" w:rsidP="00C3208D">
      <w:pPr>
        <w:pStyle w:val="ListParagraph"/>
        <w:ind w:left="1440"/>
        <w:jc w:val="both"/>
        <w:rPr>
          <w:rFonts w:cstheme="minorHAnsi"/>
          <w:i/>
          <w:iCs/>
          <w:sz w:val="24"/>
          <w:szCs w:val="24"/>
        </w:rPr>
      </w:pPr>
      <w:r w:rsidRPr="00E34E01">
        <w:rPr>
          <w:rFonts w:cstheme="minorHAnsi"/>
          <w:i/>
          <w:iCs/>
          <w:sz w:val="24"/>
          <w:szCs w:val="24"/>
        </w:rPr>
        <w:t>Achieving a balance between the public interest in exposing corruption in public administration and the public interest in avoiding undue prejudice to a person’s reputation.</w:t>
      </w:r>
    </w:p>
    <w:p w14:paraId="73B8EEBE" w14:textId="5443188F" w:rsidR="00153124" w:rsidRDefault="006636C5" w:rsidP="00C3208D">
      <w:pPr>
        <w:ind w:left="720" w:hanging="720"/>
        <w:jc w:val="both"/>
        <w:rPr>
          <w:sz w:val="24"/>
          <w:szCs w:val="24"/>
        </w:rPr>
      </w:pPr>
      <w:r>
        <w:rPr>
          <w:sz w:val="24"/>
          <w:szCs w:val="24"/>
        </w:rPr>
        <w:t>1.5</w:t>
      </w:r>
      <w:r>
        <w:rPr>
          <w:sz w:val="24"/>
          <w:szCs w:val="24"/>
        </w:rPr>
        <w:tab/>
        <w:t xml:space="preserve">These protocols offer guidance to the ACT Integrity Commission (ACTIC) </w:t>
      </w:r>
      <w:r w:rsidR="001B32E3">
        <w:rPr>
          <w:sz w:val="24"/>
          <w:szCs w:val="24"/>
        </w:rPr>
        <w:t>upon the issue of measures which may be required to address damage to a person’s reputation in specific circumstances</w:t>
      </w:r>
      <w:r w:rsidR="002F0E01">
        <w:rPr>
          <w:sz w:val="24"/>
          <w:szCs w:val="24"/>
        </w:rPr>
        <w:t>.</w:t>
      </w:r>
    </w:p>
    <w:p w14:paraId="2097D5BD" w14:textId="60E62972" w:rsidR="006636C5" w:rsidRDefault="002F0E01" w:rsidP="00C3208D">
      <w:pPr>
        <w:pStyle w:val="Heading1"/>
        <w:numPr>
          <w:ilvl w:val="0"/>
          <w:numId w:val="2"/>
        </w:numPr>
        <w:jc w:val="both"/>
      </w:pPr>
      <w:r>
        <w:lastRenderedPageBreak/>
        <w:t>Legislation</w:t>
      </w:r>
    </w:p>
    <w:p w14:paraId="78D0F48B" w14:textId="03427B8D" w:rsidR="002F0E01" w:rsidRDefault="002F0E01" w:rsidP="00C3208D">
      <w:pPr>
        <w:jc w:val="both"/>
      </w:pPr>
    </w:p>
    <w:p w14:paraId="4B87CCC7" w14:textId="2D11F5D3" w:rsidR="002F0E01" w:rsidRPr="00D202DE" w:rsidRDefault="002F0E01" w:rsidP="00C3208D">
      <w:pPr>
        <w:pStyle w:val="ListParagraph"/>
        <w:numPr>
          <w:ilvl w:val="1"/>
          <w:numId w:val="2"/>
        </w:numPr>
        <w:jc w:val="both"/>
        <w:rPr>
          <w:sz w:val="24"/>
          <w:szCs w:val="24"/>
        </w:rPr>
      </w:pPr>
      <w:r w:rsidRPr="00D202DE">
        <w:rPr>
          <w:sz w:val="24"/>
          <w:szCs w:val="24"/>
        </w:rPr>
        <w:t xml:space="preserve">These protocols are </w:t>
      </w:r>
      <w:r w:rsidR="001B32E3" w:rsidRPr="00D202DE">
        <w:rPr>
          <w:sz w:val="24"/>
          <w:szCs w:val="24"/>
        </w:rPr>
        <w:t xml:space="preserve">allied </w:t>
      </w:r>
      <w:r w:rsidRPr="00D202DE">
        <w:rPr>
          <w:sz w:val="24"/>
          <w:szCs w:val="24"/>
        </w:rPr>
        <w:t>to the outcomes and findings of ACTIC investigations.  The ACTIC must prepare an investigation report</w:t>
      </w:r>
      <w:r w:rsidR="00AE46B7" w:rsidRPr="00D202DE">
        <w:rPr>
          <w:sz w:val="24"/>
          <w:szCs w:val="24"/>
        </w:rPr>
        <w:t xml:space="preserve"> or special report</w:t>
      </w:r>
      <w:r w:rsidRPr="00D202DE">
        <w:rPr>
          <w:sz w:val="24"/>
          <w:szCs w:val="24"/>
        </w:rPr>
        <w:t xml:space="preserve"> at the completion of an investigation that may include the ACTIC’s findings, opinions and recommendations and the reasons for those findings, opinions and recommendations.</w:t>
      </w:r>
      <w:r w:rsidRPr="00D202DE">
        <w:rPr>
          <w:rStyle w:val="FootnoteReference"/>
          <w:sz w:val="24"/>
          <w:szCs w:val="24"/>
        </w:rPr>
        <w:footnoteReference w:id="2"/>
      </w:r>
      <w:r w:rsidR="00AE46B7" w:rsidRPr="00D202DE">
        <w:rPr>
          <w:sz w:val="24"/>
          <w:szCs w:val="24"/>
        </w:rPr>
        <w:t xml:space="preserve">  The ACTIC must also publish an annual report which may contain the results of investigations.</w:t>
      </w:r>
      <w:r w:rsidR="00AE46B7" w:rsidRPr="00D202DE">
        <w:rPr>
          <w:rStyle w:val="FootnoteReference"/>
          <w:sz w:val="24"/>
          <w:szCs w:val="24"/>
        </w:rPr>
        <w:footnoteReference w:id="3"/>
      </w:r>
      <w:r w:rsidR="00AE46B7" w:rsidRPr="00D202DE">
        <w:rPr>
          <w:sz w:val="24"/>
          <w:szCs w:val="24"/>
        </w:rPr>
        <w:t xml:space="preserve">  </w:t>
      </w:r>
    </w:p>
    <w:p w14:paraId="76DE7811" w14:textId="77777777" w:rsidR="002F0E01" w:rsidRPr="00D202DE" w:rsidRDefault="002F0E01" w:rsidP="00C3208D">
      <w:pPr>
        <w:pStyle w:val="ListParagraph"/>
        <w:jc w:val="both"/>
        <w:rPr>
          <w:sz w:val="24"/>
          <w:szCs w:val="24"/>
        </w:rPr>
      </w:pPr>
    </w:p>
    <w:p w14:paraId="288A77DD" w14:textId="16D6105A" w:rsidR="002F0E01" w:rsidRPr="00D202DE" w:rsidRDefault="002F0E01" w:rsidP="00C3208D">
      <w:pPr>
        <w:pStyle w:val="ListParagraph"/>
        <w:numPr>
          <w:ilvl w:val="1"/>
          <w:numId w:val="2"/>
        </w:numPr>
        <w:jc w:val="both"/>
        <w:rPr>
          <w:sz w:val="24"/>
          <w:szCs w:val="24"/>
        </w:rPr>
      </w:pPr>
      <w:r w:rsidRPr="00D202DE">
        <w:rPr>
          <w:sz w:val="24"/>
          <w:szCs w:val="24"/>
        </w:rPr>
        <w:t xml:space="preserve">An investigation report </w:t>
      </w:r>
      <w:r w:rsidR="00AE46B7" w:rsidRPr="00D202DE">
        <w:rPr>
          <w:sz w:val="24"/>
          <w:szCs w:val="24"/>
        </w:rPr>
        <w:t xml:space="preserve">or special report </w:t>
      </w:r>
      <w:r w:rsidRPr="00D202DE">
        <w:rPr>
          <w:sz w:val="24"/>
          <w:szCs w:val="24"/>
        </w:rPr>
        <w:t>must be provided to the Legislative Assembly</w:t>
      </w:r>
      <w:r w:rsidRPr="00D202DE">
        <w:rPr>
          <w:rStyle w:val="FootnoteReference"/>
          <w:sz w:val="24"/>
          <w:szCs w:val="24"/>
        </w:rPr>
        <w:footnoteReference w:id="4"/>
      </w:r>
      <w:r w:rsidRPr="00D202DE">
        <w:rPr>
          <w:sz w:val="24"/>
          <w:szCs w:val="24"/>
        </w:rPr>
        <w:t xml:space="preserve"> and </w:t>
      </w:r>
      <w:r w:rsidR="00AE46B7" w:rsidRPr="00D202DE">
        <w:rPr>
          <w:sz w:val="24"/>
          <w:szCs w:val="24"/>
        </w:rPr>
        <w:t xml:space="preserve">an investigation report must </w:t>
      </w:r>
      <w:r w:rsidRPr="00D202DE">
        <w:rPr>
          <w:sz w:val="24"/>
          <w:szCs w:val="24"/>
        </w:rPr>
        <w:t>be published on the ACTIC website.</w:t>
      </w:r>
      <w:r w:rsidRPr="00D202DE">
        <w:rPr>
          <w:rStyle w:val="FootnoteReference"/>
          <w:sz w:val="24"/>
          <w:szCs w:val="24"/>
        </w:rPr>
        <w:footnoteReference w:id="5"/>
      </w:r>
      <w:r w:rsidRPr="00D202DE">
        <w:rPr>
          <w:sz w:val="24"/>
          <w:szCs w:val="24"/>
        </w:rPr>
        <w:t xml:space="preserve">  Consequently, </w:t>
      </w:r>
      <w:r w:rsidR="00AE46B7" w:rsidRPr="00D202DE">
        <w:rPr>
          <w:sz w:val="24"/>
          <w:szCs w:val="24"/>
        </w:rPr>
        <w:t xml:space="preserve">the </w:t>
      </w:r>
      <w:r w:rsidRPr="00D202DE">
        <w:rPr>
          <w:sz w:val="24"/>
          <w:szCs w:val="24"/>
        </w:rPr>
        <w:t xml:space="preserve">findings, opinions and recommendations of the ACTIC </w:t>
      </w:r>
      <w:r w:rsidR="00AE46B7" w:rsidRPr="00D202DE">
        <w:rPr>
          <w:sz w:val="24"/>
          <w:szCs w:val="24"/>
        </w:rPr>
        <w:t>may</w:t>
      </w:r>
      <w:r w:rsidRPr="00D202DE">
        <w:rPr>
          <w:sz w:val="24"/>
          <w:szCs w:val="24"/>
        </w:rPr>
        <w:t xml:space="preserve"> be made publicly available at the conclusion of an investigation.  Adverse findings about a </w:t>
      </w:r>
      <w:r w:rsidR="001B32E3" w:rsidRPr="00D202DE">
        <w:rPr>
          <w:sz w:val="24"/>
          <w:szCs w:val="24"/>
        </w:rPr>
        <w:t>person</w:t>
      </w:r>
      <w:r w:rsidR="00D202DE" w:rsidRPr="00D202DE">
        <w:rPr>
          <w:sz w:val="24"/>
          <w:szCs w:val="24"/>
        </w:rPr>
        <w:t xml:space="preserve"> or entity</w:t>
      </w:r>
      <w:r w:rsidRPr="00D202DE">
        <w:rPr>
          <w:sz w:val="24"/>
          <w:szCs w:val="24"/>
        </w:rPr>
        <w:t xml:space="preserve"> may be included in the investigation report.</w:t>
      </w:r>
    </w:p>
    <w:p w14:paraId="492990AA" w14:textId="77777777" w:rsidR="002F0E01" w:rsidRPr="00D202DE" w:rsidRDefault="002F0E01" w:rsidP="00C3208D">
      <w:pPr>
        <w:pStyle w:val="ListParagraph"/>
        <w:jc w:val="both"/>
        <w:rPr>
          <w:sz w:val="24"/>
          <w:szCs w:val="24"/>
        </w:rPr>
      </w:pPr>
    </w:p>
    <w:p w14:paraId="7DF8B44B" w14:textId="419A8A3C" w:rsidR="002F0E01" w:rsidRPr="00D202DE" w:rsidRDefault="002F0E01" w:rsidP="00C3208D">
      <w:pPr>
        <w:pStyle w:val="ListParagraph"/>
        <w:numPr>
          <w:ilvl w:val="1"/>
          <w:numId w:val="2"/>
        </w:numPr>
        <w:jc w:val="both"/>
        <w:rPr>
          <w:sz w:val="24"/>
          <w:szCs w:val="24"/>
        </w:rPr>
      </w:pPr>
      <w:r w:rsidRPr="00D202DE">
        <w:rPr>
          <w:sz w:val="24"/>
          <w:szCs w:val="24"/>
        </w:rPr>
        <w:t>Section 204 of the Act enacts the intention of the legislature with regards to reputational repair.  It provides:</w:t>
      </w:r>
    </w:p>
    <w:p w14:paraId="414AA779" w14:textId="77777777" w:rsidR="002F0E01" w:rsidRPr="00D202DE" w:rsidRDefault="002F0E01" w:rsidP="00C3208D">
      <w:pPr>
        <w:pStyle w:val="ListParagraph"/>
        <w:jc w:val="both"/>
        <w:rPr>
          <w:sz w:val="24"/>
          <w:szCs w:val="24"/>
        </w:rPr>
      </w:pPr>
    </w:p>
    <w:p w14:paraId="145D0676" w14:textId="1ACB9B9E" w:rsidR="002F0E01" w:rsidRPr="00D202DE" w:rsidRDefault="002F0E01" w:rsidP="00C3208D">
      <w:pPr>
        <w:pStyle w:val="ListParagraph"/>
        <w:jc w:val="both"/>
        <w:rPr>
          <w:b/>
          <w:bCs/>
          <w:sz w:val="24"/>
          <w:szCs w:val="24"/>
        </w:rPr>
      </w:pPr>
      <w:r w:rsidRPr="00D202DE">
        <w:rPr>
          <w:b/>
          <w:bCs/>
          <w:sz w:val="24"/>
          <w:szCs w:val="24"/>
        </w:rPr>
        <w:t xml:space="preserve">204 </w:t>
      </w:r>
      <w:r w:rsidRPr="00D202DE">
        <w:rPr>
          <w:b/>
          <w:bCs/>
          <w:sz w:val="24"/>
          <w:szCs w:val="24"/>
        </w:rPr>
        <w:tab/>
        <w:t xml:space="preserve">Reputational repair protocols </w:t>
      </w:r>
    </w:p>
    <w:p w14:paraId="101DA9A9" w14:textId="77777777" w:rsidR="00C3208D" w:rsidRPr="00D202DE" w:rsidRDefault="00C3208D" w:rsidP="00C3208D">
      <w:pPr>
        <w:pStyle w:val="ListParagraph"/>
        <w:jc w:val="both"/>
        <w:rPr>
          <w:sz w:val="24"/>
          <w:szCs w:val="24"/>
        </w:rPr>
      </w:pPr>
    </w:p>
    <w:p w14:paraId="5A29806F" w14:textId="77777777" w:rsidR="002F0E01" w:rsidRPr="00D202DE" w:rsidRDefault="002F0E01" w:rsidP="00C3208D">
      <w:pPr>
        <w:pStyle w:val="ListParagraph"/>
        <w:ind w:left="2160" w:hanging="720"/>
        <w:jc w:val="both"/>
        <w:rPr>
          <w:sz w:val="24"/>
          <w:szCs w:val="24"/>
        </w:rPr>
      </w:pPr>
      <w:r w:rsidRPr="00D202DE">
        <w:rPr>
          <w:sz w:val="24"/>
          <w:szCs w:val="24"/>
        </w:rPr>
        <w:t xml:space="preserve">(1) </w:t>
      </w:r>
      <w:r w:rsidRPr="00D202DE">
        <w:rPr>
          <w:sz w:val="24"/>
          <w:szCs w:val="24"/>
        </w:rPr>
        <w:tab/>
        <w:t xml:space="preserve">The commission must make protocols (the </w:t>
      </w:r>
      <w:r w:rsidRPr="00D202DE">
        <w:rPr>
          <w:b/>
          <w:bCs/>
          <w:i/>
          <w:iCs/>
          <w:sz w:val="24"/>
          <w:szCs w:val="24"/>
        </w:rPr>
        <w:t>reputational repair protocols</w:t>
      </w:r>
      <w:r w:rsidRPr="00D202DE">
        <w:rPr>
          <w:sz w:val="24"/>
          <w:szCs w:val="24"/>
        </w:rPr>
        <w:t xml:space="preserve">) about how the commission is to deal with damage to a person’s reputation if— </w:t>
      </w:r>
    </w:p>
    <w:p w14:paraId="66D1EAD9" w14:textId="77777777" w:rsidR="002F0E01" w:rsidRPr="00D202DE" w:rsidRDefault="002F0E01" w:rsidP="00C3208D">
      <w:pPr>
        <w:pStyle w:val="ListParagraph"/>
        <w:ind w:left="2880" w:hanging="720"/>
        <w:jc w:val="both"/>
        <w:rPr>
          <w:sz w:val="24"/>
          <w:szCs w:val="24"/>
        </w:rPr>
      </w:pPr>
      <w:r w:rsidRPr="00D202DE">
        <w:rPr>
          <w:sz w:val="24"/>
          <w:szCs w:val="24"/>
        </w:rPr>
        <w:t xml:space="preserve">(a) </w:t>
      </w:r>
      <w:r w:rsidRPr="00D202DE">
        <w:rPr>
          <w:sz w:val="24"/>
          <w:szCs w:val="24"/>
        </w:rPr>
        <w:tab/>
        <w:t xml:space="preserve">the commission publishes in an investigation report, special report or commission annual report— </w:t>
      </w:r>
    </w:p>
    <w:p w14:paraId="3EB0CA7C" w14:textId="77777777" w:rsidR="002F0E01" w:rsidRPr="00D202DE" w:rsidRDefault="002F0E01" w:rsidP="00C3208D">
      <w:pPr>
        <w:pStyle w:val="ListParagraph"/>
        <w:ind w:left="3600" w:hanging="720"/>
        <w:jc w:val="both"/>
        <w:rPr>
          <w:sz w:val="24"/>
          <w:szCs w:val="24"/>
        </w:rPr>
      </w:pPr>
      <w:r w:rsidRPr="00D202DE">
        <w:rPr>
          <w:sz w:val="24"/>
          <w:szCs w:val="24"/>
        </w:rPr>
        <w:t xml:space="preserve">(i) </w:t>
      </w:r>
      <w:r w:rsidRPr="00D202DE">
        <w:rPr>
          <w:sz w:val="24"/>
          <w:szCs w:val="24"/>
        </w:rPr>
        <w:tab/>
        <w:t xml:space="preserve">a finding or opinion that a person has engaged in, is engaging in, or is about to engage in, corrupt conduct; or </w:t>
      </w:r>
    </w:p>
    <w:p w14:paraId="7D4697CF" w14:textId="77777777" w:rsidR="002F0E01" w:rsidRPr="00D202DE" w:rsidRDefault="002F0E01" w:rsidP="00C3208D">
      <w:pPr>
        <w:pStyle w:val="ListParagraph"/>
        <w:ind w:left="3600" w:hanging="720"/>
        <w:jc w:val="both"/>
        <w:rPr>
          <w:sz w:val="24"/>
          <w:szCs w:val="24"/>
        </w:rPr>
      </w:pPr>
      <w:r w:rsidRPr="00D202DE">
        <w:rPr>
          <w:sz w:val="24"/>
          <w:szCs w:val="24"/>
        </w:rPr>
        <w:t xml:space="preserve">(ii) </w:t>
      </w:r>
      <w:r w:rsidRPr="00D202DE">
        <w:rPr>
          <w:sz w:val="24"/>
          <w:szCs w:val="24"/>
        </w:rPr>
        <w:tab/>
        <w:t xml:space="preserve">a comment or opinion which is adverse to a person; and </w:t>
      </w:r>
    </w:p>
    <w:p w14:paraId="1849B1EE" w14:textId="77777777" w:rsidR="002F0E01" w:rsidRPr="00D202DE" w:rsidRDefault="002F0E01" w:rsidP="00C3208D">
      <w:pPr>
        <w:pStyle w:val="ListParagraph"/>
        <w:ind w:left="2880" w:hanging="720"/>
        <w:jc w:val="both"/>
        <w:rPr>
          <w:sz w:val="24"/>
          <w:szCs w:val="24"/>
        </w:rPr>
      </w:pPr>
      <w:r w:rsidRPr="00D202DE">
        <w:rPr>
          <w:sz w:val="24"/>
          <w:szCs w:val="24"/>
        </w:rPr>
        <w:t xml:space="preserve">(b) </w:t>
      </w:r>
      <w:r w:rsidRPr="00D202DE">
        <w:rPr>
          <w:sz w:val="24"/>
          <w:szCs w:val="24"/>
        </w:rPr>
        <w:tab/>
        <w:t xml:space="preserve">any of the following happens: </w:t>
      </w:r>
    </w:p>
    <w:p w14:paraId="57810CDA" w14:textId="77777777" w:rsidR="002F0E01" w:rsidRPr="00D202DE" w:rsidRDefault="002F0E01" w:rsidP="00C3208D">
      <w:pPr>
        <w:pStyle w:val="ListParagraph"/>
        <w:ind w:left="3600" w:hanging="720"/>
        <w:jc w:val="both"/>
        <w:rPr>
          <w:sz w:val="24"/>
          <w:szCs w:val="24"/>
        </w:rPr>
      </w:pPr>
      <w:r w:rsidRPr="00D202DE">
        <w:rPr>
          <w:sz w:val="24"/>
          <w:szCs w:val="24"/>
        </w:rPr>
        <w:t xml:space="preserve">(i) </w:t>
      </w:r>
      <w:r w:rsidRPr="00D202DE">
        <w:rPr>
          <w:sz w:val="24"/>
          <w:szCs w:val="24"/>
        </w:rPr>
        <w:tab/>
        <w:t xml:space="preserve">the matter is referred to a prosecutorial body but the person is not prosecuted for an offence arising out of the investigation; </w:t>
      </w:r>
    </w:p>
    <w:p w14:paraId="7BECB48C" w14:textId="77777777" w:rsidR="002F0E01" w:rsidRPr="00D202DE" w:rsidRDefault="002F0E01" w:rsidP="00C3208D">
      <w:pPr>
        <w:pStyle w:val="ListParagraph"/>
        <w:ind w:left="3600" w:hanging="720"/>
        <w:jc w:val="both"/>
        <w:rPr>
          <w:sz w:val="24"/>
          <w:szCs w:val="24"/>
        </w:rPr>
      </w:pPr>
      <w:r w:rsidRPr="00D202DE">
        <w:rPr>
          <w:sz w:val="24"/>
          <w:szCs w:val="24"/>
        </w:rPr>
        <w:t xml:space="preserve">(ii) </w:t>
      </w:r>
      <w:r w:rsidRPr="00D202DE">
        <w:rPr>
          <w:sz w:val="24"/>
          <w:szCs w:val="24"/>
        </w:rPr>
        <w:tab/>
        <w:t xml:space="preserve">the matter is referred to a prosecutorial body, the person is prosecuted for an offence arising out of the investigation and— </w:t>
      </w:r>
    </w:p>
    <w:p w14:paraId="5B66BA8F" w14:textId="509AD154" w:rsidR="002F0E01" w:rsidRPr="00D202DE" w:rsidRDefault="002F0E01" w:rsidP="00C3208D">
      <w:pPr>
        <w:pStyle w:val="ListParagraph"/>
        <w:ind w:left="4320" w:hanging="720"/>
        <w:jc w:val="both"/>
        <w:rPr>
          <w:sz w:val="24"/>
          <w:szCs w:val="24"/>
        </w:rPr>
      </w:pPr>
      <w:r w:rsidRPr="00D202DE">
        <w:rPr>
          <w:sz w:val="24"/>
          <w:szCs w:val="24"/>
        </w:rPr>
        <w:lastRenderedPageBreak/>
        <w:t xml:space="preserve">(A) </w:t>
      </w:r>
      <w:r w:rsidRPr="00D202DE">
        <w:rPr>
          <w:sz w:val="24"/>
          <w:szCs w:val="24"/>
        </w:rPr>
        <w:tab/>
        <w:t xml:space="preserve">the prosecution is discontinued or dismissed; or </w:t>
      </w:r>
    </w:p>
    <w:p w14:paraId="6F1D00CD" w14:textId="5E5D678C" w:rsidR="002F0E01" w:rsidRPr="00D202DE" w:rsidRDefault="002F0E01" w:rsidP="00C3208D">
      <w:pPr>
        <w:pStyle w:val="ListParagraph"/>
        <w:ind w:left="4320" w:hanging="720"/>
        <w:jc w:val="both"/>
        <w:rPr>
          <w:sz w:val="24"/>
          <w:szCs w:val="24"/>
        </w:rPr>
      </w:pPr>
      <w:r w:rsidRPr="00D202DE">
        <w:rPr>
          <w:sz w:val="24"/>
          <w:szCs w:val="24"/>
        </w:rPr>
        <w:t xml:space="preserve">(B) </w:t>
      </w:r>
      <w:r w:rsidRPr="00D202DE">
        <w:rPr>
          <w:sz w:val="24"/>
          <w:szCs w:val="24"/>
        </w:rPr>
        <w:tab/>
        <w:t xml:space="preserve">the person is found not guilty of the offence; or </w:t>
      </w:r>
    </w:p>
    <w:p w14:paraId="1C0F8E30" w14:textId="405A4325" w:rsidR="002F0E01" w:rsidRPr="00D202DE" w:rsidRDefault="002F0E01" w:rsidP="00C3208D">
      <w:pPr>
        <w:pStyle w:val="ListParagraph"/>
        <w:ind w:left="4395" w:hanging="795"/>
        <w:jc w:val="both"/>
        <w:rPr>
          <w:sz w:val="24"/>
          <w:szCs w:val="24"/>
        </w:rPr>
      </w:pPr>
      <w:r w:rsidRPr="00D202DE">
        <w:rPr>
          <w:sz w:val="24"/>
          <w:szCs w:val="24"/>
        </w:rPr>
        <w:t xml:space="preserve">(C) </w:t>
      </w:r>
      <w:r w:rsidRPr="00D202DE">
        <w:rPr>
          <w:sz w:val="24"/>
          <w:szCs w:val="24"/>
        </w:rPr>
        <w:tab/>
        <w:t xml:space="preserve">the person is convicted of the offence but the conviction is quashed, nullified or set aside; or </w:t>
      </w:r>
    </w:p>
    <w:p w14:paraId="15F3BB6D" w14:textId="77777777" w:rsidR="002F0E01" w:rsidRPr="00D202DE" w:rsidRDefault="002F0E01" w:rsidP="00C3208D">
      <w:pPr>
        <w:pStyle w:val="ListParagraph"/>
        <w:ind w:left="4320" w:hanging="720"/>
        <w:jc w:val="both"/>
        <w:rPr>
          <w:sz w:val="24"/>
          <w:szCs w:val="24"/>
        </w:rPr>
      </w:pPr>
      <w:r w:rsidRPr="00D202DE">
        <w:rPr>
          <w:sz w:val="24"/>
          <w:szCs w:val="24"/>
        </w:rPr>
        <w:t xml:space="preserve">(D) </w:t>
      </w:r>
      <w:r w:rsidRPr="00D202DE">
        <w:rPr>
          <w:sz w:val="24"/>
          <w:szCs w:val="24"/>
        </w:rPr>
        <w:tab/>
        <w:t xml:space="preserve">the person is otherwise cleared of wrongdoing; </w:t>
      </w:r>
    </w:p>
    <w:p w14:paraId="221E37D5" w14:textId="77777777" w:rsidR="002F0E01" w:rsidRPr="00D202DE" w:rsidRDefault="002F0E01" w:rsidP="00C3208D">
      <w:pPr>
        <w:pStyle w:val="ListParagraph"/>
        <w:ind w:left="3600" w:hanging="720"/>
        <w:jc w:val="both"/>
        <w:rPr>
          <w:sz w:val="24"/>
          <w:szCs w:val="24"/>
        </w:rPr>
      </w:pPr>
      <w:r w:rsidRPr="00D202DE">
        <w:rPr>
          <w:sz w:val="24"/>
          <w:szCs w:val="24"/>
        </w:rPr>
        <w:t xml:space="preserve">(iii) </w:t>
      </w:r>
      <w:r w:rsidRPr="00D202DE">
        <w:rPr>
          <w:sz w:val="24"/>
          <w:szCs w:val="24"/>
        </w:rPr>
        <w:tab/>
        <w:t xml:space="preserve">the person is the subject of termination action arising out of the investigation and the person is cleared of wrongdoing. </w:t>
      </w:r>
    </w:p>
    <w:p w14:paraId="60B600D4" w14:textId="021FD8C4" w:rsidR="002F0E01" w:rsidRPr="00D202DE" w:rsidRDefault="002F0E01" w:rsidP="00C3208D">
      <w:pPr>
        <w:pStyle w:val="ListParagraph"/>
        <w:ind w:left="2160" w:hanging="720"/>
        <w:jc w:val="both"/>
        <w:rPr>
          <w:sz w:val="24"/>
          <w:szCs w:val="24"/>
        </w:rPr>
      </w:pPr>
      <w:r w:rsidRPr="00D202DE">
        <w:rPr>
          <w:sz w:val="24"/>
          <w:szCs w:val="24"/>
        </w:rPr>
        <w:t>(2) The reputational repair protocols are a notifiable instrument</w:t>
      </w:r>
      <w:r w:rsidR="00C3208D" w:rsidRPr="00D202DE">
        <w:rPr>
          <w:sz w:val="24"/>
          <w:szCs w:val="24"/>
        </w:rPr>
        <w:t>.</w:t>
      </w:r>
    </w:p>
    <w:p w14:paraId="182D7061" w14:textId="77777777" w:rsidR="002F0E01" w:rsidRPr="00D202DE" w:rsidRDefault="002F0E01" w:rsidP="00C3208D">
      <w:pPr>
        <w:pStyle w:val="ListParagraph"/>
        <w:jc w:val="both"/>
        <w:rPr>
          <w:sz w:val="24"/>
          <w:szCs w:val="24"/>
        </w:rPr>
      </w:pPr>
    </w:p>
    <w:p w14:paraId="73F4FA26" w14:textId="5C355F93" w:rsidR="002F0E01" w:rsidRPr="00D202DE" w:rsidRDefault="00C3208D" w:rsidP="00C3208D">
      <w:pPr>
        <w:pStyle w:val="ListParagraph"/>
        <w:numPr>
          <w:ilvl w:val="1"/>
          <w:numId w:val="2"/>
        </w:numPr>
        <w:jc w:val="both"/>
        <w:rPr>
          <w:sz w:val="24"/>
          <w:szCs w:val="24"/>
        </w:rPr>
      </w:pPr>
      <w:r w:rsidRPr="00D202DE">
        <w:rPr>
          <w:sz w:val="24"/>
          <w:szCs w:val="24"/>
        </w:rPr>
        <w:t xml:space="preserve">Where any of the circumstances referred to in section 204(1)(a) occur, the ACTIC recognises that reputational damage may be occasioned to the </w:t>
      </w:r>
      <w:r w:rsidR="001B32E3" w:rsidRPr="00D202DE">
        <w:rPr>
          <w:sz w:val="24"/>
          <w:szCs w:val="24"/>
        </w:rPr>
        <w:t>person</w:t>
      </w:r>
      <w:r w:rsidRPr="00D202DE">
        <w:rPr>
          <w:sz w:val="24"/>
          <w:szCs w:val="24"/>
        </w:rPr>
        <w:t xml:space="preserve"> </w:t>
      </w:r>
      <w:r w:rsidR="001B32E3" w:rsidRPr="00D202DE">
        <w:rPr>
          <w:sz w:val="24"/>
          <w:szCs w:val="24"/>
        </w:rPr>
        <w:t xml:space="preserve">or entity </w:t>
      </w:r>
      <w:r w:rsidRPr="00D202DE">
        <w:rPr>
          <w:sz w:val="24"/>
          <w:szCs w:val="24"/>
        </w:rPr>
        <w:t xml:space="preserve">alleged to have engaged in corrupt conduct.  </w:t>
      </w:r>
    </w:p>
    <w:p w14:paraId="35AB14F2" w14:textId="77777777" w:rsidR="00F32A83" w:rsidRPr="00D202DE" w:rsidRDefault="00F32A83" w:rsidP="00D202DE">
      <w:pPr>
        <w:pStyle w:val="ListParagraph"/>
        <w:jc w:val="both"/>
        <w:rPr>
          <w:sz w:val="24"/>
          <w:szCs w:val="24"/>
        </w:rPr>
      </w:pPr>
    </w:p>
    <w:p w14:paraId="502A9D3B" w14:textId="57FF41E2" w:rsidR="00F32A83" w:rsidRPr="00D202DE" w:rsidRDefault="00F32A83" w:rsidP="00C3208D">
      <w:pPr>
        <w:pStyle w:val="ListParagraph"/>
        <w:numPr>
          <w:ilvl w:val="1"/>
          <w:numId w:val="2"/>
        </w:numPr>
        <w:jc w:val="both"/>
        <w:rPr>
          <w:sz w:val="24"/>
          <w:szCs w:val="24"/>
        </w:rPr>
      </w:pPr>
      <w:r w:rsidRPr="00D202DE">
        <w:rPr>
          <w:sz w:val="24"/>
          <w:szCs w:val="24"/>
        </w:rPr>
        <w:t xml:space="preserve">The </w:t>
      </w:r>
      <w:r w:rsidR="00733B08" w:rsidRPr="00D202DE">
        <w:rPr>
          <w:sz w:val="24"/>
          <w:szCs w:val="24"/>
        </w:rPr>
        <w:t xml:space="preserve">discontinuance or dismissal of a prosecution, the </w:t>
      </w:r>
      <w:r w:rsidRPr="00D202DE">
        <w:rPr>
          <w:sz w:val="24"/>
          <w:szCs w:val="24"/>
        </w:rPr>
        <w:t xml:space="preserve">acquittal of a </w:t>
      </w:r>
      <w:r w:rsidR="001B32E3" w:rsidRPr="00D202DE">
        <w:rPr>
          <w:sz w:val="24"/>
          <w:szCs w:val="24"/>
        </w:rPr>
        <w:t>person</w:t>
      </w:r>
      <w:r w:rsidRPr="00D202DE">
        <w:rPr>
          <w:sz w:val="24"/>
          <w:szCs w:val="24"/>
        </w:rPr>
        <w:t xml:space="preserve"> </w:t>
      </w:r>
      <w:r w:rsidR="001B32E3" w:rsidRPr="00D202DE">
        <w:rPr>
          <w:sz w:val="24"/>
          <w:szCs w:val="24"/>
        </w:rPr>
        <w:t xml:space="preserve">or entity </w:t>
      </w:r>
      <w:r w:rsidR="00733B08" w:rsidRPr="00D202DE">
        <w:rPr>
          <w:sz w:val="24"/>
          <w:szCs w:val="24"/>
        </w:rPr>
        <w:t>or the setting aside of a conviction on a particular criminal charge</w:t>
      </w:r>
      <w:r w:rsidRPr="00D202DE">
        <w:rPr>
          <w:sz w:val="24"/>
          <w:szCs w:val="24"/>
        </w:rPr>
        <w:t xml:space="preserve"> relating to the same or related subject matter as has been the subject of corrupt conduct findings by the ACTIC may, understandably, </w:t>
      </w:r>
      <w:r w:rsidR="00733B08" w:rsidRPr="00D202DE">
        <w:rPr>
          <w:sz w:val="24"/>
          <w:szCs w:val="24"/>
        </w:rPr>
        <w:t>give</w:t>
      </w:r>
      <w:r w:rsidRPr="00D202DE">
        <w:rPr>
          <w:sz w:val="24"/>
          <w:szCs w:val="24"/>
        </w:rPr>
        <w:t xml:space="preserve"> rise to questions about the appropriateness of the</w:t>
      </w:r>
      <w:r w:rsidR="00733B08" w:rsidRPr="00D202DE">
        <w:rPr>
          <w:sz w:val="24"/>
          <w:szCs w:val="24"/>
        </w:rPr>
        <w:t xml:space="preserve"> ACTIC’s</w:t>
      </w:r>
      <w:r w:rsidRPr="00D202DE">
        <w:rPr>
          <w:sz w:val="24"/>
          <w:szCs w:val="24"/>
        </w:rPr>
        <w:t xml:space="preserve"> earlier corrupt conduct findings.  </w:t>
      </w:r>
      <w:r w:rsidR="00733B08" w:rsidRPr="00D202DE">
        <w:rPr>
          <w:sz w:val="24"/>
          <w:szCs w:val="24"/>
        </w:rPr>
        <w:t xml:space="preserve">The ACTIC notes that such outcomes do not, of themselves, demonstrate the </w:t>
      </w:r>
      <w:r w:rsidR="001B32E3" w:rsidRPr="00D202DE">
        <w:rPr>
          <w:sz w:val="24"/>
          <w:szCs w:val="24"/>
        </w:rPr>
        <w:t>person or entity</w:t>
      </w:r>
      <w:r w:rsidR="00733B08" w:rsidRPr="00D202DE">
        <w:rPr>
          <w:sz w:val="24"/>
          <w:szCs w:val="24"/>
        </w:rPr>
        <w:t xml:space="preserve"> has been exonerated, in the sense that the outcomes may suggest that the adverse findings were not available, should not have been made and should be expunged.  There are a number of reasons for this:</w:t>
      </w:r>
    </w:p>
    <w:p w14:paraId="42BC5EA2" w14:textId="77777777" w:rsidR="00733B08" w:rsidRPr="00D202DE" w:rsidRDefault="00733B08" w:rsidP="00D202DE">
      <w:pPr>
        <w:pStyle w:val="ListParagraph"/>
        <w:rPr>
          <w:sz w:val="24"/>
          <w:szCs w:val="24"/>
        </w:rPr>
      </w:pPr>
    </w:p>
    <w:p w14:paraId="476682FF" w14:textId="5C3F7A3F" w:rsidR="00733B08" w:rsidRPr="00D202DE" w:rsidRDefault="00733B08" w:rsidP="00733B08">
      <w:pPr>
        <w:pStyle w:val="ListParagraph"/>
        <w:numPr>
          <w:ilvl w:val="0"/>
          <w:numId w:val="34"/>
        </w:numPr>
        <w:jc w:val="both"/>
        <w:rPr>
          <w:sz w:val="24"/>
          <w:szCs w:val="24"/>
        </w:rPr>
      </w:pPr>
      <w:r w:rsidRPr="00D202DE">
        <w:rPr>
          <w:sz w:val="24"/>
          <w:szCs w:val="24"/>
        </w:rPr>
        <w:t>The ACTIC makes its findings based on the balance of probabilities, as opposed to the criminal standard of proof (beyond reasonable doubt).  A conclusion by a court that criminal charges have not been proved beyond reasonable doubt, or the dismissal of a prosecution or overturning of a finding of guilt does not demonstrate the ACTIC, in considering related matters according to a different standard of proof, should have made different findings.</w:t>
      </w:r>
    </w:p>
    <w:p w14:paraId="0A41B887" w14:textId="359CEFCB" w:rsidR="00733B08" w:rsidRPr="00D202DE" w:rsidRDefault="00733B08" w:rsidP="00733B08">
      <w:pPr>
        <w:pStyle w:val="ListParagraph"/>
        <w:numPr>
          <w:ilvl w:val="0"/>
          <w:numId w:val="34"/>
        </w:numPr>
        <w:jc w:val="both"/>
        <w:rPr>
          <w:sz w:val="24"/>
          <w:szCs w:val="24"/>
        </w:rPr>
      </w:pPr>
      <w:r w:rsidRPr="00D202DE">
        <w:rPr>
          <w:sz w:val="24"/>
          <w:szCs w:val="24"/>
        </w:rPr>
        <w:t xml:space="preserve">The rules of evidence </w:t>
      </w:r>
      <w:r w:rsidR="00BB1E35" w:rsidRPr="00D202DE">
        <w:rPr>
          <w:sz w:val="24"/>
          <w:szCs w:val="24"/>
        </w:rPr>
        <w:t>and criminal procedure do not apply to proceedings in the ACTIC.  Evidence that may have formed the basis of ACTIC findings may be inadmissible in criminal proceedings, or new evidence may be available in the criminal proceeding that was unavailable to the ACTIC;</w:t>
      </w:r>
    </w:p>
    <w:p w14:paraId="60A8015B" w14:textId="3DFC68D3" w:rsidR="00BB1E35" w:rsidRPr="00D202DE" w:rsidRDefault="00BB1E35" w:rsidP="00D202DE">
      <w:pPr>
        <w:pStyle w:val="ListParagraph"/>
        <w:numPr>
          <w:ilvl w:val="0"/>
          <w:numId w:val="34"/>
        </w:numPr>
        <w:jc w:val="both"/>
        <w:rPr>
          <w:sz w:val="24"/>
          <w:szCs w:val="24"/>
        </w:rPr>
      </w:pPr>
      <w:r w:rsidRPr="00D202DE">
        <w:rPr>
          <w:sz w:val="24"/>
          <w:szCs w:val="24"/>
        </w:rPr>
        <w:t xml:space="preserve">There is no commensurate criminal offence of ‘corrupt conduct’ </w:t>
      </w:r>
      <w:r w:rsidR="00076189" w:rsidRPr="00D202DE">
        <w:rPr>
          <w:sz w:val="24"/>
          <w:szCs w:val="24"/>
        </w:rPr>
        <w:t>contained in</w:t>
      </w:r>
      <w:r w:rsidRPr="00D202DE">
        <w:rPr>
          <w:sz w:val="24"/>
          <w:szCs w:val="24"/>
        </w:rPr>
        <w:t xml:space="preserve"> the ACT statute books to the definition of ‘corrupt conduct’ in sections 9, 10 and 11 of the Act.</w:t>
      </w:r>
    </w:p>
    <w:p w14:paraId="2664E98C" w14:textId="77777777" w:rsidR="00733B08" w:rsidRPr="00D202DE" w:rsidRDefault="00733B08" w:rsidP="00D202DE">
      <w:pPr>
        <w:pStyle w:val="ListParagraph"/>
        <w:rPr>
          <w:sz w:val="24"/>
          <w:szCs w:val="24"/>
        </w:rPr>
      </w:pPr>
    </w:p>
    <w:p w14:paraId="15401701" w14:textId="710A057E" w:rsidR="00C3208D" w:rsidRDefault="00C3208D" w:rsidP="00C3208D">
      <w:pPr>
        <w:pStyle w:val="Heading1"/>
        <w:numPr>
          <w:ilvl w:val="0"/>
          <w:numId w:val="2"/>
        </w:numPr>
        <w:jc w:val="both"/>
      </w:pPr>
      <w:r>
        <w:lastRenderedPageBreak/>
        <w:t>Procedure</w:t>
      </w:r>
    </w:p>
    <w:p w14:paraId="2881B048" w14:textId="1254773A" w:rsidR="00C3208D" w:rsidRDefault="00C3208D" w:rsidP="00C3208D">
      <w:pPr>
        <w:jc w:val="both"/>
      </w:pPr>
    </w:p>
    <w:p w14:paraId="4D6EA0F8" w14:textId="29B6F126" w:rsidR="00C3208D" w:rsidRPr="00D202DE" w:rsidRDefault="00C3208D" w:rsidP="00067CBC">
      <w:pPr>
        <w:pStyle w:val="ListParagraph"/>
        <w:numPr>
          <w:ilvl w:val="1"/>
          <w:numId w:val="2"/>
        </w:numPr>
        <w:jc w:val="both"/>
        <w:rPr>
          <w:sz w:val="24"/>
          <w:szCs w:val="24"/>
        </w:rPr>
      </w:pPr>
      <w:r w:rsidRPr="00D202DE">
        <w:rPr>
          <w:sz w:val="24"/>
          <w:szCs w:val="24"/>
        </w:rPr>
        <w:t xml:space="preserve">Where the </w:t>
      </w:r>
      <w:r w:rsidR="00067CBC" w:rsidRPr="00D202DE">
        <w:rPr>
          <w:sz w:val="24"/>
          <w:szCs w:val="24"/>
        </w:rPr>
        <w:t xml:space="preserve">ACTIC becomes aware that the </w:t>
      </w:r>
      <w:r w:rsidRPr="00D202DE">
        <w:rPr>
          <w:sz w:val="24"/>
          <w:szCs w:val="24"/>
        </w:rPr>
        <w:t xml:space="preserve">circumstances in section 204 </w:t>
      </w:r>
      <w:r w:rsidR="00067CBC" w:rsidRPr="00D202DE">
        <w:rPr>
          <w:sz w:val="24"/>
          <w:szCs w:val="24"/>
        </w:rPr>
        <w:t xml:space="preserve">may have </w:t>
      </w:r>
      <w:r w:rsidR="00FE143A" w:rsidRPr="00D202DE">
        <w:rPr>
          <w:sz w:val="24"/>
          <w:szCs w:val="24"/>
        </w:rPr>
        <w:t>occurred</w:t>
      </w:r>
      <w:r w:rsidRPr="00D202DE">
        <w:rPr>
          <w:sz w:val="24"/>
          <w:szCs w:val="24"/>
        </w:rPr>
        <w:t xml:space="preserve">, </w:t>
      </w:r>
      <w:r w:rsidR="00BB1E35" w:rsidRPr="00D202DE">
        <w:rPr>
          <w:sz w:val="24"/>
          <w:szCs w:val="24"/>
        </w:rPr>
        <w:t xml:space="preserve">the ACTIC </w:t>
      </w:r>
      <w:r w:rsidR="00FE143A" w:rsidRPr="00D202DE">
        <w:rPr>
          <w:sz w:val="24"/>
          <w:szCs w:val="24"/>
        </w:rPr>
        <w:t>may apply</w:t>
      </w:r>
      <w:r w:rsidR="00067CBC" w:rsidRPr="00D202DE">
        <w:rPr>
          <w:sz w:val="24"/>
          <w:szCs w:val="24"/>
        </w:rPr>
        <w:t xml:space="preserve"> these protocols.  The ACTIC may become aware of the s 204 circumstances arising of its own accord, or by way of complaint by the </w:t>
      </w:r>
      <w:r w:rsidR="001B32E3" w:rsidRPr="00D202DE">
        <w:rPr>
          <w:sz w:val="24"/>
          <w:szCs w:val="24"/>
        </w:rPr>
        <w:t>person</w:t>
      </w:r>
      <w:r w:rsidR="00067CBC" w:rsidRPr="00D202DE">
        <w:rPr>
          <w:sz w:val="24"/>
          <w:szCs w:val="24"/>
        </w:rPr>
        <w:t xml:space="preserve"> </w:t>
      </w:r>
      <w:r w:rsidR="001B32E3" w:rsidRPr="00D202DE">
        <w:rPr>
          <w:sz w:val="24"/>
          <w:szCs w:val="24"/>
        </w:rPr>
        <w:t xml:space="preserve">or entity </w:t>
      </w:r>
      <w:r w:rsidR="00076189" w:rsidRPr="00D202DE">
        <w:rPr>
          <w:sz w:val="24"/>
          <w:szCs w:val="24"/>
        </w:rPr>
        <w:t xml:space="preserve">or a third party </w:t>
      </w:r>
      <w:r w:rsidR="00067CBC" w:rsidRPr="00D202DE">
        <w:rPr>
          <w:sz w:val="24"/>
          <w:szCs w:val="24"/>
        </w:rPr>
        <w:t xml:space="preserve">in relation to whom the finding, opinion or recommendation was made.    </w:t>
      </w:r>
    </w:p>
    <w:p w14:paraId="607F3215" w14:textId="77777777" w:rsidR="00C3208D" w:rsidRPr="00D202DE" w:rsidRDefault="00C3208D" w:rsidP="00C3208D">
      <w:pPr>
        <w:pStyle w:val="ListParagraph"/>
        <w:jc w:val="both"/>
        <w:rPr>
          <w:sz w:val="24"/>
          <w:szCs w:val="24"/>
        </w:rPr>
      </w:pPr>
    </w:p>
    <w:p w14:paraId="63CA2E12" w14:textId="5ED2EC9C" w:rsidR="00C3208D" w:rsidRPr="00D202DE" w:rsidRDefault="00C3208D" w:rsidP="00C3208D">
      <w:pPr>
        <w:pStyle w:val="ListParagraph"/>
        <w:numPr>
          <w:ilvl w:val="1"/>
          <w:numId w:val="2"/>
        </w:numPr>
        <w:jc w:val="both"/>
        <w:rPr>
          <w:sz w:val="24"/>
          <w:szCs w:val="24"/>
        </w:rPr>
      </w:pPr>
      <w:r w:rsidRPr="00D202DE">
        <w:rPr>
          <w:sz w:val="24"/>
          <w:szCs w:val="24"/>
        </w:rPr>
        <w:t>Upon</w:t>
      </w:r>
      <w:r w:rsidR="00067CBC" w:rsidRPr="00D202DE">
        <w:rPr>
          <w:sz w:val="24"/>
          <w:szCs w:val="24"/>
        </w:rPr>
        <w:t xml:space="preserve"> becoming aware that the circumstances in s 204 may have arisen,</w:t>
      </w:r>
      <w:r w:rsidR="00D202DE" w:rsidRPr="00D202DE">
        <w:rPr>
          <w:sz w:val="24"/>
          <w:szCs w:val="24"/>
        </w:rPr>
        <w:t xml:space="preserve"> </w:t>
      </w:r>
      <w:r w:rsidRPr="00D202DE">
        <w:rPr>
          <w:sz w:val="24"/>
          <w:szCs w:val="24"/>
        </w:rPr>
        <w:t>the following procedure will be followed by the ACTIC:</w:t>
      </w:r>
    </w:p>
    <w:p w14:paraId="1262B272" w14:textId="73CD5653" w:rsidR="00C3208D" w:rsidRPr="00D202DE" w:rsidRDefault="00C3208D" w:rsidP="00C3208D">
      <w:pPr>
        <w:pStyle w:val="ListParagraph"/>
        <w:jc w:val="both"/>
        <w:rPr>
          <w:sz w:val="24"/>
          <w:szCs w:val="24"/>
        </w:rPr>
      </w:pPr>
    </w:p>
    <w:p w14:paraId="18540805" w14:textId="5CCC1707" w:rsidR="00C3208D" w:rsidRPr="00D202DE" w:rsidRDefault="00C3208D" w:rsidP="00C3208D">
      <w:pPr>
        <w:pStyle w:val="ListParagraph"/>
        <w:numPr>
          <w:ilvl w:val="0"/>
          <w:numId w:val="33"/>
        </w:numPr>
        <w:jc w:val="both"/>
        <w:rPr>
          <w:bCs/>
          <w:sz w:val="24"/>
          <w:szCs w:val="24"/>
        </w:rPr>
      </w:pPr>
      <w:r w:rsidRPr="00D202DE">
        <w:rPr>
          <w:bCs/>
          <w:sz w:val="24"/>
          <w:szCs w:val="24"/>
        </w:rPr>
        <w:t xml:space="preserve">The ACTIC will assess the </w:t>
      </w:r>
      <w:r w:rsidR="00067CBC" w:rsidRPr="00D202DE">
        <w:rPr>
          <w:bCs/>
          <w:sz w:val="24"/>
          <w:szCs w:val="24"/>
        </w:rPr>
        <w:t>circumstances</w:t>
      </w:r>
      <w:r w:rsidRPr="00D202DE">
        <w:rPr>
          <w:bCs/>
          <w:sz w:val="24"/>
          <w:szCs w:val="24"/>
        </w:rPr>
        <w:t xml:space="preserve">, and determine whether the </w:t>
      </w:r>
      <w:r w:rsidR="00930CEE" w:rsidRPr="00D202DE">
        <w:rPr>
          <w:bCs/>
          <w:sz w:val="24"/>
          <w:szCs w:val="24"/>
        </w:rPr>
        <w:t>criteria set out in s 204</w:t>
      </w:r>
      <w:r w:rsidR="00067CBC" w:rsidRPr="00D202DE">
        <w:rPr>
          <w:bCs/>
          <w:sz w:val="24"/>
          <w:szCs w:val="24"/>
        </w:rPr>
        <w:t xml:space="preserve"> </w:t>
      </w:r>
      <w:r w:rsidR="00FE143A" w:rsidRPr="00D202DE">
        <w:rPr>
          <w:bCs/>
          <w:sz w:val="24"/>
          <w:szCs w:val="24"/>
        </w:rPr>
        <w:t>are</w:t>
      </w:r>
      <w:r w:rsidR="00067CBC" w:rsidRPr="00D202DE">
        <w:rPr>
          <w:bCs/>
          <w:sz w:val="24"/>
          <w:szCs w:val="24"/>
        </w:rPr>
        <w:t xml:space="preserve"> met</w:t>
      </w:r>
      <w:r w:rsidRPr="00D202DE">
        <w:rPr>
          <w:bCs/>
          <w:sz w:val="24"/>
          <w:szCs w:val="24"/>
        </w:rPr>
        <w:t>;</w:t>
      </w:r>
    </w:p>
    <w:p w14:paraId="6AC45C90" w14:textId="6E0B4C7F" w:rsidR="00C3208D" w:rsidRPr="00D202DE" w:rsidRDefault="00C3208D" w:rsidP="00C3208D">
      <w:pPr>
        <w:pStyle w:val="ListParagraph"/>
        <w:numPr>
          <w:ilvl w:val="0"/>
          <w:numId w:val="33"/>
        </w:numPr>
        <w:jc w:val="both"/>
        <w:rPr>
          <w:bCs/>
          <w:sz w:val="24"/>
          <w:szCs w:val="24"/>
        </w:rPr>
      </w:pPr>
      <w:r w:rsidRPr="00D202DE">
        <w:rPr>
          <w:bCs/>
          <w:sz w:val="24"/>
          <w:szCs w:val="24"/>
        </w:rPr>
        <w:t xml:space="preserve">If the ACTIC considers </w:t>
      </w:r>
      <w:r w:rsidR="00067CBC" w:rsidRPr="00D202DE">
        <w:rPr>
          <w:bCs/>
          <w:sz w:val="24"/>
          <w:szCs w:val="24"/>
        </w:rPr>
        <w:t xml:space="preserve">the s 204 criteria </w:t>
      </w:r>
      <w:r w:rsidR="00FE143A" w:rsidRPr="00D202DE">
        <w:rPr>
          <w:bCs/>
          <w:sz w:val="24"/>
          <w:szCs w:val="24"/>
        </w:rPr>
        <w:t>are</w:t>
      </w:r>
      <w:r w:rsidR="00067CBC" w:rsidRPr="00D202DE">
        <w:rPr>
          <w:bCs/>
          <w:sz w:val="24"/>
          <w:szCs w:val="24"/>
        </w:rPr>
        <w:t xml:space="preserve"> met</w:t>
      </w:r>
      <w:r w:rsidRPr="00D202DE">
        <w:rPr>
          <w:bCs/>
          <w:sz w:val="24"/>
          <w:szCs w:val="24"/>
        </w:rPr>
        <w:t xml:space="preserve">, the ACTIC in its absolute discretion will determine whether reputational repair measures are required; </w:t>
      </w:r>
    </w:p>
    <w:p w14:paraId="0A1FFBB9" w14:textId="428298F3" w:rsidR="00C3208D" w:rsidRPr="00D202DE" w:rsidRDefault="00C3208D" w:rsidP="00C3208D">
      <w:pPr>
        <w:pStyle w:val="ListParagraph"/>
        <w:numPr>
          <w:ilvl w:val="0"/>
          <w:numId w:val="33"/>
        </w:numPr>
        <w:jc w:val="both"/>
        <w:rPr>
          <w:bCs/>
          <w:sz w:val="24"/>
          <w:szCs w:val="24"/>
        </w:rPr>
      </w:pPr>
      <w:r w:rsidRPr="00D202DE">
        <w:rPr>
          <w:bCs/>
          <w:sz w:val="24"/>
          <w:szCs w:val="24"/>
        </w:rPr>
        <w:t xml:space="preserve">The ACTIC </w:t>
      </w:r>
      <w:r w:rsidR="00AE46B7" w:rsidRPr="00D202DE">
        <w:rPr>
          <w:bCs/>
          <w:sz w:val="24"/>
          <w:szCs w:val="24"/>
        </w:rPr>
        <w:t>will</w:t>
      </w:r>
      <w:r w:rsidRPr="00D202DE">
        <w:rPr>
          <w:bCs/>
          <w:sz w:val="24"/>
          <w:szCs w:val="24"/>
        </w:rPr>
        <w:t xml:space="preserve"> determine the nature and extent of appropriate reputational repair measures required. Such measures may be by letter or by notification as set out in (4) below. The letter or publication </w:t>
      </w:r>
      <w:r w:rsidR="00FE143A" w:rsidRPr="00D202DE">
        <w:rPr>
          <w:bCs/>
          <w:sz w:val="24"/>
          <w:szCs w:val="24"/>
        </w:rPr>
        <w:t xml:space="preserve">may </w:t>
      </w:r>
      <w:r w:rsidRPr="00D202DE">
        <w:rPr>
          <w:bCs/>
          <w:sz w:val="24"/>
          <w:szCs w:val="24"/>
        </w:rPr>
        <w:t>include the reputational repair information contained in (5) below.</w:t>
      </w:r>
    </w:p>
    <w:p w14:paraId="4912DBC9" w14:textId="27328303" w:rsidR="00C3208D" w:rsidRPr="00D202DE" w:rsidRDefault="00C3208D" w:rsidP="00C3208D">
      <w:pPr>
        <w:pStyle w:val="ListParagraph"/>
        <w:numPr>
          <w:ilvl w:val="0"/>
          <w:numId w:val="33"/>
        </w:numPr>
        <w:jc w:val="both"/>
        <w:rPr>
          <w:bCs/>
          <w:sz w:val="24"/>
          <w:szCs w:val="24"/>
        </w:rPr>
      </w:pPr>
      <w:r w:rsidRPr="00D202DE">
        <w:rPr>
          <w:bCs/>
          <w:sz w:val="24"/>
          <w:szCs w:val="24"/>
        </w:rPr>
        <w:t xml:space="preserve">The notification redress measures </w:t>
      </w:r>
      <w:r w:rsidR="00FE143A" w:rsidRPr="00D202DE">
        <w:rPr>
          <w:bCs/>
          <w:sz w:val="24"/>
          <w:szCs w:val="24"/>
        </w:rPr>
        <w:t xml:space="preserve">may </w:t>
      </w:r>
      <w:r w:rsidRPr="00D202DE">
        <w:rPr>
          <w:bCs/>
          <w:sz w:val="24"/>
          <w:szCs w:val="24"/>
        </w:rPr>
        <w:t>be by the following:</w:t>
      </w:r>
    </w:p>
    <w:p w14:paraId="73869AF6" w14:textId="57D8D0AC" w:rsidR="00C3208D" w:rsidRPr="00D202DE" w:rsidRDefault="00C3208D" w:rsidP="00C3208D">
      <w:pPr>
        <w:pStyle w:val="ListParagraph"/>
        <w:numPr>
          <w:ilvl w:val="1"/>
          <w:numId w:val="33"/>
        </w:numPr>
        <w:jc w:val="both"/>
        <w:rPr>
          <w:bCs/>
          <w:sz w:val="24"/>
          <w:szCs w:val="24"/>
        </w:rPr>
      </w:pPr>
      <w:r w:rsidRPr="00D202DE">
        <w:rPr>
          <w:bCs/>
          <w:sz w:val="24"/>
          <w:szCs w:val="24"/>
        </w:rPr>
        <w:t xml:space="preserve">provision of a letter addressed to the </w:t>
      </w:r>
      <w:r w:rsidR="001B32E3" w:rsidRPr="00D202DE">
        <w:rPr>
          <w:bCs/>
          <w:sz w:val="24"/>
          <w:szCs w:val="24"/>
        </w:rPr>
        <w:t>person or entity</w:t>
      </w:r>
      <w:r w:rsidRPr="00D202DE">
        <w:rPr>
          <w:bCs/>
          <w:sz w:val="24"/>
          <w:szCs w:val="24"/>
        </w:rPr>
        <w:t>; and/or</w:t>
      </w:r>
    </w:p>
    <w:p w14:paraId="0DF3D39E" w14:textId="156C9629" w:rsidR="00C3208D" w:rsidRPr="00D202DE" w:rsidRDefault="00C3208D" w:rsidP="00C3208D">
      <w:pPr>
        <w:pStyle w:val="ListParagraph"/>
        <w:numPr>
          <w:ilvl w:val="1"/>
          <w:numId w:val="33"/>
        </w:numPr>
        <w:jc w:val="both"/>
        <w:rPr>
          <w:bCs/>
          <w:sz w:val="24"/>
          <w:szCs w:val="24"/>
        </w:rPr>
      </w:pPr>
      <w:r w:rsidRPr="00D202DE">
        <w:rPr>
          <w:bCs/>
          <w:sz w:val="24"/>
          <w:szCs w:val="24"/>
        </w:rPr>
        <w:t>publication of a notification on the website of the ACTIC.</w:t>
      </w:r>
    </w:p>
    <w:p w14:paraId="23CFAE4B" w14:textId="33CA345F" w:rsidR="00C3208D" w:rsidRPr="00D202DE" w:rsidRDefault="00C3208D" w:rsidP="00C3208D">
      <w:pPr>
        <w:pStyle w:val="ListParagraph"/>
        <w:numPr>
          <w:ilvl w:val="0"/>
          <w:numId w:val="33"/>
        </w:numPr>
        <w:jc w:val="both"/>
        <w:rPr>
          <w:bCs/>
          <w:sz w:val="24"/>
          <w:szCs w:val="24"/>
        </w:rPr>
      </w:pPr>
      <w:r w:rsidRPr="00D202DE">
        <w:rPr>
          <w:bCs/>
          <w:sz w:val="24"/>
          <w:szCs w:val="24"/>
        </w:rPr>
        <w:t xml:space="preserve">The reputational repair information to be contained in any letter or public notice </w:t>
      </w:r>
      <w:r w:rsidR="00FE143A" w:rsidRPr="00D202DE">
        <w:rPr>
          <w:bCs/>
          <w:sz w:val="24"/>
          <w:szCs w:val="24"/>
        </w:rPr>
        <w:t xml:space="preserve">may </w:t>
      </w:r>
      <w:r w:rsidRPr="00D202DE">
        <w:rPr>
          <w:bCs/>
          <w:sz w:val="24"/>
          <w:szCs w:val="24"/>
        </w:rPr>
        <w:t>state the fact that:</w:t>
      </w:r>
    </w:p>
    <w:p w14:paraId="715E4105" w14:textId="35091B23" w:rsidR="00C3208D" w:rsidRPr="00D202DE" w:rsidRDefault="00C3208D" w:rsidP="00C3208D">
      <w:pPr>
        <w:pStyle w:val="ListParagraph"/>
        <w:numPr>
          <w:ilvl w:val="1"/>
          <w:numId w:val="33"/>
        </w:numPr>
        <w:jc w:val="both"/>
        <w:rPr>
          <w:bCs/>
          <w:sz w:val="24"/>
          <w:szCs w:val="24"/>
        </w:rPr>
      </w:pPr>
      <w:r w:rsidRPr="00D202DE">
        <w:rPr>
          <w:bCs/>
          <w:sz w:val="24"/>
          <w:szCs w:val="24"/>
        </w:rPr>
        <w:t xml:space="preserve">the ACTIC published an investigation report, special or annual report which contained a finding that the </w:t>
      </w:r>
      <w:r w:rsidR="001B32E3" w:rsidRPr="00D202DE">
        <w:rPr>
          <w:bCs/>
          <w:sz w:val="24"/>
          <w:szCs w:val="24"/>
        </w:rPr>
        <w:t xml:space="preserve">person </w:t>
      </w:r>
      <w:r w:rsidR="00FE143A" w:rsidRPr="00D202DE">
        <w:rPr>
          <w:bCs/>
          <w:sz w:val="24"/>
          <w:szCs w:val="24"/>
        </w:rPr>
        <w:t>or entity</w:t>
      </w:r>
      <w:r w:rsidRPr="00D202DE">
        <w:rPr>
          <w:bCs/>
          <w:sz w:val="24"/>
          <w:szCs w:val="24"/>
        </w:rPr>
        <w:t xml:space="preserve"> had engaged in, was engaging in was about to engage in, corrupt conduct, or made a comment or which was adverse to the </w:t>
      </w:r>
      <w:r w:rsidR="001B32E3" w:rsidRPr="00D202DE">
        <w:rPr>
          <w:bCs/>
          <w:sz w:val="24"/>
          <w:szCs w:val="24"/>
        </w:rPr>
        <w:t xml:space="preserve">person </w:t>
      </w:r>
      <w:r w:rsidR="00FE143A" w:rsidRPr="00D202DE">
        <w:rPr>
          <w:bCs/>
          <w:sz w:val="24"/>
          <w:szCs w:val="24"/>
        </w:rPr>
        <w:t>or entity</w:t>
      </w:r>
      <w:r w:rsidRPr="00D202DE">
        <w:rPr>
          <w:bCs/>
          <w:sz w:val="24"/>
          <w:szCs w:val="24"/>
        </w:rPr>
        <w:t xml:space="preserve">; and </w:t>
      </w:r>
    </w:p>
    <w:p w14:paraId="5BD64267" w14:textId="77777777" w:rsidR="00FE143A" w:rsidRPr="00D202DE" w:rsidRDefault="00C3208D" w:rsidP="00C3208D">
      <w:pPr>
        <w:pStyle w:val="ListParagraph"/>
        <w:numPr>
          <w:ilvl w:val="1"/>
          <w:numId w:val="33"/>
        </w:numPr>
        <w:jc w:val="both"/>
        <w:rPr>
          <w:bCs/>
          <w:sz w:val="24"/>
          <w:szCs w:val="24"/>
        </w:rPr>
      </w:pPr>
      <w:r w:rsidRPr="00D202DE">
        <w:rPr>
          <w:bCs/>
          <w:sz w:val="24"/>
          <w:szCs w:val="24"/>
        </w:rPr>
        <w:t>that one or more of the events to in section 204(b)(i) to (iii) have occurred</w:t>
      </w:r>
      <w:r w:rsidR="00FE143A" w:rsidRPr="00D202DE">
        <w:rPr>
          <w:bCs/>
          <w:sz w:val="24"/>
          <w:szCs w:val="24"/>
        </w:rPr>
        <w:t>; and</w:t>
      </w:r>
    </w:p>
    <w:p w14:paraId="47F14B7C" w14:textId="3962F03F" w:rsidR="00C3208D" w:rsidRPr="00D202DE" w:rsidRDefault="00FE143A" w:rsidP="00C3208D">
      <w:pPr>
        <w:pStyle w:val="ListParagraph"/>
        <w:numPr>
          <w:ilvl w:val="1"/>
          <w:numId w:val="33"/>
        </w:numPr>
        <w:jc w:val="both"/>
        <w:rPr>
          <w:bCs/>
          <w:sz w:val="24"/>
          <w:szCs w:val="24"/>
        </w:rPr>
      </w:pPr>
      <w:r w:rsidRPr="00D202DE">
        <w:rPr>
          <w:bCs/>
          <w:sz w:val="24"/>
          <w:szCs w:val="24"/>
        </w:rPr>
        <w:t>that the Commission considers that it is possible that the person or entity has suffered reputational damage and of measures which the Commission considers are required to address such damage</w:t>
      </w:r>
    </w:p>
    <w:p w14:paraId="0EE9B8D4" w14:textId="77777777" w:rsidR="00C3208D" w:rsidRPr="00D202DE" w:rsidRDefault="00C3208D" w:rsidP="00C3208D">
      <w:pPr>
        <w:pStyle w:val="ListParagraph"/>
        <w:ind w:left="1440"/>
        <w:jc w:val="both"/>
        <w:rPr>
          <w:bCs/>
          <w:sz w:val="24"/>
          <w:szCs w:val="24"/>
        </w:rPr>
      </w:pPr>
    </w:p>
    <w:p w14:paraId="27759A80" w14:textId="7B8C4DC4" w:rsidR="00C3208D" w:rsidRPr="00D202DE" w:rsidRDefault="00C3208D" w:rsidP="00C3208D">
      <w:pPr>
        <w:ind w:left="720" w:hanging="720"/>
        <w:jc w:val="both"/>
        <w:rPr>
          <w:sz w:val="24"/>
          <w:szCs w:val="24"/>
        </w:rPr>
      </w:pPr>
      <w:r w:rsidRPr="00D202DE">
        <w:rPr>
          <w:sz w:val="24"/>
          <w:szCs w:val="24"/>
        </w:rPr>
        <w:t>3.3</w:t>
      </w:r>
      <w:r w:rsidRPr="00D202DE">
        <w:rPr>
          <w:sz w:val="24"/>
          <w:szCs w:val="24"/>
        </w:rPr>
        <w:tab/>
        <w:t>The fact that the ACTIC institutes any reputational repair measures in consequence of section 204 of the Act does not establish any entitlement to recover compensation against the Australian Capital Territory, the ACTIC or any of the officers of the ACTIC.</w:t>
      </w:r>
    </w:p>
    <w:sectPr w:rsidR="00C3208D" w:rsidRPr="00D202DE" w:rsidSect="000F4A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2A4F" w14:textId="77777777" w:rsidR="00153124" w:rsidRDefault="00153124" w:rsidP="00153124">
      <w:pPr>
        <w:spacing w:after="0" w:line="240" w:lineRule="auto"/>
      </w:pPr>
      <w:r>
        <w:separator/>
      </w:r>
    </w:p>
  </w:endnote>
  <w:endnote w:type="continuationSeparator" w:id="0">
    <w:p w14:paraId="3043513D" w14:textId="77777777" w:rsidR="00153124" w:rsidRDefault="00153124" w:rsidP="0015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172B" w14:textId="77777777" w:rsidR="00B801F0" w:rsidRDefault="00B8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37181"/>
      <w:docPartObj>
        <w:docPartGallery w:val="Page Numbers (Bottom of Page)"/>
        <w:docPartUnique/>
      </w:docPartObj>
    </w:sdtPr>
    <w:sdtEndPr>
      <w:rPr>
        <w:color w:val="7F7F7F" w:themeColor="background1" w:themeShade="7F"/>
        <w:spacing w:val="60"/>
      </w:rPr>
    </w:sdtEndPr>
    <w:sdtContent>
      <w:p w14:paraId="1F74F4D1" w14:textId="77777777" w:rsidR="003D3C0C" w:rsidRDefault="00B801F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E0A86D" w14:textId="0110DE91" w:rsidR="001D047F" w:rsidRPr="007132F7" w:rsidRDefault="007132F7" w:rsidP="007132F7">
    <w:pPr>
      <w:pStyle w:val="Footer"/>
      <w:jc w:val="center"/>
      <w:rPr>
        <w:rFonts w:ascii="Arial" w:hAnsi="Arial" w:cs="Arial"/>
        <w:sz w:val="14"/>
        <w:szCs w:val="24"/>
      </w:rPr>
    </w:pPr>
    <w:r w:rsidRPr="007132F7">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B6F4" w14:textId="6CC94960" w:rsidR="00B801F0" w:rsidRPr="007132F7" w:rsidRDefault="007132F7" w:rsidP="007132F7">
    <w:pPr>
      <w:pStyle w:val="Footer"/>
      <w:jc w:val="center"/>
      <w:rPr>
        <w:rFonts w:ascii="Arial" w:hAnsi="Arial" w:cs="Arial"/>
        <w:sz w:val="14"/>
      </w:rPr>
    </w:pPr>
    <w:r w:rsidRPr="007132F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3769" w14:textId="77777777" w:rsidR="00153124" w:rsidRDefault="00153124" w:rsidP="00153124">
      <w:pPr>
        <w:spacing w:after="0" w:line="240" w:lineRule="auto"/>
      </w:pPr>
      <w:r>
        <w:separator/>
      </w:r>
    </w:p>
  </w:footnote>
  <w:footnote w:type="continuationSeparator" w:id="0">
    <w:p w14:paraId="73DAB077" w14:textId="77777777" w:rsidR="00153124" w:rsidRDefault="00153124" w:rsidP="00153124">
      <w:pPr>
        <w:spacing w:after="0" w:line="240" w:lineRule="auto"/>
      </w:pPr>
      <w:r>
        <w:continuationSeparator/>
      </w:r>
    </w:p>
  </w:footnote>
  <w:footnote w:id="1">
    <w:p w14:paraId="495F7D38" w14:textId="77777777" w:rsidR="006636C5" w:rsidRDefault="006636C5" w:rsidP="006636C5">
      <w:pPr>
        <w:pStyle w:val="FootnoteText"/>
      </w:pPr>
      <w:r>
        <w:rPr>
          <w:rStyle w:val="FootnoteReference"/>
        </w:rPr>
        <w:footnoteRef/>
      </w:r>
      <w:r>
        <w:t xml:space="preserve"> Ss 29, 30, </w:t>
      </w:r>
      <w:r w:rsidRPr="006636C5">
        <w:rPr>
          <w:i/>
          <w:iCs/>
        </w:rPr>
        <w:t>Human Rights Act 2004</w:t>
      </w:r>
    </w:p>
  </w:footnote>
  <w:footnote w:id="2">
    <w:p w14:paraId="5A9F4578" w14:textId="0E3DF2F2" w:rsidR="002F0E01" w:rsidRDefault="002F0E01">
      <w:pPr>
        <w:pStyle w:val="FootnoteText"/>
      </w:pPr>
      <w:r>
        <w:rPr>
          <w:rStyle w:val="FootnoteReference"/>
        </w:rPr>
        <w:footnoteRef/>
      </w:r>
      <w:r>
        <w:t xml:space="preserve"> s</w:t>
      </w:r>
      <w:r w:rsidR="00AE46B7">
        <w:t>s</w:t>
      </w:r>
      <w:r>
        <w:t xml:space="preserve"> 182</w:t>
      </w:r>
      <w:r w:rsidR="00AE46B7">
        <w:t>, 206</w:t>
      </w:r>
    </w:p>
  </w:footnote>
  <w:footnote w:id="3">
    <w:p w14:paraId="3AD3945E" w14:textId="4CEF2797" w:rsidR="00AE46B7" w:rsidRDefault="00AE46B7">
      <w:pPr>
        <w:pStyle w:val="FootnoteText"/>
      </w:pPr>
      <w:r>
        <w:rPr>
          <w:rStyle w:val="FootnoteReference"/>
        </w:rPr>
        <w:footnoteRef/>
      </w:r>
      <w:r>
        <w:t xml:space="preserve"> s 218(1)</w:t>
      </w:r>
    </w:p>
  </w:footnote>
  <w:footnote w:id="4">
    <w:p w14:paraId="215BEC1F" w14:textId="4C8E5C03" w:rsidR="002F0E01" w:rsidRDefault="002F0E01">
      <w:pPr>
        <w:pStyle w:val="FootnoteText"/>
      </w:pPr>
      <w:r>
        <w:rPr>
          <w:rStyle w:val="FootnoteReference"/>
        </w:rPr>
        <w:footnoteRef/>
      </w:r>
      <w:r>
        <w:t xml:space="preserve"> </w:t>
      </w:r>
      <w:r w:rsidR="00AE46B7">
        <w:t>s</w:t>
      </w:r>
      <w:r>
        <w:t>s 189</w:t>
      </w:r>
      <w:r w:rsidR="00AE46B7">
        <w:t>, 206</w:t>
      </w:r>
    </w:p>
  </w:footnote>
  <w:footnote w:id="5">
    <w:p w14:paraId="1AAA8DBF" w14:textId="0E59AA94" w:rsidR="002F0E01" w:rsidRDefault="002F0E01">
      <w:pPr>
        <w:pStyle w:val="FootnoteText"/>
      </w:pPr>
      <w:r>
        <w:rPr>
          <w:rStyle w:val="FootnoteReference"/>
        </w:rPr>
        <w:footnoteRef/>
      </w:r>
      <w:r>
        <w:t xml:space="preserve"> s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29" w14:textId="77777777" w:rsidR="00B801F0" w:rsidRDefault="00B8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8304" w14:textId="77777777" w:rsidR="001D047F" w:rsidRDefault="00B801F0" w:rsidP="00365675">
    <w:pPr>
      <w:pStyle w:val="Header"/>
      <w:jc w:val="center"/>
    </w:pPr>
    <w:r>
      <w:rPr>
        <w:noProof/>
      </w:rPr>
      <w:drawing>
        <wp:inline distT="0" distB="0" distL="0" distR="0" wp14:anchorId="3490392B" wp14:editId="1BEDEFFA">
          <wp:extent cx="252349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3490" cy="421640"/>
                  </a:xfrm>
                  <a:prstGeom prst="rect">
                    <a:avLst/>
                  </a:prstGeom>
                  <a:noFill/>
                  <a:ln>
                    <a:noFill/>
                  </a:ln>
                </pic:spPr>
              </pic:pic>
            </a:graphicData>
          </a:graphic>
        </wp:inline>
      </w:drawing>
    </w:r>
  </w:p>
  <w:p w14:paraId="7C5324E3" w14:textId="2DBE1561" w:rsidR="001D047F" w:rsidRDefault="00E36BCA" w:rsidP="00365675">
    <w:pPr>
      <w:pStyle w:val="Header"/>
      <w:jc w:val="center"/>
    </w:pPr>
  </w:p>
  <w:p w14:paraId="7046ECFF" w14:textId="77777777" w:rsidR="007B4583" w:rsidRDefault="007B4583" w:rsidP="00365675">
    <w:pPr>
      <w:pStyle w:val="Header"/>
      <w:jc w:val="center"/>
    </w:pPr>
  </w:p>
  <w:p w14:paraId="1CBB2302" w14:textId="2F1F6424" w:rsidR="001D047F" w:rsidRDefault="007B4583" w:rsidP="007B4583">
    <w:pPr>
      <w:pStyle w:val="Header"/>
      <w:jc w:val="right"/>
      <w:rPr>
        <w:sz w:val="18"/>
        <w:szCs w:val="18"/>
      </w:rPr>
    </w:pPr>
    <w:r w:rsidRPr="007B4583">
      <w:rPr>
        <w:sz w:val="18"/>
        <w:szCs w:val="18"/>
      </w:rPr>
      <w:t>Reputational Repair Protocols</w:t>
    </w:r>
  </w:p>
  <w:p w14:paraId="62518714" w14:textId="6CB7F2FA" w:rsidR="00B801F0" w:rsidRDefault="00B801F0" w:rsidP="007B4583">
    <w:pPr>
      <w:pStyle w:val="Header"/>
      <w:jc w:val="right"/>
      <w:rPr>
        <w:sz w:val="18"/>
        <w:szCs w:val="18"/>
      </w:rPr>
    </w:pPr>
  </w:p>
  <w:p w14:paraId="67F147C5" w14:textId="77777777" w:rsidR="00B801F0" w:rsidRPr="007B4583" w:rsidRDefault="00B801F0" w:rsidP="007B4583">
    <w:pPr>
      <w:pStyle w:val="Header"/>
      <w:jc w:val="right"/>
      <w:rPr>
        <w:sz w:val="18"/>
        <w:szCs w:val="18"/>
      </w:rPr>
    </w:pPr>
  </w:p>
  <w:p w14:paraId="523AD805" w14:textId="77777777" w:rsidR="001D047F" w:rsidRDefault="00E3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67F5" w14:textId="6BFEECC4" w:rsidR="00153124" w:rsidRDefault="00153124" w:rsidP="00153124">
    <w:pPr>
      <w:pStyle w:val="Header"/>
      <w:jc w:val="center"/>
    </w:pPr>
  </w:p>
  <w:p w14:paraId="2F90B17F" w14:textId="57F39557" w:rsidR="00153124" w:rsidRDefault="00153124" w:rsidP="00153124">
    <w:pPr>
      <w:pStyle w:val="Header"/>
      <w:jc w:val="center"/>
    </w:pPr>
  </w:p>
  <w:p w14:paraId="40359CA8" w14:textId="77777777" w:rsidR="00153124" w:rsidRPr="00153124" w:rsidRDefault="00153124" w:rsidP="00153124">
    <w:pPr>
      <w:pStyle w:val="Header"/>
      <w:jc w:val="right"/>
      <w:rPr>
        <w:sz w:val="18"/>
        <w:szCs w:val="18"/>
      </w:rPr>
    </w:pPr>
  </w:p>
  <w:p w14:paraId="7500F7D3" w14:textId="77777777" w:rsidR="00153124" w:rsidRDefault="00153124" w:rsidP="00153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FD4"/>
    <w:multiLevelType w:val="hybridMultilevel"/>
    <w:tmpl w:val="8AF42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26975"/>
    <w:multiLevelType w:val="hybridMultilevel"/>
    <w:tmpl w:val="EF6ED4B0"/>
    <w:lvl w:ilvl="0" w:tplc="6776A60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BE209D3"/>
    <w:multiLevelType w:val="hybridMultilevel"/>
    <w:tmpl w:val="0D1E7FC4"/>
    <w:lvl w:ilvl="0" w:tplc="951CDA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750155"/>
    <w:multiLevelType w:val="hybridMultilevel"/>
    <w:tmpl w:val="809427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A0562D5"/>
    <w:multiLevelType w:val="hybridMultilevel"/>
    <w:tmpl w:val="C764F06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D5C18EC"/>
    <w:multiLevelType w:val="hybridMultilevel"/>
    <w:tmpl w:val="BCC8D60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3356A2E"/>
    <w:multiLevelType w:val="hybridMultilevel"/>
    <w:tmpl w:val="2BAE36C4"/>
    <w:lvl w:ilvl="0" w:tplc="42A63E0C">
      <w:start w:val="1"/>
      <w:numFmt w:val="decimal"/>
      <w:lvlText w:val="(%1)"/>
      <w:lvlJc w:val="left"/>
      <w:pPr>
        <w:ind w:left="1440" w:hanging="360"/>
      </w:pPr>
      <w:rPr>
        <w:rFonts w:hint="default"/>
      </w:rPr>
    </w:lvl>
    <w:lvl w:ilvl="1" w:tplc="B4607CF4">
      <w:start w:val="1"/>
      <w:numFmt w:val="lowerLetter"/>
      <w:lvlText w:val="(%2)"/>
      <w:lvlJc w:val="left"/>
      <w:pPr>
        <w:ind w:left="2160" w:hanging="360"/>
      </w:pPr>
      <w:rPr>
        <w:rFonts w:hint="default"/>
      </w:rPr>
    </w:lvl>
    <w:lvl w:ilvl="2" w:tplc="42A63E0C">
      <w:start w:val="1"/>
      <w:numFmt w:val="decimal"/>
      <w:lvlText w:val="(%3)"/>
      <w:lvlJc w:val="left"/>
      <w:pPr>
        <w:ind w:left="3060" w:hanging="360"/>
      </w:pPr>
      <w:rPr>
        <w:rFonts w:hint="default"/>
      </w:rPr>
    </w:lvl>
    <w:lvl w:ilvl="3" w:tplc="547800B6">
      <w:start w:val="1"/>
      <w:numFmt w:val="lowerLetter"/>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8144E67"/>
    <w:multiLevelType w:val="multilevel"/>
    <w:tmpl w:val="74682148"/>
    <w:lvl w:ilvl="0">
      <w:start w:val="1"/>
      <w:numFmt w:val="decimal"/>
      <w:pStyle w:val="OMHeading1"/>
      <w:lvlText w:val="%1."/>
      <w:lvlJc w:val="left"/>
      <w:pPr>
        <w:ind w:left="720" w:hanging="360"/>
      </w:pPr>
      <w:rPr>
        <w:rFonts w:hint="default"/>
      </w:rPr>
    </w:lvl>
    <w:lvl w:ilvl="1">
      <w:start w:val="1"/>
      <w:numFmt w:val="decimal"/>
      <w:pStyle w:val="OMHeading2"/>
      <w:isLgl/>
      <w:lvlText w:val="%1.%2"/>
      <w:lvlJc w:val="left"/>
      <w:pPr>
        <w:ind w:left="1080" w:hanging="720"/>
      </w:pPr>
      <w:rPr>
        <w:rFonts w:hint="default"/>
      </w:rPr>
    </w:lvl>
    <w:lvl w:ilvl="2">
      <w:start w:val="1"/>
      <w:numFmt w:val="decimal"/>
      <w:pStyle w:val="OMHeading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BD8358C"/>
    <w:multiLevelType w:val="hybridMultilevel"/>
    <w:tmpl w:val="E248754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C3B0870"/>
    <w:multiLevelType w:val="hybridMultilevel"/>
    <w:tmpl w:val="E26024C0"/>
    <w:lvl w:ilvl="0" w:tplc="0C962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A156EC"/>
    <w:multiLevelType w:val="hybridMultilevel"/>
    <w:tmpl w:val="CDD05A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0D46C55"/>
    <w:multiLevelType w:val="hybridMultilevel"/>
    <w:tmpl w:val="EF621600"/>
    <w:lvl w:ilvl="0" w:tplc="951CDA96">
      <w:start w:val="1"/>
      <w:numFmt w:val="lowerLetter"/>
      <w:lvlText w:val="(%1)"/>
      <w:lvlJc w:val="left"/>
      <w:pPr>
        <w:ind w:left="1146" w:hanging="360"/>
      </w:pPr>
      <w:rPr>
        <w:rFonts w:hint="default"/>
      </w:rPr>
    </w:lvl>
    <w:lvl w:ilvl="1" w:tplc="7DC8D156">
      <w:start w:val="1"/>
      <w:numFmt w:val="lowerRoman"/>
      <w:lvlText w:val="(%2)"/>
      <w:lvlJc w:val="left"/>
      <w:pPr>
        <w:ind w:left="1866" w:hanging="360"/>
      </w:pPr>
      <w:rPr>
        <w:rFonts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39803326"/>
    <w:multiLevelType w:val="hybridMultilevel"/>
    <w:tmpl w:val="DBA4D89C"/>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C6A7A0F"/>
    <w:multiLevelType w:val="hybridMultilevel"/>
    <w:tmpl w:val="BF1E8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754AB6"/>
    <w:multiLevelType w:val="hybridMultilevel"/>
    <w:tmpl w:val="B5983558"/>
    <w:lvl w:ilvl="0" w:tplc="04090001">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5" w15:restartNumberingAfterBreak="0">
    <w:nsid w:val="3EAA524D"/>
    <w:multiLevelType w:val="hybridMultilevel"/>
    <w:tmpl w:val="18F0F838"/>
    <w:lvl w:ilvl="0" w:tplc="B4607CF4">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33B0277"/>
    <w:multiLevelType w:val="hybridMultilevel"/>
    <w:tmpl w:val="A0F0B11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41B73BB"/>
    <w:multiLevelType w:val="hybridMultilevel"/>
    <w:tmpl w:val="52A6FE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58D7384"/>
    <w:multiLevelType w:val="hybridMultilevel"/>
    <w:tmpl w:val="CC3CD9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6B43778"/>
    <w:multiLevelType w:val="hybridMultilevel"/>
    <w:tmpl w:val="48C4D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BCC214A"/>
    <w:multiLevelType w:val="hybridMultilevel"/>
    <w:tmpl w:val="984661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F24CB5"/>
    <w:multiLevelType w:val="hybridMultilevel"/>
    <w:tmpl w:val="CE9249A6"/>
    <w:lvl w:ilvl="0" w:tplc="04090017">
      <w:start w:val="1"/>
      <w:numFmt w:val="lowerLetter"/>
      <w:lvlText w:val="%1)"/>
      <w:lvlJc w:val="left"/>
      <w:pPr>
        <w:ind w:left="1114" w:hanging="360"/>
      </w:pPr>
      <w:rPr>
        <w:rFonts w:hint="default"/>
      </w:rPr>
    </w:lvl>
    <w:lvl w:ilvl="1" w:tplc="7DC8D156">
      <w:start w:val="1"/>
      <w:numFmt w:val="lowerRoman"/>
      <w:lvlText w:val="(%2)"/>
      <w:lvlJc w:val="left"/>
      <w:pPr>
        <w:ind w:left="1834" w:hanging="360"/>
      </w:pPr>
      <w:rPr>
        <w:rFonts w:hint="default"/>
      </w:rPr>
    </w:lvl>
    <w:lvl w:ilvl="2" w:tplc="04090005">
      <w:start w:val="1"/>
      <w:numFmt w:val="bullet"/>
      <w:lvlText w:val=""/>
      <w:lvlJc w:val="left"/>
      <w:pPr>
        <w:ind w:left="2554" w:hanging="360"/>
      </w:pPr>
      <w:rPr>
        <w:rFonts w:ascii="Wingdings" w:hAnsi="Wingdings" w:hint="default"/>
      </w:rPr>
    </w:lvl>
    <w:lvl w:ilvl="3" w:tplc="1512C844">
      <w:start w:val="1"/>
      <w:numFmt w:val="upperLetter"/>
      <w:lvlText w:val="(%4)"/>
      <w:lvlJc w:val="left"/>
      <w:pPr>
        <w:ind w:left="3274" w:hanging="360"/>
      </w:pPr>
      <w:rPr>
        <w:rFonts w:hint="default"/>
      </w:rPr>
    </w:lvl>
    <w:lvl w:ilvl="4" w:tplc="C0F863E0">
      <w:start w:val="1"/>
      <w:numFmt w:val="lowerLetter"/>
      <w:lvlText w:val="(%5)"/>
      <w:lvlJc w:val="left"/>
      <w:pPr>
        <w:ind w:left="3994" w:hanging="360"/>
      </w:pPr>
      <w:rPr>
        <w:rFonts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2" w15:restartNumberingAfterBreak="0">
    <w:nsid w:val="562B7FAB"/>
    <w:multiLevelType w:val="hybridMultilevel"/>
    <w:tmpl w:val="9CFAA0F4"/>
    <w:lvl w:ilvl="0" w:tplc="79F2B1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6827BC6"/>
    <w:multiLevelType w:val="hybridMultilevel"/>
    <w:tmpl w:val="15664F48"/>
    <w:lvl w:ilvl="0" w:tplc="646C143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7EF3EC7"/>
    <w:multiLevelType w:val="hybridMultilevel"/>
    <w:tmpl w:val="3646763E"/>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59932CE5"/>
    <w:multiLevelType w:val="hybridMultilevel"/>
    <w:tmpl w:val="2FEE19D4"/>
    <w:lvl w:ilvl="0" w:tplc="42A63E0C">
      <w:start w:val="1"/>
      <w:numFmt w:val="decimal"/>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91816AB"/>
    <w:multiLevelType w:val="hybridMultilevel"/>
    <w:tmpl w:val="3FA87154"/>
    <w:lvl w:ilvl="0" w:tplc="CE1C99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CE3377"/>
    <w:multiLevelType w:val="hybridMultilevel"/>
    <w:tmpl w:val="17EE44DA"/>
    <w:lvl w:ilvl="0" w:tplc="5A2008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1EE0C72"/>
    <w:multiLevelType w:val="hybridMultilevel"/>
    <w:tmpl w:val="5CACBD2C"/>
    <w:lvl w:ilvl="0" w:tplc="951CDA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4B4731A"/>
    <w:multiLevelType w:val="hybridMultilevel"/>
    <w:tmpl w:val="E6DC37E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95B6675"/>
    <w:multiLevelType w:val="hybridMultilevel"/>
    <w:tmpl w:val="EA6246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B3868A2"/>
    <w:multiLevelType w:val="multilevel"/>
    <w:tmpl w:val="AB5EB4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CF46682"/>
    <w:multiLevelType w:val="hybridMultilevel"/>
    <w:tmpl w:val="9294A8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F4B3DC9"/>
    <w:multiLevelType w:val="hybridMultilevel"/>
    <w:tmpl w:val="291C67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9"/>
  </w:num>
  <w:num w:numId="2">
    <w:abstractNumId w:val="31"/>
  </w:num>
  <w:num w:numId="3">
    <w:abstractNumId w:val="29"/>
  </w:num>
  <w:num w:numId="4">
    <w:abstractNumId w:val="6"/>
  </w:num>
  <w:num w:numId="5">
    <w:abstractNumId w:val="24"/>
  </w:num>
  <w:num w:numId="6">
    <w:abstractNumId w:val="12"/>
  </w:num>
  <w:num w:numId="7">
    <w:abstractNumId w:val="16"/>
  </w:num>
  <w:num w:numId="8">
    <w:abstractNumId w:val="30"/>
  </w:num>
  <w:num w:numId="9">
    <w:abstractNumId w:val="7"/>
  </w:num>
  <w:num w:numId="10">
    <w:abstractNumId w:val="4"/>
  </w:num>
  <w:num w:numId="11">
    <w:abstractNumId w:val="27"/>
  </w:num>
  <w:num w:numId="12">
    <w:abstractNumId w:val="32"/>
  </w:num>
  <w:num w:numId="13">
    <w:abstractNumId w:val="5"/>
  </w:num>
  <w:num w:numId="14">
    <w:abstractNumId w:val="8"/>
  </w:num>
  <w:num w:numId="15">
    <w:abstractNumId w:val="3"/>
  </w:num>
  <w:num w:numId="16">
    <w:abstractNumId w:val="10"/>
  </w:num>
  <w:num w:numId="17">
    <w:abstractNumId w:val="13"/>
  </w:num>
  <w:num w:numId="18">
    <w:abstractNumId w:val="2"/>
  </w:num>
  <w:num w:numId="19">
    <w:abstractNumId w:val="33"/>
  </w:num>
  <w:num w:numId="20">
    <w:abstractNumId w:val="17"/>
  </w:num>
  <w:num w:numId="21">
    <w:abstractNumId w:val="14"/>
  </w:num>
  <w:num w:numId="22">
    <w:abstractNumId w:val="11"/>
  </w:num>
  <w:num w:numId="23">
    <w:abstractNumId w:val="21"/>
  </w:num>
  <w:num w:numId="24">
    <w:abstractNumId w:val="18"/>
  </w:num>
  <w:num w:numId="25">
    <w:abstractNumId w:val="28"/>
  </w:num>
  <w:num w:numId="26">
    <w:abstractNumId w:val="20"/>
  </w:num>
  <w:num w:numId="27">
    <w:abstractNumId w:val="26"/>
  </w:num>
  <w:num w:numId="28">
    <w:abstractNumId w:val="9"/>
  </w:num>
  <w:num w:numId="29">
    <w:abstractNumId w:val="22"/>
  </w:num>
  <w:num w:numId="30">
    <w:abstractNumId w:val="0"/>
  </w:num>
  <w:num w:numId="31">
    <w:abstractNumId w:val="1"/>
  </w:num>
  <w:num w:numId="32">
    <w:abstractNumId w:val="15"/>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24"/>
    <w:rsid w:val="000036C5"/>
    <w:rsid w:val="00022786"/>
    <w:rsid w:val="00032782"/>
    <w:rsid w:val="00033DFD"/>
    <w:rsid w:val="000373B1"/>
    <w:rsid w:val="0004238A"/>
    <w:rsid w:val="000559C5"/>
    <w:rsid w:val="00060D36"/>
    <w:rsid w:val="00061593"/>
    <w:rsid w:val="00062B17"/>
    <w:rsid w:val="00067CBC"/>
    <w:rsid w:val="00076189"/>
    <w:rsid w:val="00080C6C"/>
    <w:rsid w:val="000A57A5"/>
    <w:rsid w:val="000A7E74"/>
    <w:rsid w:val="000C182D"/>
    <w:rsid w:val="000C2EE5"/>
    <w:rsid w:val="000D677E"/>
    <w:rsid w:val="000D7227"/>
    <w:rsid w:val="000E1250"/>
    <w:rsid w:val="000E56E6"/>
    <w:rsid w:val="000F0CBB"/>
    <w:rsid w:val="000F3C8F"/>
    <w:rsid w:val="00100AD8"/>
    <w:rsid w:val="0010545B"/>
    <w:rsid w:val="00111E4E"/>
    <w:rsid w:val="0011489E"/>
    <w:rsid w:val="00137CAD"/>
    <w:rsid w:val="0015202C"/>
    <w:rsid w:val="00153124"/>
    <w:rsid w:val="001950A0"/>
    <w:rsid w:val="001B32E3"/>
    <w:rsid w:val="001B79FB"/>
    <w:rsid w:val="001C1E73"/>
    <w:rsid w:val="001C38F0"/>
    <w:rsid w:val="001D5A8B"/>
    <w:rsid w:val="001D69FD"/>
    <w:rsid w:val="001D6CC2"/>
    <w:rsid w:val="001E2CDA"/>
    <w:rsid w:val="001F15A4"/>
    <w:rsid w:val="00213399"/>
    <w:rsid w:val="00217F3E"/>
    <w:rsid w:val="00227918"/>
    <w:rsid w:val="00232B05"/>
    <w:rsid w:val="002424D0"/>
    <w:rsid w:val="00246B4C"/>
    <w:rsid w:val="002519AA"/>
    <w:rsid w:val="00271B31"/>
    <w:rsid w:val="002815D9"/>
    <w:rsid w:val="00292943"/>
    <w:rsid w:val="002A0243"/>
    <w:rsid w:val="002C4D98"/>
    <w:rsid w:val="002C6AE9"/>
    <w:rsid w:val="002E5B52"/>
    <w:rsid w:val="002F0E01"/>
    <w:rsid w:val="00301DC5"/>
    <w:rsid w:val="003143D9"/>
    <w:rsid w:val="00322A3D"/>
    <w:rsid w:val="003244D9"/>
    <w:rsid w:val="00324DD5"/>
    <w:rsid w:val="00335356"/>
    <w:rsid w:val="003623EF"/>
    <w:rsid w:val="00371BB3"/>
    <w:rsid w:val="00374EE3"/>
    <w:rsid w:val="00377FBC"/>
    <w:rsid w:val="0038042B"/>
    <w:rsid w:val="00394CE9"/>
    <w:rsid w:val="00396AFE"/>
    <w:rsid w:val="00397C6D"/>
    <w:rsid w:val="003A05DB"/>
    <w:rsid w:val="003B511E"/>
    <w:rsid w:val="003C2AA6"/>
    <w:rsid w:val="003C590B"/>
    <w:rsid w:val="003C6076"/>
    <w:rsid w:val="003F2E7F"/>
    <w:rsid w:val="00412138"/>
    <w:rsid w:val="00421605"/>
    <w:rsid w:val="00421E81"/>
    <w:rsid w:val="00424A64"/>
    <w:rsid w:val="00424C69"/>
    <w:rsid w:val="0043795A"/>
    <w:rsid w:val="004416B5"/>
    <w:rsid w:val="0044587A"/>
    <w:rsid w:val="0046671D"/>
    <w:rsid w:val="00485570"/>
    <w:rsid w:val="0049352F"/>
    <w:rsid w:val="004D112F"/>
    <w:rsid w:val="004E5998"/>
    <w:rsid w:val="004E64A5"/>
    <w:rsid w:val="004F3B4A"/>
    <w:rsid w:val="004F4A4E"/>
    <w:rsid w:val="005139CF"/>
    <w:rsid w:val="00546B71"/>
    <w:rsid w:val="00560782"/>
    <w:rsid w:val="005651A8"/>
    <w:rsid w:val="005744AE"/>
    <w:rsid w:val="005829D0"/>
    <w:rsid w:val="005C16DD"/>
    <w:rsid w:val="005C4AC4"/>
    <w:rsid w:val="005C4EC9"/>
    <w:rsid w:val="005C55F4"/>
    <w:rsid w:val="005E0B29"/>
    <w:rsid w:val="005F3453"/>
    <w:rsid w:val="006129A1"/>
    <w:rsid w:val="00622ACA"/>
    <w:rsid w:val="00627446"/>
    <w:rsid w:val="0063211A"/>
    <w:rsid w:val="0063615F"/>
    <w:rsid w:val="00661FBC"/>
    <w:rsid w:val="006636C5"/>
    <w:rsid w:val="0067087E"/>
    <w:rsid w:val="00672C09"/>
    <w:rsid w:val="00674B6A"/>
    <w:rsid w:val="00692B1B"/>
    <w:rsid w:val="00693A07"/>
    <w:rsid w:val="0069475B"/>
    <w:rsid w:val="006A2201"/>
    <w:rsid w:val="006D6BB4"/>
    <w:rsid w:val="006E48E5"/>
    <w:rsid w:val="00700D2A"/>
    <w:rsid w:val="00707DA8"/>
    <w:rsid w:val="007132F7"/>
    <w:rsid w:val="00724C9C"/>
    <w:rsid w:val="0072600F"/>
    <w:rsid w:val="00727A20"/>
    <w:rsid w:val="00733B08"/>
    <w:rsid w:val="007404CF"/>
    <w:rsid w:val="007416E4"/>
    <w:rsid w:val="00746390"/>
    <w:rsid w:val="00765310"/>
    <w:rsid w:val="007973E4"/>
    <w:rsid w:val="007A7235"/>
    <w:rsid w:val="007B4583"/>
    <w:rsid w:val="007B5438"/>
    <w:rsid w:val="007C7C9E"/>
    <w:rsid w:val="007E30C7"/>
    <w:rsid w:val="007E35FD"/>
    <w:rsid w:val="007E3EEF"/>
    <w:rsid w:val="007E7BC7"/>
    <w:rsid w:val="007F2255"/>
    <w:rsid w:val="008033CB"/>
    <w:rsid w:val="00821CDF"/>
    <w:rsid w:val="00826EE7"/>
    <w:rsid w:val="0085111C"/>
    <w:rsid w:val="00852931"/>
    <w:rsid w:val="00871F35"/>
    <w:rsid w:val="0088543E"/>
    <w:rsid w:val="008926B6"/>
    <w:rsid w:val="008A06AC"/>
    <w:rsid w:val="008A44FE"/>
    <w:rsid w:val="008B0829"/>
    <w:rsid w:val="008B4E21"/>
    <w:rsid w:val="008B5B95"/>
    <w:rsid w:val="008C1838"/>
    <w:rsid w:val="008C39DB"/>
    <w:rsid w:val="008C46D1"/>
    <w:rsid w:val="008C61AC"/>
    <w:rsid w:val="008E13ED"/>
    <w:rsid w:val="008E5F99"/>
    <w:rsid w:val="008E7528"/>
    <w:rsid w:val="008F76C9"/>
    <w:rsid w:val="00910923"/>
    <w:rsid w:val="00910FA3"/>
    <w:rsid w:val="00913F8D"/>
    <w:rsid w:val="009260F4"/>
    <w:rsid w:val="00930CEE"/>
    <w:rsid w:val="009365D6"/>
    <w:rsid w:val="00976624"/>
    <w:rsid w:val="0097677E"/>
    <w:rsid w:val="00984580"/>
    <w:rsid w:val="00987D86"/>
    <w:rsid w:val="009A6DE5"/>
    <w:rsid w:val="009C3D5B"/>
    <w:rsid w:val="009C3EB0"/>
    <w:rsid w:val="009C57E3"/>
    <w:rsid w:val="009D34C0"/>
    <w:rsid w:val="009D40C5"/>
    <w:rsid w:val="009E3ABE"/>
    <w:rsid w:val="009E6F47"/>
    <w:rsid w:val="00A04848"/>
    <w:rsid w:val="00A06221"/>
    <w:rsid w:val="00A331C1"/>
    <w:rsid w:val="00A35DCB"/>
    <w:rsid w:val="00A36804"/>
    <w:rsid w:val="00A437A3"/>
    <w:rsid w:val="00A47B98"/>
    <w:rsid w:val="00A52025"/>
    <w:rsid w:val="00A54413"/>
    <w:rsid w:val="00A61754"/>
    <w:rsid w:val="00A73D1F"/>
    <w:rsid w:val="00A751EF"/>
    <w:rsid w:val="00A93CC1"/>
    <w:rsid w:val="00A95BE9"/>
    <w:rsid w:val="00AA14B8"/>
    <w:rsid w:val="00AA6C87"/>
    <w:rsid w:val="00AC7286"/>
    <w:rsid w:val="00AD3AD7"/>
    <w:rsid w:val="00AD3FF6"/>
    <w:rsid w:val="00AD4B3F"/>
    <w:rsid w:val="00AE46B7"/>
    <w:rsid w:val="00AE5775"/>
    <w:rsid w:val="00AE63EB"/>
    <w:rsid w:val="00AE76C9"/>
    <w:rsid w:val="00B05587"/>
    <w:rsid w:val="00B061DA"/>
    <w:rsid w:val="00B06978"/>
    <w:rsid w:val="00B24293"/>
    <w:rsid w:val="00B2436F"/>
    <w:rsid w:val="00B332FA"/>
    <w:rsid w:val="00B34E5D"/>
    <w:rsid w:val="00B35F6C"/>
    <w:rsid w:val="00B44EB0"/>
    <w:rsid w:val="00B45528"/>
    <w:rsid w:val="00B510A1"/>
    <w:rsid w:val="00B52D72"/>
    <w:rsid w:val="00B555F9"/>
    <w:rsid w:val="00B558D6"/>
    <w:rsid w:val="00B64C93"/>
    <w:rsid w:val="00B671EA"/>
    <w:rsid w:val="00B70A0B"/>
    <w:rsid w:val="00B73EFB"/>
    <w:rsid w:val="00B801F0"/>
    <w:rsid w:val="00B828AF"/>
    <w:rsid w:val="00B87738"/>
    <w:rsid w:val="00B90FE5"/>
    <w:rsid w:val="00B950C0"/>
    <w:rsid w:val="00B954AC"/>
    <w:rsid w:val="00B9623D"/>
    <w:rsid w:val="00BA2BB6"/>
    <w:rsid w:val="00BB1E35"/>
    <w:rsid w:val="00BC50C5"/>
    <w:rsid w:val="00BD406C"/>
    <w:rsid w:val="00BE7897"/>
    <w:rsid w:val="00BF1FBD"/>
    <w:rsid w:val="00BF3920"/>
    <w:rsid w:val="00C16AD7"/>
    <w:rsid w:val="00C3208D"/>
    <w:rsid w:val="00C32B00"/>
    <w:rsid w:val="00C44598"/>
    <w:rsid w:val="00C47D53"/>
    <w:rsid w:val="00C60550"/>
    <w:rsid w:val="00C75A51"/>
    <w:rsid w:val="00C82F0D"/>
    <w:rsid w:val="00CA0AF3"/>
    <w:rsid w:val="00CB211D"/>
    <w:rsid w:val="00CC2F88"/>
    <w:rsid w:val="00CD04E9"/>
    <w:rsid w:val="00CE2C35"/>
    <w:rsid w:val="00CF2175"/>
    <w:rsid w:val="00D202DE"/>
    <w:rsid w:val="00D2312A"/>
    <w:rsid w:val="00D2433E"/>
    <w:rsid w:val="00D258F6"/>
    <w:rsid w:val="00D268BA"/>
    <w:rsid w:val="00D352BF"/>
    <w:rsid w:val="00D41F22"/>
    <w:rsid w:val="00D460A4"/>
    <w:rsid w:val="00D47F38"/>
    <w:rsid w:val="00D84122"/>
    <w:rsid w:val="00D92AEC"/>
    <w:rsid w:val="00D969E6"/>
    <w:rsid w:val="00DA3D41"/>
    <w:rsid w:val="00DB1AC8"/>
    <w:rsid w:val="00DC4C70"/>
    <w:rsid w:val="00DC5CB0"/>
    <w:rsid w:val="00DC762C"/>
    <w:rsid w:val="00DD1EDA"/>
    <w:rsid w:val="00DE06DB"/>
    <w:rsid w:val="00E017FA"/>
    <w:rsid w:val="00E042E0"/>
    <w:rsid w:val="00E057E0"/>
    <w:rsid w:val="00E1586E"/>
    <w:rsid w:val="00E16FB5"/>
    <w:rsid w:val="00E26303"/>
    <w:rsid w:val="00E34E01"/>
    <w:rsid w:val="00E36BCA"/>
    <w:rsid w:val="00E50FF0"/>
    <w:rsid w:val="00E548CA"/>
    <w:rsid w:val="00E72D64"/>
    <w:rsid w:val="00E8210C"/>
    <w:rsid w:val="00EB39AE"/>
    <w:rsid w:val="00EB751D"/>
    <w:rsid w:val="00EB7A73"/>
    <w:rsid w:val="00EC00AD"/>
    <w:rsid w:val="00EC4AB2"/>
    <w:rsid w:val="00EC7465"/>
    <w:rsid w:val="00ED495C"/>
    <w:rsid w:val="00ED524C"/>
    <w:rsid w:val="00EE083F"/>
    <w:rsid w:val="00F2304E"/>
    <w:rsid w:val="00F32A83"/>
    <w:rsid w:val="00F32B40"/>
    <w:rsid w:val="00F416D7"/>
    <w:rsid w:val="00F5780D"/>
    <w:rsid w:val="00F63421"/>
    <w:rsid w:val="00F70E7B"/>
    <w:rsid w:val="00FA5777"/>
    <w:rsid w:val="00FB53AB"/>
    <w:rsid w:val="00FB7DC5"/>
    <w:rsid w:val="00FD4926"/>
    <w:rsid w:val="00FE143A"/>
    <w:rsid w:val="00FE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DBDAF2"/>
  <w15:chartTrackingRefBased/>
  <w15:docId w15:val="{460D6C5B-5784-4BBC-B77D-AE2873B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24"/>
  </w:style>
  <w:style w:type="paragraph" w:styleId="Heading1">
    <w:name w:val="heading 1"/>
    <w:basedOn w:val="Normal"/>
    <w:next w:val="Normal"/>
    <w:link w:val="Heading1Char"/>
    <w:uiPriority w:val="9"/>
    <w:qFormat/>
    <w:rsid w:val="00153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124"/>
  </w:style>
  <w:style w:type="paragraph" w:styleId="Footer">
    <w:name w:val="footer"/>
    <w:basedOn w:val="Normal"/>
    <w:link w:val="FooterChar"/>
    <w:uiPriority w:val="99"/>
    <w:unhideWhenUsed/>
    <w:rsid w:val="0015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124"/>
  </w:style>
  <w:style w:type="paragraph" w:styleId="FootnoteText">
    <w:name w:val="footnote text"/>
    <w:basedOn w:val="Normal"/>
    <w:link w:val="FootnoteTextChar"/>
    <w:unhideWhenUsed/>
    <w:rsid w:val="00153124"/>
    <w:pPr>
      <w:spacing w:after="0" w:line="240" w:lineRule="auto"/>
    </w:pPr>
    <w:rPr>
      <w:sz w:val="20"/>
      <w:szCs w:val="20"/>
    </w:rPr>
  </w:style>
  <w:style w:type="character" w:customStyle="1" w:styleId="FootnoteTextChar">
    <w:name w:val="Footnote Text Char"/>
    <w:basedOn w:val="DefaultParagraphFont"/>
    <w:link w:val="FootnoteText"/>
    <w:rsid w:val="00153124"/>
    <w:rPr>
      <w:sz w:val="20"/>
      <w:szCs w:val="20"/>
    </w:rPr>
  </w:style>
  <w:style w:type="character" w:styleId="FootnoteReference">
    <w:name w:val="footnote reference"/>
    <w:basedOn w:val="DefaultParagraphFont"/>
    <w:semiHidden/>
    <w:unhideWhenUsed/>
    <w:rsid w:val="00153124"/>
    <w:rPr>
      <w:vertAlign w:val="superscript"/>
    </w:rPr>
  </w:style>
  <w:style w:type="paragraph" w:styleId="ListParagraph">
    <w:name w:val="List Paragraph"/>
    <w:basedOn w:val="Normal"/>
    <w:link w:val="ListParagraphChar"/>
    <w:uiPriority w:val="34"/>
    <w:qFormat/>
    <w:rsid w:val="00153124"/>
    <w:pPr>
      <w:ind w:left="720"/>
      <w:contextualSpacing/>
    </w:pPr>
  </w:style>
  <w:style w:type="character" w:styleId="Hyperlink">
    <w:name w:val="Hyperlink"/>
    <w:basedOn w:val="DefaultParagraphFont"/>
    <w:uiPriority w:val="99"/>
    <w:unhideWhenUsed/>
    <w:rsid w:val="00153124"/>
    <w:rPr>
      <w:color w:val="0563C1" w:themeColor="hyperlink"/>
      <w:u w:val="single"/>
    </w:rPr>
  </w:style>
  <w:style w:type="paragraph" w:customStyle="1" w:styleId="N-line3">
    <w:name w:val="N-line3"/>
    <w:basedOn w:val="Normal"/>
    <w:next w:val="Normal"/>
    <w:rsid w:val="00153124"/>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153124"/>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153124"/>
    <w:pPr>
      <w:tabs>
        <w:tab w:val="left" w:pos="2600"/>
      </w:tabs>
      <w:spacing w:before="200" w:after="60" w:line="240" w:lineRule="auto"/>
      <w:jc w:val="both"/>
    </w:pPr>
    <w:rPr>
      <w:rFonts w:ascii="Arial" w:eastAsia="Times New Roman" w:hAnsi="Arial" w:cs="Times New Roman"/>
      <w:b/>
      <w:sz w:val="24"/>
      <w:szCs w:val="20"/>
    </w:rPr>
  </w:style>
  <w:style w:type="paragraph" w:styleId="Title">
    <w:name w:val="Title"/>
    <w:basedOn w:val="Normal"/>
    <w:next w:val="Normal"/>
    <w:link w:val="TitleChar"/>
    <w:uiPriority w:val="10"/>
    <w:qFormat/>
    <w:rsid w:val="00153124"/>
    <w:pPr>
      <w:ind w:left="51"/>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153124"/>
    <w:rPr>
      <w:rFonts w:asciiTheme="majorHAnsi" w:eastAsiaTheme="majorEastAsia" w:hAnsiTheme="majorHAnsi" w:cstheme="majorBidi"/>
      <w:spacing w:val="-10"/>
      <w:kern w:val="28"/>
      <w:sz w:val="56"/>
      <w:szCs w:val="56"/>
      <w:lang w:eastAsia="en-AU"/>
    </w:rPr>
  </w:style>
  <w:style w:type="paragraph" w:styleId="TOC1">
    <w:name w:val="toc 1"/>
    <w:basedOn w:val="Normal"/>
    <w:next w:val="Normal"/>
    <w:autoRedefine/>
    <w:uiPriority w:val="39"/>
    <w:unhideWhenUsed/>
    <w:rsid w:val="00153124"/>
    <w:pPr>
      <w:tabs>
        <w:tab w:val="left" w:pos="426"/>
        <w:tab w:val="right" w:leader="dot" w:pos="9038"/>
      </w:tabs>
      <w:spacing w:after="100"/>
    </w:pPr>
    <w:rPr>
      <w:rFonts w:ascii="Calibri" w:hAnsi="Calibri" w:cs="Calibri"/>
      <w:lang w:eastAsia="en-AU"/>
    </w:rPr>
  </w:style>
  <w:style w:type="paragraph" w:styleId="BalloonText">
    <w:name w:val="Balloon Text"/>
    <w:basedOn w:val="Normal"/>
    <w:link w:val="BalloonTextChar"/>
    <w:uiPriority w:val="99"/>
    <w:semiHidden/>
    <w:unhideWhenUsed/>
    <w:rsid w:val="0015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24"/>
    <w:rPr>
      <w:rFonts w:ascii="Segoe UI" w:hAnsi="Segoe UI" w:cs="Segoe UI"/>
      <w:sz w:val="18"/>
      <w:szCs w:val="18"/>
    </w:rPr>
  </w:style>
  <w:style w:type="paragraph" w:customStyle="1" w:styleId="OMHeading1">
    <w:name w:val="OM Heading 1"/>
    <w:basedOn w:val="ListParagraph"/>
    <w:qFormat/>
    <w:rsid w:val="00153124"/>
    <w:pPr>
      <w:numPr>
        <w:numId w:val="9"/>
      </w:numPr>
      <w:spacing w:after="0" w:line="240" w:lineRule="auto"/>
    </w:pPr>
    <w:rPr>
      <w:rFonts w:cstheme="minorHAnsi"/>
      <w:sz w:val="36"/>
      <w:szCs w:val="36"/>
    </w:rPr>
  </w:style>
  <w:style w:type="paragraph" w:customStyle="1" w:styleId="OMHeading2">
    <w:name w:val="OM Heading 2"/>
    <w:basedOn w:val="ListParagraph"/>
    <w:link w:val="OMHeading2Char"/>
    <w:qFormat/>
    <w:rsid w:val="00153124"/>
    <w:pPr>
      <w:numPr>
        <w:ilvl w:val="1"/>
        <w:numId w:val="9"/>
      </w:numPr>
      <w:spacing w:after="0" w:line="240" w:lineRule="auto"/>
    </w:pPr>
    <w:rPr>
      <w:rFonts w:cstheme="minorHAnsi"/>
      <w:b/>
      <w:sz w:val="28"/>
      <w:szCs w:val="28"/>
    </w:rPr>
  </w:style>
  <w:style w:type="character" w:customStyle="1" w:styleId="ListParagraphChar">
    <w:name w:val="List Paragraph Char"/>
    <w:basedOn w:val="DefaultParagraphFont"/>
    <w:link w:val="ListParagraph"/>
    <w:uiPriority w:val="34"/>
    <w:rsid w:val="00153124"/>
  </w:style>
  <w:style w:type="paragraph" w:customStyle="1" w:styleId="OMHeading3">
    <w:name w:val="OM Heading 3"/>
    <w:basedOn w:val="ListParagraph"/>
    <w:link w:val="OMHeading3Char"/>
    <w:qFormat/>
    <w:rsid w:val="00153124"/>
    <w:pPr>
      <w:numPr>
        <w:ilvl w:val="2"/>
        <w:numId w:val="9"/>
      </w:numPr>
      <w:spacing w:after="0" w:line="240" w:lineRule="auto"/>
    </w:pPr>
    <w:rPr>
      <w:rFonts w:cstheme="minorHAnsi"/>
      <w:b/>
    </w:rPr>
  </w:style>
  <w:style w:type="character" w:customStyle="1" w:styleId="OMHeading3Char">
    <w:name w:val="OM Heading 3 Char"/>
    <w:basedOn w:val="ListParagraphChar"/>
    <w:link w:val="OMHeading3"/>
    <w:rsid w:val="00153124"/>
    <w:rPr>
      <w:rFonts w:cstheme="minorHAnsi"/>
      <w:b/>
    </w:rPr>
  </w:style>
  <w:style w:type="character" w:styleId="CommentReference">
    <w:name w:val="annotation reference"/>
    <w:basedOn w:val="DefaultParagraphFont"/>
    <w:uiPriority w:val="99"/>
    <w:semiHidden/>
    <w:unhideWhenUsed/>
    <w:rsid w:val="00153124"/>
    <w:rPr>
      <w:sz w:val="16"/>
      <w:szCs w:val="16"/>
    </w:rPr>
  </w:style>
  <w:style w:type="paragraph" w:styleId="CommentText">
    <w:name w:val="annotation text"/>
    <w:basedOn w:val="Normal"/>
    <w:link w:val="CommentTextChar"/>
    <w:uiPriority w:val="99"/>
    <w:unhideWhenUsed/>
    <w:rsid w:val="00153124"/>
    <w:pPr>
      <w:spacing w:after="200" w:line="240" w:lineRule="auto"/>
    </w:pPr>
    <w:rPr>
      <w:sz w:val="20"/>
      <w:szCs w:val="20"/>
    </w:rPr>
  </w:style>
  <w:style w:type="character" w:customStyle="1" w:styleId="CommentTextChar">
    <w:name w:val="Comment Text Char"/>
    <w:basedOn w:val="DefaultParagraphFont"/>
    <w:link w:val="CommentText"/>
    <w:uiPriority w:val="99"/>
    <w:rsid w:val="00153124"/>
    <w:rPr>
      <w:sz w:val="20"/>
      <w:szCs w:val="20"/>
    </w:rPr>
  </w:style>
  <w:style w:type="paragraph" w:customStyle="1" w:styleId="Amain">
    <w:name w:val="A main"/>
    <w:basedOn w:val="Normal"/>
    <w:link w:val="AmainChar"/>
    <w:rsid w:val="00153124"/>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153124"/>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link w:val="AsubparaChar"/>
    <w:rsid w:val="00153124"/>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paragraph" w:customStyle="1" w:styleId="aNotepar">
    <w:name w:val="aNotepar"/>
    <w:basedOn w:val="Normal"/>
    <w:next w:val="Normal"/>
    <w:rsid w:val="00153124"/>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BoldItals">
    <w:name w:val="charBoldItals"/>
    <w:basedOn w:val="DefaultParagraphFont"/>
    <w:rsid w:val="00153124"/>
    <w:rPr>
      <w:b/>
      <w:i/>
    </w:rPr>
  </w:style>
  <w:style w:type="character" w:customStyle="1" w:styleId="charItals">
    <w:name w:val="charItals"/>
    <w:basedOn w:val="DefaultParagraphFont"/>
    <w:rsid w:val="00153124"/>
    <w:rPr>
      <w:i/>
    </w:rPr>
  </w:style>
  <w:style w:type="paragraph" w:customStyle="1" w:styleId="aNotesubpar">
    <w:name w:val="aNotesubpar"/>
    <w:basedOn w:val="Normal"/>
    <w:next w:val="Normal"/>
    <w:rsid w:val="00153124"/>
    <w:pPr>
      <w:spacing w:before="140" w:after="0" w:line="240" w:lineRule="auto"/>
      <w:ind w:left="294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153124"/>
    <w:rPr>
      <w:color w:val="0563C1" w:themeColor="hyperlink"/>
      <w:u w:val="none"/>
    </w:rPr>
  </w:style>
  <w:style w:type="character" w:customStyle="1" w:styleId="charCitHyperlinkItal">
    <w:name w:val="charCitHyperlinkItal"/>
    <w:basedOn w:val="Hyperlink"/>
    <w:uiPriority w:val="1"/>
    <w:rsid w:val="00153124"/>
    <w:rPr>
      <w:i/>
      <w:color w:val="0563C1" w:themeColor="hyperlink"/>
      <w:u w:val="none"/>
    </w:rPr>
  </w:style>
  <w:style w:type="character" w:customStyle="1" w:styleId="AmainChar">
    <w:name w:val="A main Char"/>
    <w:basedOn w:val="DefaultParagraphFont"/>
    <w:link w:val="Amain"/>
    <w:locked/>
    <w:rsid w:val="00153124"/>
    <w:rPr>
      <w:rFonts w:ascii="Times New Roman" w:eastAsia="Times New Roman" w:hAnsi="Times New Roman" w:cs="Times New Roman"/>
      <w:sz w:val="24"/>
      <w:szCs w:val="20"/>
    </w:rPr>
  </w:style>
  <w:style w:type="character" w:customStyle="1" w:styleId="AparaChar">
    <w:name w:val="A para Char"/>
    <w:basedOn w:val="DefaultParagraphFont"/>
    <w:link w:val="Apara"/>
    <w:locked/>
    <w:rsid w:val="00153124"/>
    <w:rPr>
      <w:rFonts w:ascii="Times New Roman" w:eastAsia="Times New Roman" w:hAnsi="Times New Roman" w:cs="Times New Roman"/>
      <w:sz w:val="24"/>
      <w:szCs w:val="20"/>
    </w:rPr>
  </w:style>
  <w:style w:type="character" w:customStyle="1" w:styleId="AsubparaChar">
    <w:name w:val="A subpara Char"/>
    <w:basedOn w:val="DefaultParagraphFont"/>
    <w:link w:val="Asubpara"/>
    <w:locked/>
    <w:rsid w:val="00153124"/>
    <w:rPr>
      <w:rFonts w:ascii="Times New Roman" w:eastAsia="Times New Roman" w:hAnsi="Times New Roman" w:cs="Times New Roman"/>
      <w:sz w:val="24"/>
      <w:szCs w:val="20"/>
    </w:rPr>
  </w:style>
  <w:style w:type="character" w:customStyle="1" w:styleId="OMHeading2Char">
    <w:name w:val="OM Heading 2 Char"/>
    <w:basedOn w:val="ListParagraphChar"/>
    <w:link w:val="OMHeading2"/>
    <w:rsid w:val="00153124"/>
    <w:rPr>
      <w:rFonts w:cstheme="minorHAnsi"/>
      <w:b/>
      <w:sz w:val="28"/>
      <w:szCs w:val="28"/>
    </w:rPr>
  </w:style>
  <w:style w:type="character" w:styleId="Emphasis">
    <w:name w:val="Emphasis"/>
    <w:basedOn w:val="DefaultParagraphFont"/>
    <w:uiPriority w:val="20"/>
    <w:qFormat/>
    <w:rsid w:val="00153124"/>
    <w:rPr>
      <w:i/>
      <w:iCs/>
    </w:rPr>
  </w:style>
  <w:style w:type="character" w:customStyle="1" w:styleId="Heading2Char">
    <w:name w:val="Heading 2 Char"/>
    <w:basedOn w:val="DefaultParagraphFont"/>
    <w:link w:val="Heading2"/>
    <w:uiPriority w:val="9"/>
    <w:rsid w:val="001531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5312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B4E21"/>
    <w:pPr>
      <w:spacing w:after="160"/>
    </w:pPr>
    <w:rPr>
      <w:b/>
      <w:bCs/>
    </w:rPr>
  </w:style>
  <w:style w:type="character" w:customStyle="1" w:styleId="CommentSubjectChar">
    <w:name w:val="Comment Subject Char"/>
    <w:basedOn w:val="CommentTextChar"/>
    <w:link w:val="CommentSubject"/>
    <w:uiPriority w:val="99"/>
    <w:semiHidden/>
    <w:rsid w:val="008B4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CD19.AA17C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EAFE-358F-4891-9B1B-ABD70F9F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7294</Characters>
  <Application>Microsoft Office Word</Application>
  <DocSecurity>0</DocSecurity>
  <Lines>191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2020-09-09T00:56:00Z</dcterms:created>
  <dcterms:modified xsi:type="dcterms:W3CDTF">2020-09-09T00:56:00Z</dcterms:modified>
</cp:coreProperties>
</file>