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66F0" w14:textId="77777777" w:rsidR="00F33A8F" w:rsidRPr="00F33A8F" w:rsidRDefault="00F33A8F" w:rsidP="00F33A8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33A8F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5659DF53" w14:textId="77777777" w:rsidR="00F33A8F" w:rsidRPr="00F33A8F" w:rsidRDefault="00F33A8F" w:rsidP="00F33A8F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F33A8F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1" w:name="_Hlk64991808"/>
      <w:r w:rsidRPr="00F33A8F">
        <w:rPr>
          <w:rFonts w:ascii="Arial" w:eastAsia="Times New Roman" w:hAnsi="Arial" w:cs="Arial"/>
          <w:b/>
          <w:bCs/>
          <w:sz w:val="40"/>
          <w:szCs w:val="40"/>
        </w:rPr>
        <w:t>CTU Compliance Checks</w:t>
      </w:r>
      <w:bookmarkEnd w:id="1"/>
      <w:r w:rsidRPr="00F33A8F">
        <w:rPr>
          <w:rFonts w:ascii="Arial" w:eastAsia="Times New Roman" w:hAnsi="Arial" w:cs="Arial"/>
          <w:b/>
          <w:bCs/>
          <w:sz w:val="40"/>
          <w:szCs w:val="40"/>
        </w:rPr>
        <w:t>) Operating Procedure 2021</w:t>
      </w:r>
    </w:p>
    <w:p w14:paraId="50D960B2" w14:textId="77777777" w:rsidR="00F33A8F" w:rsidRPr="00F33A8F" w:rsidRDefault="00F33A8F" w:rsidP="00F33A8F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F33A8F">
        <w:rPr>
          <w:rFonts w:ascii="Arial" w:eastAsia="Times New Roman" w:hAnsi="Arial" w:cs="Arial"/>
          <w:b/>
          <w:bCs/>
          <w:sz w:val="24"/>
          <w:szCs w:val="20"/>
        </w:rPr>
        <w:t>Notifiable instrument NI2021-126</w:t>
      </w:r>
    </w:p>
    <w:p w14:paraId="3E5F7BEF" w14:textId="77777777" w:rsidR="00F33A8F" w:rsidRPr="00F33A8F" w:rsidRDefault="00F33A8F" w:rsidP="00F33A8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A8F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70224F8C" w14:textId="77777777" w:rsidR="00F33A8F" w:rsidRPr="00F33A8F" w:rsidRDefault="00F33A8F" w:rsidP="00F33A8F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A8F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F33A8F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6F5291E3" w14:textId="77777777" w:rsidR="00F33A8F" w:rsidRPr="00F33A8F" w:rsidRDefault="00F33A8F" w:rsidP="00F33A8F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B39E2F" w14:textId="77777777" w:rsidR="00F33A8F" w:rsidRPr="00F33A8F" w:rsidRDefault="00F33A8F" w:rsidP="00F33A8F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8607D" w14:textId="77777777" w:rsidR="00F33A8F" w:rsidRPr="00F33A8F" w:rsidRDefault="00F33A8F" w:rsidP="00F33A8F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33A8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33A8F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82A9F6F" w14:textId="77777777" w:rsidR="00F33A8F" w:rsidRPr="00F33A8F" w:rsidRDefault="00F33A8F" w:rsidP="00F33A8F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33A8F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33A8F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F33A8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F33A8F">
        <w:rPr>
          <w:rFonts w:ascii="Times New Roman" w:eastAsia="Times New Roman" w:hAnsi="Times New Roman" w:cs="Times New Roman"/>
          <w:i/>
          <w:sz w:val="24"/>
          <w:szCs w:val="20"/>
        </w:rPr>
        <w:t>CTU Compliance Checks) Operating Procedure 2021.</w:t>
      </w:r>
    </w:p>
    <w:p w14:paraId="46334143" w14:textId="77777777" w:rsidR="00F33A8F" w:rsidRPr="00F33A8F" w:rsidRDefault="00F33A8F" w:rsidP="00F33A8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3A8F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F33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33A8F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375B7C4F" w14:textId="77777777" w:rsidR="00F33A8F" w:rsidRPr="00F33A8F" w:rsidRDefault="00F33A8F" w:rsidP="00F33A8F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33A8F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4BBCBBCA" w14:textId="77777777" w:rsidR="00F33A8F" w:rsidRPr="00F33A8F" w:rsidRDefault="00F33A8F" w:rsidP="00F33A8F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33A8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33A8F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227D0D1A" w14:textId="77777777" w:rsidR="00F33A8F" w:rsidRPr="00F33A8F" w:rsidRDefault="00F33A8F" w:rsidP="00F33A8F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33A8F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26C5452" w14:textId="77777777" w:rsidR="00F33A8F" w:rsidRPr="00F33A8F" w:rsidRDefault="00F33A8F" w:rsidP="00F33A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00EB9846" w14:textId="77777777" w:rsidR="00F33A8F" w:rsidRPr="00F33A8F" w:rsidRDefault="00F33A8F" w:rsidP="00F3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3D57AB" w14:textId="77777777" w:rsidR="00F33A8F" w:rsidRPr="00F33A8F" w:rsidRDefault="00F33A8F" w:rsidP="00F3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593BB2" w14:textId="77777777" w:rsidR="00F33A8F" w:rsidRPr="00F33A8F" w:rsidRDefault="00F33A8F" w:rsidP="00F3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7541BA5" w14:textId="77777777" w:rsidR="00F33A8F" w:rsidRPr="00F33A8F" w:rsidRDefault="00F33A8F" w:rsidP="00F3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B545B5" w14:textId="77777777" w:rsidR="00F33A8F" w:rsidRPr="00F33A8F" w:rsidRDefault="00F33A8F" w:rsidP="00F3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401683" w14:textId="77777777" w:rsidR="00F33A8F" w:rsidRPr="00F33A8F" w:rsidRDefault="00F33A8F" w:rsidP="00F3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06AC4655" w14:textId="77777777" w:rsidR="00F33A8F" w:rsidRPr="00F33A8F" w:rsidRDefault="00F33A8F" w:rsidP="00F33A8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3A8F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1A12DAD6" w14:textId="77777777" w:rsidR="00F33A8F" w:rsidRPr="00F33A8F" w:rsidRDefault="00F33A8F" w:rsidP="00F33A8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33A8F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606200CF" w14:textId="77777777" w:rsidR="00F33A8F" w:rsidRPr="00F33A8F" w:rsidRDefault="00F33A8F" w:rsidP="00F33A8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3A8F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2AC5E077" w14:textId="77777777" w:rsidR="00F33A8F" w:rsidRPr="00F33A8F" w:rsidRDefault="00F33A8F" w:rsidP="00F33A8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3A8F">
        <w:rPr>
          <w:rFonts w:ascii="Times New Roman" w:eastAsia="Times New Roman" w:hAnsi="Times New Roman" w:cs="Times New Roman"/>
          <w:sz w:val="24"/>
          <w:szCs w:val="20"/>
        </w:rPr>
        <w:t>24 February 2021</w:t>
      </w:r>
    </w:p>
    <w:p w14:paraId="0440F1DA" w14:textId="77777777" w:rsidR="00F33A8F" w:rsidRPr="00F33A8F" w:rsidRDefault="00F33A8F" w:rsidP="00F3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398F71" w14:textId="77777777" w:rsidR="00F33A8F" w:rsidRDefault="00F33A8F" w:rsidP="004D1932">
      <w:pPr>
        <w:spacing w:before="120" w:after="120"/>
        <w:rPr>
          <w:rFonts w:cs="Arial"/>
          <w:b/>
        </w:rPr>
        <w:sectPr w:rsidR="00F33A8F" w:rsidSect="00A356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2CFE1032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CD88A3D" w14:textId="7CB2537B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A3C0E51" w14:textId="7C2966A2" w:rsidR="007B3718" w:rsidRPr="00202B3A" w:rsidRDefault="00C876DD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Court Transport Unit</w:t>
            </w:r>
            <w:r w:rsidR="007620D4">
              <w:rPr>
                <w:rFonts w:cs="Arial"/>
                <w:b/>
              </w:rPr>
              <w:t xml:space="preserve"> </w:t>
            </w:r>
            <w:r w:rsidR="00C27CD8">
              <w:rPr>
                <w:rFonts w:cs="Arial"/>
                <w:b/>
              </w:rPr>
              <w:t xml:space="preserve">- </w:t>
            </w:r>
            <w:r w:rsidR="0058602A">
              <w:rPr>
                <w:rFonts w:cs="Arial"/>
                <w:b/>
              </w:rPr>
              <w:t>Compliance</w:t>
            </w:r>
            <w:r w:rsidR="007620D4">
              <w:rPr>
                <w:rFonts w:cs="Arial"/>
                <w:b/>
              </w:rPr>
              <w:t xml:space="preserve"> </w:t>
            </w:r>
            <w:r w:rsidR="00CA0C1F">
              <w:rPr>
                <w:rFonts w:cs="Arial"/>
                <w:b/>
              </w:rPr>
              <w:t>C</w:t>
            </w:r>
            <w:r w:rsidR="00C27CD8">
              <w:rPr>
                <w:rFonts w:cs="Arial"/>
                <w:b/>
              </w:rPr>
              <w:t>hecks</w:t>
            </w:r>
          </w:p>
        </w:tc>
      </w:tr>
      <w:tr w:rsidR="003A3CF7" w:rsidRPr="00586F66" w14:paraId="4003E39D" w14:textId="77777777" w:rsidTr="00586F66">
        <w:tc>
          <w:tcPr>
            <w:tcW w:w="3085" w:type="dxa"/>
          </w:tcPr>
          <w:p w14:paraId="29C00EAE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7FFEBBF" w14:textId="49B113F9" w:rsidR="003A3CF7" w:rsidRPr="00586F66" w:rsidRDefault="00DC2EBA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S4.208</w:t>
            </w:r>
          </w:p>
        </w:tc>
      </w:tr>
      <w:tr w:rsidR="002916D3" w:rsidRPr="002916D3" w14:paraId="7C4B63A0" w14:textId="77777777" w:rsidTr="008C1D7D">
        <w:tc>
          <w:tcPr>
            <w:tcW w:w="3085" w:type="dxa"/>
          </w:tcPr>
          <w:p w14:paraId="703FE715" w14:textId="77777777" w:rsidR="00510017" w:rsidRPr="002916D3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2916D3"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5E9103CB" w14:textId="28EF4C93" w:rsidR="00510017" w:rsidRPr="002916D3" w:rsidRDefault="007620D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2916D3">
              <w:rPr>
                <w:rFonts w:cs="Arial"/>
                <w:b/>
              </w:rPr>
              <w:t>Court Transport Unit</w:t>
            </w:r>
          </w:p>
        </w:tc>
      </w:tr>
    </w:tbl>
    <w:p w14:paraId="7339EC01" w14:textId="77777777" w:rsidR="008C1D7D" w:rsidRPr="00C27CD8" w:rsidRDefault="00E62FBC" w:rsidP="005E011D">
      <w:pPr>
        <w:spacing w:before="240"/>
        <w:rPr>
          <w:rFonts w:cstheme="minorHAnsi"/>
          <w:b/>
        </w:rPr>
      </w:pPr>
      <w:r w:rsidRPr="00C27CD8">
        <w:rPr>
          <w:rFonts w:cstheme="minorHAnsi"/>
          <w:b/>
        </w:rPr>
        <w:t>PURPOSE</w:t>
      </w:r>
    </w:p>
    <w:p w14:paraId="101FDE5F" w14:textId="6F6ED9EA" w:rsidR="004A0FBE" w:rsidRPr="00C27CD8" w:rsidRDefault="007620D4" w:rsidP="00AB58EB">
      <w:pPr>
        <w:spacing w:before="240"/>
        <w:rPr>
          <w:rFonts w:cstheme="minorHAnsi"/>
        </w:rPr>
      </w:pPr>
      <w:r w:rsidRPr="00C27CD8">
        <w:rPr>
          <w:rFonts w:cstheme="minorHAnsi"/>
        </w:rPr>
        <w:t xml:space="preserve">To provide instructions to staff on </w:t>
      </w:r>
      <w:r w:rsidR="00DE31CA">
        <w:rPr>
          <w:rFonts w:cstheme="minorHAnsi"/>
        </w:rPr>
        <w:t>the management of compliance responsibilities through daily operational regimes.</w:t>
      </w:r>
    </w:p>
    <w:p w14:paraId="31A2ADAA" w14:textId="77777777" w:rsidR="00152D5E" w:rsidRPr="00C27CD8" w:rsidRDefault="004D1932" w:rsidP="00CA0C1F">
      <w:pPr>
        <w:spacing w:before="240"/>
        <w:rPr>
          <w:rFonts w:cstheme="minorHAnsi"/>
          <w:b/>
        </w:rPr>
      </w:pPr>
      <w:r w:rsidRPr="00C27CD8">
        <w:rPr>
          <w:rFonts w:cstheme="minorHAnsi"/>
          <w:b/>
        </w:rPr>
        <w:t>PROCEDURE</w:t>
      </w:r>
      <w:r w:rsidR="007B3718" w:rsidRPr="00C27CD8">
        <w:rPr>
          <w:rFonts w:cstheme="minorHAnsi"/>
          <w:b/>
        </w:rPr>
        <w:t>S</w:t>
      </w:r>
    </w:p>
    <w:p w14:paraId="48ED33B7" w14:textId="0AAAE6AA" w:rsidR="00A07081" w:rsidRPr="00C27CD8" w:rsidRDefault="006F1D1C" w:rsidP="00CA0C1F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7CD8">
        <w:rPr>
          <w:rFonts w:asciiTheme="minorHAnsi" w:hAnsiTheme="minorHAnsi" w:cstheme="minorHAnsi"/>
          <w:sz w:val="22"/>
          <w:szCs w:val="22"/>
        </w:rPr>
        <w:t xml:space="preserve">Searching and </w:t>
      </w:r>
      <w:r w:rsidR="00647E37">
        <w:rPr>
          <w:rFonts w:asciiTheme="minorHAnsi" w:hAnsiTheme="minorHAnsi" w:cstheme="minorHAnsi"/>
          <w:sz w:val="22"/>
          <w:szCs w:val="22"/>
        </w:rPr>
        <w:t>Checks:</w:t>
      </w:r>
    </w:p>
    <w:p w14:paraId="18853388" w14:textId="4757B720" w:rsidR="00A66306" w:rsidRPr="00C27CD8" w:rsidRDefault="00C27CD8" w:rsidP="00CA0C1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Officers must search and </w:t>
      </w:r>
      <w:r w:rsidR="00977D86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check</w:t>
      </w:r>
      <w:r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</w:t>
      </w:r>
      <w:r w:rsidR="00AB58E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ll areas</w:t>
      </w:r>
      <w:r w:rsidR="00977D86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</w:t>
      </w:r>
      <w:r w:rsidR="00AB58E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of the Court Transport Unit on a routine basis</w:t>
      </w:r>
      <w:r w:rsidR="00647E37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in terms of “contraband and/or fit for purpose”</w:t>
      </w:r>
      <w:r w:rsidR="00AB58E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. </w:t>
      </w:r>
      <w:r w:rsidR="00C876D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This is inclusive of </w:t>
      </w:r>
      <w:r w:rsidR="00AB58E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common area</w:t>
      </w:r>
      <w:r w:rsidR="00A35F7E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s</w:t>
      </w:r>
      <w:r w:rsidR="00AB58E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, cel</w:t>
      </w:r>
      <w:r w:rsidR="00C876D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ls</w:t>
      </w:r>
      <w:r w:rsidR="00AB58E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,</w:t>
      </w:r>
      <w:r w:rsidR="006F208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</w:t>
      </w:r>
      <w:r w:rsidR="00F37AD2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security systems,</w:t>
      </w:r>
      <w:r w:rsidR="0072752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the</w:t>
      </w:r>
      <w:r w:rsidR="00F37AD2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</w:t>
      </w:r>
      <w:r w:rsidR="006F208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armoury</w:t>
      </w:r>
      <w:r w:rsidR="00AB58E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and escort vehicle</w:t>
      </w:r>
      <w:r w:rsidR="003B2E22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s</w:t>
      </w:r>
      <w:r w:rsidR="00DC2EBA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as outlined in the </w:t>
      </w:r>
      <w:r w:rsidR="00B54A63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CTU </w:t>
      </w:r>
      <w:r w:rsidR="00DC2EBA" w:rsidRPr="00CA0C1F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 xml:space="preserve">Supervisor Compliance </w:t>
      </w:r>
      <w:r w:rsidR="00B54A63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logbook</w:t>
      </w:r>
      <w:r w:rsidR="00AB58E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.</w:t>
      </w:r>
    </w:p>
    <w:p w14:paraId="756A407A" w14:textId="4FEE6A72" w:rsidR="009100EC" w:rsidRPr="00C27CD8" w:rsidRDefault="00C27CD8" w:rsidP="00CA0C1F">
      <w:pPr>
        <w:pStyle w:val="Main2"/>
        <w:numPr>
          <w:ilvl w:val="1"/>
          <w:numId w:val="20"/>
        </w:numPr>
        <w:spacing w:line="276" w:lineRule="auto"/>
        <w:ind w:left="567" w:hanging="567"/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</w:pPr>
      <w:r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>Officers must record a</w:t>
      </w:r>
      <w:r w:rsidR="00AB58EB" w:rsidRPr="00C27CD8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ll searches 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977D86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>checks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85E80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>i</w:t>
      </w:r>
      <w:r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>n the</w:t>
      </w:r>
      <w:r w:rsidR="00AB58EB" w:rsidRPr="00C27CD8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="00D85E80" w:rsidRPr="00D85E80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CTU </w:t>
      </w:r>
      <w:r w:rsidR="00D85E80" w:rsidRPr="00D85E80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>Daily Compliance Logbook</w:t>
      </w:r>
      <w:r w:rsidR="00AB58EB" w:rsidRPr="00C27CD8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</w:rPr>
        <w:t>.</w:t>
      </w:r>
      <w:r w:rsidR="00AB58EB" w:rsidRPr="00C27CD8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 Where prohibited items are located,</w:t>
      </w:r>
      <w:r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 officers </w:t>
      </w:r>
      <w:r w:rsidR="00977D86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>must</w:t>
      </w:r>
      <w:r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 complete an</w:t>
      </w:r>
      <w:r w:rsidR="00AB58EB" w:rsidRPr="00C27CD8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="00CA0C1F" w:rsidRPr="00CA0C1F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 xml:space="preserve">A2.F1: </w:t>
      </w:r>
      <w:r w:rsidR="00AB58EB" w:rsidRPr="00CA0C1F">
        <w:rPr>
          <w:rFonts w:asciiTheme="minorHAnsi" w:hAnsiTheme="minorHAnsi" w:cstheme="minorHAnsi"/>
          <w:b w:val="0"/>
          <w:i/>
          <w:iCs/>
          <w:sz w:val="22"/>
          <w:szCs w:val="22"/>
          <w:u w:val="single"/>
          <w:lang w:eastAsia="en-AU"/>
        </w:rPr>
        <w:t>Incident Report Form</w:t>
      </w:r>
      <w:r w:rsidR="00AB58EB" w:rsidRPr="00C27CD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and notify the </w:t>
      </w:r>
      <w:r w:rsidR="001D4344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Officer in Charge</w:t>
      </w: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(OIC)</w:t>
      </w:r>
      <w:r w:rsidR="00AB58EB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immediately</w:t>
      </w: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1D214963" w14:textId="4530B99B" w:rsidR="009100EC" w:rsidRPr="00C27CD8" w:rsidRDefault="00C27CD8" w:rsidP="00CA0C1F">
      <w:pPr>
        <w:pStyle w:val="Main2"/>
        <w:numPr>
          <w:ilvl w:val="1"/>
          <w:numId w:val="20"/>
        </w:numPr>
        <w:spacing w:line="276" w:lineRule="auto"/>
        <w:ind w:left="567" w:hanging="567"/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</w:pP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Officers must search and </w:t>
      </w:r>
      <w:r w:rsidR="00977D86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check</w:t>
      </w: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a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ll </w:t>
      </w:r>
      <w:r w:rsidR="0072752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escort</w:t>
      </w:r>
      <w:r w:rsidR="0058602A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vehicles daily prior to use. The searching officer </w:t>
      </w:r>
      <w:r w:rsidR="00940D18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must </w:t>
      </w:r>
      <w:r w:rsidR="0058602A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utilise the </w:t>
      </w:r>
      <w:r w:rsidR="00D85E80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V</w:t>
      </w:r>
      <w:r w:rsidR="00D85E80" w:rsidRPr="00D85E80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 xml:space="preserve">ehicle </w:t>
      </w:r>
      <w:r w:rsidR="00D85E80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D</w:t>
      </w:r>
      <w:r w:rsidR="00D85E80" w:rsidRPr="00D85E80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 xml:space="preserve">aily </w:t>
      </w:r>
      <w:r w:rsidR="00D85E80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C</w:t>
      </w:r>
      <w:r w:rsidR="00D85E80" w:rsidRPr="00D85E80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 xml:space="preserve">ompliance </w:t>
      </w:r>
      <w:r w:rsidR="00D85E80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C</w:t>
      </w:r>
      <w:r w:rsidR="00D85E80" w:rsidRPr="00D85E80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hecklist</w:t>
      </w:r>
      <w:r w:rsidR="00D85E80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within the </w:t>
      </w:r>
      <w:r w:rsidR="00B54A63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CTU</w:t>
      </w:r>
      <w:r w:rsidR="0058602A" w:rsidRPr="00CA0C1F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 xml:space="preserve"> </w:t>
      </w:r>
      <w:r w:rsidR="00D85E80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 xml:space="preserve">Daily </w:t>
      </w:r>
      <w:r w:rsidR="0058602A" w:rsidRPr="00CA0C1F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 xml:space="preserve">Compliance </w:t>
      </w:r>
      <w:r w:rsidR="00B54A63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>Logbook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 to complete </w:t>
      </w:r>
      <w:r w:rsidR="00647E37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>a thorough inspection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 o</w:t>
      </w:r>
      <w:r w:rsidR="00647E37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>f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 the vehicle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</w:rPr>
        <w:t xml:space="preserve">. </w:t>
      </w:r>
      <w:r w:rsidR="0058602A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Where a</w:t>
      </w:r>
      <w:r w:rsidR="00BF6B5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</w:t>
      </w:r>
      <w:r w:rsidR="00F6772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discrepancy </w:t>
      </w:r>
      <w:r w:rsidR="0058602A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arises 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OIC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must be notified immediately and</w:t>
      </w:r>
      <w:r w:rsidR="00940D18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the OIC </w:t>
      </w:r>
      <w:r w:rsidR="00940D18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will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B54A63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decide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regarding the next course of action.</w:t>
      </w:r>
    </w:p>
    <w:p w14:paraId="4B6AA379" w14:textId="68815D30" w:rsidR="009100EC" w:rsidRDefault="00EE612B" w:rsidP="00CA0C1F">
      <w:pPr>
        <w:pStyle w:val="Main2"/>
        <w:numPr>
          <w:ilvl w:val="1"/>
          <w:numId w:val="20"/>
        </w:numPr>
        <w:spacing w:line="276" w:lineRule="auto"/>
        <w:ind w:left="567" w:hanging="567"/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</w:pP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Prior to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a</w:t>
      </w:r>
      <w:r w:rsidR="00940D18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ny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detainee entering </w:t>
      </w:r>
      <w:r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the Court Transport Unit</w:t>
      </w:r>
      <w:r w:rsid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, the officers must search and </w:t>
      </w:r>
      <w:r w:rsidR="00977D86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check</w:t>
      </w:r>
      <w:r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all cells and common areas </w:t>
      </w:r>
      <w:r w:rsidR="0058602A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daily</w:t>
      </w:r>
      <w:r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. </w:t>
      </w:r>
      <w:r w:rsidR="006F208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The Area Supervisor</w:t>
      </w:r>
      <w:r w:rsidR="0072752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</w:t>
      </w:r>
      <w:r w:rsidR="00CA0C1F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must</w:t>
      </w:r>
      <w:r w:rsidR="006F208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ensure all tasks identified in the </w:t>
      </w:r>
      <w:r w:rsidR="00B54A63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CTU</w:t>
      </w:r>
      <w:r w:rsidR="00B54A63" w:rsidRPr="00CA0C1F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 xml:space="preserve"> </w:t>
      </w:r>
      <w:r w:rsidR="00D85E80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 xml:space="preserve">Daily </w:t>
      </w:r>
      <w:r w:rsidR="00B54A63" w:rsidRPr="00CA0C1F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 xml:space="preserve">Compliance </w:t>
      </w:r>
      <w:r w:rsidR="00B54A63">
        <w:rPr>
          <w:rStyle w:val="ms-rtethemeforecolor-2-0"/>
          <w:rFonts w:asciiTheme="minorHAnsi" w:hAnsiTheme="minorHAnsi" w:cstheme="minorHAnsi"/>
          <w:b w:val="0"/>
          <w:i/>
          <w:iCs/>
          <w:sz w:val="22"/>
          <w:szCs w:val="22"/>
          <w:u w:val="single"/>
        </w:rPr>
        <w:t>Logbook</w:t>
      </w:r>
      <w:r w:rsidR="00B54A63" w:rsidRPr="00C27CD8">
        <w:rPr>
          <w:rStyle w:val="ms-rtethemeforecolor-2-0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F208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ha</w:t>
      </w:r>
      <w:r w:rsidR="00CA7511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ve</w:t>
      </w:r>
      <w:r w:rsidR="006F208D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been actioned. </w:t>
      </w:r>
      <w:r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Where a </w:t>
      </w:r>
      <w:r w:rsidR="00F6772B"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discrepancy</w:t>
      </w:r>
      <w:r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arises 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OIC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must be notified immediately and </w:t>
      </w:r>
      <w:r w:rsid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the OIC 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will </w:t>
      </w:r>
      <w:r w:rsidR="00B54A63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decide</w:t>
      </w:r>
      <w:r w:rsidR="0058602A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regarding the next course of action</w:t>
      </w:r>
      <w:r w:rsidR="00977D86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, for example:</w:t>
      </w:r>
    </w:p>
    <w:p w14:paraId="45E0F878" w14:textId="7F595B12" w:rsidR="00977D86" w:rsidRPr="002C79FD" w:rsidRDefault="00977D86" w:rsidP="002C79FD">
      <w:pPr>
        <w:pStyle w:val="ListParagraph"/>
        <w:numPr>
          <w:ilvl w:val="0"/>
          <w:numId w:val="34"/>
        </w:numPr>
        <w:spacing w:after="0"/>
        <w:ind w:left="2410" w:hanging="709"/>
        <w:contextualSpacing w:val="0"/>
        <w:rPr>
          <w:rStyle w:val="ms-rtethemeforecolor-2-0"/>
          <w:rFonts w:cstheme="minorHAnsi"/>
          <w:b/>
          <w:bCs/>
        </w:rPr>
      </w:pPr>
      <w:r w:rsidRPr="002C79FD">
        <w:rPr>
          <w:rStyle w:val="ms-rtethemeforecolor-2-0"/>
          <w:rFonts w:cstheme="minorHAnsi"/>
          <w:bCs/>
        </w:rPr>
        <w:t>Immediate repairs</w:t>
      </w:r>
      <w:r w:rsidR="00D7766A" w:rsidRPr="002C79FD">
        <w:rPr>
          <w:rStyle w:val="ms-rtethemeforecolor-2-0"/>
          <w:rFonts w:cstheme="minorHAnsi"/>
          <w:bCs/>
        </w:rPr>
        <w:t>;</w:t>
      </w:r>
    </w:p>
    <w:p w14:paraId="278C005D" w14:textId="2207C02C" w:rsidR="00977D86" w:rsidRPr="002C79FD" w:rsidRDefault="00977D86" w:rsidP="002C79FD">
      <w:pPr>
        <w:pStyle w:val="ListParagraph"/>
        <w:numPr>
          <w:ilvl w:val="0"/>
          <w:numId w:val="34"/>
        </w:numPr>
        <w:spacing w:after="0"/>
        <w:ind w:left="2410" w:hanging="709"/>
        <w:contextualSpacing w:val="0"/>
        <w:rPr>
          <w:rStyle w:val="ms-rtethemeforecolor-2-0"/>
          <w:rFonts w:cstheme="minorHAnsi"/>
          <w:b/>
          <w:bCs/>
        </w:rPr>
      </w:pPr>
      <w:r w:rsidRPr="002C79FD">
        <w:rPr>
          <w:rStyle w:val="ms-rtethemeforecolor-2-0"/>
          <w:rFonts w:cstheme="minorHAnsi"/>
          <w:bCs/>
        </w:rPr>
        <w:t>Taking the item/area out of action</w:t>
      </w:r>
      <w:r w:rsidR="00D7766A" w:rsidRPr="002C79FD">
        <w:rPr>
          <w:rStyle w:val="ms-rtethemeforecolor-2-0"/>
          <w:rFonts w:cstheme="minorHAnsi"/>
          <w:bCs/>
        </w:rPr>
        <w:t>;</w:t>
      </w:r>
    </w:p>
    <w:p w14:paraId="30B640EE" w14:textId="1E640A90" w:rsidR="00977D86" w:rsidRPr="002C79FD" w:rsidRDefault="00977D86" w:rsidP="002C79FD">
      <w:pPr>
        <w:pStyle w:val="ListParagraph"/>
        <w:numPr>
          <w:ilvl w:val="0"/>
          <w:numId w:val="34"/>
        </w:numPr>
        <w:spacing w:after="0"/>
        <w:ind w:left="2410" w:hanging="709"/>
        <w:contextualSpacing w:val="0"/>
        <w:rPr>
          <w:rStyle w:val="ms-rtethemeforecolor-2-0"/>
          <w:rFonts w:cstheme="minorHAnsi"/>
          <w:b/>
          <w:bCs/>
        </w:rPr>
      </w:pPr>
      <w:r w:rsidRPr="002C79FD">
        <w:rPr>
          <w:rStyle w:val="ms-rtethemeforecolor-2-0"/>
          <w:rFonts w:cstheme="minorHAnsi"/>
          <w:bCs/>
        </w:rPr>
        <w:t>Incident reporting/Charging of a detainee where appropriate</w:t>
      </w:r>
      <w:r w:rsidR="00D7766A" w:rsidRPr="002C79FD">
        <w:rPr>
          <w:rStyle w:val="ms-rtethemeforecolor-2-0"/>
          <w:rFonts w:cstheme="minorHAnsi"/>
          <w:bCs/>
        </w:rPr>
        <w:t>;</w:t>
      </w:r>
    </w:p>
    <w:p w14:paraId="11627F4D" w14:textId="7EF60116" w:rsidR="00977D86" w:rsidRPr="002C79FD" w:rsidRDefault="00977D86" w:rsidP="002C79FD">
      <w:pPr>
        <w:pStyle w:val="ListParagraph"/>
        <w:numPr>
          <w:ilvl w:val="0"/>
          <w:numId w:val="34"/>
        </w:numPr>
        <w:spacing w:after="0"/>
        <w:ind w:left="2410" w:hanging="709"/>
        <w:contextualSpacing w:val="0"/>
        <w:rPr>
          <w:rStyle w:val="ms-rtethemeforecolor-2-0"/>
          <w:rFonts w:cstheme="minorHAnsi"/>
          <w:b/>
          <w:bCs/>
        </w:rPr>
      </w:pPr>
      <w:r w:rsidRPr="002C79FD">
        <w:rPr>
          <w:rStyle w:val="ms-rtethemeforecolor-2-0"/>
          <w:rFonts w:cstheme="minorHAnsi"/>
          <w:bCs/>
        </w:rPr>
        <w:t>Gathering/securing evidence</w:t>
      </w:r>
      <w:r w:rsidR="00D7766A" w:rsidRPr="002C79FD">
        <w:rPr>
          <w:rStyle w:val="ms-rtethemeforecolor-2-0"/>
          <w:rFonts w:cstheme="minorHAnsi"/>
          <w:bCs/>
        </w:rPr>
        <w:t>;</w:t>
      </w:r>
    </w:p>
    <w:p w14:paraId="49288104" w14:textId="3E94B3D6" w:rsidR="00977D86" w:rsidRPr="002C79FD" w:rsidRDefault="00977D86" w:rsidP="002C79FD">
      <w:pPr>
        <w:pStyle w:val="ListParagraph"/>
        <w:numPr>
          <w:ilvl w:val="0"/>
          <w:numId w:val="34"/>
        </w:numPr>
        <w:spacing w:after="0"/>
        <w:ind w:left="2410" w:hanging="709"/>
        <w:contextualSpacing w:val="0"/>
        <w:rPr>
          <w:rStyle w:val="ms-rtethemeforecolor-2-0"/>
          <w:rFonts w:cstheme="minorHAnsi"/>
          <w:b/>
          <w:bCs/>
        </w:rPr>
      </w:pPr>
      <w:r w:rsidRPr="002C79FD">
        <w:rPr>
          <w:rStyle w:val="ms-rtethemeforecolor-2-0"/>
          <w:rFonts w:cstheme="minorHAnsi"/>
          <w:bCs/>
        </w:rPr>
        <w:t>Escalate the matter</w:t>
      </w:r>
      <w:r w:rsidR="00D7766A" w:rsidRPr="002C79FD">
        <w:rPr>
          <w:rStyle w:val="ms-rtethemeforecolor-2-0"/>
          <w:rFonts w:cstheme="minorHAnsi"/>
          <w:bCs/>
        </w:rPr>
        <w:t>.</w:t>
      </w:r>
    </w:p>
    <w:p w14:paraId="443732AA" w14:textId="4530E282" w:rsidR="001D4344" w:rsidRPr="00C27CD8" w:rsidRDefault="006F208D" w:rsidP="00CA0C1F">
      <w:pPr>
        <w:pStyle w:val="Main2"/>
        <w:numPr>
          <w:ilvl w:val="1"/>
          <w:numId w:val="20"/>
        </w:numPr>
        <w:spacing w:line="276" w:lineRule="auto"/>
        <w:ind w:left="567" w:hanging="567"/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</w:pP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By close of business each day</w:t>
      </w:r>
      <w:r w:rsid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, the Area Supervisor will ensure that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the Armoury </w:t>
      </w:r>
      <w:r w:rsid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is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47E37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checked</w:t>
      </w:r>
      <w:r w:rsidR="00A66306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in accordance in with the </w:t>
      </w:r>
      <w:r w:rsidRPr="00CA0C1F">
        <w:rPr>
          <w:rStyle w:val="ms-rtethemeforecolor-2-0"/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Armoury </w:t>
      </w:r>
      <w:r w:rsidR="0072752D" w:rsidRPr="00CA0C1F">
        <w:rPr>
          <w:rStyle w:val="ms-rtethemeforecolor-2-0"/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Daily</w:t>
      </w:r>
      <w:r w:rsidRPr="00CA0C1F">
        <w:rPr>
          <w:rStyle w:val="ms-rtethemeforecolor-2-0"/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 Compliance Checklist</w:t>
      </w:r>
      <w:r w:rsidR="00D85E80">
        <w:rPr>
          <w:rStyle w:val="ms-rtethemeforecolor-2-0"/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 </w:t>
      </w:r>
      <w:r w:rsidR="00D85E80" w:rsidRPr="00D85E80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which is contained within the</w:t>
      </w:r>
      <w:r w:rsidR="00D85E80">
        <w:rPr>
          <w:rStyle w:val="ms-rtethemeforecolor-2-0"/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 CTU Daily Compliance Logbook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i/>
          <w:iCs/>
          <w:sz w:val="22"/>
          <w:szCs w:val="22"/>
        </w:rPr>
        <w:t>.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27CD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Where a discrepancy arises 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OIC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must be notified immediately and</w:t>
      </w:r>
      <w:r w:rsid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the OIC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will </w:t>
      </w:r>
      <w:r w:rsidR="00B54A63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decide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regarding the next course of action</w:t>
      </w:r>
      <w:r w:rsidR="00996A8F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(as above)</w:t>
      </w:r>
      <w:r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5155301D" w14:textId="300F9F5D" w:rsidR="00C86AAF" w:rsidRPr="00C27CD8" w:rsidRDefault="00996A8F" w:rsidP="00CA0C1F">
      <w:pPr>
        <w:pStyle w:val="Main2"/>
        <w:numPr>
          <w:ilvl w:val="1"/>
          <w:numId w:val="20"/>
        </w:numPr>
        <w:spacing w:line="276" w:lineRule="auto"/>
        <w:ind w:left="567" w:hanging="567"/>
        <w:rPr>
          <w:rStyle w:val="ms-rtethemeforecolor-2-0"/>
          <w:rFonts w:asciiTheme="minorHAnsi" w:hAnsiTheme="minorHAnsi" w:cstheme="minorHAnsi"/>
          <w:sz w:val="22"/>
          <w:szCs w:val="22"/>
        </w:rPr>
      </w:pP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The CTU Director must 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notified</w:t>
      </w: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of any serious findings or repairs that could impact on the daily operations of the CTU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who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will </w:t>
      </w:r>
      <w:r w:rsidR="00B54A63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>decide</w:t>
      </w:r>
      <w:r w:rsidR="00BF6B5D" w:rsidRPr="00C27CD8">
        <w:rPr>
          <w:rStyle w:val="ms-rtethemeforecolor-2-0"/>
          <w:rFonts w:asciiTheme="minorHAnsi" w:hAnsiTheme="minorHAnsi" w:cstheme="minorHAnsi"/>
          <w:b w:val="0"/>
          <w:bCs/>
          <w:sz w:val="22"/>
          <w:szCs w:val="22"/>
        </w:rPr>
        <w:t xml:space="preserve"> the next course of action.</w:t>
      </w:r>
    </w:p>
    <w:p w14:paraId="49E0C57D" w14:textId="77777777" w:rsidR="00BF6B5D" w:rsidRPr="00C27CD8" w:rsidRDefault="00BF6B5D" w:rsidP="00CA0C1F">
      <w:pPr>
        <w:pStyle w:val="Main2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74F6257A" w14:textId="77777777" w:rsidR="004E2C78" w:rsidRDefault="004E2C78" w:rsidP="00CA0C1F">
      <w:pPr>
        <w:rPr>
          <w:rFonts w:cstheme="minorHAnsi"/>
          <w:b/>
        </w:rPr>
      </w:pPr>
    </w:p>
    <w:p w14:paraId="370FF9F0" w14:textId="77777777" w:rsidR="004E2C78" w:rsidRDefault="004E2C78" w:rsidP="00CA0C1F">
      <w:pPr>
        <w:rPr>
          <w:rFonts w:cstheme="minorHAnsi"/>
          <w:b/>
        </w:rPr>
      </w:pPr>
    </w:p>
    <w:p w14:paraId="07DBEFF8" w14:textId="77777777" w:rsidR="004E2C78" w:rsidRDefault="004E2C78" w:rsidP="00CA0C1F">
      <w:pPr>
        <w:rPr>
          <w:rFonts w:cstheme="minorHAnsi"/>
          <w:b/>
        </w:rPr>
      </w:pPr>
    </w:p>
    <w:p w14:paraId="2E7938A7" w14:textId="7AF443DA" w:rsidR="00CF03FA" w:rsidRPr="00C27CD8" w:rsidRDefault="007B3718" w:rsidP="00CA0C1F">
      <w:pPr>
        <w:rPr>
          <w:rFonts w:cstheme="minorHAnsi"/>
          <w:b/>
        </w:rPr>
      </w:pPr>
      <w:r w:rsidRPr="00C27CD8">
        <w:rPr>
          <w:rFonts w:cstheme="minorHAnsi"/>
          <w:b/>
        </w:rPr>
        <w:lastRenderedPageBreak/>
        <w:t xml:space="preserve">RELATED DOCUMENTS </w:t>
      </w:r>
      <w:r w:rsidR="00B11C0C" w:rsidRPr="00C27CD8">
        <w:rPr>
          <w:rFonts w:cstheme="minorHAnsi"/>
          <w:b/>
        </w:rPr>
        <w:t>AND FORMS</w:t>
      </w:r>
    </w:p>
    <w:p w14:paraId="6CAFEE8D" w14:textId="56ED719F" w:rsidR="00B54A63" w:rsidRPr="00CA0C1F" w:rsidRDefault="00B54A63" w:rsidP="007D161D">
      <w:pPr>
        <w:pStyle w:val="ListParagraph"/>
        <w:numPr>
          <w:ilvl w:val="0"/>
          <w:numId w:val="27"/>
        </w:numPr>
        <w:ind w:left="284" w:right="-613"/>
        <w:rPr>
          <w:rFonts w:cstheme="minorHAnsi"/>
          <w:bCs/>
        </w:rPr>
      </w:pPr>
      <w:r w:rsidRPr="00CA0C1F">
        <w:rPr>
          <w:rFonts w:cstheme="minorHAnsi"/>
          <w:bCs/>
          <w:lang w:eastAsia="en-AU"/>
        </w:rPr>
        <w:t>Supervisor Daily Compliance Checklist</w:t>
      </w:r>
      <w:r w:rsidR="007D161D">
        <w:rPr>
          <w:rFonts w:cstheme="minorHAnsi"/>
          <w:bCs/>
          <w:lang w:eastAsia="en-AU"/>
        </w:rPr>
        <w:t xml:space="preserve"> - (</w:t>
      </w:r>
      <w:r w:rsidR="00D85E80" w:rsidRPr="00D85E80">
        <w:rPr>
          <w:rFonts w:cstheme="minorHAnsi"/>
          <w:bCs/>
          <w:i/>
          <w:iCs/>
          <w:sz w:val="20"/>
          <w:szCs w:val="20"/>
          <w:lang w:eastAsia="en-AU"/>
        </w:rPr>
        <w:t>Contained within the Supervisor Compliance/Handover Logbook)</w:t>
      </w:r>
    </w:p>
    <w:p w14:paraId="4B62C493" w14:textId="61B550E4" w:rsidR="00B54A63" w:rsidRPr="00B54A63" w:rsidRDefault="00B54A63" w:rsidP="007D161D">
      <w:pPr>
        <w:pStyle w:val="ListParagraph"/>
        <w:numPr>
          <w:ilvl w:val="0"/>
          <w:numId w:val="27"/>
        </w:numPr>
        <w:ind w:left="284"/>
        <w:rPr>
          <w:rStyle w:val="ms-rtethemeforecolor-2-0"/>
          <w:rFonts w:cstheme="minorHAnsi"/>
          <w:bCs/>
        </w:rPr>
      </w:pPr>
      <w:r w:rsidRPr="00CA0C1F">
        <w:rPr>
          <w:rStyle w:val="ms-rtethemeforecolor-2-0"/>
          <w:rFonts w:cstheme="minorHAnsi"/>
          <w:bCs/>
        </w:rPr>
        <w:t>Vehicle Daily Compliance Checklist</w:t>
      </w:r>
      <w:r w:rsidR="007D161D">
        <w:rPr>
          <w:rStyle w:val="ms-rtethemeforecolor-2-0"/>
          <w:rFonts w:cstheme="minorHAnsi"/>
          <w:bCs/>
        </w:rPr>
        <w:t xml:space="preserve"> - (</w:t>
      </w:r>
      <w:r w:rsidR="00D85E80" w:rsidRPr="00D85E80">
        <w:rPr>
          <w:rFonts w:cstheme="minorHAnsi"/>
          <w:bCs/>
          <w:i/>
          <w:iCs/>
          <w:sz w:val="20"/>
          <w:szCs w:val="20"/>
          <w:lang w:eastAsia="en-AU"/>
        </w:rPr>
        <w:t xml:space="preserve">Contained within the </w:t>
      </w:r>
      <w:r w:rsidR="00D85E80">
        <w:rPr>
          <w:rFonts w:cstheme="minorHAnsi"/>
          <w:bCs/>
          <w:i/>
          <w:iCs/>
          <w:sz w:val="20"/>
          <w:szCs w:val="20"/>
          <w:lang w:eastAsia="en-AU"/>
        </w:rPr>
        <w:t>CTU Daily</w:t>
      </w:r>
      <w:r w:rsidR="00D85E80" w:rsidRPr="00D85E80">
        <w:rPr>
          <w:rFonts w:cstheme="minorHAnsi"/>
          <w:bCs/>
          <w:i/>
          <w:iCs/>
          <w:sz w:val="20"/>
          <w:szCs w:val="20"/>
          <w:lang w:eastAsia="en-AU"/>
        </w:rPr>
        <w:t xml:space="preserve"> Compliance</w:t>
      </w:r>
      <w:r w:rsidR="00D85E80">
        <w:rPr>
          <w:rFonts w:cstheme="minorHAnsi"/>
          <w:bCs/>
          <w:i/>
          <w:iCs/>
          <w:sz w:val="20"/>
          <w:szCs w:val="20"/>
          <w:lang w:eastAsia="en-AU"/>
        </w:rPr>
        <w:t xml:space="preserve"> </w:t>
      </w:r>
      <w:r w:rsidR="00D85E80" w:rsidRPr="00D85E80">
        <w:rPr>
          <w:rFonts w:cstheme="minorHAnsi"/>
          <w:bCs/>
          <w:i/>
          <w:iCs/>
          <w:sz w:val="20"/>
          <w:szCs w:val="20"/>
          <w:lang w:eastAsia="en-AU"/>
        </w:rPr>
        <w:t>Logbook)</w:t>
      </w:r>
    </w:p>
    <w:p w14:paraId="560C16B4" w14:textId="4CC2D402" w:rsidR="00B54A63" w:rsidRPr="00CA0C1F" w:rsidRDefault="00B54A63" w:rsidP="007D161D">
      <w:pPr>
        <w:pStyle w:val="ListParagraph"/>
        <w:numPr>
          <w:ilvl w:val="0"/>
          <w:numId w:val="27"/>
        </w:numPr>
        <w:ind w:left="284" w:right="-755"/>
        <w:rPr>
          <w:rStyle w:val="ms-rtethemeforecolor-2-0"/>
          <w:rFonts w:cstheme="minorHAnsi"/>
          <w:bCs/>
        </w:rPr>
      </w:pPr>
      <w:r>
        <w:rPr>
          <w:rStyle w:val="ms-rtethemeforecolor-2-0"/>
          <w:rFonts w:cstheme="minorHAnsi"/>
          <w:bCs/>
        </w:rPr>
        <w:t>Area &amp; Security System Daily Compliance Checklist</w:t>
      </w:r>
      <w:r w:rsidR="007D161D">
        <w:rPr>
          <w:rStyle w:val="ms-rtethemeforecolor-2-0"/>
          <w:rFonts w:cstheme="minorHAnsi"/>
          <w:bCs/>
        </w:rPr>
        <w:t xml:space="preserve"> - (</w:t>
      </w:r>
      <w:r w:rsidR="00D85E80" w:rsidRPr="00D85E80">
        <w:rPr>
          <w:rFonts w:cstheme="minorHAnsi"/>
          <w:bCs/>
          <w:i/>
          <w:iCs/>
          <w:sz w:val="20"/>
          <w:szCs w:val="20"/>
          <w:lang w:eastAsia="en-AU"/>
        </w:rPr>
        <w:t xml:space="preserve">Contained within the </w:t>
      </w:r>
      <w:r w:rsidR="00D85E80">
        <w:rPr>
          <w:rFonts w:cstheme="minorHAnsi"/>
          <w:bCs/>
          <w:i/>
          <w:iCs/>
          <w:sz w:val="20"/>
          <w:szCs w:val="20"/>
          <w:lang w:eastAsia="en-AU"/>
        </w:rPr>
        <w:t>CTU Daily</w:t>
      </w:r>
      <w:r w:rsidR="00D85E80" w:rsidRPr="00D85E80">
        <w:rPr>
          <w:rFonts w:cstheme="minorHAnsi"/>
          <w:bCs/>
          <w:i/>
          <w:iCs/>
          <w:sz w:val="20"/>
          <w:szCs w:val="20"/>
          <w:lang w:eastAsia="en-AU"/>
        </w:rPr>
        <w:t xml:space="preserve"> Compliance</w:t>
      </w:r>
      <w:r w:rsidR="00D85E80">
        <w:rPr>
          <w:rFonts w:cstheme="minorHAnsi"/>
          <w:bCs/>
          <w:i/>
          <w:iCs/>
          <w:sz w:val="20"/>
          <w:szCs w:val="20"/>
          <w:lang w:eastAsia="en-AU"/>
        </w:rPr>
        <w:t xml:space="preserve"> </w:t>
      </w:r>
      <w:r w:rsidR="00D85E80" w:rsidRPr="00D85E80">
        <w:rPr>
          <w:rFonts w:cstheme="minorHAnsi"/>
          <w:bCs/>
          <w:i/>
          <w:iCs/>
          <w:sz w:val="20"/>
          <w:szCs w:val="20"/>
          <w:lang w:eastAsia="en-AU"/>
        </w:rPr>
        <w:t>Logbook)</w:t>
      </w:r>
    </w:p>
    <w:p w14:paraId="642243AC" w14:textId="225B75A2" w:rsidR="00902E39" w:rsidRPr="007D161D" w:rsidRDefault="00902E39" w:rsidP="007D161D">
      <w:pPr>
        <w:pStyle w:val="ListParagraph"/>
        <w:numPr>
          <w:ilvl w:val="0"/>
          <w:numId w:val="27"/>
        </w:numPr>
        <w:ind w:left="284" w:right="-755"/>
        <w:rPr>
          <w:rStyle w:val="ms-rtethemeforecolor-2-0"/>
          <w:rFonts w:cstheme="minorHAnsi"/>
          <w:bCs/>
        </w:rPr>
      </w:pPr>
      <w:r w:rsidRPr="00CA0C1F">
        <w:rPr>
          <w:rStyle w:val="ms-rtethemeforecolor-2-0"/>
          <w:rFonts w:cstheme="minorHAnsi"/>
          <w:bCs/>
        </w:rPr>
        <w:t xml:space="preserve">Armoury </w:t>
      </w:r>
      <w:r w:rsidR="00F23ABB" w:rsidRPr="00CA0C1F">
        <w:rPr>
          <w:rStyle w:val="ms-rtethemeforecolor-2-0"/>
          <w:rFonts w:cstheme="minorHAnsi"/>
          <w:bCs/>
        </w:rPr>
        <w:t xml:space="preserve">Daily </w:t>
      </w:r>
      <w:r w:rsidRPr="00CA0C1F">
        <w:rPr>
          <w:rStyle w:val="ms-rtethemeforecolor-2-0"/>
          <w:rFonts w:cstheme="minorHAnsi"/>
          <w:bCs/>
        </w:rPr>
        <w:t>Compliance Checklist</w:t>
      </w:r>
      <w:r w:rsidR="007D161D">
        <w:rPr>
          <w:rStyle w:val="ms-rtethemeforecolor-2-0"/>
          <w:rFonts w:cstheme="minorHAnsi"/>
          <w:bCs/>
        </w:rPr>
        <w:t xml:space="preserve"> - Contained</w:t>
      </w:r>
      <w:r w:rsidR="007D161D" w:rsidRPr="00D85E80">
        <w:rPr>
          <w:rFonts w:cstheme="minorHAnsi"/>
          <w:bCs/>
          <w:i/>
          <w:iCs/>
          <w:sz w:val="20"/>
          <w:szCs w:val="20"/>
          <w:lang w:eastAsia="en-AU"/>
        </w:rPr>
        <w:t xml:space="preserve"> within the </w:t>
      </w:r>
      <w:r w:rsidR="007D161D">
        <w:rPr>
          <w:rFonts w:cstheme="minorHAnsi"/>
          <w:bCs/>
          <w:i/>
          <w:iCs/>
          <w:sz w:val="20"/>
          <w:szCs w:val="20"/>
          <w:lang w:eastAsia="en-AU"/>
        </w:rPr>
        <w:t>CTU Daily</w:t>
      </w:r>
      <w:r w:rsidR="007D161D" w:rsidRPr="00D85E80">
        <w:rPr>
          <w:rFonts w:cstheme="minorHAnsi"/>
          <w:bCs/>
          <w:i/>
          <w:iCs/>
          <w:sz w:val="20"/>
          <w:szCs w:val="20"/>
          <w:lang w:eastAsia="en-AU"/>
        </w:rPr>
        <w:t xml:space="preserve"> Compliance</w:t>
      </w:r>
      <w:r w:rsidR="007D161D">
        <w:rPr>
          <w:rFonts w:cstheme="minorHAnsi"/>
          <w:bCs/>
          <w:i/>
          <w:iCs/>
          <w:sz w:val="20"/>
          <w:szCs w:val="20"/>
          <w:lang w:eastAsia="en-AU"/>
        </w:rPr>
        <w:t xml:space="preserve"> </w:t>
      </w:r>
      <w:r w:rsidR="007D161D" w:rsidRPr="00D85E80">
        <w:rPr>
          <w:rFonts w:cstheme="minorHAnsi"/>
          <w:bCs/>
          <w:i/>
          <w:iCs/>
          <w:sz w:val="20"/>
          <w:szCs w:val="20"/>
          <w:lang w:eastAsia="en-AU"/>
        </w:rPr>
        <w:t>Logbook)</w:t>
      </w:r>
    </w:p>
    <w:p w14:paraId="594BD48C" w14:textId="77777777" w:rsidR="006E4C64" w:rsidRPr="00CA0C1F" w:rsidRDefault="006E4C64" w:rsidP="007D161D">
      <w:pPr>
        <w:pStyle w:val="ListParagraph"/>
        <w:numPr>
          <w:ilvl w:val="0"/>
          <w:numId w:val="27"/>
        </w:numPr>
        <w:ind w:left="284"/>
        <w:rPr>
          <w:rFonts w:cstheme="minorHAnsi"/>
          <w:bCs/>
        </w:rPr>
      </w:pPr>
      <w:r w:rsidRPr="00CA0C1F">
        <w:rPr>
          <w:rFonts w:eastAsia="Times New Roman" w:cstheme="minorHAnsi"/>
          <w:bCs/>
          <w:lang w:eastAsia="en-AU"/>
        </w:rPr>
        <w:t>Incident Report Form</w:t>
      </w:r>
    </w:p>
    <w:p w14:paraId="4D25D840" w14:textId="6ED13AAF" w:rsidR="001D4344" w:rsidRPr="00CA0C1F" w:rsidRDefault="001D4344" w:rsidP="007D161D">
      <w:pPr>
        <w:pStyle w:val="ListParagraph"/>
        <w:numPr>
          <w:ilvl w:val="0"/>
          <w:numId w:val="27"/>
        </w:numPr>
        <w:ind w:left="284"/>
        <w:rPr>
          <w:rFonts w:cstheme="minorHAnsi"/>
          <w:bCs/>
        </w:rPr>
      </w:pPr>
      <w:r w:rsidRPr="00CA0C1F">
        <w:rPr>
          <w:rFonts w:cstheme="minorHAnsi"/>
          <w:bCs/>
        </w:rPr>
        <w:t>Detainee Property – Seizure of Property</w:t>
      </w:r>
      <w:r w:rsidR="00C27CD8" w:rsidRPr="00CA0C1F">
        <w:rPr>
          <w:rFonts w:cstheme="minorHAnsi"/>
          <w:bCs/>
        </w:rPr>
        <w:t xml:space="preserve"> OP</w:t>
      </w:r>
    </w:p>
    <w:p w14:paraId="1E755C4B" w14:textId="17625D79" w:rsidR="00EE612B" w:rsidRPr="007D161D" w:rsidRDefault="00EE612B" w:rsidP="007D161D">
      <w:pPr>
        <w:pStyle w:val="ListParagraph"/>
        <w:numPr>
          <w:ilvl w:val="0"/>
          <w:numId w:val="27"/>
        </w:numPr>
        <w:ind w:left="284"/>
        <w:rPr>
          <w:rFonts w:cstheme="minorHAnsi"/>
          <w:bCs/>
        </w:rPr>
      </w:pPr>
      <w:r w:rsidRPr="007D161D">
        <w:t>Incident Reporting Notification and Debrief Policy</w:t>
      </w:r>
    </w:p>
    <w:p w14:paraId="54F56DE1" w14:textId="77777777" w:rsidR="00B84A5B" w:rsidRPr="00C27CD8" w:rsidRDefault="00ED649D" w:rsidP="00E4484A">
      <w:pPr>
        <w:pStyle w:val="NoSpacing"/>
        <w:spacing w:line="276" w:lineRule="auto"/>
        <w:rPr>
          <w:rFonts w:cstheme="minorHAnsi"/>
        </w:rPr>
      </w:pPr>
      <w:r w:rsidRPr="00C27CD8">
        <w:rPr>
          <w:rFonts w:cstheme="minorHAnsi"/>
        </w:rPr>
        <w:t>Corinne Justason</w:t>
      </w:r>
    </w:p>
    <w:p w14:paraId="151E042A" w14:textId="77777777" w:rsidR="00B54A63" w:rsidRDefault="00ED649D" w:rsidP="00E4484A">
      <w:pPr>
        <w:pStyle w:val="NoSpacing"/>
        <w:spacing w:line="276" w:lineRule="auto"/>
        <w:rPr>
          <w:rFonts w:cstheme="minorHAnsi"/>
        </w:rPr>
      </w:pPr>
      <w:r w:rsidRPr="00C27CD8">
        <w:rPr>
          <w:rFonts w:cstheme="minorHAnsi"/>
        </w:rPr>
        <w:t>Deputy Commissioner Custodial Operations</w:t>
      </w:r>
      <w:r w:rsidR="00202B3A" w:rsidRPr="00C27CD8">
        <w:rPr>
          <w:rFonts w:cstheme="minorHAnsi"/>
        </w:rPr>
        <w:br/>
        <w:t xml:space="preserve">ACT Corrective Services </w:t>
      </w:r>
    </w:p>
    <w:p w14:paraId="1ED33506" w14:textId="3B93A353" w:rsidR="00925989" w:rsidRPr="00C27CD8" w:rsidRDefault="007D35F4" w:rsidP="00E4484A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23</w:t>
      </w:r>
      <w:r w:rsidR="00DE31CA">
        <w:rPr>
          <w:rFonts w:cstheme="minorHAnsi"/>
        </w:rPr>
        <w:t xml:space="preserve"> </w:t>
      </w:r>
      <w:r w:rsidR="0063059D">
        <w:rPr>
          <w:rFonts w:cstheme="minorHAnsi"/>
        </w:rPr>
        <w:t>February</w:t>
      </w:r>
      <w:r w:rsidR="00953BCE" w:rsidRPr="00C27CD8">
        <w:rPr>
          <w:rFonts w:cstheme="minorHAnsi"/>
        </w:rPr>
        <w:t xml:space="preserve"> 20</w:t>
      </w:r>
      <w:r w:rsidR="004C5978" w:rsidRPr="00C27CD8">
        <w:rPr>
          <w:rFonts w:cstheme="minorHAnsi"/>
        </w:rPr>
        <w:t>2</w:t>
      </w:r>
      <w:r w:rsidR="002916D3">
        <w:rPr>
          <w:rFonts w:cstheme="minorHAnsi"/>
        </w:rPr>
        <w:t>1</w:t>
      </w:r>
    </w:p>
    <w:p w14:paraId="27A5F495" w14:textId="77777777" w:rsidR="00B84A5B" w:rsidRDefault="00B84A5B" w:rsidP="00B84A5B">
      <w:pPr>
        <w:rPr>
          <w:rFonts w:cs="Arial"/>
        </w:rPr>
      </w:pPr>
    </w:p>
    <w:p w14:paraId="24A4C3F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18187F88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FE60F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DA270A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34ACA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E1302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019819" w14:textId="10D50CEE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7406AA">
              <w:rPr>
                <w:rFonts w:ascii="Calibri" w:hAnsi="Calibri"/>
                <w:sz w:val="20"/>
                <w:szCs w:val="20"/>
              </w:rPr>
              <w:t>C</w:t>
            </w:r>
            <w:r w:rsidR="00C27CD8">
              <w:rPr>
                <w:rFonts w:ascii="Calibri" w:hAnsi="Calibri"/>
                <w:sz w:val="20"/>
                <w:szCs w:val="20"/>
              </w:rPr>
              <w:t>TU –</w:t>
            </w:r>
            <w:r w:rsidR="007406AA">
              <w:rPr>
                <w:rFonts w:ascii="Calibri" w:hAnsi="Calibri"/>
                <w:sz w:val="20"/>
                <w:szCs w:val="20"/>
              </w:rPr>
              <w:t xml:space="preserve"> Compliance</w:t>
            </w:r>
            <w:r w:rsidR="00C27CD8">
              <w:rPr>
                <w:rFonts w:ascii="Calibri" w:hAnsi="Calibri"/>
                <w:sz w:val="20"/>
                <w:szCs w:val="20"/>
              </w:rPr>
              <w:t xml:space="preserve"> Checks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</w:t>
            </w:r>
            <w:r w:rsidR="004C5978">
              <w:rPr>
                <w:rFonts w:ascii="Calibri" w:hAnsi="Calibri"/>
                <w:sz w:val="20"/>
                <w:szCs w:val="20"/>
              </w:rPr>
              <w:t>2</w:t>
            </w:r>
            <w:r w:rsidR="002916D3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5E011D" w:rsidRPr="00586F66" w14:paraId="78AFCDC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7D07E0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7E9F3E" w14:textId="77777777" w:rsidR="005E011D" w:rsidRPr="00586F66" w:rsidRDefault="00ED649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760732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77789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58D142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4601DF3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2E25B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8AEAC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36898B5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DE106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295407" w14:textId="634F38E1" w:rsidR="00CF03FA" w:rsidRPr="00586F66" w:rsidRDefault="00ED649D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Director CTU </w:t>
            </w:r>
          </w:p>
        </w:tc>
      </w:tr>
      <w:tr w:rsidR="007B3718" w:rsidRPr="00586F66" w14:paraId="222F22A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B3CA72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6A4D94" w14:textId="4D8AA81C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CA0C1F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05501158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66"/>
        <w:gridCol w:w="1962"/>
        <w:gridCol w:w="2072"/>
        <w:gridCol w:w="2456"/>
      </w:tblGrid>
      <w:tr w:rsidR="00B11C0C" w:rsidRPr="00B11C0C" w14:paraId="44EEFC93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BB61FCD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176FFA6A" w14:textId="77777777" w:rsidTr="00457C0A">
        <w:trPr>
          <w:trHeight w:val="395"/>
        </w:trPr>
        <w:tc>
          <w:tcPr>
            <w:tcW w:w="0" w:type="auto"/>
          </w:tcPr>
          <w:p w14:paraId="1F5C6C0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37A9B74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04E87A4F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65A8CA9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0F89B459" w14:textId="77777777" w:rsidTr="00457C0A">
        <w:trPr>
          <w:trHeight w:val="395"/>
        </w:trPr>
        <w:tc>
          <w:tcPr>
            <w:tcW w:w="0" w:type="auto"/>
          </w:tcPr>
          <w:p w14:paraId="3DE670E7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C8610D4" w14:textId="36CEE29E" w:rsidR="00B11C0C" w:rsidRPr="00B11C0C" w:rsidRDefault="002916D3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January</w:t>
            </w:r>
            <w:r w:rsidR="00B11C0C" w:rsidRPr="00B11C0C">
              <w:rPr>
                <w:rFonts w:eastAsia="Calibri" w:cs="Times New Roman"/>
                <w:sz w:val="20"/>
                <w:szCs w:val="24"/>
              </w:rPr>
              <w:t>-</w:t>
            </w:r>
            <w:r w:rsidR="00C27CD8">
              <w:rPr>
                <w:rFonts w:eastAsia="Calibri" w:cs="Times New Roman"/>
                <w:sz w:val="20"/>
                <w:szCs w:val="24"/>
              </w:rPr>
              <w:t>2</w:t>
            </w:r>
            <w:r>
              <w:rPr>
                <w:rFonts w:eastAsia="Calibri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4E4076B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1A176BA7" w14:textId="2489AE88" w:rsidR="00B11C0C" w:rsidRPr="00B11C0C" w:rsidRDefault="004E2C7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Taylor-Dayus</w:t>
            </w:r>
            <w:r w:rsidR="007620D4">
              <w:rPr>
                <w:rFonts w:eastAsia="Calibri" w:cs="Times New Roman"/>
                <w:sz w:val="20"/>
                <w:szCs w:val="24"/>
              </w:rPr>
              <w:t xml:space="preserve"> </w:t>
            </w:r>
          </w:p>
        </w:tc>
      </w:tr>
    </w:tbl>
    <w:p w14:paraId="30D8632B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7861423B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7D161D">
      <w:headerReference w:type="first" r:id="rId13"/>
      <w:footerReference w:type="first" r:id="rId14"/>
      <w:pgSz w:w="11906" w:h="16838"/>
      <w:pgMar w:top="851" w:right="1440" w:bottom="1276" w:left="1440" w:header="426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ABCF" w14:textId="77777777" w:rsidR="009E72BA" w:rsidRDefault="009E72BA" w:rsidP="00152D5E">
      <w:pPr>
        <w:spacing w:after="0" w:line="240" w:lineRule="auto"/>
      </w:pPr>
      <w:r>
        <w:separator/>
      </w:r>
    </w:p>
  </w:endnote>
  <w:endnote w:type="continuationSeparator" w:id="0">
    <w:p w14:paraId="33ED90FC" w14:textId="77777777" w:rsidR="009E72BA" w:rsidRDefault="009E72BA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F0B9" w14:textId="77777777" w:rsidR="00832A91" w:rsidRDefault="00832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41AEBFE" w14:textId="729529F2" w:rsidR="00FB2C79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5F77296A" w14:textId="797CB520" w:rsidR="00832A91" w:rsidRPr="00832A91" w:rsidRDefault="00832A91" w:rsidP="00832A91">
    <w:pPr>
      <w:pStyle w:val="Footer"/>
      <w:jc w:val="center"/>
      <w:rPr>
        <w:rFonts w:ascii="Arial" w:hAnsi="Arial" w:cs="Arial"/>
        <w:sz w:val="14"/>
      </w:rPr>
    </w:pPr>
    <w:r w:rsidRPr="00832A9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EA34" w14:textId="74BC3048" w:rsidR="006A5E20" w:rsidRPr="00832A91" w:rsidRDefault="00832A91" w:rsidP="00832A91">
    <w:pPr>
      <w:pStyle w:val="Footer"/>
      <w:jc w:val="center"/>
      <w:rPr>
        <w:rFonts w:ascii="Arial" w:hAnsi="Arial" w:cs="Arial"/>
        <w:sz w:val="14"/>
      </w:rPr>
    </w:pPr>
    <w:r w:rsidRPr="00832A9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2F87" w14:textId="4DF228C7" w:rsidR="00F33A8F" w:rsidRPr="00832A91" w:rsidRDefault="00832A91" w:rsidP="00832A91">
    <w:pPr>
      <w:pStyle w:val="Footer"/>
      <w:jc w:val="center"/>
      <w:rPr>
        <w:rFonts w:ascii="Arial" w:hAnsi="Arial" w:cs="Arial"/>
        <w:sz w:val="14"/>
      </w:rPr>
    </w:pPr>
    <w:r w:rsidRPr="00832A9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DAED" w14:textId="77777777" w:rsidR="009E72BA" w:rsidRDefault="009E72BA" w:rsidP="00152D5E">
      <w:pPr>
        <w:spacing w:after="0" w:line="240" w:lineRule="auto"/>
      </w:pPr>
      <w:r>
        <w:separator/>
      </w:r>
    </w:p>
  </w:footnote>
  <w:footnote w:type="continuationSeparator" w:id="0">
    <w:p w14:paraId="715FA72A" w14:textId="77777777" w:rsidR="009E72BA" w:rsidRDefault="009E72BA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105C" w14:textId="77777777" w:rsidR="00832A91" w:rsidRDefault="00832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475D" w14:textId="04D92F91" w:rsidR="00FB2C79" w:rsidRPr="00B13060" w:rsidRDefault="00FB2C79" w:rsidP="00CF60D1">
    <w:pPr>
      <w:pStyle w:val="Header"/>
      <w:jc w:val="center"/>
      <w:rPr>
        <w:color w:val="808080"/>
        <w:spacing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9E6B" w14:textId="77777777" w:rsidR="00832A91" w:rsidRDefault="00832A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23E4" w14:textId="77777777" w:rsidR="00F33A8F" w:rsidRDefault="00F33A8F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1007896" wp14:editId="6A1F0940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3329ADE2" w14:textId="77777777" w:rsidR="00F33A8F" w:rsidRDefault="00F33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942562C"/>
    <w:multiLevelType w:val="hybridMultilevel"/>
    <w:tmpl w:val="52F01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A19437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55B1"/>
    <w:multiLevelType w:val="multilevel"/>
    <w:tmpl w:val="6A04A3F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15719B7"/>
    <w:multiLevelType w:val="multilevel"/>
    <w:tmpl w:val="89006C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403D"/>
    <w:multiLevelType w:val="multilevel"/>
    <w:tmpl w:val="3B8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9"/>
  </w:num>
  <w:num w:numId="4">
    <w:abstractNumId w:val="15"/>
  </w:num>
  <w:num w:numId="5">
    <w:abstractNumId w:val="18"/>
  </w:num>
  <w:num w:numId="6">
    <w:abstractNumId w:val="23"/>
  </w:num>
  <w:num w:numId="7">
    <w:abstractNumId w:val="31"/>
  </w:num>
  <w:num w:numId="8">
    <w:abstractNumId w:val="19"/>
  </w:num>
  <w:num w:numId="9">
    <w:abstractNumId w:val="25"/>
  </w:num>
  <w:num w:numId="10">
    <w:abstractNumId w:val="5"/>
  </w:num>
  <w:num w:numId="11">
    <w:abstractNumId w:val="30"/>
  </w:num>
  <w:num w:numId="12">
    <w:abstractNumId w:val="33"/>
  </w:num>
  <w:num w:numId="13">
    <w:abstractNumId w:val="27"/>
  </w:num>
  <w:num w:numId="14">
    <w:abstractNumId w:val="32"/>
  </w:num>
  <w:num w:numId="15">
    <w:abstractNumId w:val="3"/>
  </w:num>
  <w:num w:numId="16">
    <w:abstractNumId w:val="16"/>
  </w:num>
  <w:num w:numId="17">
    <w:abstractNumId w:val="14"/>
  </w:num>
  <w:num w:numId="18">
    <w:abstractNumId w:val="0"/>
  </w:num>
  <w:num w:numId="19">
    <w:abstractNumId w:val="7"/>
  </w:num>
  <w:num w:numId="20">
    <w:abstractNumId w:val="4"/>
  </w:num>
  <w:num w:numId="21">
    <w:abstractNumId w:val="22"/>
  </w:num>
  <w:num w:numId="22">
    <w:abstractNumId w:val="9"/>
  </w:num>
  <w:num w:numId="23">
    <w:abstractNumId w:val="6"/>
  </w:num>
  <w:num w:numId="24">
    <w:abstractNumId w:val="26"/>
  </w:num>
  <w:num w:numId="25">
    <w:abstractNumId w:val="24"/>
  </w:num>
  <w:num w:numId="26">
    <w:abstractNumId w:val="20"/>
  </w:num>
  <w:num w:numId="27">
    <w:abstractNumId w:val="12"/>
  </w:num>
  <w:num w:numId="28">
    <w:abstractNumId w:val="11"/>
  </w:num>
  <w:num w:numId="29">
    <w:abstractNumId w:val="1"/>
  </w:num>
  <w:num w:numId="30">
    <w:abstractNumId w:val="10"/>
  </w:num>
  <w:num w:numId="31">
    <w:abstractNumId w:val="28"/>
  </w:num>
  <w:num w:numId="32">
    <w:abstractNumId w:val="17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A"/>
    <w:rsid w:val="000059B1"/>
    <w:rsid w:val="000100D2"/>
    <w:rsid w:val="00012A69"/>
    <w:rsid w:val="000458C7"/>
    <w:rsid w:val="000807DC"/>
    <w:rsid w:val="000B7E7B"/>
    <w:rsid w:val="000C15FB"/>
    <w:rsid w:val="001127C2"/>
    <w:rsid w:val="001245CE"/>
    <w:rsid w:val="00141E42"/>
    <w:rsid w:val="001504B0"/>
    <w:rsid w:val="00152066"/>
    <w:rsid w:val="00152D5E"/>
    <w:rsid w:val="00162B50"/>
    <w:rsid w:val="001A677B"/>
    <w:rsid w:val="001B06F8"/>
    <w:rsid w:val="001D4344"/>
    <w:rsid w:val="00202B3A"/>
    <w:rsid w:val="0021108E"/>
    <w:rsid w:val="00215BD6"/>
    <w:rsid w:val="00221FA3"/>
    <w:rsid w:val="002370B3"/>
    <w:rsid w:val="00252E13"/>
    <w:rsid w:val="00272CE7"/>
    <w:rsid w:val="002741BE"/>
    <w:rsid w:val="00283EE0"/>
    <w:rsid w:val="00287266"/>
    <w:rsid w:val="002916D3"/>
    <w:rsid w:val="002A2DE1"/>
    <w:rsid w:val="002C1534"/>
    <w:rsid w:val="002C7846"/>
    <w:rsid w:val="002C79FD"/>
    <w:rsid w:val="00302B09"/>
    <w:rsid w:val="00314A6D"/>
    <w:rsid w:val="00340868"/>
    <w:rsid w:val="003449F8"/>
    <w:rsid w:val="00353E50"/>
    <w:rsid w:val="00397232"/>
    <w:rsid w:val="003A2E5D"/>
    <w:rsid w:val="003A3CF7"/>
    <w:rsid w:val="003A7DC3"/>
    <w:rsid w:val="003B0384"/>
    <w:rsid w:val="003B2E22"/>
    <w:rsid w:val="003C5E5F"/>
    <w:rsid w:val="003C6EB2"/>
    <w:rsid w:val="003F5C7D"/>
    <w:rsid w:val="00402430"/>
    <w:rsid w:val="00405E0B"/>
    <w:rsid w:val="004135BE"/>
    <w:rsid w:val="0041603D"/>
    <w:rsid w:val="004175E0"/>
    <w:rsid w:val="00461C8B"/>
    <w:rsid w:val="004A0FBE"/>
    <w:rsid w:val="004A4152"/>
    <w:rsid w:val="004A7290"/>
    <w:rsid w:val="004B121B"/>
    <w:rsid w:val="004C5978"/>
    <w:rsid w:val="004D1932"/>
    <w:rsid w:val="004E2B2A"/>
    <w:rsid w:val="004E2C78"/>
    <w:rsid w:val="00500EAE"/>
    <w:rsid w:val="00510017"/>
    <w:rsid w:val="005167F7"/>
    <w:rsid w:val="00516FDD"/>
    <w:rsid w:val="00532730"/>
    <w:rsid w:val="005359F3"/>
    <w:rsid w:val="00563752"/>
    <w:rsid w:val="00582DD2"/>
    <w:rsid w:val="0058602A"/>
    <w:rsid w:val="00586F66"/>
    <w:rsid w:val="005A4376"/>
    <w:rsid w:val="005A794E"/>
    <w:rsid w:val="005D2BB7"/>
    <w:rsid w:val="005E011D"/>
    <w:rsid w:val="005F70A8"/>
    <w:rsid w:val="00610DF9"/>
    <w:rsid w:val="00622D3C"/>
    <w:rsid w:val="0063059D"/>
    <w:rsid w:val="00634849"/>
    <w:rsid w:val="00641860"/>
    <w:rsid w:val="00647E37"/>
    <w:rsid w:val="0068333E"/>
    <w:rsid w:val="00685F05"/>
    <w:rsid w:val="006A5E20"/>
    <w:rsid w:val="006E4C64"/>
    <w:rsid w:val="006F1D1C"/>
    <w:rsid w:val="006F208D"/>
    <w:rsid w:val="006F301F"/>
    <w:rsid w:val="00707A71"/>
    <w:rsid w:val="007104EA"/>
    <w:rsid w:val="0071131B"/>
    <w:rsid w:val="007122C1"/>
    <w:rsid w:val="00726E08"/>
    <w:rsid w:val="0072752D"/>
    <w:rsid w:val="007406AA"/>
    <w:rsid w:val="00741C56"/>
    <w:rsid w:val="007620D4"/>
    <w:rsid w:val="00780A2D"/>
    <w:rsid w:val="00782A7B"/>
    <w:rsid w:val="00791154"/>
    <w:rsid w:val="007B3718"/>
    <w:rsid w:val="007C4FCB"/>
    <w:rsid w:val="007D161D"/>
    <w:rsid w:val="007D1D59"/>
    <w:rsid w:val="007D35F4"/>
    <w:rsid w:val="007D6F72"/>
    <w:rsid w:val="00820C1B"/>
    <w:rsid w:val="00822096"/>
    <w:rsid w:val="00832A91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02E39"/>
    <w:rsid w:val="009100EC"/>
    <w:rsid w:val="00914AEF"/>
    <w:rsid w:val="009227D3"/>
    <w:rsid w:val="00925989"/>
    <w:rsid w:val="00940D18"/>
    <w:rsid w:val="00947E61"/>
    <w:rsid w:val="00951D8F"/>
    <w:rsid w:val="0095393D"/>
    <w:rsid w:val="00953BCE"/>
    <w:rsid w:val="009545D4"/>
    <w:rsid w:val="009553A5"/>
    <w:rsid w:val="00970387"/>
    <w:rsid w:val="00974E7D"/>
    <w:rsid w:val="00977D86"/>
    <w:rsid w:val="009839B3"/>
    <w:rsid w:val="00996A8F"/>
    <w:rsid w:val="009A1FBC"/>
    <w:rsid w:val="009A4819"/>
    <w:rsid w:val="009E72BA"/>
    <w:rsid w:val="00A07081"/>
    <w:rsid w:val="00A341CF"/>
    <w:rsid w:val="00A35614"/>
    <w:rsid w:val="00A35F7E"/>
    <w:rsid w:val="00A444B8"/>
    <w:rsid w:val="00A66306"/>
    <w:rsid w:val="00A76336"/>
    <w:rsid w:val="00A93ED3"/>
    <w:rsid w:val="00A95B39"/>
    <w:rsid w:val="00AB0381"/>
    <w:rsid w:val="00AB58EB"/>
    <w:rsid w:val="00AC0BF3"/>
    <w:rsid w:val="00AC14A4"/>
    <w:rsid w:val="00AD68B8"/>
    <w:rsid w:val="00AF7A8E"/>
    <w:rsid w:val="00B0453C"/>
    <w:rsid w:val="00B11C0C"/>
    <w:rsid w:val="00B13060"/>
    <w:rsid w:val="00B54A63"/>
    <w:rsid w:val="00B73389"/>
    <w:rsid w:val="00B7707C"/>
    <w:rsid w:val="00B84A5B"/>
    <w:rsid w:val="00BA787A"/>
    <w:rsid w:val="00BF5695"/>
    <w:rsid w:val="00BF6B5D"/>
    <w:rsid w:val="00C20E72"/>
    <w:rsid w:val="00C27CD8"/>
    <w:rsid w:val="00C402F7"/>
    <w:rsid w:val="00C446AD"/>
    <w:rsid w:val="00C46EA3"/>
    <w:rsid w:val="00C618E2"/>
    <w:rsid w:val="00C64BD0"/>
    <w:rsid w:val="00C86AAF"/>
    <w:rsid w:val="00C876DD"/>
    <w:rsid w:val="00C95B2E"/>
    <w:rsid w:val="00CA0C1F"/>
    <w:rsid w:val="00CA5293"/>
    <w:rsid w:val="00CA7511"/>
    <w:rsid w:val="00CD0D17"/>
    <w:rsid w:val="00CD581E"/>
    <w:rsid w:val="00CE129E"/>
    <w:rsid w:val="00CF03FA"/>
    <w:rsid w:val="00CF3FF5"/>
    <w:rsid w:val="00CF57DD"/>
    <w:rsid w:val="00CF60D1"/>
    <w:rsid w:val="00D124A1"/>
    <w:rsid w:val="00D7766A"/>
    <w:rsid w:val="00D85E80"/>
    <w:rsid w:val="00D94114"/>
    <w:rsid w:val="00D95E71"/>
    <w:rsid w:val="00DC2EBA"/>
    <w:rsid w:val="00DE31CA"/>
    <w:rsid w:val="00E152FC"/>
    <w:rsid w:val="00E17BC8"/>
    <w:rsid w:val="00E3576D"/>
    <w:rsid w:val="00E4484A"/>
    <w:rsid w:val="00E51219"/>
    <w:rsid w:val="00E521BA"/>
    <w:rsid w:val="00E60D65"/>
    <w:rsid w:val="00E62FBC"/>
    <w:rsid w:val="00E717A5"/>
    <w:rsid w:val="00E76F61"/>
    <w:rsid w:val="00ED649D"/>
    <w:rsid w:val="00EE612B"/>
    <w:rsid w:val="00F23ABB"/>
    <w:rsid w:val="00F33A8F"/>
    <w:rsid w:val="00F35DEF"/>
    <w:rsid w:val="00F37AD2"/>
    <w:rsid w:val="00F55296"/>
    <w:rsid w:val="00F622EA"/>
    <w:rsid w:val="00F6772B"/>
    <w:rsid w:val="00F81FF3"/>
    <w:rsid w:val="00F85168"/>
    <w:rsid w:val="00FA35CB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26A21CDE"/>
  <w15:docId w15:val="{7E409347-3501-4A17-81BA-3E253CA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recolor-2-0">
    <w:name w:val="ms-rtethemeforecolor-2-0"/>
    <w:basedOn w:val="DefaultParagraphFont"/>
    <w:rsid w:val="004A0FBE"/>
  </w:style>
  <w:style w:type="character" w:styleId="Emphasis">
    <w:name w:val="Emphasis"/>
    <w:basedOn w:val="DefaultParagraphFont"/>
    <w:uiPriority w:val="20"/>
    <w:qFormat/>
    <w:rsid w:val="00AB5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3476</Characters>
  <Application>Microsoft Office Word</Application>
  <DocSecurity>0</DocSecurity>
  <Lines>111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Leedham, Stephanie</dc:creator>
  <cp:lastModifiedBy>Moxon, KarenL</cp:lastModifiedBy>
  <cp:revision>4</cp:revision>
  <cp:lastPrinted>2021-02-25T05:02:00Z</cp:lastPrinted>
  <dcterms:created xsi:type="dcterms:W3CDTF">2021-03-01T03:32:00Z</dcterms:created>
  <dcterms:modified xsi:type="dcterms:W3CDTF">2021-03-01T03:32:00Z</dcterms:modified>
</cp:coreProperties>
</file>