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33A10" w14:textId="77777777" w:rsidR="00C369CB" w:rsidRDefault="00C369CB" w:rsidP="00C369CB">
      <w:pPr>
        <w:rPr>
          <w:rFonts w:ascii="Arial" w:hAnsi="Arial" w:cs="Arial"/>
        </w:rPr>
      </w:pPr>
      <w:bookmarkStart w:id="0" w:name="_Toc44738651"/>
      <w:r>
        <w:rPr>
          <w:rFonts w:ascii="Arial" w:hAnsi="Arial" w:cs="Arial"/>
        </w:rPr>
        <w:t>Australian Capital Territory</w:t>
      </w:r>
    </w:p>
    <w:p w14:paraId="4D672EE2" w14:textId="77777777" w:rsidR="00C369CB" w:rsidRDefault="00C369CB" w:rsidP="00C369CB">
      <w:pPr>
        <w:pStyle w:val="Billname"/>
        <w:spacing w:before="700"/>
      </w:pPr>
      <w:r>
        <w:t>Work Health and Safety (Office of the Work Health and Safety Commissioner) Statement of Operational Intent 2021</w:t>
      </w:r>
    </w:p>
    <w:p w14:paraId="0A7E815A" w14:textId="3883CB6B" w:rsidR="00C369CB" w:rsidRPr="00746D25" w:rsidRDefault="00C369CB" w:rsidP="00C369CB">
      <w:pPr>
        <w:spacing w:before="340"/>
        <w:rPr>
          <w:rFonts w:ascii="Arial" w:hAnsi="Arial" w:cs="Arial"/>
          <w:b/>
          <w:bCs/>
          <w:sz w:val="24"/>
          <w:szCs w:val="24"/>
        </w:rPr>
      </w:pPr>
      <w:r w:rsidRPr="00746D25">
        <w:rPr>
          <w:rFonts w:ascii="Arial" w:hAnsi="Arial" w:cs="Arial"/>
          <w:b/>
          <w:bCs/>
          <w:sz w:val="24"/>
          <w:szCs w:val="24"/>
        </w:rPr>
        <w:t>Notifiable instrument NI202</w:t>
      </w:r>
      <w:r>
        <w:rPr>
          <w:rFonts w:ascii="Arial" w:hAnsi="Arial" w:cs="Arial"/>
          <w:b/>
          <w:bCs/>
          <w:sz w:val="24"/>
          <w:szCs w:val="24"/>
        </w:rPr>
        <w:t>1</w:t>
      </w:r>
      <w:bookmarkStart w:id="1" w:name="_Hlk50578185"/>
      <w:r w:rsidRPr="00746D25">
        <w:rPr>
          <w:rFonts w:ascii="Arial" w:hAnsi="Arial" w:cs="Arial"/>
          <w:b/>
          <w:bCs/>
          <w:sz w:val="24"/>
          <w:szCs w:val="24"/>
        </w:rPr>
        <w:t>–</w:t>
      </w:r>
      <w:bookmarkEnd w:id="1"/>
      <w:r w:rsidR="00D649C8">
        <w:rPr>
          <w:rFonts w:ascii="Arial" w:hAnsi="Arial" w:cs="Arial"/>
          <w:b/>
          <w:bCs/>
          <w:sz w:val="24"/>
          <w:szCs w:val="24"/>
        </w:rPr>
        <w:t>606</w:t>
      </w:r>
    </w:p>
    <w:p w14:paraId="323506BA" w14:textId="77777777" w:rsidR="00C369CB" w:rsidRPr="00C369CB" w:rsidRDefault="00C369CB" w:rsidP="00C369CB">
      <w:pPr>
        <w:pStyle w:val="madeunder"/>
        <w:spacing w:before="300" w:after="0"/>
        <w:rPr>
          <w:rFonts w:ascii="Arial" w:hAnsi="Arial" w:cs="Arial"/>
          <w:sz w:val="22"/>
          <w:szCs w:val="22"/>
        </w:rPr>
      </w:pPr>
      <w:r w:rsidRPr="00C369CB">
        <w:rPr>
          <w:rFonts w:ascii="Arial" w:hAnsi="Arial" w:cs="Arial"/>
          <w:sz w:val="22"/>
          <w:szCs w:val="22"/>
        </w:rPr>
        <w:t xml:space="preserve">made under the  </w:t>
      </w:r>
    </w:p>
    <w:p w14:paraId="374FEDC7" w14:textId="77777777" w:rsidR="00C369CB" w:rsidRPr="00C369CB" w:rsidRDefault="00C369CB" w:rsidP="00C369CB">
      <w:pPr>
        <w:pStyle w:val="CoverActName"/>
        <w:spacing w:before="320" w:after="0"/>
        <w:rPr>
          <w:rFonts w:cs="Arial"/>
          <w:sz w:val="22"/>
          <w:szCs w:val="22"/>
        </w:rPr>
      </w:pPr>
      <w:r w:rsidRPr="00C369CB">
        <w:rPr>
          <w:rFonts w:cs="Arial"/>
          <w:i/>
          <w:iCs/>
          <w:sz w:val="22"/>
          <w:szCs w:val="22"/>
        </w:rPr>
        <w:t>Work Health and Safety Act 2011</w:t>
      </w:r>
      <w:r w:rsidRPr="00C369CB">
        <w:rPr>
          <w:rFonts w:cs="Arial"/>
          <w:sz w:val="22"/>
          <w:szCs w:val="22"/>
        </w:rPr>
        <w:t>, Schedule 2, Division 2.2.5, Section 2.40 (Statement of operational intent)</w:t>
      </w:r>
    </w:p>
    <w:p w14:paraId="1061CDD4" w14:textId="77777777" w:rsidR="00C369CB" w:rsidRPr="00C369CB" w:rsidRDefault="00C369CB" w:rsidP="00C369CB">
      <w:pPr>
        <w:pStyle w:val="N-line3"/>
        <w:pBdr>
          <w:bottom w:val="none" w:sz="0" w:space="0" w:color="auto"/>
        </w:pBdr>
        <w:spacing w:before="60"/>
        <w:rPr>
          <w:rFonts w:ascii="Arial" w:hAnsi="Arial" w:cs="Arial"/>
          <w:sz w:val="22"/>
          <w:szCs w:val="22"/>
        </w:rPr>
      </w:pPr>
    </w:p>
    <w:p w14:paraId="1321EC06" w14:textId="77777777" w:rsidR="00C369CB" w:rsidRPr="00C369CB" w:rsidRDefault="00C369CB" w:rsidP="00C369CB">
      <w:pPr>
        <w:pStyle w:val="N-line3"/>
        <w:pBdr>
          <w:top w:val="single" w:sz="12" w:space="1" w:color="auto"/>
          <w:bottom w:val="none" w:sz="0" w:space="0" w:color="auto"/>
        </w:pBdr>
        <w:rPr>
          <w:rFonts w:ascii="Arial" w:hAnsi="Arial" w:cs="Arial"/>
          <w:sz w:val="22"/>
          <w:szCs w:val="22"/>
        </w:rPr>
      </w:pPr>
    </w:p>
    <w:p w14:paraId="176869E4" w14:textId="77777777" w:rsidR="00C369CB" w:rsidRPr="00C369CB" w:rsidRDefault="00C369CB" w:rsidP="00C369CB">
      <w:pPr>
        <w:spacing w:before="60" w:after="60"/>
        <w:ind w:left="720" w:hanging="720"/>
        <w:rPr>
          <w:rFonts w:ascii="Arial" w:hAnsi="Arial" w:cs="Arial"/>
          <w:b/>
          <w:bCs/>
          <w:sz w:val="22"/>
          <w:szCs w:val="22"/>
        </w:rPr>
      </w:pPr>
      <w:r w:rsidRPr="00C369CB">
        <w:rPr>
          <w:rFonts w:ascii="Arial" w:hAnsi="Arial" w:cs="Arial"/>
          <w:b/>
          <w:bCs/>
          <w:sz w:val="22"/>
          <w:szCs w:val="22"/>
        </w:rPr>
        <w:t>1</w:t>
      </w:r>
      <w:r w:rsidRPr="00C369CB">
        <w:rPr>
          <w:rFonts w:ascii="Arial" w:hAnsi="Arial" w:cs="Arial"/>
          <w:b/>
          <w:bCs/>
          <w:sz w:val="22"/>
          <w:szCs w:val="22"/>
        </w:rPr>
        <w:tab/>
        <w:t>Name of instrument</w:t>
      </w:r>
    </w:p>
    <w:p w14:paraId="1BB2FCCA" w14:textId="77777777" w:rsidR="00C369CB" w:rsidRPr="00C369CB" w:rsidRDefault="00C369CB" w:rsidP="00C369CB">
      <w:pPr>
        <w:spacing w:before="140"/>
        <w:ind w:left="720"/>
        <w:rPr>
          <w:rFonts w:ascii="Arial" w:hAnsi="Arial" w:cs="Arial"/>
          <w:sz w:val="22"/>
          <w:szCs w:val="22"/>
        </w:rPr>
      </w:pPr>
      <w:r w:rsidRPr="00C369CB">
        <w:rPr>
          <w:rFonts w:ascii="Arial" w:hAnsi="Arial" w:cs="Arial"/>
          <w:sz w:val="22"/>
          <w:szCs w:val="22"/>
        </w:rPr>
        <w:t xml:space="preserve">This instrument is the </w:t>
      </w:r>
      <w:r w:rsidRPr="00C369CB">
        <w:rPr>
          <w:rFonts w:ascii="Arial" w:hAnsi="Arial" w:cs="Arial"/>
          <w:i/>
          <w:iCs/>
          <w:sz w:val="22"/>
          <w:szCs w:val="22"/>
        </w:rPr>
        <w:t>Work Health and Safety (Office of the Work Health and Safety Commissioner) Statement of Operational Intent 2021</w:t>
      </w:r>
      <w:r w:rsidRPr="00C369CB">
        <w:rPr>
          <w:rFonts w:ascii="Arial" w:hAnsi="Arial" w:cs="Arial"/>
          <w:sz w:val="22"/>
          <w:szCs w:val="22"/>
        </w:rPr>
        <w:t>.</w:t>
      </w:r>
    </w:p>
    <w:p w14:paraId="3C988442" w14:textId="77777777" w:rsidR="00C369CB" w:rsidRPr="00C369CB" w:rsidRDefault="00C369CB" w:rsidP="00C369CB">
      <w:pPr>
        <w:spacing w:before="300"/>
        <w:ind w:left="720" w:hanging="720"/>
        <w:rPr>
          <w:rFonts w:ascii="Arial" w:hAnsi="Arial" w:cs="Arial"/>
          <w:b/>
          <w:bCs/>
          <w:sz w:val="22"/>
          <w:szCs w:val="22"/>
        </w:rPr>
      </w:pPr>
      <w:r w:rsidRPr="00C369CB">
        <w:rPr>
          <w:rFonts w:ascii="Arial" w:hAnsi="Arial" w:cs="Arial"/>
          <w:b/>
          <w:bCs/>
          <w:sz w:val="22"/>
          <w:szCs w:val="22"/>
        </w:rPr>
        <w:t>2</w:t>
      </w:r>
      <w:r w:rsidRPr="00C369CB">
        <w:rPr>
          <w:rFonts w:ascii="Arial" w:hAnsi="Arial" w:cs="Arial"/>
          <w:b/>
          <w:bCs/>
          <w:sz w:val="22"/>
          <w:szCs w:val="22"/>
        </w:rPr>
        <w:tab/>
        <w:t xml:space="preserve">Commencement </w:t>
      </w:r>
    </w:p>
    <w:p w14:paraId="4216BEA1" w14:textId="77777777" w:rsidR="00C369CB" w:rsidRPr="00C369CB" w:rsidRDefault="00C369CB" w:rsidP="00C369CB">
      <w:pPr>
        <w:spacing w:before="140"/>
        <w:ind w:left="720"/>
        <w:rPr>
          <w:rFonts w:ascii="Arial" w:hAnsi="Arial" w:cs="Arial"/>
          <w:sz w:val="22"/>
          <w:szCs w:val="22"/>
        </w:rPr>
      </w:pPr>
      <w:r w:rsidRPr="00C369CB">
        <w:rPr>
          <w:rFonts w:ascii="Arial" w:hAnsi="Arial" w:cs="Arial"/>
          <w:sz w:val="22"/>
          <w:szCs w:val="22"/>
        </w:rPr>
        <w:t xml:space="preserve">This instrument commences on the day after notification. </w:t>
      </w:r>
    </w:p>
    <w:p w14:paraId="7D9BFA7B" w14:textId="77777777" w:rsidR="00C369CB" w:rsidRPr="00C369CB" w:rsidRDefault="00C369CB" w:rsidP="00C369CB">
      <w:pPr>
        <w:spacing w:before="300"/>
        <w:ind w:left="720" w:hanging="720"/>
        <w:rPr>
          <w:rFonts w:ascii="Arial" w:hAnsi="Arial" w:cs="Arial"/>
          <w:b/>
          <w:bCs/>
          <w:sz w:val="22"/>
          <w:szCs w:val="22"/>
        </w:rPr>
      </w:pPr>
      <w:r w:rsidRPr="00C369CB">
        <w:rPr>
          <w:rFonts w:ascii="Arial" w:hAnsi="Arial" w:cs="Arial"/>
          <w:b/>
          <w:bCs/>
          <w:sz w:val="22"/>
          <w:szCs w:val="22"/>
        </w:rPr>
        <w:t>3</w:t>
      </w:r>
      <w:r w:rsidRPr="00C369CB">
        <w:rPr>
          <w:rFonts w:ascii="Arial" w:hAnsi="Arial" w:cs="Arial"/>
          <w:b/>
          <w:bCs/>
          <w:sz w:val="22"/>
          <w:szCs w:val="22"/>
        </w:rPr>
        <w:tab/>
        <w:t>Approval – Schedule 2, section 2.40 (2)</w:t>
      </w:r>
    </w:p>
    <w:p w14:paraId="63E53246" w14:textId="77777777" w:rsidR="00C369CB" w:rsidRPr="00C369CB" w:rsidRDefault="00C369CB" w:rsidP="00C369CB">
      <w:pPr>
        <w:spacing w:before="140"/>
        <w:ind w:left="720"/>
        <w:rPr>
          <w:rFonts w:ascii="Arial" w:hAnsi="Arial" w:cs="Arial"/>
          <w:sz w:val="22"/>
          <w:szCs w:val="22"/>
        </w:rPr>
      </w:pPr>
      <w:r w:rsidRPr="00C369CB">
        <w:rPr>
          <w:rFonts w:ascii="Arial" w:hAnsi="Arial" w:cs="Arial"/>
          <w:sz w:val="22"/>
          <w:szCs w:val="22"/>
        </w:rPr>
        <w:t>I approve the attached Statement of Operational Intent for the Office of the Work Health and Safety Commissioner.</w:t>
      </w:r>
    </w:p>
    <w:p w14:paraId="6AC68F5A" w14:textId="77777777" w:rsidR="00C369CB" w:rsidRPr="00C369CB" w:rsidRDefault="00C369CB" w:rsidP="00C369CB">
      <w:pPr>
        <w:spacing w:before="300"/>
        <w:ind w:left="720" w:hanging="720"/>
        <w:rPr>
          <w:rFonts w:ascii="Arial" w:hAnsi="Arial" w:cs="Arial"/>
          <w:b/>
          <w:bCs/>
          <w:sz w:val="22"/>
          <w:szCs w:val="22"/>
        </w:rPr>
      </w:pPr>
      <w:r w:rsidRPr="00C369CB">
        <w:rPr>
          <w:rFonts w:ascii="Arial" w:hAnsi="Arial" w:cs="Arial"/>
          <w:b/>
          <w:bCs/>
          <w:sz w:val="22"/>
          <w:szCs w:val="22"/>
        </w:rPr>
        <w:t>4</w:t>
      </w:r>
      <w:r w:rsidRPr="00C369CB">
        <w:rPr>
          <w:rFonts w:ascii="Arial" w:hAnsi="Arial" w:cs="Arial"/>
          <w:b/>
          <w:bCs/>
          <w:sz w:val="22"/>
          <w:szCs w:val="22"/>
        </w:rPr>
        <w:tab/>
        <w:t xml:space="preserve">Revocation </w:t>
      </w:r>
    </w:p>
    <w:p w14:paraId="5E766D6C" w14:textId="77777777" w:rsidR="00C369CB" w:rsidRPr="00C369CB" w:rsidRDefault="00C369CB" w:rsidP="00C369CB">
      <w:pPr>
        <w:spacing w:before="140"/>
        <w:ind w:left="720"/>
        <w:rPr>
          <w:rFonts w:ascii="Arial" w:hAnsi="Arial" w:cs="Arial"/>
          <w:sz w:val="22"/>
          <w:szCs w:val="22"/>
        </w:rPr>
      </w:pPr>
      <w:r w:rsidRPr="00C369CB">
        <w:rPr>
          <w:rFonts w:ascii="Arial" w:hAnsi="Arial" w:cs="Arial"/>
          <w:sz w:val="22"/>
          <w:szCs w:val="22"/>
        </w:rPr>
        <w:t xml:space="preserve">This instrument revokes the </w:t>
      </w:r>
      <w:r w:rsidRPr="00C369CB">
        <w:rPr>
          <w:rFonts w:ascii="Arial" w:hAnsi="Arial" w:cs="Arial"/>
          <w:i/>
          <w:iCs/>
          <w:sz w:val="22"/>
          <w:szCs w:val="22"/>
        </w:rPr>
        <w:t>Work Health and Safety (Office of the Work Health and Safety Commissioner) Statement of Operational Intent 2020</w:t>
      </w:r>
      <w:r w:rsidRPr="00C369CB">
        <w:rPr>
          <w:rFonts w:ascii="Arial" w:hAnsi="Arial" w:cs="Arial"/>
          <w:sz w:val="22"/>
          <w:szCs w:val="22"/>
        </w:rPr>
        <w:t xml:space="preserve"> [NI2020-606]. </w:t>
      </w:r>
    </w:p>
    <w:p w14:paraId="0050C0A6" w14:textId="77777777" w:rsidR="00C369CB" w:rsidRPr="00C369CB" w:rsidRDefault="00C369CB" w:rsidP="00C369CB">
      <w:pPr>
        <w:spacing w:before="140"/>
        <w:rPr>
          <w:rFonts w:ascii="Arial" w:hAnsi="Arial" w:cs="Arial"/>
          <w:sz w:val="22"/>
          <w:szCs w:val="22"/>
        </w:rPr>
      </w:pPr>
    </w:p>
    <w:p w14:paraId="34FB4FCF" w14:textId="77777777" w:rsidR="00C369CB" w:rsidRPr="00C369CB" w:rsidRDefault="00C369CB" w:rsidP="00C369CB">
      <w:pPr>
        <w:tabs>
          <w:tab w:val="left" w:pos="4320"/>
        </w:tabs>
        <w:spacing w:before="720"/>
        <w:rPr>
          <w:rFonts w:ascii="Arial" w:hAnsi="Arial" w:cs="Arial"/>
          <w:sz w:val="22"/>
          <w:szCs w:val="22"/>
        </w:rPr>
      </w:pPr>
      <w:r w:rsidRPr="00C369CB">
        <w:rPr>
          <w:rFonts w:ascii="Arial" w:hAnsi="Arial" w:cs="Arial"/>
          <w:sz w:val="22"/>
          <w:szCs w:val="22"/>
        </w:rPr>
        <w:t>Mick Gentleman</w:t>
      </w:r>
    </w:p>
    <w:p w14:paraId="28319830" w14:textId="77777777" w:rsidR="00C369CB" w:rsidRPr="00C369CB" w:rsidRDefault="00C369CB" w:rsidP="00C369CB">
      <w:pPr>
        <w:tabs>
          <w:tab w:val="left" w:pos="4320"/>
        </w:tabs>
        <w:rPr>
          <w:rFonts w:ascii="Arial" w:hAnsi="Arial" w:cs="Arial"/>
          <w:sz w:val="22"/>
          <w:szCs w:val="22"/>
        </w:rPr>
      </w:pPr>
      <w:r w:rsidRPr="00C369CB">
        <w:rPr>
          <w:rFonts w:ascii="Arial" w:hAnsi="Arial" w:cs="Arial"/>
          <w:sz w:val="22"/>
          <w:szCs w:val="22"/>
        </w:rPr>
        <w:t xml:space="preserve">Minister for </w:t>
      </w:r>
      <w:bookmarkEnd w:id="0"/>
      <w:r w:rsidRPr="00C369CB">
        <w:rPr>
          <w:rFonts w:ascii="Arial" w:hAnsi="Arial" w:cs="Arial"/>
          <w:sz w:val="22"/>
          <w:szCs w:val="22"/>
        </w:rPr>
        <w:t>Industrial Relations and Workplace Safety</w:t>
      </w:r>
    </w:p>
    <w:p w14:paraId="11A81F17" w14:textId="741A865E" w:rsidR="00C369CB" w:rsidRPr="00C369CB" w:rsidRDefault="00E84F34" w:rsidP="00E84F34">
      <w:pPr>
        <w:tabs>
          <w:tab w:val="left" w:pos="4320"/>
        </w:tabs>
        <w:rPr>
          <w:rFonts w:ascii="Arial" w:hAnsi="Arial" w:cs="Arial"/>
          <w:sz w:val="22"/>
          <w:szCs w:val="22"/>
        </w:rPr>
      </w:pPr>
      <w:r>
        <w:rPr>
          <w:rFonts w:ascii="Arial" w:hAnsi="Arial" w:cs="Arial"/>
          <w:sz w:val="22"/>
          <w:szCs w:val="22"/>
        </w:rPr>
        <w:t>17 September</w:t>
      </w:r>
      <w:r w:rsidR="00C369CB" w:rsidRPr="00C369CB">
        <w:rPr>
          <w:rFonts w:ascii="Arial" w:hAnsi="Arial" w:cs="Arial"/>
          <w:sz w:val="22"/>
          <w:szCs w:val="22"/>
        </w:rPr>
        <w:t xml:space="preserve"> 2021</w:t>
      </w:r>
    </w:p>
    <w:p w14:paraId="53D98194" w14:textId="3F0AAA36" w:rsidR="000B290F" w:rsidRDefault="000B290F">
      <w:pPr>
        <w:rPr>
          <w:rFonts w:ascii="Arial" w:hAnsi="Arial" w:cs="Arial"/>
        </w:rPr>
      </w:pPr>
    </w:p>
    <w:p w14:paraId="1730B209" w14:textId="422AC3A2" w:rsidR="00B3303C" w:rsidRDefault="00B3303C">
      <w:pPr>
        <w:rPr>
          <w:rFonts w:ascii="Arial" w:hAnsi="Arial" w:cs="Arial"/>
        </w:rPr>
      </w:pPr>
    </w:p>
    <w:p w14:paraId="7D9FF8D0" w14:textId="7D193108" w:rsidR="00B3303C" w:rsidRDefault="00B3303C">
      <w:pPr>
        <w:rPr>
          <w:rFonts w:ascii="Arial" w:hAnsi="Arial" w:cs="Arial"/>
        </w:rPr>
      </w:pPr>
    </w:p>
    <w:p w14:paraId="5DF0B18E" w14:textId="77777777" w:rsidR="00D55709" w:rsidRDefault="00D55709">
      <w:pPr>
        <w:rPr>
          <w:rFonts w:ascii="Arial" w:hAnsi="Arial" w:cs="Arial"/>
        </w:rPr>
        <w:sectPr w:rsidR="00D55709" w:rsidSect="00D5570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p w14:paraId="44EBA57F" w14:textId="3BF850A4" w:rsidR="00B3303C" w:rsidRDefault="002A47AD" w:rsidP="002A47AD">
      <w:pPr>
        <w:spacing w:before="0" w:after="200" w:line="276" w:lineRule="auto"/>
        <w:ind w:right="-1039"/>
        <w:jc w:val="right"/>
        <w:rPr>
          <w:rFonts w:ascii="Arial" w:hAnsi="Arial" w:cs="Arial"/>
        </w:rPr>
      </w:pPr>
      <w:r w:rsidRPr="00CC2761">
        <w:rPr>
          <w:noProof/>
        </w:rPr>
        <w:lastRenderedPageBreak/>
        <w:drawing>
          <wp:anchor distT="0" distB="0" distL="114300" distR="114300" simplePos="0" relativeHeight="251659264" behindDoc="0" locked="0" layoutInCell="1" allowOverlap="1" wp14:anchorId="7A309818" wp14:editId="21BA8304">
            <wp:simplePos x="0" y="0"/>
            <wp:positionH relativeFrom="page">
              <wp:posOffset>-76200</wp:posOffset>
            </wp:positionH>
            <wp:positionV relativeFrom="page">
              <wp:posOffset>54610</wp:posOffset>
            </wp:positionV>
            <wp:extent cx="2449195" cy="104330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placeACT_cover_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49195" cy="1043305"/>
                    </a:xfrm>
                    <a:prstGeom prst="rect">
                      <a:avLst/>
                    </a:prstGeom>
                  </pic:spPr>
                </pic:pic>
              </a:graphicData>
            </a:graphic>
            <wp14:sizeRelH relativeFrom="margin">
              <wp14:pctWidth>0</wp14:pctWidth>
            </wp14:sizeRelH>
            <wp14:sizeRelV relativeFrom="margin">
              <wp14:pctHeight>0</wp14:pctHeight>
            </wp14:sizeRelV>
          </wp:anchor>
        </w:drawing>
      </w:r>
      <w:r w:rsidRPr="00CC2761">
        <w:rPr>
          <w:noProof/>
        </w:rPr>
        <w:drawing>
          <wp:anchor distT="0" distB="0" distL="114300" distR="114300" simplePos="0" relativeHeight="251661312" behindDoc="0" locked="0" layoutInCell="1" allowOverlap="1" wp14:anchorId="46A68553" wp14:editId="04B57424">
            <wp:simplePos x="0" y="0"/>
            <wp:positionH relativeFrom="column">
              <wp:posOffset>-1089660</wp:posOffset>
            </wp:positionH>
            <wp:positionV relativeFrom="paragraph">
              <wp:posOffset>180340</wp:posOffset>
            </wp:positionV>
            <wp:extent cx="1534160" cy="1534160"/>
            <wp:effectExtent l="0" t="0" r="8890" b="8890"/>
            <wp:wrapNone/>
            <wp:docPr id="53" name="Picture 5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kSafeACT Plus_Green Outline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34160" cy="153416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rPr>
        <w:drawing>
          <wp:inline distT="0" distB="0" distL="0" distR="0" wp14:anchorId="15EF24CA" wp14:editId="0645B9DF">
            <wp:extent cx="1786255" cy="640080"/>
            <wp:effectExtent l="0" t="0" r="4445"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6255" cy="640080"/>
                    </a:xfrm>
                    <a:prstGeom prst="rect">
                      <a:avLst/>
                    </a:prstGeom>
                    <a:noFill/>
                  </pic:spPr>
                </pic:pic>
              </a:graphicData>
            </a:graphic>
          </wp:inline>
        </w:drawing>
      </w:r>
    </w:p>
    <w:p w14:paraId="64CB726B" w14:textId="5A1BD219" w:rsidR="00B3303C" w:rsidRDefault="00B3303C">
      <w:pPr>
        <w:rPr>
          <w:rFonts w:ascii="Arial" w:hAnsi="Arial" w:cs="Arial"/>
        </w:rPr>
      </w:pPr>
    </w:p>
    <w:p w14:paraId="488BDB94" w14:textId="387399E7" w:rsidR="00BC397B" w:rsidRPr="00BC397B" w:rsidRDefault="00BC397B" w:rsidP="00BC397B">
      <w:pPr>
        <w:rPr>
          <w:rFonts w:ascii="Arial" w:hAnsi="Arial" w:cs="Arial"/>
        </w:rPr>
      </w:pPr>
    </w:p>
    <w:p w14:paraId="3D80CD3E" w14:textId="114E8623" w:rsidR="00BC397B" w:rsidRDefault="00BC397B" w:rsidP="00BC397B">
      <w:pPr>
        <w:rPr>
          <w:rFonts w:ascii="Arial" w:hAnsi="Arial" w:cs="Arial"/>
        </w:rPr>
      </w:pPr>
    </w:p>
    <w:p w14:paraId="0B176658" w14:textId="77777777" w:rsidR="00BC397B" w:rsidRDefault="00BC397B" w:rsidP="00BC397B">
      <w:pPr>
        <w:pStyle w:val="AddressText"/>
        <w:rPr>
          <w:sz w:val="22"/>
          <w:szCs w:val="22"/>
        </w:rPr>
      </w:pPr>
    </w:p>
    <w:p w14:paraId="26DA89CA" w14:textId="7EB89ACB" w:rsidR="00BC397B" w:rsidRPr="00E60533" w:rsidRDefault="00BC397B" w:rsidP="00BC397B">
      <w:pPr>
        <w:pStyle w:val="AddressText"/>
        <w:rPr>
          <w:rFonts w:ascii="Arial" w:hAnsi="Arial" w:cs="Arial"/>
          <w:sz w:val="22"/>
          <w:szCs w:val="22"/>
        </w:rPr>
      </w:pPr>
      <w:r w:rsidRPr="00E60533">
        <w:rPr>
          <w:rFonts w:ascii="Arial" w:hAnsi="Arial" w:cs="Arial"/>
          <w:sz w:val="22"/>
          <w:szCs w:val="22"/>
        </w:rPr>
        <w:t>Mick Gentleman MLA</w:t>
      </w:r>
    </w:p>
    <w:p w14:paraId="28E4D790" w14:textId="77777777" w:rsidR="00BC397B" w:rsidRPr="00E60533" w:rsidRDefault="00BC397B" w:rsidP="00BC397B">
      <w:pPr>
        <w:pStyle w:val="AddressText"/>
        <w:rPr>
          <w:rFonts w:ascii="Arial" w:hAnsi="Arial" w:cs="Arial"/>
          <w:sz w:val="22"/>
          <w:szCs w:val="22"/>
        </w:rPr>
      </w:pPr>
      <w:r w:rsidRPr="00E60533">
        <w:rPr>
          <w:rFonts w:ascii="Arial" w:hAnsi="Arial" w:cs="Arial"/>
          <w:sz w:val="22"/>
          <w:szCs w:val="22"/>
        </w:rPr>
        <w:t>Minister for Industrial Relations and Workplace Safety</w:t>
      </w:r>
    </w:p>
    <w:p w14:paraId="6E2E663C" w14:textId="77777777" w:rsidR="00BC397B" w:rsidRPr="00E60533" w:rsidRDefault="00BC397B" w:rsidP="00BC397B">
      <w:pPr>
        <w:pStyle w:val="AddressText"/>
        <w:rPr>
          <w:rFonts w:ascii="Arial" w:hAnsi="Arial" w:cs="Arial"/>
          <w:sz w:val="22"/>
          <w:szCs w:val="22"/>
        </w:rPr>
      </w:pPr>
    </w:p>
    <w:p w14:paraId="0514EB1C" w14:textId="7D415DDF" w:rsidR="00BC397B" w:rsidRPr="00E60533" w:rsidRDefault="00BC397B" w:rsidP="00BC397B">
      <w:pPr>
        <w:pStyle w:val="AddressText"/>
        <w:rPr>
          <w:rFonts w:ascii="Arial" w:hAnsi="Arial" w:cs="Arial"/>
          <w:sz w:val="22"/>
          <w:szCs w:val="22"/>
        </w:rPr>
      </w:pPr>
      <w:r w:rsidRPr="00E60533">
        <w:rPr>
          <w:rFonts w:ascii="Arial" w:hAnsi="Arial" w:cs="Arial"/>
          <w:sz w:val="22"/>
          <w:szCs w:val="22"/>
        </w:rPr>
        <w:t xml:space="preserve">Email: </w:t>
      </w:r>
      <w:hyperlink r:id="rId17" w:history="1">
        <w:r w:rsidRPr="00E60533">
          <w:rPr>
            <w:rStyle w:val="Hyperlink"/>
            <w:rFonts w:ascii="Arial" w:hAnsi="Arial" w:cs="Arial"/>
            <w:sz w:val="22"/>
            <w:szCs w:val="22"/>
          </w:rPr>
          <w:t>Mick.Gentleman@act.gov.au</w:t>
        </w:r>
      </w:hyperlink>
      <w:r w:rsidRPr="00E60533">
        <w:rPr>
          <w:rFonts w:ascii="Arial" w:hAnsi="Arial" w:cs="Arial"/>
          <w:sz w:val="22"/>
          <w:szCs w:val="22"/>
        </w:rPr>
        <w:t xml:space="preserve"> </w:t>
      </w:r>
    </w:p>
    <w:p w14:paraId="0E8C4673" w14:textId="77777777" w:rsidR="00BC397B" w:rsidRPr="00E60533" w:rsidRDefault="00BC397B" w:rsidP="00BC397B">
      <w:pPr>
        <w:jc w:val="center"/>
        <w:rPr>
          <w:rFonts w:ascii="Arial" w:hAnsi="Arial" w:cs="Arial"/>
          <w:sz w:val="22"/>
          <w:szCs w:val="22"/>
        </w:rPr>
      </w:pPr>
    </w:p>
    <w:p w14:paraId="367762E0" w14:textId="5BA41E03" w:rsidR="00BC397B" w:rsidRPr="00E60533" w:rsidRDefault="00BB2070" w:rsidP="00BC397B">
      <w:pPr>
        <w:rPr>
          <w:rFonts w:ascii="Arial" w:hAnsi="Arial" w:cs="Arial"/>
          <w:sz w:val="22"/>
          <w:szCs w:val="22"/>
        </w:rPr>
      </w:pPr>
      <w:r>
        <w:rPr>
          <w:rFonts w:ascii="Arial" w:hAnsi="Arial" w:cs="Arial"/>
          <w:noProof/>
          <w:sz w:val="22"/>
          <w:szCs w:val="22"/>
        </w:rPr>
        <w:t>6/09/2021</w:t>
      </w:r>
    </w:p>
    <w:p w14:paraId="5D54E8E6" w14:textId="77777777" w:rsidR="00605BB6" w:rsidRDefault="00605BB6" w:rsidP="00E60533">
      <w:pPr>
        <w:rPr>
          <w:rFonts w:ascii="Arial" w:hAnsi="Arial" w:cs="Arial"/>
          <w:bCs/>
          <w:sz w:val="22"/>
          <w:szCs w:val="22"/>
        </w:rPr>
      </w:pPr>
    </w:p>
    <w:p w14:paraId="51542B0A" w14:textId="75190EAD" w:rsidR="00E60533" w:rsidRPr="00E60533" w:rsidRDefault="00E60533" w:rsidP="00E60533">
      <w:pPr>
        <w:rPr>
          <w:rFonts w:ascii="Arial" w:hAnsi="Arial" w:cs="Arial"/>
          <w:bCs/>
          <w:sz w:val="22"/>
          <w:szCs w:val="22"/>
        </w:rPr>
      </w:pPr>
      <w:r w:rsidRPr="00E60533">
        <w:rPr>
          <w:rFonts w:ascii="Arial" w:hAnsi="Arial" w:cs="Arial"/>
          <w:bCs/>
          <w:sz w:val="22"/>
          <w:szCs w:val="22"/>
        </w:rPr>
        <w:t>Dear Minister Gentleman</w:t>
      </w:r>
    </w:p>
    <w:p w14:paraId="6AD5026D" w14:textId="77777777" w:rsidR="00BB5B45" w:rsidRDefault="00E60533" w:rsidP="00E60533">
      <w:pPr>
        <w:rPr>
          <w:rFonts w:ascii="Arial" w:hAnsi="Arial" w:cs="Arial"/>
          <w:bCs/>
          <w:sz w:val="22"/>
          <w:szCs w:val="22"/>
        </w:rPr>
      </w:pPr>
      <w:r w:rsidRPr="00E60533">
        <w:rPr>
          <w:rFonts w:ascii="Arial" w:hAnsi="Arial" w:cs="Arial"/>
          <w:bCs/>
          <w:sz w:val="22"/>
          <w:szCs w:val="22"/>
        </w:rPr>
        <w:t>Thank you for your letter dated 27 July 2021</w:t>
      </w:r>
      <w:r w:rsidR="00BE7A8F">
        <w:rPr>
          <w:rFonts w:ascii="Arial" w:hAnsi="Arial" w:cs="Arial"/>
          <w:bCs/>
          <w:sz w:val="22"/>
          <w:szCs w:val="22"/>
        </w:rPr>
        <w:t>.</w:t>
      </w:r>
      <w:r w:rsidRPr="00E60533">
        <w:rPr>
          <w:rFonts w:ascii="Arial" w:hAnsi="Arial" w:cs="Arial"/>
          <w:bCs/>
          <w:sz w:val="22"/>
          <w:szCs w:val="22"/>
        </w:rPr>
        <w:t xml:space="preserve"> </w:t>
      </w:r>
      <w:r w:rsidR="00BE7A8F">
        <w:rPr>
          <w:rFonts w:ascii="Arial" w:hAnsi="Arial" w:cs="Arial"/>
          <w:bCs/>
          <w:sz w:val="22"/>
          <w:szCs w:val="22"/>
        </w:rPr>
        <w:t xml:space="preserve"> </w:t>
      </w:r>
      <w:r w:rsidRPr="00E60533">
        <w:rPr>
          <w:rFonts w:ascii="Arial" w:hAnsi="Arial" w:cs="Arial"/>
          <w:bCs/>
          <w:sz w:val="22"/>
          <w:szCs w:val="22"/>
        </w:rPr>
        <w:t xml:space="preserve">I acknowledge receipt of the </w:t>
      </w:r>
      <w:r w:rsidR="00BE7A8F">
        <w:rPr>
          <w:rFonts w:ascii="Arial" w:hAnsi="Arial" w:cs="Arial"/>
          <w:bCs/>
          <w:sz w:val="22"/>
          <w:szCs w:val="22"/>
        </w:rPr>
        <w:t>Ministerial</w:t>
      </w:r>
      <w:r w:rsidRPr="00E60533">
        <w:rPr>
          <w:rFonts w:ascii="Arial" w:hAnsi="Arial" w:cs="Arial"/>
          <w:bCs/>
          <w:sz w:val="22"/>
          <w:szCs w:val="22"/>
        </w:rPr>
        <w:t xml:space="preserve"> Statement of Expectations </w:t>
      </w:r>
      <w:r w:rsidR="009A45E7">
        <w:rPr>
          <w:rFonts w:ascii="Arial" w:hAnsi="Arial" w:cs="Arial"/>
          <w:bCs/>
          <w:sz w:val="22"/>
          <w:szCs w:val="22"/>
        </w:rPr>
        <w:t xml:space="preserve">in which you outline </w:t>
      </w:r>
      <w:r w:rsidRPr="00E60533">
        <w:rPr>
          <w:rFonts w:ascii="Arial" w:hAnsi="Arial" w:cs="Arial"/>
          <w:bCs/>
          <w:sz w:val="22"/>
          <w:szCs w:val="22"/>
        </w:rPr>
        <w:t xml:space="preserve">the priorities, activities and initiatives expected of WorkSafe ACT over the next 12 months. As prescribed under Schedule 2, section 2.40 of the </w:t>
      </w:r>
      <w:r w:rsidRPr="00E60533">
        <w:rPr>
          <w:rFonts w:ascii="Arial" w:hAnsi="Arial" w:cs="Arial"/>
          <w:bCs/>
          <w:i/>
          <w:iCs/>
          <w:sz w:val="22"/>
          <w:szCs w:val="22"/>
        </w:rPr>
        <w:t>Work Health and Safety Act 2011</w:t>
      </w:r>
      <w:r w:rsidRPr="00E60533">
        <w:rPr>
          <w:rFonts w:ascii="Arial" w:hAnsi="Arial" w:cs="Arial"/>
          <w:bCs/>
          <w:sz w:val="22"/>
          <w:szCs w:val="22"/>
        </w:rPr>
        <w:t>, </w:t>
      </w:r>
      <w:r w:rsidR="00BE7A8F">
        <w:rPr>
          <w:rFonts w:ascii="Arial" w:hAnsi="Arial" w:cs="Arial"/>
          <w:bCs/>
          <w:sz w:val="22"/>
          <w:szCs w:val="22"/>
        </w:rPr>
        <w:t xml:space="preserve">this </w:t>
      </w:r>
      <w:r w:rsidRPr="00E60533">
        <w:rPr>
          <w:rFonts w:ascii="Arial" w:hAnsi="Arial" w:cs="Arial"/>
          <w:bCs/>
          <w:sz w:val="22"/>
          <w:szCs w:val="22"/>
        </w:rPr>
        <w:t xml:space="preserve">response is </w:t>
      </w:r>
      <w:r w:rsidR="00BB5B45" w:rsidRPr="00E60533">
        <w:rPr>
          <w:rFonts w:ascii="Arial" w:hAnsi="Arial" w:cs="Arial"/>
          <w:bCs/>
          <w:sz w:val="22"/>
          <w:szCs w:val="22"/>
        </w:rPr>
        <w:t>the Office of the Work Health and Safety Commissioner</w:t>
      </w:r>
      <w:r w:rsidR="00BB5B45">
        <w:rPr>
          <w:rFonts w:ascii="Arial" w:hAnsi="Arial" w:cs="Arial"/>
          <w:bCs/>
          <w:sz w:val="22"/>
          <w:szCs w:val="22"/>
        </w:rPr>
        <w:t>’s</w:t>
      </w:r>
      <w:r w:rsidR="00BB5B45" w:rsidRPr="00E60533">
        <w:rPr>
          <w:rFonts w:ascii="Arial" w:hAnsi="Arial" w:cs="Arial"/>
          <w:bCs/>
          <w:sz w:val="22"/>
          <w:szCs w:val="22"/>
        </w:rPr>
        <w:t xml:space="preserve"> (WorkSafe ACT) </w:t>
      </w:r>
      <w:r w:rsidRPr="00E60533">
        <w:rPr>
          <w:rFonts w:ascii="Arial" w:hAnsi="Arial" w:cs="Arial"/>
          <w:bCs/>
          <w:sz w:val="22"/>
          <w:szCs w:val="22"/>
        </w:rPr>
        <w:t>Statement of Operational Intent 2021.</w:t>
      </w:r>
      <w:r w:rsidR="00981505">
        <w:rPr>
          <w:rFonts w:ascii="Arial" w:hAnsi="Arial" w:cs="Arial"/>
          <w:bCs/>
          <w:sz w:val="22"/>
          <w:szCs w:val="22"/>
        </w:rPr>
        <w:t xml:space="preserve"> </w:t>
      </w:r>
    </w:p>
    <w:p w14:paraId="39AD6E2B" w14:textId="4FBB2E72" w:rsidR="009A45E7" w:rsidRPr="00BB5B45" w:rsidRDefault="00981505" w:rsidP="00E60533">
      <w:pPr>
        <w:rPr>
          <w:rStyle w:val="Hyperlink"/>
          <w:rFonts w:ascii="Arial" w:hAnsi="Arial" w:cs="Arial"/>
          <w:bCs/>
          <w:color w:val="auto"/>
          <w:sz w:val="22"/>
          <w:szCs w:val="22"/>
        </w:rPr>
      </w:pPr>
      <w:r>
        <w:rPr>
          <w:rFonts w:ascii="Arial" w:hAnsi="Arial" w:cs="Arial"/>
          <w:bCs/>
          <w:sz w:val="22"/>
          <w:szCs w:val="22"/>
        </w:rPr>
        <w:t>I recognise that I am preparing this response as the Territory again navigates through uncertain times</w:t>
      </w:r>
      <w:r w:rsidR="00BB5B45">
        <w:rPr>
          <w:rFonts w:ascii="Arial" w:hAnsi="Arial" w:cs="Arial"/>
          <w:bCs/>
          <w:sz w:val="22"/>
          <w:szCs w:val="22"/>
        </w:rPr>
        <w:t xml:space="preserve"> and it represents WorkSafe ACT’s planned work program of priorities, activities and initiatives</w:t>
      </w:r>
      <w:r>
        <w:rPr>
          <w:rFonts w:ascii="Arial" w:hAnsi="Arial" w:cs="Arial"/>
          <w:bCs/>
          <w:sz w:val="22"/>
          <w:szCs w:val="22"/>
        </w:rPr>
        <w:t>.</w:t>
      </w:r>
      <w:r w:rsidR="00BB5B45">
        <w:rPr>
          <w:rFonts w:ascii="Arial" w:hAnsi="Arial" w:cs="Arial"/>
          <w:bCs/>
          <w:sz w:val="22"/>
          <w:szCs w:val="22"/>
        </w:rPr>
        <w:t xml:space="preserve">  Above all, a</w:t>
      </w:r>
      <w:r w:rsidR="00BB5B45" w:rsidRPr="00E60533">
        <w:rPr>
          <w:rFonts w:ascii="Arial" w:hAnsi="Arial" w:cs="Arial"/>
          <w:bCs/>
          <w:sz w:val="22"/>
          <w:szCs w:val="22"/>
        </w:rPr>
        <w:t>s the regulator for work health and safety</w:t>
      </w:r>
      <w:r w:rsidR="00BB5B45">
        <w:rPr>
          <w:rFonts w:ascii="Arial" w:hAnsi="Arial" w:cs="Arial"/>
          <w:bCs/>
          <w:sz w:val="22"/>
          <w:szCs w:val="22"/>
        </w:rPr>
        <w:t xml:space="preserve"> (WHS)</w:t>
      </w:r>
      <w:r w:rsidR="00BB5B45" w:rsidRPr="00E60533">
        <w:rPr>
          <w:rFonts w:ascii="Arial" w:hAnsi="Arial" w:cs="Arial"/>
          <w:bCs/>
          <w:sz w:val="22"/>
          <w:szCs w:val="22"/>
        </w:rPr>
        <w:t>, workers’ compensation and labour hire in the Territory, I confirm the continued commitment to ensuring the health, safety and wellbeing of all workers in the ACT</w:t>
      </w:r>
      <w:r w:rsidR="00BB5B45">
        <w:rPr>
          <w:rFonts w:ascii="Arial" w:hAnsi="Arial" w:cs="Arial"/>
          <w:bCs/>
          <w:sz w:val="22"/>
          <w:szCs w:val="22"/>
        </w:rPr>
        <w:t xml:space="preserve">.  This </w:t>
      </w:r>
      <w:r w:rsidR="00E60533" w:rsidRPr="00E60533">
        <w:rPr>
          <w:rFonts w:ascii="Arial" w:hAnsi="Arial" w:cs="Arial"/>
          <w:bCs/>
          <w:sz w:val="22"/>
          <w:szCs w:val="22"/>
        </w:rPr>
        <w:t xml:space="preserve">commitment is </w:t>
      </w:r>
      <w:r w:rsidR="00605BB6">
        <w:rPr>
          <w:rFonts w:ascii="Arial" w:hAnsi="Arial" w:cs="Arial"/>
          <w:bCs/>
          <w:sz w:val="22"/>
          <w:szCs w:val="22"/>
        </w:rPr>
        <w:t>outlined</w:t>
      </w:r>
      <w:r w:rsidR="00E60533" w:rsidRPr="00E60533">
        <w:rPr>
          <w:rFonts w:ascii="Arial" w:hAnsi="Arial" w:cs="Arial"/>
          <w:bCs/>
          <w:sz w:val="22"/>
          <w:szCs w:val="22"/>
        </w:rPr>
        <w:t xml:space="preserve"> </w:t>
      </w:r>
      <w:r w:rsidR="00605BB6">
        <w:rPr>
          <w:rFonts w:ascii="Arial" w:hAnsi="Arial" w:cs="Arial"/>
          <w:bCs/>
          <w:sz w:val="22"/>
          <w:szCs w:val="22"/>
        </w:rPr>
        <w:t>in</w:t>
      </w:r>
      <w:r w:rsidR="00E60533" w:rsidRPr="00E60533">
        <w:rPr>
          <w:rFonts w:ascii="Arial" w:hAnsi="Arial" w:cs="Arial"/>
          <w:bCs/>
          <w:sz w:val="22"/>
          <w:szCs w:val="22"/>
        </w:rPr>
        <w:t xml:space="preserve"> </w:t>
      </w:r>
      <w:r w:rsidR="009A45E7">
        <w:rPr>
          <w:rFonts w:ascii="Arial" w:hAnsi="Arial" w:cs="Arial"/>
          <w:bCs/>
          <w:sz w:val="22"/>
          <w:szCs w:val="22"/>
        </w:rPr>
        <w:t xml:space="preserve">our </w:t>
      </w:r>
      <w:hyperlink r:id="rId18" w:history="1">
        <w:r w:rsidR="00E60533" w:rsidRPr="00E60533">
          <w:rPr>
            <w:rStyle w:val="Hyperlink"/>
            <w:rFonts w:ascii="Arial" w:hAnsi="Arial" w:cs="Arial"/>
            <w:bCs/>
            <w:sz w:val="22"/>
            <w:szCs w:val="22"/>
          </w:rPr>
          <w:t>Strategic Plan 2020-2024</w:t>
        </w:r>
      </w:hyperlink>
      <w:r w:rsidR="00BB5B45" w:rsidRPr="00BB5B45">
        <w:rPr>
          <w:rStyle w:val="Hyperlink"/>
          <w:rFonts w:ascii="Arial" w:hAnsi="Arial" w:cs="Arial"/>
          <w:bCs/>
          <w:sz w:val="22"/>
          <w:szCs w:val="22"/>
          <w:u w:val="none"/>
        </w:rPr>
        <w:t xml:space="preserve"> </w:t>
      </w:r>
      <w:r w:rsidR="00BB5B45" w:rsidRPr="00BB5B45">
        <w:rPr>
          <w:rStyle w:val="Hyperlink"/>
          <w:rFonts w:ascii="Arial" w:hAnsi="Arial" w:cs="Arial"/>
          <w:bCs/>
          <w:color w:val="auto"/>
          <w:sz w:val="22"/>
          <w:szCs w:val="22"/>
          <w:u w:val="none"/>
        </w:rPr>
        <w:t xml:space="preserve">and covers </w:t>
      </w:r>
      <w:r w:rsidR="00BB5B45">
        <w:rPr>
          <w:rStyle w:val="Hyperlink"/>
          <w:rFonts w:ascii="Arial" w:hAnsi="Arial" w:cs="Arial"/>
          <w:bCs/>
          <w:color w:val="auto"/>
          <w:sz w:val="22"/>
          <w:szCs w:val="22"/>
          <w:u w:val="none"/>
        </w:rPr>
        <w:t>both expected hazards and risks and the changed risk profile caused by COVID-19</w:t>
      </w:r>
      <w:r w:rsidR="009A45E7" w:rsidRPr="00BB5B45">
        <w:rPr>
          <w:rStyle w:val="Hyperlink"/>
          <w:rFonts w:ascii="Arial" w:hAnsi="Arial" w:cs="Arial"/>
          <w:bCs/>
          <w:color w:val="auto"/>
          <w:sz w:val="22"/>
          <w:szCs w:val="22"/>
          <w:u w:val="none"/>
        </w:rPr>
        <w:t>.</w:t>
      </w:r>
    </w:p>
    <w:p w14:paraId="054C73DE" w14:textId="566C704F" w:rsidR="00E60533" w:rsidRPr="00E60533" w:rsidRDefault="00E60533" w:rsidP="00E60533">
      <w:pPr>
        <w:rPr>
          <w:rFonts w:ascii="Arial" w:hAnsi="Arial" w:cs="Arial"/>
          <w:bCs/>
          <w:sz w:val="22"/>
          <w:szCs w:val="22"/>
        </w:rPr>
      </w:pPr>
      <w:r w:rsidRPr="00E60533">
        <w:rPr>
          <w:rFonts w:ascii="Arial" w:hAnsi="Arial" w:cs="Arial"/>
          <w:bCs/>
          <w:sz w:val="22"/>
          <w:szCs w:val="22"/>
        </w:rPr>
        <w:t>WorkSafe ACT uses a combination of data</w:t>
      </w:r>
      <w:r w:rsidR="00605BB6">
        <w:rPr>
          <w:rFonts w:ascii="Arial" w:hAnsi="Arial" w:cs="Arial"/>
          <w:bCs/>
          <w:sz w:val="22"/>
          <w:szCs w:val="22"/>
        </w:rPr>
        <w:t xml:space="preserve"> </w:t>
      </w:r>
      <w:r w:rsidRPr="00E60533">
        <w:rPr>
          <w:rFonts w:ascii="Arial" w:hAnsi="Arial" w:cs="Arial"/>
          <w:bCs/>
          <w:sz w:val="22"/>
          <w:szCs w:val="22"/>
        </w:rPr>
        <w:t>analysis</w:t>
      </w:r>
      <w:r w:rsidR="009A45E7">
        <w:rPr>
          <w:rFonts w:ascii="Arial" w:hAnsi="Arial" w:cs="Arial"/>
          <w:bCs/>
          <w:sz w:val="22"/>
          <w:szCs w:val="22"/>
        </w:rPr>
        <w:t xml:space="preserve">, </w:t>
      </w:r>
      <w:r w:rsidRPr="00E60533">
        <w:rPr>
          <w:rFonts w:ascii="Arial" w:hAnsi="Arial" w:cs="Arial"/>
          <w:bCs/>
          <w:sz w:val="22"/>
          <w:szCs w:val="22"/>
        </w:rPr>
        <w:t>intelligence and consultation with the community, industry and unions to identify emerging trends and priorities in the Territory. Over the 2020-2024 period, WorkSafe ACT has four high-level strategies that underpin its activities and drive its work towards achieving measurable outcomes. These are:</w:t>
      </w:r>
    </w:p>
    <w:p w14:paraId="6105B455" w14:textId="191D6915" w:rsidR="00E60533" w:rsidRPr="00E60533" w:rsidRDefault="00E60533" w:rsidP="00E60533">
      <w:pPr>
        <w:pStyle w:val="ListParagraph"/>
        <w:numPr>
          <w:ilvl w:val="0"/>
          <w:numId w:val="2"/>
        </w:numPr>
        <w:ind w:left="757"/>
        <w:rPr>
          <w:rFonts w:ascii="Arial" w:hAnsi="Arial" w:cs="Arial"/>
          <w:bCs/>
          <w:sz w:val="22"/>
          <w:szCs w:val="22"/>
        </w:rPr>
      </w:pPr>
      <w:r w:rsidRPr="00E60533">
        <w:rPr>
          <w:rFonts w:ascii="Arial" w:hAnsi="Arial" w:cs="Arial"/>
          <w:bCs/>
          <w:sz w:val="22"/>
          <w:szCs w:val="22"/>
        </w:rPr>
        <w:t>Ensuring fair and firm enforcement against non-compliance</w:t>
      </w:r>
    </w:p>
    <w:p w14:paraId="32E412EC" w14:textId="18551110" w:rsidR="00E60533" w:rsidRPr="00E60533" w:rsidRDefault="00E60533" w:rsidP="00E60533">
      <w:pPr>
        <w:pStyle w:val="ListParagraph"/>
        <w:numPr>
          <w:ilvl w:val="0"/>
          <w:numId w:val="2"/>
        </w:numPr>
        <w:ind w:left="757"/>
        <w:rPr>
          <w:rFonts w:ascii="Arial" w:hAnsi="Arial" w:cs="Arial"/>
          <w:bCs/>
          <w:sz w:val="22"/>
          <w:szCs w:val="22"/>
        </w:rPr>
      </w:pPr>
      <w:r w:rsidRPr="00E60533">
        <w:rPr>
          <w:rFonts w:ascii="Arial" w:hAnsi="Arial" w:cs="Arial"/>
          <w:bCs/>
          <w:sz w:val="22"/>
          <w:szCs w:val="22"/>
        </w:rPr>
        <w:t>Minimising physical and psychological harm and improving WHS practices and culture</w:t>
      </w:r>
    </w:p>
    <w:p w14:paraId="72B6ACBE" w14:textId="461EAFF6" w:rsidR="00E60533" w:rsidRPr="00E60533" w:rsidRDefault="00E60533" w:rsidP="00E60533">
      <w:pPr>
        <w:pStyle w:val="ListParagraph"/>
        <w:numPr>
          <w:ilvl w:val="0"/>
          <w:numId w:val="2"/>
        </w:numPr>
        <w:ind w:left="757"/>
        <w:rPr>
          <w:rFonts w:ascii="Arial" w:hAnsi="Arial" w:cs="Arial"/>
          <w:bCs/>
          <w:sz w:val="22"/>
          <w:szCs w:val="22"/>
        </w:rPr>
      </w:pPr>
      <w:r w:rsidRPr="00E60533">
        <w:rPr>
          <w:rFonts w:ascii="Arial" w:hAnsi="Arial" w:cs="Arial"/>
          <w:bCs/>
          <w:sz w:val="22"/>
          <w:szCs w:val="22"/>
        </w:rPr>
        <w:t>Engaging with stakeholders to better understand and respond to current and emerging WHS issues</w:t>
      </w:r>
      <w:r w:rsidR="009A45E7">
        <w:rPr>
          <w:rFonts w:ascii="Arial" w:hAnsi="Arial" w:cs="Arial"/>
          <w:bCs/>
          <w:sz w:val="22"/>
          <w:szCs w:val="22"/>
        </w:rPr>
        <w:t>, and</w:t>
      </w:r>
    </w:p>
    <w:p w14:paraId="650DDA06" w14:textId="77777777" w:rsidR="00E60533" w:rsidRPr="00E60533" w:rsidRDefault="00E60533" w:rsidP="00E60533">
      <w:pPr>
        <w:pStyle w:val="ListParagraph"/>
        <w:numPr>
          <w:ilvl w:val="0"/>
          <w:numId w:val="2"/>
        </w:numPr>
        <w:ind w:left="757"/>
        <w:rPr>
          <w:rFonts w:ascii="Arial" w:hAnsi="Arial" w:cs="Arial"/>
          <w:bCs/>
          <w:sz w:val="22"/>
          <w:szCs w:val="22"/>
        </w:rPr>
      </w:pPr>
      <w:r w:rsidRPr="00E60533">
        <w:rPr>
          <w:rFonts w:ascii="Arial" w:hAnsi="Arial" w:cs="Arial"/>
          <w:bCs/>
          <w:sz w:val="22"/>
          <w:szCs w:val="22"/>
        </w:rPr>
        <w:t>Creating an exemplary regulator.</w:t>
      </w:r>
    </w:p>
    <w:p w14:paraId="30D3F8CB" w14:textId="451ACA6E" w:rsidR="009A45E7" w:rsidRPr="009A45E7" w:rsidRDefault="00E60533" w:rsidP="009A45E7">
      <w:pPr>
        <w:rPr>
          <w:rFonts w:ascii="Arial" w:hAnsi="Arial" w:cs="Arial"/>
          <w:bCs/>
          <w:sz w:val="22"/>
          <w:szCs w:val="22"/>
        </w:rPr>
      </w:pPr>
      <w:r w:rsidRPr="00E60533">
        <w:rPr>
          <w:rFonts w:ascii="Arial" w:hAnsi="Arial" w:cs="Arial"/>
          <w:bCs/>
          <w:sz w:val="22"/>
          <w:szCs w:val="22"/>
        </w:rPr>
        <w:t xml:space="preserve">Your Statement of Expectations 2021, notified on 5 August 2021, </w:t>
      </w:r>
      <w:r w:rsidR="009A45E7" w:rsidRPr="009A45E7">
        <w:rPr>
          <w:rFonts w:ascii="Arial" w:hAnsi="Arial" w:cs="Arial"/>
          <w:bCs/>
          <w:sz w:val="22"/>
          <w:szCs w:val="22"/>
        </w:rPr>
        <w:t xml:space="preserve">sets out the priorities which </w:t>
      </w:r>
      <w:r w:rsidR="009A45E7">
        <w:rPr>
          <w:rFonts w:ascii="Arial" w:hAnsi="Arial" w:cs="Arial"/>
          <w:bCs/>
          <w:sz w:val="22"/>
          <w:szCs w:val="22"/>
        </w:rPr>
        <w:t>you</w:t>
      </w:r>
      <w:r w:rsidR="009A45E7" w:rsidRPr="009A45E7">
        <w:rPr>
          <w:rFonts w:ascii="Arial" w:hAnsi="Arial" w:cs="Arial"/>
          <w:bCs/>
          <w:sz w:val="22"/>
          <w:szCs w:val="22"/>
        </w:rPr>
        <w:t xml:space="preserve"> expect WorkSafe ACT to action. In summary these are:</w:t>
      </w:r>
    </w:p>
    <w:p w14:paraId="4EFC5558" w14:textId="77777777" w:rsidR="009A45E7" w:rsidRPr="009A45E7" w:rsidRDefault="009A45E7" w:rsidP="009A45E7">
      <w:pPr>
        <w:numPr>
          <w:ilvl w:val="0"/>
          <w:numId w:val="5"/>
        </w:numPr>
        <w:ind w:left="567" w:hanging="567"/>
        <w:rPr>
          <w:rFonts w:ascii="Arial" w:hAnsi="Arial" w:cs="Arial"/>
          <w:bCs/>
          <w:i/>
          <w:iCs/>
          <w:sz w:val="22"/>
          <w:szCs w:val="22"/>
        </w:rPr>
      </w:pPr>
      <w:r w:rsidRPr="009A45E7">
        <w:rPr>
          <w:rFonts w:ascii="Arial" w:hAnsi="Arial" w:cs="Arial"/>
          <w:bCs/>
          <w:sz w:val="22"/>
          <w:szCs w:val="22"/>
        </w:rPr>
        <w:t>Addressing present and emerging WHS risks including:</w:t>
      </w:r>
    </w:p>
    <w:p w14:paraId="4162E364" w14:textId="77777777" w:rsidR="009A45E7" w:rsidRPr="009A45E7" w:rsidRDefault="009A45E7" w:rsidP="009A45E7">
      <w:pPr>
        <w:numPr>
          <w:ilvl w:val="1"/>
          <w:numId w:val="5"/>
        </w:numPr>
        <w:ind w:left="1134" w:hanging="589"/>
        <w:rPr>
          <w:rFonts w:ascii="Arial" w:hAnsi="Arial" w:cs="Arial"/>
          <w:bCs/>
          <w:i/>
          <w:iCs/>
          <w:sz w:val="22"/>
          <w:szCs w:val="22"/>
        </w:rPr>
      </w:pPr>
      <w:r w:rsidRPr="009A45E7">
        <w:rPr>
          <w:rFonts w:ascii="Arial" w:hAnsi="Arial" w:cs="Arial"/>
          <w:bCs/>
          <w:sz w:val="22"/>
          <w:szCs w:val="22"/>
        </w:rPr>
        <w:t>psychosocial hazards in the workplace</w:t>
      </w:r>
    </w:p>
    <w:p w14:paraId="09BA45AE" w14:textId="77777777" w:rsidR="009A45E7" w:rsidRPr="009A45E7" w:rsidRDefault="009A45E7" w:rsidP="009A45E7">
      <w:pPr>
        <w:numPr>
          <w:ilvl w:val="1"/>
          <w:numId w:val="5"/>
        </w:numPr>
        <w:ind w:left="1134" w:hanging="589"/>
        <w:rPr>
          <w:rFonts w:ascii="Arial" w:hAnsi="Arial" w:cs="Arial"/>
          <w:bCs/>
          <w:sz w:val="22"/>
          <w:szCs w:val="22"/>
        </w:rPr>
      </w:pPr>
      <w:r w:rsidRPr="009A45E7">
        <w:rPr>
          <w:rFonts w:ascii="Arial" w:hAnsi="Arial" w:cs="Arial"/>
          <w:bCs/>
          <w:sz w:val="22"/>
          <w:szCs w:val="22"/>
        </w:rPr>
        <w:lastRenderedPageBreak/>
        <w:t>silica dust exposure, and</w:t>
      </w:r>
    </w:p>
    <w:p w14:paraId="4A0FC93A" w14:textId="77777777" w:rsidR="009A45E7" w:rsidRPr="009A45E7" w:rsidRDefault="009A45E7" w:rsidP="009A45E7">
      <w:pPr>
        <w:numPr>
          <w:ilvl w:val="1"/>
          <w:numId w:val="5"/>
        </w:numPr>
        <w:ind w:left="1134" w:hanging="589"/>
        <w:rPr>
          <w:rFonts w:ascii="Arial" w:hAnsi="Arial" w:cs="Arial"/>
          <w:bCs/>
          <w:sz w:val="22"/>
          <w:szCs w:val="22"/>
        </w:rPr>
      </w:pPr>
      <w:r w:rsidRPr="009A45E7">
        <w:rPr>
          <w:rFonts w:ascii="Arial" w:hAnsi="Arial" w:cs="Arial"/>
          <w:bCs/>
          <w:sz w:val="22"/>
          <w:szCs w:val="22"/>
        </w:rPr>
        <w:t>the impacts of climate change.</w:t>
      </w:r>
    </w:p>
    <w:p w14:paraId="5AA78591" w14:textId="6336AB8F" w:rsidR="009A45E7" w:rsidRPr="009A45E7" w:rsidRDefault="009A45E7" w:rsidP="009A45E7">
      <w:pPr>
        <w:numPr>
          <w:ilvl w:val="0"/>
          <w:numId w:val="5"/>
        </w:numPr>
        <w:rPr>
          <w:rFonts w:ascii="Arial" w:hAnsi="Arial" w:cs="Arial"/>
          <w:bCs/>
          <w:i/>
          <w:iCs/>
          <w:sz w:val="22"/>
          <w:szCs w:val="22"/>
        </w:rPr>
      </w:pPr>
      <w:r w:rsidRPr="009A45E7">
        <w:rPr>
          <w:rFonts w:ascii="Arial" w:hAnsi="Arial" w:cs="Arial"/>
          <w:bCs/>
          <w:sz w:val="22"/>
          <w:szCs w:val="22"/>
        </w:rPr>
        <w:t xml:space="preserve">Actively implementing the </w:t>
      </w:r>
      <w:r w:rsidRPr="009A45E7">
        <w:rPr>
          <w:rFonts w:ascii="Arial" w:hAnsi="Arial" w:cs="Arial"/>
          <w:bCs/>
          <w:i/>
          <w:iCs/>
          <w:sz w:val="22"/>
          <w:szCs w:val="22"/>
        </w:rPr>
        <w:t>National Principles to Support Families following an Industrial Death</w:t>
      </w:r>
      <w:r w:rsidRPr="009A45E7">
        <w:rPr>
          <w:rFonts w:ascii="Arial" w:hAnsi="Arial" w:cs="Arial"/>
          <w:bCs/>
          <w:sz w:val="22"/>
          <w:szCs w:val="22"/>
        </w:rPr>
        <w:t xml:space="preserve"> published by Safe Work Australia</w:t>
      </w:r>
      <w:r>
        <w:rPr>
          <w:rFonts w:ascii="Arial" w:hAnsi="Arial" w:cs="Arial"/>
          <w:bCs/>
          <w:sz w:val="22"/>
          <w:szCs w:val="22"/>
        </w:rPr>
        <w:t xml:space="preserve"> (SWA)</w:t>
      </w:r>
    </w:p>
    <w:p w14:paraId="67BC0129" w14:textId="77777777" w:rsidR="009A45E7" w:rsidRPr="009A45E7" w:rsidRDefault="009A45E7" w:rsidP="009A45E7">
      <w:pPr>
        <w:numPr>
          <w:ilvl w:val="0"/>
          <w:numId w:val="5"/>
        </w:numPr>
        <w:rPr>
          <w:rFonts w:ascii="Arial" w:hAnsi="Arial" w:cs="Arial"/>
          <w:bCs/>
          <w:i/>
          <w:iCs/>
          <w:sz w:val="22"/>
          <w:szCs w:val="22"/>
        </w:rPr>
      </w:pPr>
      <w:r w:rsidRPr="009A45E7">
        <w:rPr>
          <w:rFonts w:ascii="Arial" w:hAnsi="Arial" w:cs="Arial"/>
          <w:bCs/>
          <w:sz w:val="22"/>
          <w:szCs w:val="22"/>
        </w:rPr>
        <w:t>Continued focus on improving the safety culture of the Construction industry</w:t>
      </w:r>
    </w:p>
    <w:p w14:paraId="32857AE8" w14:textId="77777777" w:rsidR="009A45E7" w:rsidRPr="009A45E7" w:rsidRDefault="009A45E7" w:rsidP="009A45E7">
      <w:pPr>
        <w:numPr>
          <w:ilvl w:val="0"/>
          <w:numId w:val="5"/>
        </w:numPr>
        <w:rPr>
          <w:rFonts w:ascii="Arial" w:hAnsi="Arial" w:cs="Arial"/>
          <w:bCs/>
          <w:i/>
          <w:iCs/>
          <w:sz w:val="22"/>
          <w:szCs w:val="22"/>
        </w:rPr>
      </w:pPr>
      <w:r w:rsidRPr="009A45E7">
        <w:rPr>
          <w:rFonts w:ascii="Arial" w:hAnsi="Arial" w:cs="Arial"/>
          <w:bCs/>
          <w:sz w:val="22"/>
          <w:szCs w:val="22"/>
        </w:rPr>
        <w:t>Continuing to improve the operational effectiveness of WorkSafe ACT, including implementation of the 2018 Independent Review recommendations, and</w:t>
      </w:r>
    </w:p>
    <w:p w14:paraId="45C8D72B" w14:textId="77777777" w:rsidR="009A45E7" w:rsidRPr="009A45E7" w:rsidRDefault="009A45E7" w:rsidP="009A45E7">
      <w:pPr>
        <w:numPr>
          <w:ilvl w:val="0"/>
          <w:numId w:val="5"/>
        </w:numPr>
        <w:rPr>
          <w:rFonts w:ascii="Arial" w:hAnsi="Arial" w:cs="Arial"/>
          <w:bCs/>
          <w:i/>
          <w:iCs/>
          <w:sz w:val="22"/>
          <w:szCs w:val="22"/>
        </w:rPr>
      </w:pPr>
      <w:r w:rsidRPr="009A45E7">
        <w:rPr>
          <w:rFonts w:ascii="Arial" w:hAnsi="Arial" w:cs="Arial"/>
          <w:bCs/>
          <w:sz w:val="22"/>
          <w:szCs w:val="22"/>
        </w:rPr>
        <w:t xml:space="preserve">Engagement with the WHS Council. </w:t>
      </w:r>
    </w:p>
    <w:p w14:paraId="2162C563" w14:textId="5A62A643" w:rsidR="009A45E7" w:rsidRPr="009A45E7" w:rsidRDefault="00BE7A8F" w:rsidP="009A45E7">
      <w:pPr>
        <w:rPr>
          <w:rFonts w:ascii="Arial" w:hAnsi="Arial" w:cs="Arial"/>
          <w:bCs/>
          <w:sz w:val="22"/>
          <w:szCs w:val="22"/>
        </w:rPr>
      </w:pPr>
      <w:r>
        <w:rPr>
          <w:rFonts w:ascii="Arial" w:hAnsi="Arial" w:cs="Arial"/>
          <w:bCs/>
          <w:sz w:val="22"/>
          <w:szCs w:val="22"/>
        </w:rPr>
        <w:t xml:space="preserve">Consequently, </w:t>
      </w:r>
      <w:r w:rsidR="009A45E7" w:rsidRPr="009A45E7">
        <w:rPr>
          <w:rFonts w:ascii="Arial" w:hAnsi="Arial" w:cs="Arial"/>
          <w:bCs/>
          <w:sz w:val="22"/>
          <w:szCs w:val="22"/>
        </w:rPr>
        <w:t>WorkSafe ACT’s focus areas for 2021-2022 include:</w:t>
      </w:r>
    </w:p>
    <w:p w14:paraId="653B1964" w14:textId="77777777" w:rsidR="009A45E7" w:rsidRPr="009A45E7" w:rsidRDefault="009A45E7" w:rsidP="009A45E7">
      <w:pPr>
        <w:numPr>
          <w:ilvl w:val="0"/>
          <w:numId w:val="5"/>
        </w:numPr>
        <w:ind w:left="567" w:hanging="567"/>
        <w:rPr>
          <w:rFonts w:ascii="Arial" w:hAnsi="Arial" w:cs="Arial"/>
          <w:bCs/>
          <w:sz w:val="22"/>
          <w:szCs w:val="22"/>
        </w:rPr>
      </w:pPr>
      <w:r w:rsidRPr="009A45E7">
        <w:rPr>
          <w:rFonts w:ascii="Arial" w:hAnsi="Arial" w:cs="Arial"/>
          <w:b/>
          <w:bCs/>
          <w:sz w:val="22"/>
          <w:szCs w:val="22"/>
        </w:rPr>
        <w:t>Addressing psychosocial hazards</w:t>
      </w:r>
      <w:r w:rsidRPr="009A45E7">
        <w:rPr>
          <w:rFonts w:ascii="Arial" w:hAnsi="Arial" w:cs="Arial"/>
          <w:bCs/>
          <w:sz w:val="22"/>
          <w:szCs w:val="22"/>
        </w:rPr>
        <w:t xml:space="preserve"> – WorkSafe ACT will continue to increase its capability and tools to address psychosocial hazards, including specialised training of inspectors along with the deployment of additional resources. Engagement with industry and social partners to understand barriers, enablers and opportunities will inform WorkSafe’s regulatory response to psychosocial hazards the workplace, combined with a high-level review of ACT psychosocial hazards at work incidents. Based on the evidence collected, WorkSafe ACT will develop and release a psychosocial strategy to guide the work in this area, including the prevention of sexual harassment and the prevention of work-related violence.  </w:t>
      </w:r>
    </w:p>
    <w:p w14:paraId="2749F489" w14:textId="0A757A3B" w:rsidR="009A45E7" w:rsidRPr="009A45E7" w:rsidRDefault="009A45E7" w:rsidP="009A45E7">
      <w:pPr>
        <w:ind w:left="567" w:hanging="567"/>
        <w:rPr>
          <w:rFonts w:ascii="Arial" w:hAnsi="Arial" w:cs="Arial"/>
          <w:bCs/>
          <w:sz w:val="22"/>
          <w:szCs w:val="22"/>
        </w:rPr>
      </w:pPr>
      <w:r>
        <w:rPr>
          <w:rFonts w:ascii="Arial" w:hAnsi="Arial" w:cs="Arial"/>
          <w:bCs/>
          <w:sz w:val="22"/>
          <w:szCs w:val="22"/>
        </w:rPr>
        <w:tab/>
      </w:r>
      <w:r w:rsidRPr="009A45E7">
        <w:rPr>
          <w:rFonts w:ascii="Arial" w:hAnsi="Arial" w:cs="Arial"/>
          <w:bCs/>
          <w:sz w:val="22"/>
          <w:szCs w:val="22"/>
        </w:rPr>
        <w:t>In addition, the People at Work (PAW) tool will continue to be promoted for persons conducting a business or undertaking (PCBU) to assess workplace psychological risks using an evidence-based psychosocial survey.</w:t>
      </w:r>
    </w:p>
    <w:p w14:paraId="5B36F220" w14:textId="77777777" w:rsidR="009A45E7" w:rsidRPr="009A45E7" w:rsidRDefault="009A45E7" w:rsidP="009A45E7">
      <w:pPr>
        <w:numPr>
          <w:ilvl w:val="0"/>
          <w:numId w:val="6"/>
        </w:numPr>
        <w:ind w:left="567" w:hanging="567"/>
        <w:rPr>
          <w:rFonts w:ascii="Arial" w:hAnsi="Arial" w:cs="Arial"/>
          <w:bCs/>
          <w:sz w:val="22"/>
          <w:szCs w:val="22"/>
        </w:rPr>
      </w:pPr>
      <w:r w:rsidRPr="009A45E7">
        <w:rPr>
          <w:rFonts w:ascii="Arial" w:hAnsi="Arial" w:cs="Arial"/>
          <w:b/>
          <w:bCs/>
          <w:sz w:val="22"/>
          <w:szCs w:val="22"/>
        </w:rPr>
        <w:t>Preventing silica dust exposure in the workplace</w:t>
      </w:r>
      <w:r w:rsidRPr="009A45E7">
        <w:rPr>
          <w:rFonts w:ascii="Arial" w:hAnsi="Arial" w:cs="Arial"/>
          <w:bCs/>
          <w:sz w:val="22"/>
          <w:szCs w:val="22"/>
        </w:rPr>
        <w:t xml:space="preserve"> – As an emerging WHS risk, silicosis is a preventable disease with the potential to affect many workers and their families. WorkSafe ACT will prioritise its regulatory response of enforcing compliance with the silica dust exposure standard. This includes working with industry representatives to provide education and undertaking compliance and enforcement actions to ensure all workers in the manufacturing and construction industries with a risk of exposure to respirable crystalline silica are protected.</w:t>
      </w:r>
    </w:p>
    <w:p w14:paraId="65F3A4F7" w14:textId="77777777" w:rsidR="009A45E7" w:rsidRPr="009A45E7" w:rsidRDefault="009A45E7" w:rsidP="009A45E7">
      <w:pPr>
        <w:numPr>
          <w:ilvl w:val="0"/>
          <w:numId w:val="6"/>
        </w:numPr>
        <w:ind w:left="567" w:hanging="567"/>
        <w:rPr>
          <w:rFonts w:ascii="Arial" w:hAnsi="Arial" w:cs="Arial"/>
          <w:b/>
          <w:bCs/>
          <w:sz w:val="22"/>
          <w:szCs w:val="22"/>
        </w:rPr>
      </w:pPr>
      <w:r w:rsidRPr="009A45E7">
        <w:rPr>
          <w:rFonts w:ascii="Arial" w:hAnsi="Arial" w:cs="Arial"/>
          <w:b/>
          <w:bCs/>
          <w:sz w:val="22"/>
          <w:szCs w:val="22"/>
        </w:rPr>
        <w:t xml:space="preserve">Ensuring that all workers and workplaces across the Territory are safe and healthy </w:t>
      </w:r>
      <w:r w:rsidRPr="009A45E7">
        <w:rPr>
          <w:rFonts w:ascii="Arial" w:hAnsi="Arial" w:cs="Arial"/>
          <w:bCs/>
          <w:sz w:val="22"/>
          <w:szCs w:val="22"/>
        </w:rPr>
        <w:t>– WorkSafe ACT is committed to preventing injury and traumatic fatality and during 2021-2022 will develop and begin implementing a range of strategies to support compliance with relevant legislation.  These strategies and awareness campaigns will include:</w:t>
      </w:r>
    </w:p>
    <w:p w14:paraId="4F0C94C9" w14:textId="77777777" w:rsidR="009A45E7" w:rsidRPr="009A45E7" w:rsidRDefault="009A45E7" w:rsidP="009A45E7">
      <w:pPr>
        <w:numPr>
          <w:ilvl w:val="1"/>
          <w:numId w:val="5"/>
        </w:numPr>
        <w:ind w:left="1134" w:hanging="567"/>
        <w:rPr>
          <w:rFonts w:ascii="Arial" w:hAnsi="Arial" w:cs="Arial"/>
          <w:bCs/>
          <w:sz w:val="22"/>
          <w:szCs w:val="22"/>
        </w:rPr>
      </w:pPr>
      <w:r w:rsidRPr="009A45E7">
        <w:rPr>
          <w:rFonts w:ascii="Arial" w:hAnsi="Arial" w:cs="Arial"/>
          <w:bCs/>
          <w:sz w:val="22"/>
          <w:szCs w:val="22"/>
        </w:rPr>
        <w:t>A young workers’ strategy, including addressing the health and safety of apprentices</w:t>
      </w:r>
    </w:p>
    <w:p w14:paraId="30B4C2EE" w14:textId="77777777" w:rsidR="009A45E7" w:rsidRPr="009A45E7" w:rsidRDefault="009A45E7" w:rsidP="009A45E7">
      <w:pPr>
        <w:numPr>
          <w:ilvl w:val="1"/>
          <w:numId w:val="5"/>
        </w:numPr>
        <w:ind w:left="1134" w:hanging="567"/>
        <w:rPr>
          <w:rFonts w:ascii="Arial" w:hAnsi="Arial" w:cs="Arial"/>
          <w:bCs/>
          <w:sz w:val="22"/>
          <w:szCs w:val="22"/>
        </w:rPr>
      </w:pPr>
      <w:r w:rsidRPr="009A45E7">
        <w:rPr>
          <w:rFonts w:ascii="Arial" w:hAnsi="Arial" w:cs="Arial"/>
          <w:bCs/>
          <w:sz w:val="22"/>
          <w:szCs w:val="22"/>
        </w:rPr>
        <w:t>A strategy to prevent Musculoskeletal Disorders</w:t>
      </w:r>
    </w:p>
    <w:p w14:paraId="21A6EB1F" w14:textId="77777777" w:rsidR="009A45E7" w:rsidRPr="009A45E7" w:rsidRDefault="009A45E7" w:rsidP="009A45E7">
      <w:pPr>
        <w:numPr>
          <w:ilvl w:val="1"/>
          <w:numId w:val="5"/>
        </w:numPr>
        <w:ind w:left="1134" w:hanging="567"/>
        <w:rPr>
          <w:rFonts w:ascii="Arial" w:hAnsi="Arial" w:cs="Arial"/>
          <w:bCs/>
          <w:sz w:val="22"/>
          <w:szCs w:val="22"/>
        </w:rPr>
      </w:pPr>
      <w:r w:rsidRPr="009A45E7">
        <w:rPr>
          <w:rFonts w:ascii="Arial" w:hAnsi="Arial" w:cs="Arial"/>
          <w:bCs/>
          <w:sz w:val="22"/>
          <w:szCs w:val="22"/>
        </w:rPr>
        <w:t>An occupational lung diseases strategy</w:t>
      </w:r>
    </w:p>
    <w:p w14:paraId="1B96C2C1" w14:textId="77777777" w:rsidR="009A45E7" w:rsidRPr="009A45E7" w:rsidRDefault="009A45E7" w:rsidP="009A45E7">
      <w:pPr>
        <w:numPr>
          <w:ilvl w:val="1"/>
          <w:numId w:val="5"/>
        </w:numPr>
        <w:ind w:left="1134" w:hanging="567"/>
        <w:rPr>
          <w:rFonts w:ascii="Arial" w:hAnsi="Arial" w:cs="Arial"/>
          <w:bCs/>
          <w:sz w:val="22"/>
          <w:szCs w:val="22"/>
        </w:rPr>
      </w:pPr>
      <w:r w:rsidRPr="009A45E7">
        <w:rPr>
          <w:rFonts w:ascii="Arial" w:hAnsi="Arial" w:cs="Arial"/>
          <w:bCs/>
          <w:sz w:val="22"/>
          <w:szCs w:val="22"/>
        </w:rPr>
        <w:t>A lead risk awareness campaign, and</w:t>
      </w:r>
    </w:p>
    <w:p w14:paraId="01BA2C53" w14:textId="57AC4103" w:rsidR="009A45E7" w:rsidRPr="009A45E7" w:rsidRDefault="009A45E7" w:rsidP="009A45E7">
      <w:pPr>
        <w:numPr>
          <w:ilvl w:val="1"/>
          <w:numId w:val="5"/>
        </w:numPr>
        <w:ind w:left="1134" w:hanging="567"/>
        <w:rPr>
          <w:rFonts w:ascii="Arial" w:hAnsi="Arial" w:cs="Arial"/>
          <w:bCs/>
          <w:sz w:val="22"/>
          <w:szCs w:val="22"/>
        </w:rPr>
      </w:pPr>
      <w:r w:rsidRPr="009A45E7">
        <w:rPr>
          <w:rFonts w:ascii="Arial" w:hAnsi="Arial" w:cs="Arial"/>
          <w:bCs/>
          <w:sz w:val="22"/>
          <w:szCs w:val="22"/>
        </w:rPr>
        <w:t>A hazardous chemicals awareness strategy.</w:t>
      </w:r>
    </w:p>
    <w:p w14:paraId="5E432732" w14:textId="77777777" w:rsidR="009A45E7" w:rsidRPr="009A45E7" w:rsidRDefault="009A45E7" w:rsidP="009A45E7">
      <w:pPr>
        <w:numPr>
          <w:ilvl w:val="0"/>
          <w:numId w:val="6"/>
        </w:numPr>
        <w:ind w:left="567" w:hanging="567"/>
        <w:rPr>
          <w:rFonts w:ascii="Arial" w:hAnsi="Arial" w:cs="Arial"/>
          <w:bCs/>
          <w:sz w:val="22"/>
          <w:szCs w:val="22"/>
        </w:rPr>
      </w:pPr>
      <w:r w:rsidRPr="009A45E7">
        <w:rPr>
          <w:rFonts w:ascii="Arial" w:hAnsi="Arial" w:cs="Arial"/>
          <w:b/>
          <w:bCs/>
          <w:sz w:val="22"/>
          <w:szCs w:val="22"/>
        </w:rPr>
        <w:t>Addressing work related impacts of climate change</w:t>
      </w:r>
      <w:r w:rsidRPr="009A45E7">
        <w:rPr>
          <w:rFonts w:ascii="Arial" w:hAnsi="Arial" w:cs="Arial"/>
          <w:bCs/>
          <w:sz w:val="22"/>
          <w:szCs w:val="22"/>
        </w:rPr>
        <w:t xml:space="preserve"> – In response to recommendations from the WHS Council, through its Extreme Weather Conditions Advisory Committee, WorkSafe ACT will develop guidance material for air quality, </w:t>
      </w:r>
      <w:r w:rsidRPr="009A45E7">
        <w:rPr>
          <w:rFonts w:ascii="Arial" w:hAnsi="Arial" w:cs="Arial"/>
          <w:bCs/>
          <w:sz w:val="22"/>
          <w:szCs w:val="22"/>
        </w:rPr>
        <w:lastRenderedPageBreak/>
        <w:t>working in weather and extreme heat risks to improve industry capability to manage these issues in the workplace.</w:t>
      </w:r>
    </w:p>
    <w:p w14:paraId="5143881A" w14:textId="77777777" w:rsidR="009A45E7" w:rsidRPr="009A45E7" w:rsidRDefault="009A45E7" w:rsidP="009A45E7">
      <w:pPr>
        <w:numPr>
          <w:ilvl w:val="0"/>
          <w:numId w:val="6"/>
        </w:numPr>
        <w:rPr>
          <w:rFonts w:ascii="Arial" w:hAnsi="Arial" w:cs="Arial"/>
          <w:bCs/>
          <w:sz w:val="22"/>
          <w:szCs w:val="22"/>
        </w:rPr>
      </w:pPr>
      <w:r w:rsidRPr="009A45E7">
        <w:rPr>
          <w:rFonts w:ascii="Arial" w:hAnsi="Arial" w:cs="Arial"/>
          <w:b/>
          <w:bCs/>
          <w:sz w:val="22"/>
          <w:szCs w:val="22"/>
        </w:rPr>
        <w:t>Supporting the families of those killed or seriously injured at work</w:t>
      </w:r>
      <w:r w:rsidRPr="009A45E7">
        <w:rPr>
          <w:rFonts w:ascii="Arial" w:hAnsi="Arial" w:cs="Arial"/>
          <w:bCs/>
          <w:sz w:val="22"/>
          <w:szCs w:val="22"/>
        </w:rPr>
        <w:t xml:space="preserve"> – SWA’s </w:t>
      </w:r>
      <w:r w:rsidRPr="009A45E7">
        <w:rPr>
          <w:rFonts w:ascii="Arial" w:hAnsi="Arial" w:cs="Arial"/>
          <w:bCs/>
          <w:i/>
          <w:iCs/>
          <w:sz w:val="22"/>
          <w:szCs w:val="22"/>
        </w:rPr>
        <w:t>National Principles to Support Families following an Industrial Death</w:t>
      </w:r>
      <w:r w:rsidRPr="009A45E7">
        <w:rPr>
          <w:rFonts w:ascii="Arial" w:hAnsi="Arial" w:cs="Arial"/>
          <w:bCs/>
          <w:sz w:val="22"/>
          <w:szCs w:val="22"/>
        </w:rPr>
        <w:t xml:space="preserve"> provide a high-level framework to guide WHS regulators in implementing family-centred policies and practices to support families impacted by an industrial death or serious injury.  WorkSafe ACT will actively implement the National Principles during 2021-2022.</w:t>
      </w:r>
    </w:p>
    <w:p w14:paraId="0D1236DE" w14:textId="77777777" w:rsidR="00BB5B45" w:rsidRDefault="009A45E7" w:rsidP="009A45E7">
      <w:pPr>
        <w:numPr>
          <w:ilvl w:val="0"/>
          <w:numId w:val="6"/>
        </w:numPr>
        <w:rPr>
          <w:rFonts w:ascii="Arial" w:hAnsi="Arial" w:cs="Arial"/>
          <w:bCs/>
          <w:sz w:val="22"/>
          <w:szCs w:val="22"/>
        </w:rPr>
      </w:pPr>
      <w:r w:rsidRPr="009A45E7">
        <w:rPr>
          <w:rFonts w:ascii="Arial" w:hAnsi="Arial" w:cs="Arial"/>
          <w:b/>
          <w:bCs/>
          <w:sz w:val="22"/>
          <w:szCs w:val="22"/>
        </w:rPr>
        <w:t>Continuing to work to improve the safety culture in the construction industry</w:t>
      </w:r>
      <w:r w:rsidRPr="009A45E7">
        <w:rPr>
          <w:rFonts w:ascii="Arial" w:hAnsi="Arial" w:cs="Arial"/>
          <w:bCs/>
          <w:sz w:val="22"/>
          <w:szCs w:val="22"/>
        </w:rPr>
        <w:t xml:space="preserve"> – The safety culture in the construction industry remains inconsistent</w:t>
      </w:r>
      <w:r w:rsidR="00E7696D">
        <w:rPr>
          <w:rFonts w:ascii="Arial" w:hAnsi="Arial" w:cs="Arial"/>
          <w:bCs/>
          <w:sz w:val="22"/>
          <w:szCs w:val="22"/>
        </w:rPr>
        <w:t>,</w:t>
      </w:r>
      <w:r w:rsidRPr="009A45E7">
        <w:rPr>
          <w:rFonts w:ascii="Arial" w:hAnsi="Arial" w:cs="Arial"/>
          <w:bCs/>
          <w:sz w:val="22"/>
          <w:szCs w:val="22"/>
        </w:rPr>
        <w:t xml:space="preserve"> creating a high-risk working environment for its workers. Economic indicators highlight a significant rise in residential construction activity in the 2021-22 period, with residential dwellings approvals in March 2021 increasing by 121.1% over the same time last year. </w:t>
      </w:r>
    </w:p>
    <w:p w14:paraId="26C91D3F" w14:textId="0ECF8AD0" w:rsidR="009A45E7" w:rsidRPr="009A45E7" w:rsidRDefault="00BB5B45" w:rsidP="00BB5B45">
      <w:pPr>
        <w:ind w:left="720" w:hanging="360"/>
        <w:rPr>
          <w:rFonts w:ascii="Arial" w:hAnsi="Arial" w:cs="Arial"/>
          <w:bCs/>
          <w:sz w:val="22"/>
          <w:szCs w:val="22"/>
        </w:rPr>
      </w:pPr>
      <w:r>
        <w:rPr>
          <w:rFonts w:ascii="Arial" w:hAnsi="Arial" w:cs="Arial"/>
          <w:bCs/>
          <w:sz w:val="22"/>
          <w:szCs w:val="22"/>
        </w:rPr>
        <w:tab/>
      </w:r>
      <w:r w:rsidR="009A45E7" w:rsidRPr="009A45E7">
        <w:rPr>
          <w:rFonts w:ascii="Arial" w:hAnsi="Arial" w:cs="Arial"/>
          <w:bCs/>
          <w:sz w:val="22"/>
          <w:szCs w:val="22"/>
        </w:rPr>
        <w:t>WorkSafe ACT will maintain its strong and ongoing focus to improve compliance and safety standards across both residential and commercial sectors through specific strategies for each segment of this industry, along with continued engagement with stakeholders and social partners to provide appropriate information and guidance materials.</w:t>
      </w:r>
    </w:p>
    <w:p w14:paraId="0C73BE86" w14:textId="02B98031" w:rsidR="009A45E7" w:rsidRPr="009A45E7" w:rsidRDefault="009A45E7" w:rsidP="009A45E7">
      <w:pPr>
        <w:numPr>
          <w:ilvl w:val="0"/>
          <w:numId w:val="6"/>
        </w:numPr>
        <w:rPr>
          <w:rFonts w:ascii="Arial" w:hAnsi="Arial" w:cs="Arial"/>
          <w:bCs/>
          <w:sz w:val="22"/>
          <w:szCs w:val="22"/>
        </w:rPr>
      </w:pPr>
      <w:r w:rsidRPr="009A45E7">
        <w:rPr>
          <w:rFonts w:ascii="Arial" w:hAnsi="Arial" w:cs="Arial"/>
          <w:b/>
          <w:bCs/>
          <w:sz w:val="22"/>
          <w:szCs w:val="22"/>
        </w:rPr>
        <w:t>Improving the operational efficiency of WorkSafe ACT</w:t>
      </w:r>
      <w:r w:rsidRPr="009A45E7">
        <w:rPr>
          <w:rFonts w:ascii="Arial" w:hAnsi="Arial" w:cs="Arial"/>
          <w:bCs/>
          <w:sz w:val="22"/>
          <w:szCs w:val="22"/>
        </w:rPr>
        <w:t xml:space="preserve"> – WorkSafe ACT will remain focused on ensuring improvements to its governance and operations continue to build on the recommendations of the 2018 </w:t>
      </w:r>
      <w:r w:rsidR="00E7696D">
        <w:rPr>
          <w:rFonts w:ascii="Arial" w:hAnsi="Arial" w:cs="Arial"/>
          <w:bCs/>
          <w:sz w:val="22"/>
          <w:szCs w:val="22"/>
        </w:rPr>
        <w:t xml:space="preserve">Independent </w:t>
      </w:r>
      <w:r w:rsidRPr="009A45E7">
        <w:rPr>
          <w:rFonts w:ascii="Arial" w:hAnsi="Arial" w:cs="Arial"/>
          <w:bCs/>
          <w:sz w:val="22"/>
          <w:szCs w:val="22"/>
        </w:rPr>
        <w:t>Review. During 2021-22, WorkSafe ACT will commence the implementation of the remaining recommendations from the 2018 Independent Review which focus on capability development.</w:t>
      </w:r>
    </w:p>
    <w:p w14:paraId="52050CDB" w14:textId="77777777" w:rsidR="009A45E7" w:rsidRPr="009A45E7" w:rsidRDefault="009A45E7" w:rsidP="009A45E7">
      <w:pPr>
        <w:numPr>
          <w:ilvl w:val="0"/>
          <w:numId w:val="6"/>
        </w:numPr>
        <w:rPr>
          <w:rFonts w:ascii="Arial" w:hAnsi="Arial" w:cs="Arial"/>
          <w:bCs/>
          <w:sz w:val="22"/>
          <w:szCs w:val="22"/>
        </w:rPr>
      </w:pPr>
      <w:r w:rsidRPr="009A45E7">
        <w:rPr>
          <w:rFonts w:ascii="Arial" w:hAnsi="Arial" w:cs="Arial"/>
          <w:b/>
          <w:bCs/>
          <w:sz w:val="22"/>
          <w:szCs w:val="22"/>
        </w:rPr>
        <w:t>Engaging with the WHS Council</w:t>
      </w:r>
      <w:r w:rsidRPr="009A45E7">
        <w:rPr>
          <w:rFonts w:ascii="Arial" w:hAnsi="Arial" w:cs="Arial"/>
          <w:bCs/>
          <w:sz w:val="22"/>
          <w:szCs w:val="22"/>
        </w:rPr>
        <w:t xml:space="preserve"> – As an ex-officio member of the WHS Council, the WHS Commissioner will continue to participate in WHS Council meetings and collaborate with its members as set out in the WHS Act. </w:t>
      </w:r>
    </w:p>
    <w:p w14:paraId="4C416A80" w14:textId="77777777" w:rsidR="00E60533" w:rsidRPr="00E60533" w:rsidRDefault="00E60533" w:rsidP="00E60533">
      <w:pPr>
        <w:rPr>
          <w:rFonts w:ascii="Arial" w:hAnsi="Arial" w:cs="Arial"/>
          <w:bCs/>
          <w:sz w:val="22"/>
          <w:szCs w:val="22"/>
        </w:rPr>
      </w:pPr>
      <w:r w:rsidRPr="00E60533">
        <w:rPr>
          <w:rFonts w:ascii="Arial" w:hAnsi="Arial" w:cs="Arial"/>
          <w:bCs/>
          <w:sz w:val="22"/>
          <w:szCs w:val="22"/>
        </w:rPr>
        <w:t xml:space="preserve">Our strategic priorities align with those you have set out in the Statement of Expectations 2021, and I undertake to support these, and our additional priorities, and ensure all workers in the Territory have healthy and safe workplaces. </w:t>
      </w:r>
    </w:p>
    <w:p w14:paraId="049F9223" w14:textId="77777777" w:rsidR="00E60533" w:rsidRPr="00E60533" w:rsidRDefault="00E60533" w:rsidP="00E60533">
      <w:pPr>
        <w:rPr>
          <w:rFonts w:ascii="Arial" w:hAnsi="Arial" w:cs="Arial"/>
          <w:bCs/>
          <w:sz w:val="22"/>
          <w:szCs w:val="22"/>
        </w:rPr>
      </w:pPr>
      <w:r w:rsidRPr="00E60533">
        <w:rPr>
          <w:rFonts w:ascii="Arial" w:hAnsi="Arial" w:cs="Arial"/>
          <w:bCs/>
          <w:sz w:val="22"/>
          <w:szCs w:val="22"/>
        </w:rPr>
        <w:t>I look forward to continuing to work with you and the Executive in this critically important area.</w:t>
      </w:r>
    </w:p>
    <w:p w14:paraId="78B5EFD3" w14:textId="77777777" w:rsidR="00E60533" w:rsidRPr="00E60533" w:rsidRDefault="00E60533" w:rsidP="00E60533">
      <w:pPr>
        <w:rPr>
          <w:rFonts w:ascii="Arial" w:hAnsi="Arial" w:cs="Arial"/>
          <w:bCs/>
          <w:sz w:val="22"/>
          <w:szCs w:val="22"/>
        </w:rPr>
      </w:pPr>
      <w:r w:rsidRPr="00E60533">
        <w:rPr>
          <w:rFonts w:ascii="Arial" w:hAnsi="Arial" w:cs="Arial"/>
          <w:bCs/>
          <w:sz w:val="22"/>
          <w:szCs w:val="22"/>
        </w:rPr>
        <w:t>Yours sincerely</w:t>
      </w:r>
    </w:p>
    <w:p w14:paraId="76BE6ACF" w14:textId="77777777" w:rsidR="00E60533" w:rsidRPr="00E60533" w:rsidRDefault="00E60533" w:rsidP="00E60533">
      <w:pPr>
        <w:rPr>
          <w:rFonts w:ascii="Arial" w:hAnsi="Arial" w:cs="Arial"/>
          <w:bCs/>
          <w:sz w:val="22"/>
          <w:szCs w:val="22"/>
        </w:rPr>
      </w:pPr>
    </w:p>
    <w:p w14:paraId="02147C77" w14:textId="082D95B2" w:rsidR="00E60533" w:rsidRDefault="00E60533" w:rsidP="00E60533">
      <w:pPr>
        <w:rPr>
          <w:noProof/>
        </w:rPr>
      </w:pPr>
    </w:p>
    <w:p w14:paraId="57D478BF" w14:textId="4180CA98" w:rsidR="00BB2070" w:rsidRDefault="00BB2070" w:rsidP="00E60533">
      <w:pPr>
        <w:rPr>
          <w:noProof/>
        </w:rPr>
      </w:pPr>
    </w:p>
    <w:p w14:paraId="5720D376" w14:textId="77777777" w:rsidR="00BB2070" w:rsidRDefault="00BB2070" w:rsidP="00E60533">
      <w:pPr>
        <w:rPr>
          <w:rFonts w:ascii="Arial" w:hAnsi="Arial" w:cs="Arial"/>
          <w:bCs/>
          <w:sz w:val="22"/>
          <w:szCs w:val="22"/>
        </w:rPr>
      </w:pPr>
    </w:p>
    <w:p w14:paraId="4EFE9682" w14:textId="77777777" w:rsidR="00BB5B45" w:rsidRPr="00E60533" w:rsidRDefault="00BB5B45" w:rsidP="00E60533">
      <w:pPr>
        <w:rPr>
          <w:rFonts w:ascii="Arial" w:hAnsi="Arial" w:cs="Arial"/>
          <w:bCs/>
          <w:sz w:val="22"/>
          <w:szCs w:val="22"/>
        </w:rPr>
      </w:pPr>
    </w:p>
    <w:p w14:paraId="66F79F0B" w14:textId="77777777" w:rsidR="00E60533" w:rsidRPr="00E60533" w:rsidRDefault="00E60533" w:rsidP="00E60533">
      <w:pPr>
        <w:rPr>
          <w:rFonts w:ascii="Arial" w:hAnsi="Arial" w:cs="Arial"/>
          <w:b/>
          <w:sz w:val="22"/>
          <w:szCs w:val="22"/>
        </w:rPr>
      </w:pPr>
      <w:r w:rsidRPr="00E60533">
        <w:rPr>
          <w:rFonts w:ascii="Arial" w:hAnsi="Arial" w:cs="Arial"/>
          <w:b/>
          <w:sz w:val="22"/>
          <w:szCs w:val="22"/>
        </w:rPr>
        <w:t>Jacqueline Agius</w:t>
      </w:r>
    </w:p>
    <w:p w14:paraId="449D6395" w14:textId="77777777" w:rsidR="00E60533" w:rsidRPr="00E60533" w:rsidRDefault="00E60533" w:rsidP="00E60533">
      <w:pPr>
        <w:rPr>
          <w:rFonts w:ascii="Arial" w:hAnsi="Arial" w:cs="Arial"/>
          <w:b/>
          <w:sz w:val="22"/>
          <w:szCs w:val="22"/>
        </w:rPr>
      </w:pPr>
      <w:r w:rsidRPr="00E60533">
        <w:rPr>
          <w:rFonts w:ascii="Arial" w:hAnsi="Arial" w:cs="Arial"/>
          <w:b/>
          <w:sz w:val="22"/>
          <w:szCs w:val="22"/>
        </w:rPr>
        <w:t>Work Health and Safety Commissioner</w:t>
      </w:r>
    </w:p>
    <w:p w14:paraId="5FF146A0" w14:textId="77777777" w:rsidR="00BC397B" w:rsidRDefault="00BC397B" w:rsidP="00BC397B">
      <w:pPr>
        <w:ind w:left="-2835"/>
      </w:pPr>
    </w:p>
    <w:sectPr w:rsidR="00BC397B" w:rsidSect="00D55709">
      <w:head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500C2" w14:textId="77777777" w:rsidR="00BC397B" w:rsidRDefault="00BC397B" w:rsidP="00BC397B">
      <w:pPr>
        <w:spacing w:before="0" w:after="0" w:line="240" w:lineRule="auto"/>
      </w:pPr>
      <w:r>
        <w:separator/>
      </w:r>
    </w:p>
  </w:endnote>
  <w:endnote w:type="continuationSeparator" w:id="0">
    <w:p w14:paraId="7BA43CA5" w14:textId="77777777" w:rsidR="00BC397B" w:rsidRDefault="00BC397B" w:rsidP="00BC397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8B2B2" w14:textId="3FDBC45E" w:rsidR="00CC2761" w:rsidRDefault="00CC2761">
    <w:pPr>
      <w:pStyle w:val="Footer"/>
    </w:pPr>
    <w:r>
      <w:rPr>
        <w:noProof/>
        <w:vertAlign w:val="subscript"/>
      </w:rPr>
      <w:drawing>
        <wp:anchor distT="0" distB="0" distL="114300" distR="114300" simplePos="0" relativeHeight="251671552" behindDoc="1" locked="0" layoutInCell="1" allowOverlap="1" wp14:anchorId="1163D419" wp14:editId="314FD173">
          <wp:simplePos x="0" y="0"/>
          <wp:positionH relativeFrom="column">
            <wp:posOffset>5287589</wp:posOffset>
          </wp:positionH>
          <wp:positionV relativeFrom="paragraph">
            <wp:posOffset>-659765</wp:posOffset>
          </wp:positionV>
          <wp:extent cx="1534160" cy="1534160"/>
          <wp:effectExtent l="0" t="0" r="8890" b="8890"/>
          <wp:wrapNone/>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kSafeACT Plus_Green Filled.png"/>
                  <pic:cNvPicPr/>
                </pic:nvPicPr>
                <pic:blipFill>
                  <a:blip r:embed="rId1">
                    <a:extLst>
                      <a:ext uri="{28A0092B-C50C-407E-A947-70E740481C1C}">
                        <a14:useLocalDpi xmlns:a14="http://schemas.microsoft.com/office/drawing/2010/main" val="0"/>
                      </a:ext>
                    </a:extLst>
                  </a:blip>
                  <a:stretch>
                    <a:fillRect/>
                  </a:stretch>
                </pic:blipFill>
                <pic:spPr>
                  <a:xfrm>
                    <a:off x="0" y="0"/>
                    <a:ext cx="1534160" cy="1534160"/>
                  </a:xfrm>
                  <a:prstGeom prst="rect">
                    <a:avLst/>
                  </a:prstGeom>
                </pic:spPr>
              </pic:pic>
            </a:graphicData>
          </a:graphic>
          <wp14:sizeRelH relativeFrom="page">
            <wp14:pctWidth>0</wp14:pctWidth>
          </wp14:sizeRelH>
          <wp14:sizeRelV relativeFrom="page">
            <wp14:pctHeight>0</wp14:pctHeight>
          </wp14:sizeRelV>
        </wp:anchor>
      </w:drawing>
    </w:r>
    <w:r w:rsidRPr="003C510A">
      <w:rPr>
        <w:noProof/>
        <w:vertAlign w:val="subscript"/>
      </w:rPr>
      <w:drawing>
        <wp:inline distT="0" distB="0" distL="0" distR="0" wp14:anchorId="58944C23" wp14:editId="6D092389">
          <wp:extent cx="3298004" cy="210185"/>
          <wp:effectExtent l="0" t="0" r="0" b="5715"/>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tice_Footer.png"/>
                  <pic:cNvPicPr/>
                </pic:nvPicPr>
                <pic:blipFill rotWithShape="1">
                  <a:blip r:embed="rId2">
                    <a:extLst>
                      <a:ext uri="{28A0092B-C50C-407E-A947-70E740481C1C}">
                        <a14:useLocalDpi xmlns:a14="http://schemas.microsoft.com/office/drawing/2010/main" val="0"/>
                      </a:ext>
                    </a:extLst>
                  </a:blip>
                  <a:srcRect r="50752"/>
                  <a:stretch/>
                </pic:blipFill>
                <pic:spPr bwMode="auto">
                  <a:xfrm>
                    <a:off x="0" y="0"/>
                    <a:ext cx="3298004" cy="21018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CE2C5" w14:textId="422046DC" w:rsidR="00BC397B" w:rsidRDefault="00BC397B">
    <w:pPr>
      <w:pStyle w:val="Footer"/>
    </w:pPr>
    <w:r>
      <w:rPr>
        <w:noProof/>
        <w:vertAlign w:val="subscript"/>
      </w:rPr>
      <w:drawing>
        <wp:anchor distT="0" distB="0" distL="114300" distR="114300" simplePos="0" relativeHeight="251664384" behindDoc="0" locked="0" layoutInCell="1" allowOverlap="1" wp14:anchorId="1A7436ED" wp14:editId="31611CC1">
          <wp:simplePos x="0" y="0"/>
          <wp:positionH relativeFrom="column">
            <wp:posOffset>5250124</wp:posOffset>
          </wp:positionH>
          <wp:positionV relativeFrom="paragraph">
            <wp:posOffset>-655955</wp:posOffset>
          </wp:positionV>
          <wp:extent cx="1534160" cy="1534160"/>
          <wp:effectExtent l="0" t="0" r="8890" b="8890"/>
          <wp:wrapNone/>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kSafeACT Plus_Green Filled.png"/>
                  <pic:cNvPicPr/>
                </pic:nvPicPr>
                <pic:blipFill>
                  <a:blip r:embed="rId1">
                    <a:extLst>
                      <a:ext uri="{28A0092B-C50C-407E-A947-70E740481C1C}">
                        <a14:useLocalDpi xmlns:a14="http://schemas.microsoft.com/office/drawing/2010/main" val="0"/>
                      </a:ext>
                    </a:extLst>
                  </a:blip>
                  <a:stretch>
                    <a:fillRect/>
                  </a:stretch>
                </pic:blipFill>
                <pic:spPr>
                  <a:xfrm>
                    <a:off x="0" y="0"/>
                    <a:ext cx="1534160" cy="1534160"/>
                  </a:xfrm>
                  <a:prstGeom prst="rect">
                    <a:avLst/>
                  </a:prstGeom>
                </pic:spPr>
              </pic:pic>
            </a:graphicData>
          </a:graphic>
          <wp14:sizeRelH relativeFrom="page">
            <wp14:pctWidth>0</wp14:pctWidth>
          </wp14:sizeRelH>
          <wp14:sizeRelV relativeFrom="page">
            <wp14:pctHeight>0</wp14:pctHeight>
          </wp14:sizeRelV>
        </wp:anchor>
      </w:drawing>
    </w:r>
    <w:r w:rsidRPr="003C510A">
      <w:rPr>
        <w:noProof/>
        <w:vertAlign w:val="subscript"/>
      </w:rPr>
      <w:drawing>
        <wp:inline distT="0" distB="0" distL="0" distR="0" wp14:anchorId="277A38D3" wp14:editId="1C46B229">
          <wp:extent cx="3298004" cy="210185"/>
          <wp:effectExtent l="0" t="0" r="0" b="5715"/>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tice_Footer.png"/>
                  <pic:cNvPicPr/>
                </pic:nvPicPr>
                <pic:blipFill rotWithShape="1">
                  <a:blip r:embed="rId2">
                    <a:extLst>
                      <a:ext uri="{28A0092B-C50C-407E-A947-70E740481C1C}">
                        <a14:useLocalDpi xmlns:a14="http://schemas.microsoft.com/office/drawing/2010/main" val="0"/>
                      </a:ext>
                    </a:extLst>
                  </a:blip>
                  <a:srcRect r="50752"/>
                  <a:stretch/>
                </pic:blipFill>
                <pic:spPr bwMode="auto">
                  <a:xfrm>
                    <a:off x="0" y="0"/>
                    <a:ext cx="3298004" cy="210185"/>
                  </a:xfrm>
                  <a:prstGeom prst="rect">
                    <a:avLst/>
                  </a:prstGeom>
                  <a:ln>
                    <a:noFill/>
                  </a:ln>
                  <a:extLst>
                    <a:ext uri="{53640926-AAD7-44D8-BBD7-CCE9431645EC}">
                      <a14:shadowObscured xmlns:a14="http://schemas.microsoft.com/office/drawing/2010/main"/>
                    </a:ext>
                  </a:extLst>
                </pic:spPr>
              </pic:pic>
            </a:graphicData>
          </a:graphic>
        </wp:inline>
      </w:drawing>
    </w:r>
  </w:p>
  <w:p w14:paraId="6B4B43BB" w14:textId="596BA897" w:rsidR="00BB2070" w:rsidRPr="00575C66" w:rsidRDefault="00575C66" w:rsidP="00575C66">
    <w:pPr>
      <w:pStyle w:val="Footer"/>
      <w:spacing w:before="60"/>
      <w:jc w:val="center"/>
      <w:rPr>
        <w:rFonts w:ascii="Arial" w:hAnsi="Arial" w:cs="Arial"/>
        <w:sz w:val="14"/>
        <w:szCs w:val="14"/>
      </w:rPr>
    </w:pPr>
    <w:r w:rsidRPr="00575C66">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067F4" w14:textId="33AB9B25" w:rsidR="009B7988" w:rsidRPr="00575C66" w:rsidRDefault="00575C66" w:rsidP="00575C66">
    <w:pPr>
      <w:pStyle w:val="Footer"/>
      <w:jc w:val="center"/>
      <w:rPr>
        <w:rFonts w:ascii="Arial" w:hAnsi="Arial" w:cs="Arial"/>
        <w:sz w:val="14"/>
        <w:szCs w:val="14"/>
      </w:rPr>
    </w:pPr>
    <w:r w:rsidRPr="00575C66">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F14C9" w14:textId="77777777" w:rsidR="00BC397B" w:rsidRDefault="00BC397B" w:rsidP="00BC397B">
      <w:pPr>
        <w:spacing w:before="0" w:after="0" w:line="240" w:lineRule="auto"/>
      </w:pPr>
      <w:r>
        <w:separator/>
      </w:r>
    </w:p>
  </w:footnote>
  <w:footnote w:type="continuationSeparator" w:id="0">
    <w:p w14:paraId="4309B391" w14:textId="77777777" w:rsidR="00BC397B" w:rsidRDefault="00BC397B" w:rsidP="00BC397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DCBD7" w14:textId="11F46795" w:rsidR="00CC2761" w:rsidRDefault="00CC2761">
    <w:pPr>
      <w:pStyle w:val="Header"/>
    </w:pPr>
    <w:r w:rsidRPr="00CC2761">
      <w:rPr>
        <w:noProof/>
      </w:rPr>
      <w:drawing>
        <wp:anchor distT="0" distB="0" distL="114300" distR="114300" simplePos="0" relativeHeight="251669504" behindDoc="0" locked="0" layoutInCell="1" allowOverlap="1" wp14:anchorId="5CBA71BF" wp14:editId="32219BFF">
          <wp:simplePos x="0" y="0"/>
          <wp:positionH relativeFrom="column">
            <wp:posOffset>-1085159</wp:posOffset>
          </wp:positionH>
          <wp:positionV relativeFrom="paragraph">
            <wp:posOffset>646430</wp:posOffset>
          </wp:positionV>
          <wp:extent cx="1534160" cy="1534160"/>
          <wp:effectExtent l="0" t="0" r="8890" b="889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kSafeACT Plus_Green Outlined.png"/>
                  <pic:cNvPicPr/>
                </pic:nvPicPr>
                <pic:blipFill>
                  <a:blip r:embed="rId1">
                    <a:extLst>
                      <a:ext uri="{28A0092B-C50C-407E-A947-70E740481C1C}">
                        <a14:useLocalDpi xmlns:a14="http://schemas.microsoft.com/office/drawing/2010/main" val="0"/>
                      </a:ext>
                    </a:extLst>
                  </a:blip>
                  <a:stretch>
                    <a:fillRect/>
                  </a:stretch>
                </pic:blipFill>
                <pic:spPr>
                  <a:xfrm>
                    <a:off x="0" y="0"/>
                    <a:ext cx="1534160" cy="1534160"/>
                  </a:xfrm>
                  <a:prstGeom prst="rect">
                    <a:avLst/>
                  </a:prstGeom>
                </pic:spPr>
              </pic:pic>
            </a:graphicData>
          </a:graphic>
          <wp14:sizeRelH relativeFrom="page">
            <wp14:pctWidth>0</wp14:pctWidth>
          </wp14:sizeRelH>
          <wp14:sizeRelV relativeFrom="page">
            <wp14:pctHeight>0</wp14:pctHeight>
          </wp14:sizeRelV>
        </wp:anchor>
      </w:drawing>
    </w:r>
    <w:r w:rsidRPr="00CC2761">
      <w:rPr>
        <w:noProof/>
      </w:rPr>
      <w:drawing>
        <wp:anchor distT="0" distB="0" distL="114300" distR="114300" simplePos="0" relativeHeight="251666432" behindDoc="0" locked="0" layoutInCell="1" allowOverlap="1" wp14:anchorId="1A63DDDB" wp14:editId="274A608E">
          <wp:simplePos x="0" y="0"/>
          <wp:positionH relativeFrom="page">
            <wp:posOffset>202565</wp:posOffset>
          </wp:positionH>
          <wp:positionV relativeFrom="page">
            <wp:posOffset>193096</wp:posOffset>
          </wp:positionV>
          <wp:extent cx="2449195" cy="10433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placeACT_cover_logo.png"/>
                  <pic:cNvPicPr/>
                </pic:nvPicPr>
                <pic:blipFill>
                  <a:blip r:embed="rId2">
                    <a:extLst>
                      <a:ext uri="{28A0092B-C50C-407E-A947-70E740481C1C}">
                        <a14:useLocalDpi xmlns:a14="http://schemas.microsoft.com/office/drawing/2010/main" val="0"/>
                      </a:ext>
                    </a:extLst>
                  </a:blip>
                  <a:stretch>
                    <a:fillRect/>
                  </a:stretch>
                </pic:blipFill>
                <pic:spPr>
                  <a:xfrm>
                    <a:off x="0" y="0"/>
                    <a:ext cx="2449195" cy="1043305"/>
                  </a:xfrm>
                  <a:prstGeom prst="rect">
                    <a:avLst/>
                  </a:prstGeom>
                </pic:spPr>
              </pic:pic>
            </a:graphicData>
          </a:graphic>
          <wp14:sizeRelH relativeFrom="margin">
            <wp14:pctWidth>0</wp14:pctWidth>
          </wp14:sizeRelH>
          <wp14:sizeRelV relativeFrom="margin">
            <wp14:pctHeight>0</wp14:pctHeight>
          </wp14:sizeRelV>
        </wp:anchor>
      </w:drawing>
    </w:r>
    <w:r w:rsidRPr="00CC2761">
      <w:rPr>
        <w:noProof/>
      </w:rPr>
      <mc:AlternateContent>
        <mc:Choice Requires="wps">
          <w:drawing>
            <wp:anchor distT="0" distB="0" distL="114300" distR="114300" simplePos="0" relativeHeight="251667456" behindDoc="1" locked="1" layoutInCell="1" allowOverlap="1" wp14:anchorId="140368A2" wp14:editId="5F1C613C">
              <wp:simplePos x="0" y="0"/>
              <wp:positionH relativeFrom="page">
                <wp:posOffset>3175</wp:posOffset>
              </wp:positionH>
              <wp:positionV relativeFrom="page">
                <wp:posOffset>6985</wp:posOffset>
              </wp:positionV>
              <wp:extent cx="7559675" cy="1727835"/>
              <wp:effectExtent l="0" t="0" r="3175" b="5715"/>
              <wp:wrapNone/>
              <wp:docPr id="2" name="Rectangle 2"/>
              <wp:cNvGraphicFramePr/>
              <a:graphic xmlns:a="http://schemas.openxmlformats.org/drawingml/2006/main">
                <a:graphicData uri="http://schemas.microsoft.com/office/word/2010/wordprocessingShape">
                  <wps:wsp>
                    <wps:cNvSpPr/>
                    <wps:spPr>
                      <a:xfrm>
                        <a:off x="0" y="0"/>
                        <a:ext cx="7559675" cy="172783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6EF0B" id="Rectangle 2" o:spid="_x0000_s1026" style="position:absolute;margin-left:.25pt;margin-top:.55pt;width:595.25pt;height:136.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" fillcolor="#d8d8d8 [2732]" stroked="f" strokeweight="2pt">
              <w10:wrap anchorx="page" anchory="page"/>
              <w10:anchorlock/>
            </v:rect>
          </w:pict>
        </mc:Fallback>
      </mc:AlternateContent>
    </w:r>
    <w:r w:rsidRPr="00CC2761">
      <w:rPr>
        <w:noProof/>
      </w:rPr>
      <w:drawing>
        <wp:anchor distT="0" distB="0" distL="114300" distR="114300" simplePos="0" relativeHeight="251668480" behindDoc="0" locked="0" layoutInCell="1" allowOverlap="1" wp14:anchorId="45E82FE5" wp14:editId="683685DC">
          <wp:simplePos x="0" y="0"/>
          <wp:positionH relativeFrom="page">
            <wp:posOffset>5372735</wp:posOffset>
          </wp:positionH>
          <wp:positionV relativeFrom="page">
            <wp:posOffset>438785</wp:posOffset>
          </wp:positionV>
          <wp:extent cx="1784985" cy="640080"/>
          <wp:effectExtent l="0" t="0" r="5715"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etterhead-Header_address.png"/>
                  <pic:cNvPicPr/>
                </pic:nvPicPr>
                <pic:blipFill>
                  <a:blip r:embed="rId3">
                    <a:extLst>
                      <a:ext uri="{28A0092B-C50C-407E-A947-70E740481C1C}">
                        <a14:useLocalDpi xmlns:a14="http://schemas.microsoft.com/office/drawing/2010/main" val="0"/>
                      </a:ext>
                    </a:extLst>
                  </a:blip>
                  <a:stretch>
                    <a:fillRect/>
                  </a:stretch>
                </pic:blipFill>
                <pic:spPr>
                  <a:xfrm>
                    <a:off x="0" y="0"/>
                    <a:ext cx="1784985" cy="6400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E19AC" w14:textId="77777777" w:rsidR="00575C66" w:rsidRDefault="00575C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A19C6" w14:textId="77777777" w:rsidR="00575C66" w:rsidRDefault="00575C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AB6BA" w14:textId="008B8DC0" w:rsidR="00D55709" w:rsidRDefault="002A47AD">
    <w:pPr>
      <w:pStyle w:val="Header"/>
    </w:pPr>
    <w:r w:rsidRPr="00CC2761">
      <w:rPr>
        <w:noProof/>
      </w:rPr>
      <mc:AlternateContent>
        <mc:Choice Requires="wps">
          <w:drawing>
            <wp:anchor distT="0" distB="0" distL="114300" distR="114300" simplePos="0" relativeHeight="251673600" behindDoc="1" locked="1" layoutInCell="1" allowOverlap="1" wp14:anchorId="04C9A544" wp14:editId="68C64BAF">
              <wp:simplePos x="0" y="0"/>
              <wp:positionH relativeFrom="page">
                <wp:posOffset>-7620</wp:posOffset>
              </wp:positionH>
              <wp:positionV relativeFrom="page">
                <wp:posOffset>-23495</wp:posOffset>
              </wp:positionV>
              <wp:extent cx="7559675" cy="1727835"/>
              <wp:effectExtent l="0" t="0" r="3175" b="5715"/>
              <wp:wrapNone/>
              <wp:docPr id="11" name="Rectangle 11"/>
              <wp:cNvGraphicFramePr/>
              <a:graphic xmlns:a="http://schemas.openxmlformats.org/drawingml/2006/main">
                <a:graphicData uri="http://schemas.microsoft.com/office/word/2010/wordprocessingShape">
                  <wps:wsp>
                    <wps:cNvSpPr/>
                    <wps:spPr>
                      <a:xfrm>
                        <a:off x="0" y="0"/>
                        <a:ext cx="7559675" cy="172783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9E87A2" w14:textId="6535E6E6" w:rsidR="002A47AD" w:rsidRDefault="002A47AD" w:rsidP="002A47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9A544" id="Rectangle 11" o:spid="_x0000_s1026" style="position:absolute;margin-left:-.6pt;margin-top:-1.85pt;width:595.25pt;height:136.0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" fillcolor="#d8d8d8 [2732]" stroked="f" strokeweight="2pt">
              <v:textbox>
                <w:txbxContent>
                  <w:p w14:paraId="7C9E87A2" w14:textId="6535E6E6" w:rsidR="002A47AD" w:rsidRDefault="002A47AD" w:rsidP="002A47AD">
                    <w:pPr>
                      <w:jc w:val="center"/>
                    </w:pPr>
                  </w:p>
                </w:txbxContent>
              </v:textbox>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hybridMultilevel"/>
    <w:tmpl w:val="266C5FF4"/>
    <w:lvl w:ilvl="0" w:tplc="1D4E7EC2">
      <w:start w:val="1"/>
      <w:numFmt w:val="bullet"/>
      <w:lvlText w:val=""/>
      <w:lvlJc w:val="left"/>
      <w:pPr>
        <w:ind w:left="720" w:hanging="360"/>
      </w:pPr>
      <w:rPr>
        <w:rFonts w:ascii="Symbol" w:hAnsi="Symbol" w:hint="default"/>
      </w:rPr>
    </w:lvl>
    <w:lvl w:ilvl="1" w:tplc="3CD2ABEE">
      <w:start w:val="1"/>
      <w:numFmt w:val="bullet"/>
      <w:lvlText w:val="o"/>
      <w:lvlJc w:val="left"/>
      <w:pPr>
        <w:ind w:left="1440" w:hanging="360"/>
      </w:pPr>
      <w:rPr>
        <w:rFonts w:ascii="Courier New" w:hAnsi="Courier New" w:cs="Courier New" w:hint="default"/>
      </w:rPr>
    </w:lvl>
    <w:lvl w:ilvl="2" w:tplc="35D0BDFC">
      <w:start w:val="1"/>
      <w:numFmt w:val="bullet"/>
      <w:lvlText w:val=""/>
      <w:lvlJc w:val="left"/>
      <w:pPr>
        <w:ind w:left="2160" w:hanging="360"/>
      </w:pPr>
      <w:rPr>
        <w:rFonts w:ascii="Wingdings" w:hAnsi="Wingdings" w:hint="default"/>
      </w:rPr>
    </w:lvl>
    <w:lvl w:ilvl="3" w:tplc="E0EA2630">
      <w:start w:val="1"/>
      <w:numFmt w:val="bullet"/>
      <w:lvlText w:val=""/>
      <w:lvlJc w:val="left"/>
      <w:pPr>
        <w:ind w:left="2880" w:hanging="360"/>
      </w:pPr>
      <w:rPr>
        <w:rFonts w:ascii="Symbol" w:hAnsi="Symbol" w:hint="default"/>
      </w:rPr>
    </w:lvl>
    <w:lvl w:ilvl="4" w:tplc="57CA5412">
      <w:start w:val="1"/>
      <w:numFmt w:val="bullet"/>
      <w:lvlText w:val="o"/>
      <w:lvlJc w:val="left"/>
      <w:pPr>
        <w:ind w:left="3600" w:hanging="360"/>
      </w:pPr>
      <w:rPr>
        <w:rFonts w:ascii="Courier New" w:hAnsi="Courier New" w:cs="Courier New" w:hint="default"/>
      </w:rPr>
    </w:lvl>
    <w:lvl w:ilvl="5" w:tplc="B6961F66">
      <w:start w:val="1"/>
      <w:numFmt w:val="bullet"/>
      <w:lvlText w:val=""/>
      <w:lvlJc w:val="left"/>
      <w:pPr>
        <w:ind w:left="4320" w:hanging="360"/>
      </w:pPr>
      <w:rPr>
        <w:rFonts w:ascii="Wingdings" w:hAnsi="Wingdings" w:hint="default"/>
      </w:rPr>
    </w:lvl>
    <w:lvl w:ilvl="6" w:tplc="E876AC0C">
      <w:start w:val="1"/>
      <w:numFmt w:val="bullet"/>
      <w:lvlText w:val=""/>
      <w:lvlJc w:val="left"/>
      <w:pPr>
        <w:ind w:left="5040" w:hanging="360"/>
      </w:pPr>
      <w:rPr>
        <w:rFonts w:ascii="Symbol" w:hAnsi="Symbol" w:hint="default"/>
      </w:rPr>
    </w:lvl>
    <w:lvl w:ilvl="7" w:tplc="DA72D426">
      <w:start w:val="1"/>
      <w:numFmt w:val="bullet"/>
      <w:lvlText w:val="o"/>
      <w:lvlJc w:val="left"/>
      <w:pPr>
        <w:ind w:left="5760" w:hanging="360"/>
      </w:pPr>
      <w:rPr>
        <w:rFonts w:ascii="Courier New" w:hAnsi="Courier New" w:cs="Courier New" w:hint="default"/>
      </w:rPr>
    </w:lvl>
    <w:lvl w:ilvl="8" w:tplc="4F42154C">
      <w:start w:val="1"/>
      <w:numFmt w:val="bullet"/>
      <w:lvlText w:val=""/>
      <w:lvlJc w:val="left"/>
      <w:pPr>
        <w:ind w:left="6480" w:hanging="360"/>
      </w:pPr>
      <w:rPr>
        <w:rFonts w:ascii="Wingdings" w:hAnsi="Wingdings" w:hint="default"/>
      </w:rPr>
    </w:lvl>
  </w:abstractNum>
  <w:abstractNum w:abstractNumId="1" w15:restartNumberingAfterBreak="0">
    <w:nsid w:val="00000005"/>
    <w:multiLevelType w:val="hybridMultilevel"/>
    <w:tmpl w:val="556ECD1E"/>
    <w:lvl w:ilvl="0" w:tplc="7706B51E">
      <w:start w:val="1"/>
      <w:numFmt w:val="bullet"/>
      <w:lvlText w:val=""/>
      <w:lvlJc w:val="left"/>
      <w:pPr>
        <w:ind w:left="720" w:hanging="360"/>
      </w:pPr>
      <w:rPr>
        <w:rFonts w:ascii="Symbol" w:hAnsi="Symbol" w:hint="default"/>
      </w:rPr>
    </w:lvl>
    <w:lvl w:ilvl="1" w:tplc="F07E989E">
      <w:start w:val="1"/>
      <w:numFmt w:val="bullet"/>
      <w:lvlText w:val="o"/>
      <w:lvlJc w:val="left"/>
      <w:pPr>
        <w:ind w:left="1440" w:hanging="360"/>
      </w:pPr>
      <w:rPr>
        <w:rFonts w:ascii="Courier New" w:hAnsi="Courier New" w:cs="Courier New" w:hint="default"/>
      </w:rPr>
    </w:lvl>
    <w:lvl w:ilvl="2" w:tplc="74F0B61C">
      <w:start w:val="1"/>
      <w:numFmt w:val="bullet"/>
      <w:lvlText w:val=""/>
      <w:lvlJc w:val="left"/>
      <w:pPr>
        <w:ind w:left="2160" w:hanging="360"/>
      </w:pPr>
      <w:rPr>
        <w:rFonts w:ascii="Wingdings" w:hAnsi="Wingdings" w:hint="default"/>
      </w:rPr>
    </w:lvl>
    <w:lvl w:ilvl="3" w:tplc="DE865334">
      <w:start w:val="1"/>
      <w:numFmt w:val="bullet"/>
      <w:lvlText w:val=""/>
      <w:lvlJc w:val="left"/>
      <w:pPr>
        <w:ind w:left="2880" w:hanging="360"/>
      </w:pPr>
      <w:rPr>
        <w:rFonts w:ascii="Symbol" w:hAnsi="Symbol" w:hint="default"/>
      </w:rPr>
    </w:lvl>
    <w:lvl w:ilvl="4" w:tplc="8C284228">
      <w:start w:val="1"/>
      <w:numFmt w:val="bullet"/>
      <w:lvlText w:val="o"/>
      <w:lvlJc w:val="left"/>
      <w:pPr>
        <w:ind w:left="3600" w:hanging="360"/>
      </w:pPr>
      <w:rPr>
        <w:rFonts w:ascii="Courier New" w:hAnsi="Courier New" w:cs="Courier New" w:hint="default"/>
      </w:rPr>
    </w:lvl>
    <w:lvl w:ilvl="5" w:tplc="7C541E1A">
      <w:start w:val="1"/>
      <w:numFmt w:val="bullet"/>
      <w:lvlText w:val=""/>
      <w:lvlJc w:val="left"/>
      <w:pPr>
        <w:ind w:left="4320" w:hanging="360"/>
      </w:pPr>
      <w:rPr>
        <w:rFonts w:ascii="Wingdings" w:hAnsi="Wingdings" w:hint="default"/>
      </w:rPr>
    </w:lvl>
    <w:lvl w:ilvl="6" w:tplc="16BEFA80">
      <w:start w:val="1"/>
      <w:numFmt w:val="bullet"/>
      <w:lvlText w:val=""/>
      <w:lvlJc w:val="left"/>
      <w:pPr>
        <w:ind w:left="5040" w:hanging="360"/>
      </w:pPr>
      <w:rPr>
        <w:rFonts w:ascii="Symbol" w:hAnsi="Symbol" w:hint="default"/>
      </w:rPr>
    </w:lvl>
    <w:lvl w:ilvl="7" w:tplc="9642D7A0">
      <w:start w:val="1"/>
      <w:numFmt w:val="bullet"/>
      <w:lvlText w:val="o"/>
      <w:lvlJc w:val="left"/>
      <w:pPr>
        <w:ind w:left="5760" w:hanging="360"/>
      </w:pPr>
      <w:rPr>
        <w:rFonts w:ascii="Courier New" w:hAnsi="Courier New" w:cs="Courier New" w:hint="default"/>
      </w:rPr>
    </w:lvl>
    <w:lvl w:ilvl="8" w:tplc="8C32E8E6">
      <w:start w:val="1"/>
      <w:numFmt w:val="bullet"/>
      <w:lvlText w:val=""/>
      <w:lvlJc w:val="left"/>
      <w:pPr>
        <w:ind w:left="6480" w:hanging="360"/>
      </w:pPr>
      <w:rPr>
        <w:rFonts w:ascii="Wingdings" w:hAnsi="Wingdings" w:hint="default"/>
      </w:rPr>
    </w:lvl>
  </w:abstractNum>
  <w:abstractNum w:abstractNumId="2" w15:restartNumberingAfterBreak="0">
    <w:nsid w:val="49797CD1"/>
    <w:multiLevelType w:val="hybridMultilevel"/>
    <w:tmpl w:val="601C7A28"/>
    <w:lvl w:ilvl="0" w:tplc="0C090001">
      <w:start w:val="1"/>
      <w:numFmt w:val="bullet"/>
      <w:lvlText w:val=""/>
      <w:lvlJc w:val="left"/>
      <w:pPr>
        <w:ind w:left="-2115" w:hanging="360"/>
      </w:pPr>
      <w:rPr>
        <w:rFonts w:ascii="Symbol" w:hAnsi="Symbol" w:hint="default"/>
      </w:rPr>
    </w:lvl>
    <w:lvl w:ilvl="1" w:tplc="0C090003" w:tentative="1">
      <w:start w:val="1"/>
      <w:numFmt w:val="bullet"/>
      <w:lvlText w:val="o"/>
      <w:lvlJc w:val="left"/>
      <w:pPr>
        <w:ind w:left="-1395" w:hanging="360"/>
      </w:pPr>
      <w:rPr>
        <w:rFonts w:ascii="Courier New" w:hAnsi="Courier New" w:cs="Courier New" w:hint="default"/>
      </w:rPr>
    </w:lvl>
    <w:lvl w:ilvl="2" w:tplc="0C090005" w:tentative="1">
      <w:start w:val="1"/>
      <w:numFmt w:val="bullet"/>
      <w:lvlText w:val=""/>
      <w:lvlJc w:val="left"/>
      <w:pPr>
        <w:ind w:left="-675" w:hanging="360"/>
      </w:pPr>
      <w:rPr>
        <w:rFonts w:ascii="Wingdings" w:hAnsi="Wingdings" w:hint="default"/>
      </w:rPr>
    </w:lvl>
    <w:lvl w:ilvl="3" w:tplc="0C090001" w:tentative="1">
      <w:start w:val="1"/>
      <w:numFmt w:val="bullet"/>
      <w:lvlText w:val=""/>
      <w:lvlJc w:val="left"/>
      <w:pPr>
        <w:ind w:left="45" w:hanging="360"/>
      </w:pPr>
      <w:rPr>
        <w:rFonts w:ascii="Symbol" w:hAnsi="Symbol" w:hint="default"/>
      </w:rPr>
    </w:lvl>
    <w:lvl w:ilvl="4" w:tplc="0C090003" w:tentative="1">
      <w:start w:val="1"/>
      <w:numFmt w:val="bullet"/>
      <w:lvlText w:val="o"/>
      <w:lvlJc w:val="left"/>
      <w:pPr>
        <w:ind w:left="765" w:hanging="360"/>
      </w:pPr>
      <w:rPr>
        <w:rFonts w:ascii="Courier New" w:hAnsi="Courier New" w:cs="Courier New" w:hint="default"/>
      </w:rPr>
    </w:lvl>
    <w:lvl w:ilvl="5" w:tplc="0C090005" w:tentative="1">
      <w:start w:val="1"/>
      <w:numFmt w:val="bullet"/>
      <w:lvlText w:val=""/>
      <w:lvlJc w:val="left"/>
      <w:pPr>
        <w:ind w:left="1485" w:hanging="360"/>
      </w:pPr>
      <w:rPr>
        <w:rFonts w:ascii="Wingdings" w:hAnsi="Wingdings" w:hint="default"/>
      </w:rPr>
    </w:lvl>
    <w:lvl w:ilvl="6" w:tplc="0C090001" w:tentative="1">
      <w:start w:val="1"/>
      <w:numFmt w:val="bullet"/>
      <w:lvlText w:val=""/>
      <w:lvlJc w:val="left"/>
      <w:pPr>
        <w:ind w:left="2205" w:hanging="360"/>
      </w:pPr>
      <w:rPr>
        <w:rFonts w:ascii="Symbol" w:hAnsi="Symbol" w:hint="default"/>
      </w:rPr>
    </w:lvl>
    <w:lvl w:ilvl="7" w:tplc="0C090003" w:tentative="1">
      <w:start w:val="1"/>
      <w:numFmt w:val="bullet"/>
      <w:lvlText w:val="o"/>
      <w:lvlJc w:val="left"/>
      <w:pPr>
        <w:ind w:left="2925" w:hanging="360"/>
      </w:pPr>
      <w:rPr>
        <w:rFonts w:ascii="Courier New" w:hAnsi="Courier New" w:cs="Courier New" w:hint="default"/>
      </w:rPr>
    </w:lvl>
    <w:lvl w:ilvl="8" w:tplc="0C090005" w:tentative="1">
      <w:start w:val="1"/>
      <w:numFmt w:val="bullet"/>
      <w:lvlText w:val=""/>
      <w:lvlJc w:val="left"/>
      <w:pPr>
        <w:ind w:left="3645" w:hanging="360"/>
      </w:pPr>
      <w:rPr>
        <w:rFonts w:ascii="Wingdings" w:hAnsi="Wingdings" w:hint="default"/>
      </w:rPr>
    </w:lvl>
  </w:abstractNum>
  <w:abstractNum w:abstractNumId="3" w15:restartNumberingAfterBreak="0">
    <w:nsid w:val="4C094359"/>
    <w:multiLevelType w:val="hybridMultilevel"/>
    <w:tmpl w:val="C96013EE"/>
    <w:lvl w:ilvl="0" w:tplc="0C09000F">
      <w:start w:val="1"/>
      <w:numFmt w:val="decimal"/>
      <w:lvlText w:val="%1."/>
      <w:lvlJc w:val="left"/>
      <w:pPr>
        <w:ind w:left="-1035" w:hanging="360"/>
      </w:pPr>
    </w:lvl>
    <w:lvl w:ilvl="1" w:tplc="0C090019" w:tentative="1">
      <w:start w:val="1"/>
      <w:numFmt w:val="lowerLetter"/>
      <w:lvlText w:val="%2."/>
      <w:lvlJc w:val="left"/>
      <w:pPr>
        <w:ind w:left="-315" w:hanging="360"/>
      </w:pPr>
    </w:lvl>
    <w:lvl w:ilvl="2" w:tplc="0C09001B" w:tentative="1">
      <w:start w:val="1"/>
      <w:numFmt w:val="lowerRoman"/>
      <w:lvlText w:val="%3."/>
      <w:lvlJc w:val="right"/>
      <w:pPr>
        <w:ind w:left="405" w:hanging="180"/>
      </w:pPr>
    </w:lvl>
    <w:lvl w:ilvl="3" w:tplc="0C09000F" w:tentative="1">
      <w:start w:val="1"/>
      <w:numFmt w:val="decimal"/>
      <w:lvlText w:val="%4."/>
      <w:lvlJc w:val="left"/>
      <w:pPr>
        <w:ind w:left="1125" w:hanging="360"/>
      </w:pPr>
    </w:lvl>
    <w:lvl w:ilvl="4" w:tplc="0C090019" w:tentative="1">
      <w:start w:val="1"/>
      <w:numFmt w:val="lowerLetter"/>
      <w:lvlText w:val="%5."/>
      <w:lvlJc w:val="left"/>
      <w:pPr>
        <w:ind w:left="1845" w:hanging="360"/>
      </w:pPr>
    </w:lvl>
    <w:lvl w:ilvl="5" w:tplc="0C09001B" w:tentative="1">
      <w:start w:val="1"/>
      <w:numFmt w:val="lowerRoman"/>
      <w:lvlText w:val="%6."/>
      <w:lvlJc w:val="right"/>
      <w:pPr>
        <w:ind w:left="2565" w:hanging="180"/>
      </w:pPr>
    </w:lvl>
    <w:lvl w:ilvl="6" w:tplc="0C09000F" w:tentative="1">
      <w:start w:val="1"/>
      <w:numFmt w:val="decimal"/>
      <w:lvlText w:val="%7."/>
      <w:lvlJc w:val="left"/>
      <w:pPr>
        <w:ind w:left="3285" w:hanging="360"/>
      </w:pPr>
    </w:lvl>
    <w:lvl w:ilvl="7" w:tplc="0C090019" w:tentative="1">
      <w:start w:val="1"/>
      <w:numFmt w:val="lowerLetter"/>
      <w:lvlText w:val="%8."/>
      <w:lvlJc w:val="left"/>
      <w:pPr>
        <w:ind w:left="4005" w:hanging="360"/>
      </w:pPr>
    </w:lvl>
    <w:lvl w:ilvl="8" w:tplc="0C09001B" w:tentative="1">
      <w:start w:val="1"/>
      <w:numFmt w:val="lowerRoman"/>
      <w:lvlText w:val="%9."/>
      <w:lvlJc w:val="right"/>
      <w:pPr>
        <w:ind w:left="4725" w:hanging="180"/>
      </w:pPr>
    </w:lvl>
  </w:abstractNum>
  <w:abstractNum w:abstractNumId="4" w15:restartNumberingAfterBreak="0">
    <w:nsid w:val="759B0EB8"/>
    <w:multiLevelType w:val="hybridMultilevel"/>
    <w:tmpl w:val="CE8A0F7A"/>
    <w:lvl w:ilvl="0" w:tplc="0C090001">
      <w:start w:val="1"/>
      <w:numFmt w:val="bullet"/>
      <w:lvlText w:val=""/>
      <w:lvlJc w:val="left"/>
      <w:pPr>
        <w:ind w:left="-1035" w:hanging="360"/>
      </w:pPr>
      <w:rPr>
        <w:rFonts w:ascii="Symbol" w:hAnsi="Symbol" w:hint="default"/>
      </w:rPr>
    </w:lvl>
    <w:lvl w:ilvl="1" w:tplc="0C090003" w:tentative="1">
      <w:start w:val="1"/>
      <w:numFmt w:val="bullet"/>
      <w:lvlText w:val="o"/>
      <w:lvlJc w:val="left"/>
      <w:pPr>
        <w:ind w:left="-315" w:hanging="360"/>
      </w:pPr>
      <w:rPr>
        <w:rFonts w:ascii="Courier New" w:hAnsi="Courier New" w:cs="Courier New" w:hint="default"/>
      </w:rPr>
    </w:lvl>
    <w:lvl w:ilvl="2" w:tplc="0C090005" w:tentative="1">
      <w:start w:val="1"/>
      <w:numFmt w:val="bullet"/>
      <w:lvlText w:val=""/>
      <w:lvlJc w:val="left"/>
      <w:pPr>
        <w:ind w:left="405" w:hanging="360"/>
      </w:pPr>
      <w:rPr>
        <w:rFonts w:ascii="Wingdings" w:hAnsi="Wingdings" w:hint="default"/>
      </w:rPr>
    </w:lvl>
    <w:lvl w:ilvl="3" w:tplc="0C090001" w:tentative="1">
      <w:start w:val="1"/>
      <w:numFmt w:val="bullet"/>
      <w:lvlText w:val=""/>
      <w:lvlJc w:val="left"/>
      <w:pPr>
        <w:ind w:left="1125" w:hanging="360"/>
      </w:pPr>
      <w:rPr>
        <w:rFonts w:ascii="Symbol" w:hAnsi="Symbol" w:hint="default"/>
      </w:rPr>
    </w:lvl>
    <w:lvl w:ilvl="4" w:tplc="0C090003" w:tentative="1">
      <w:start w:val="1"/>
      <w:numFmt w:val="bullet"/>
      <w:lvlText w:val="o"/>
      <w:lvlJc w:val="left"/>
      <w:pPr>
        <w:ind w:left="1845" w:hanging="360"/>
      </w:pPr>
      <w:rPr>
        <w:rFonts w:ascii="Courier New" w:hAnsi="Courier New" w:cs="Courier New" w:hint="default"/>
      </w:rPr>
    </w:lvl>
    <w:lvl w:ilvl="5" w:tplc="0C090005" w:tentative="1">
      <w:start w:val="1"/>
      <w:numFmt w:val="bullet"/>
      <w:lvlText w:val=""/>
      <w:lvlJc w:val="left"/>
      <w:pPr>
        <w:ind w:left="2565" w:hanging="360"/>
      </w:pPr>
      <w:rPr>
        <w:rFonts w:ascii="Wingdings" w:hAnsi="Wingdings" w:hint="default"/>
      </w:rPr>
    </w:lvl>
    <w:lvl w:ilvl="6" w:tplc="0C090001" w:tentative="1">
      <w:start w:val="1"/>
      <w:numFmt w:val="bullet"/>
      <w:lvlText w:val=""/>
      <w:lvlJc w:val="left"/>
      <w:pPr>
        <w:ind w:left="3285" w:hanging="360"/>
      </w:pPr>
      <w:rPr>
        <w:rFonts w:ascii="Symbol" w:hAnsi="Symbol" w:hint="default"/>
      </w:rPr>
    </w:lvl>
    <w:lvl w:ilvl="7" w:tplc="0C090003" w:tentative="1">
      <w:start w:val="1"/>
      <w:numFmt w:val="bullet"/>
      <w:lvlText w:val="o"/>
      <w:lvlJc w:val="left"/>
      <w:pPr>
        <w:ind w:left="4005" w:hanging="360"/>
      </w:pPr>
      <w:rPr>
        <w:rFonts w:ascii="Courier New" w:hAnsi="Courier New" w:cs="Courier New" w:hint="default"/>
      </w:rPr>
    </w:lvl>
    <w:lvl w:ilvl="8" w:tplc="0C090005" w:tentative="1">
      <w:start w:val="1"/>
      <w:numFmt w:val="bullet"/>
      <w:lvlText w:val=""/>
      <w:lvlJc w:val="left"/>
      <w:pPr>
        <w:ind w:left="4725" w:hanging="360"/>
      </w:pPr>
      <w:rPr>
        <w:rFonts w:ascii="Wingdings" w:hAnsi="Wingdings" w:hint="default"/>
      </w:rPr>
    </w:lvl>
  </w:abstractNum>
  <w:abstractNum w:abstractNumId="5" w15:restartNumberingAfterBreak="0">
    <w:nsid w:val="77C175BF"/>
    <w:multiLevelType w:val="hybridMultilevel"/>
    <w:tmpl w:val="CDD864EA"/>
    <w:lvl w:ilvl="0" w:tplc="0C090001">
      <w:start w:val="1"/>
      <w:numFmt w:val="bullet"/>
      <w:lvlText w:val=""/>
      <w:lvlJc w:val="left"/>
      <w:pPr>
        <w:ind w:left="-1755" w:hanging="360"/>
      </w:pPr>
      <w:rPr>
        <w:rFonts w:ascii="Symbol" w:hAnsi="Symbol" w:hint="default"/>
      </w:rPr>
    </w:lvl>
    <w:lvl w:ilvl="1" w:tplc="0C090003" w:tentative="1">
      <w:start w:val="1"/>
      <w:numFmt w:val="bullet"/>
      <w:lvlText w:val="o"/>
      <w:lvlJc w:val="left"/>
      <w:pPr>
        <w:ind w:left="-1035" w:hanging="360"/>
      </w:pPr>
      <w:rPr>
        <w:rFonts w:ascii="Courier New" w:hAnsi="Courier New" w:cs="Courier New" w:hint="default"/>
      </w:rPr>
    </w:lvl>
    <w:lvl w:ilvl="2" w:tplc="0C090005" w:tentative="1">
      <w:start w:val="1"/>
      <w:numFmt w:val="bullet"/>
      <w:lvlText w:val=""/>
      <w:lvlJc w:val="left"/>
      <w:pPr>
        <w:ind w:left="-315" w:hanging="360"/>
      </w:pPr>
      <w:rPr>
        <w:rFonts w:ascii="Wingdings" w:hAnsi="Wingdings" w:hint="default"/>
      </w:rPr>
    </w:lvl>
    <w:lvl w:ilvl="3" w:tplc="0C090001" w:tentative="1">
      <w:start w:val="1"/>
      <w:numFmt w:val="bullet"/>
      <w:lvlText w:val=""/>
      <w:lvlJc w:val="left"/>
      <w:pPr>
        <w:ind w:left="405" w:hanging="360"/>
      </w:pPr>
      <w:rPr>
        <w:rFonts w:ascii="Symbol" w:hAnsi="Symbol" w:hint="default"/>
      </w:rPr>
    </w:lvl>
    <w:lvl w:ilvl="4" w:tplc="0C090003" w:tentative="1">
      <w:start w:val="1"/>
      <w:numFmt w:val="bullet"/>
      <w:lvlText w:val="o"/>
      <w:lvlJc w:val="left"/>
      <w:pPr>
        <w:ind w:left="1125" w:hanging="360"/>
      </w:pPr>
      <w:rPr>
        <w:rFonts w:ascii="Courier New" w:hAnsi="Courier New" w:cs="Courier New" w:hint="default"/>
      </w:rPr>
    </w:lvl>
    <w:lvl w:ilvl="5" w:tplc="0C090005" w:tentative="1">
      <w:start w:val="1"/>
      <w:numFmt w:val="bullet"/>
      <w:lvlText w:val=""/>
      <w:lvlJc w:val="left"/>
      <w:pPr>
        <w:ind w:left="1845" w:hanging="360"/>
      </w:pPr>
      <w:rPr>
        <w:rFonts w:ascii="Wingdings" w:hAnsi="Wingdings" w:hint="default"/>
      </w:rPr>
    </w:lvl>
    <w:lvl w:ilvl="6" w:tplc="0C090001" w:tentative="1">
      <w:start w:val="1"/>
      <w:numFmt w:val="bullet"/>
      <w:lvlText w:val=""/>
      <w:lvlJc w:val="left"/>
      <w:pPr>
        <w:ind w:left="2565" w:hanging="360"/>
      </w:pPr>
      <w:rPr>
        <w:rFonts w:ascii="Symbol" w:hAnsi="Symbol" w:hint="default"/>
      </w:rPr>
    </w:lvl>
    <w:lvl w:ilvl="7" w:tplc="0C090003" w:tentative="1">
      <w:start w:val="1"/>
      <w:numFmt w:val="bullet"/>
      <w:lvlText w:val="o"/>
      <w:lvlJc w:val="left"/>
      <w:pPr>
        <w:ind w:left="3285" w:hanging="360"/>
      </w:pPr>
      <w:rPr>
        <w:rFonts w:ascii="Courier New" w:hAnsi="Courier New" w:cs="Courier New" w:hint="default"/>
      </w:rPr>
    </w:lvl>
    <w:lvl w:ilvl="8" w:tplc="0C090005" w:tentative="1">
      <w:start w:val="1"/>
      <w:numFmt w:val="bullet"/>
      <w:lvlText w:val=""/>
      <w:lvlJc w:val="left"/>
      <w:pPr>
        <w:ind w:left="4005"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9CB"/>
    <w:rsid w:val="000B290F"/>
    <w:rsid w:val="002A47AD"/>
    <w:rsid w:val="003946CA"/>
    <w:rsid w:val="003F215A"/>
    <w:rsid w:val="00497622"/>
    <w:rsid w:val="004A61ED"/>
    <w:rsid w:val="004E6B59"/>
    <w:rsid w:val="00575C66"/>
    <w:rsid w:val="00605BB6"/>
    <w:rsid w:val="006F2E64"/>
    <w:rsid w:val="007011E4"/>
    <w:rsid w:val="00724E21"/>
    <w:rsid w:val="00741B3F"/>
    <w:rsid w:val="00813FB6"/>
    <w:rsid w:val="00851F7B"/>
    <w:rsid w:val="008F289A"/>
    <w:rsid w:val="008F7E4C"/>
    <w:rsid w:val="00927F37"/>
    <w:rsid w:val="00962DC8"/>
    <w:rsid w:val="00973F1D"/>
    <w:rsid w:val="00981505"/>
    <w:rsid w:val="009A45E7"/>
    <w:rsid w:val="009B4E9A"/>
    <w:rsid w:val="009B7988"/>
    <w:rsid w:val="009E19E7"/>
    <w:rsid w:val="00AB4A09"/>
    <w:rsid w:val="00AE057B"/>
    <w:rsid w:val="00B3303C"/>
    <w:rsid w:val="00B43861"/>
    <w:rsid w:val="00BB2070"/>
    <w:rsid w:val="00BB5B45"/>
    <w:rsid w:val="00BB7F7B"/>
    <w:rsid w:val="00BC397B"/>
    <w:rsid w:val="00BE7A8F"/>
    <w:rsid w:val="00C369CB"/>
    <w:rsid w:val="00CC2761"/>
    <w:rsid w:val="00D02A18"/>
    <w:rsid w:val="00D55709"/>
    <w:rsid w:val="00D649C8"/>
    <w:rsid w:val="00D92783"/>
    <w:rsid w:val="00DB6FDE"/>
    <w:rsid w:val="00E60533"/>
    <w:rsid w:val="00E7696D"/>
    <w:rsid w:val="00E84F34"/>
    <w:rsid w:val="00E87B90"/>
    <w:rsid w:val="00F516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1A04EDA"/>
  <w15:chartTrackingRefBased/>
  <w15:docId w15:val="{B1B66812-61D2-4C96-BE4F-FCCEDA31C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9CB"/>
    <w:pPr>
      <w:spacing w:before="120" w:after="120" w:line="280" w:lineRule="atLeast"/>
    </w:pPr>
    <w:rPr>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name">
    <w:name w:val="Billname"/>
    <w:basedOn w:val="Normal"/>
    <w:rsid w:val="00C369CB"/>
    <w:pPr>
      <w:tabs>
        <w:tab w:val="left" w:pos="2400"/>
        <w:tab w:val="left" w:pos="2880"/>
      </w:tabs>
      <w:spacing w:before="1220" w:after="100" w:line="240" w:lineRule="auto"/>
    </w:pPr>
    <w:rPr>
      <w:rFonts w:ascii="Arial" w:eastAsia="Times New Roman" w:hAnsi="Arial" w:cs="Times New Roman"/>
      <w:b/>
      <w:color w:val="auto"/>
      <w:sz w:val="40"/>
    </w:rPr>
  </w:style>
  <w:style w:type="paragraph" w:customStyle="1" w:styleId="N-line3">
    <w:name w:val="N-line3"/>
    <w:basedOn w:val="Normal"/>
    <w:next w:val="Normal"/>
    <w:rsid w:val="00C369CB"/>
    <w:pPr>
      <w:pBdr>
        <w:bottom w:val="single" w:sz="12" w:space="1" w:color="auto"/>
      </w:pBdr>
      <w:spacing w:before="0" w:after="0" w:line="240" w:lineRule="auto"/>
      <w:jc w:val="both"/>
    </w:pPr>
    <w:rPr>
      <w:rFonts w:ascii="Times New Roman" w:eastAsia="Times New Roman" w:hAnsi="Times New Roman" w:cs="Times New Roman"/>
      <w:color w:val="auto"/>
      <w:sz w:val="24"/>
    </w:rPr>
  </w:style>
  <w:style w:type="paragraph" w:customStyle="1" w:styleId="madeunder">
    <w:name w:val="made under"/>
    <w:basedOn w:val="Normal"/>
    <w:rsid w:val="00C369CB"/>
    <w:pPr>
      <w:spacing w:before="180" w:after="60" w:line="240" w:lineRule="auto"/>
      <w:jc w:val="both"/>
    </w:pPr>
    <w:rPr>
      <w:rFonts w:ascii="Times New Roman" w:eastAsia="Times New Roman" w:hAnsi="Times New Roman" w:cs="Times New Roman"/>
      <w:color w:val="auto"/>
      <w:sz w:val="24"/>
    </w:rPr>
  </w:style>
  <w:style w:type="paragraph" w:customStyle="1" w:styleId="CoverActName">
    <w:name w:val="CoverActName"/>
    <w:basedOn w:val="Normal"/>
    <w:rsid w:val="00C369CB"/>
    <w:pPr>
      <w:tabs>
        <w:tab w:val="left" w:pos="2600"/>
      </w:tabs>
      <w:spacing w:before="200" w:after="60" w:line="240" w:lineRule="auto"/>
      <w:jc w:val="both"/>
    </w:pPr>
    <w:rPr>
      <w:rFonts w:ascii="Arial" w:eastAsia="Times New Roman" w:hAnsi="Arial" w:cs="Times New Roman"/>
      <w:b/>
      <w:color w:val="auto"/>
      <w:sz w:val="24"/>
    </w:rPr>
  </w:style>
  <w:style w:type="paragraph" w:styleId="Header">
    <w:name w:val="header"/>
    <w:basedOn w:val="Normal"/>
    <w:link w:val="HeaderChar"/>
    <w:uiPriority w:val="99"/>
    <w:unhideWhenUsed/>
    <w:rsid w:val="00BC397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C397B"/>
    <w:rPr>
      <w:color w:val="000000" w:themeColor="text1"/>
      <w:sz w:val="20"/>
      <w:szCs w:val="20"/>
    </w:rPr>
  </w:style>
  <w:style w:type="paragraph" w:styleId="Footer">
    <w:name w:val="footer"/>
    <w:basedOn w:val="Normal"/>
    <w:link w:val="FooterChar"/>
    <w:uiPriority w:val="99"/>
    <w:unhideWhenUsed/>
    <w:rsid w:val="00BC397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C397B"/>
    <w:rPr>
      <w:color w:val="000000" w:themeColor="text1"/>
      <w:sz w:val="20"/>
      <w:szCs w:val="20"/>
    </w:rPr>
  </w:style>
  <w:style w:type="character" w:styleId="Hyperlink">
    <w:name w:val="Hyperlink"/>
    <w:basedOn w:val="DefaultParagraphFont"/>
    <w:uiPriority w:val="99"/>
    <w:unhideWhenUsed/>
    <w:rsid w:val="00BC397B"/>
    <w:rPr>
      <w:color w:val="0070C0"/>
      <w:u w:val="single"/>
    </w:rPr>
  </w:style>
  <w:style w:type="paragraph" w:customStyle="1" w:styleId="AddressText">
    <w:name w:val="Address Text"/>
    <w:basedOn w:val="Normal"/>
    <w:qFormat/>
    <w:rsid w:val="00BC397B"/>
    <w:pPr>
      <w:spacing w:before="0"/>
      <w:contextualSpacing/>
    </w:pPr>
  </w:style>
  <w:style w:type="paragraph" w:styleId="ListParagraph">
    <w:name w:val="List Paragraph"/>
    <w:basedOn w:val="Normal"/>
    <w:uiPriority w:val="37"/>
    <w:unhideWhenUsed/>
    <w:qFormat/>
    <w:rsid w:val="00BC397B"/>
    <w:pPr>
      <w:ind w:left="720"/>
      <w:contextualSpacing/>
    </w:pPr>
  </w:style>
  <w:style w:type="character" w:styleId="FollowedHyperlink">
    <w:name w:val="FollowedHyperlink"/>
    <w:basedOn w:val="DefaultParagraphFont"/>
    <w:uiPriority w:val="99"/>
    <w:semiHidden/>
    <w:unhideWhenUsed/>
    <w:rsid w:val="00605B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legislation.act.gov.au/ni/2020-68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Mick.Gentleman@act.gov.au"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891DF-F110-4941-8C05-D9C74B1CB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1171</Words>
  <Characters>6898</Characters>
  <Application>Microsoft Office Word</Application>
  <DocSecurity>0</DocSecurity>
  <Lines>150</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Hosie, Donna</dc:creator>
  <cp:keywords>2</cp:keywords>
  <dc:description/>
  <cp:lastModifiedBy>Moxon, KarenL</cp:lastModifiedBy>
  <cp:revision>4</cp:revision>
  <cp:lastPrinted>2021-09-06T06:59:00Z</cp:lastPrinted>
  <dcterms:created xsi:type="dcterms:W3CDTF">2021-10-13T05:22:00Z</dcterms:created>
  <dcterms:modified xsi:type="dcterms:W3CDTF">2021-10-13T05:22:00Z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1397032</vt:lpwstr>
  </property>
  <property fmtid="{D5CDD505-2E9C-101B-9397-08002B2CF9AE}" pid="3" name="CHECKEDOUTFROMJMS">
    <vt:lpwstr/>
  </property>
  <property fmtid="{D5CDD505-2E9C-101B-9397-08002B2CF9AE}" pid="4" name="JMSREQUIREDCHECKIN">
    <vt:lpwstr/>
  </property>
</Properties>
</file>