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4BDA8B1D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C37CA3">
        <w:t>1</w:t>
      </w:r>
      <w:r w:rsidRPr="00C5088F">
        <w:t xml:space="preserve"> (No</w:t>
      </w:r>
      <w:r w:rsidR="005D0ACD">
        <w:t xml:space="preserve"> </w:t>
      </w:r>
      <w:r w:rsidR="005811A0">
        <w:t>5</w:t>
      </w:r>
      <w:r w:rsidRPr="00C5088F">
        <w:t>)</w:t>
      </w:r>
    </w:p>
    <w:p w14:paraId="093EA2BE" w14:textId="0ABC6F24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C37CA3">
        <w:rPr>
          <w:rFonts w:ascii="Arial" w:hAnsi="Arial" w:cs="Arial"/>
          <w:b/>
          <w:bCs/>
        </w:rPr>
        <w:t>1</w:t>
      </w:r>
      <w:r w:rsidR="00DD31BD" w:rsidRPr="00C5088F">
        <w:rPr>
          <w:rFonts w:ascii="Arial" w:hAnsi="Arial" w:cs="Arial"/>
          <w:b/>
          <w:bCs/>
        </w:rPr>
        <w:t>—</w:t>
      </w:r>
      <w:r w:rsidR="00063DF7">
        <w:rPr>
          <w:rFonts w:ascii="Arial" w:hAnsi="Arial" w:cs="Arial"/>
          <w:b/>
          <w:bCs/>
        </w:rPr>
        <w:t>645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8D18F00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C37CA3">
        <w:rPr>
          <w:i/>
          <w:szCs w:val="20"/>
        </w:rPr>
        <w:t>1</w:t>
      </w:r>
      <w:r w:rsidR="003B685A" w:rsidRPr="004E0BF9">
        <w:rPr>
          <w:i/>
          <w:szCs w:val="20"/>
        </w:rPr>
        <w:t xml:space="preserve"> (No </w:t>
      </w:r>
      <w:r w:rsidR="005811A0">
        <w:rPr>
          <w:i/>
          <w:szCs w:val="20"/>
        </w:rPr>
        <w:t>5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B48371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>have been added to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346"/>
        <w:gridCol w:w="826"/>
        <w:gridCol w:w="1086"/>
        <w:gridCol w:w="3594"/>
      </w:tblGrid>
      <w:tr w:rsidR="005811A0" w:rsidRPr="005811A0" w14:paraId="475DF109" w14:textId="77777777" w:rsidTr="005811A0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5488" w14:textId="77777777" w:rsidR="005811A0" w:rsidRPr="005811A0" w:rsidRDefault="005811A0" w:rsidP="00631F1D">
            <w:pPr>
              <w:rPr>
                <w:rStyle w:val="apple-converted-space"/>
                <w:sz w:val="22"/>
                <w:szCs w:val="22"/>
              </w:rPr>
            </w:pPr>
            <w:r w:rsidRPr="005811A0"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9E21" w14:textId="77777777" w:rsidR="005811A0" w:rsidRPr="005811A0" w:rsidRDefault="005811A0" w:rsidP="00631F1D">
            <w:pPr>
              <w:rPr>
                <w:rStyle w:val="apple-converted-space"/>
              </w:rPr>
            </w:pPr>
            <w:r w:rsidRPr="005811A0"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1EB9" w14:textId="77777777" w:rsidR="005811A0" w:rsidRPr="005811A0" w:rsidRDefault="005811A0" w:rsidP="00631F1D">
            <w:pPr>
              <w:jc w:val="center"/>
              <w:rPr>
                <w:rStyle w:val="apple-converted-space"/>
                <w:sz w:val="22"/>
                <w:szCs w:val="22"/>
              </w:rPr>
            </w:pPr>
            <w:r w:rsidRPr="005811A0"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64AB" w14:textId="77777777" w:rsidR="005811A0" w:rsidRPr="005811A0" w:rsidRDefault="005811A0" w:rsidP="00631F1D">
            <w:pPr>
              <w:jc w:val="center"/>
              <w:rPr>
                <w:rStyle w:val="apple-converted-space"/>
              </w:rPr>
            </w:pPr>
            <w:r w:rsidRPr="005811A0"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B635" w14:textId="77777777" w:rsidR="005811A0" w:rsidRPr="005811A0" w:rsidRDefault="005811A0" w:rsidP="00631F1D">
            <w:pPr>
              <w:rPr>
                <w:rStyle w:val="apple-converted-space"/>
              </w:rPr>
            </w:pPr>
            <w:r w:rsidRPr="005811A0">
              <w:rPr>
                <w:b/>
                <w:bCs/>
              </w:rPr>
              <w:t>Description</w:t>
            </w:r>
          </w:p>
        </w:tc>
      </w:tr>
      <w:tr w:rsidR="005811A0" w:rsidRPr="005811A0" w14:paraId="24BE2C2B" w14:textId="77777777" w:rsidTr="005811A0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C1AE" w14:textId="77777777" w:rsidR="005811A0" w:rsidRPr="005811A0" w:rsidRDefault="005811A0" w:rsidP="00631F1D">
            <w:pPr>
              <w:rPr>
                <w:rStyle w:val="apple-converted-space"/>
                <w:bCs/>
              </w:rPr>
            </w:pPr>
            <w:bookmarkStart w:id="1" w:name="OLE_LINK1"/>
            <w:bookmarkStart w:id="2" w:name="OLE_LINK2"/>
            <w:r w:rsidRPr="005811A0">
              <w:rPr>
                <w:rStyle w:val="apple-converted-space"/>
                <w:bCs/>
              </w:rPr>
              <w:t>Belconnen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2121" w14:textId="77777777" w:rsidR="005811A0" w:rsidRPr="005811A0" w:rsidRDefault="005811A0" w:rsidP="00631F1D">
            <w:pPr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Strathnairn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BEA3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1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5046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85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7E32" w14:textId="77777777" w:rsidR="005811A0" w:rsidRPr="005811A0" w:rsidRDefault="005811A0" w:rsidP="00631F1D">
            <w:pPr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  <w:szCs w:val="20"/>
              </w:rPr>
              <w:t>Ginninderry Development Area</w:t>
            </w:r>
          </w:p>
        </w:tc>
      </w:tr>
      <w:tr w:rsidR="005811A0" w:rsidRPr="005811A0" w14:paraId="7B9BA388" w14:textId="77777777" w:rsidTr="005811A0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2598" w14:textId="77777777" w:rsidR="005811A0" w:rsidRPr="005811A0" w:rsidRDefault="005811A0" w:rsidP="00631F1D">
            <w:pPr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Majura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05FE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-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CFF1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3541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0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D40" w14:textId="77777777" w:rsidR="005811A0" w:rsidRPr="005811A0" w:rsidRDefault="005811A0" w:rsidP="00631F1D">
            <w:pPr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  <w:szCs w:val="20"/>
              </w:rPr>
              <w:t>Majura Parkway/Federal Highway Intersection - Acid Sulphate Rock Audit Area</w:t>
            </w:r>
          </w:p>
        </w:tc>
      </w:tr>
      <w:tr w:rsidR="005811A0" w:rsidRPr="005811A0" w14:paraId="166BAD3E" w14:textId="77777777" w:rsidTr="005811A0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9CF5" w14:textId="77777777" w:rsidR="005811A0" w:rsidRPr="005811A0" w:rsidRDefault="005811A0" w:rsidP="00631F1D">
            <w:pPr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Majura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22EA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-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68E2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671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AC4C" w14:textId="77777777" w:rsidR="005811A0" w:rsidRP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</w:rPr>
              <w:t>0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C5BC" w14:textId="77777777" w:rsidR="005811A0" w:rsidRPr="005811A0" w:rsidRDefault="005811A0" w:rsidP="00631F1D">
            <w:pPr>
              <w:rPr>
                <w:rStyle w:val="apple-converted-space"/>
                <w:bCs/>
              </w:rPr>
            </w:pPr>
            <w:r w:rsidRPr="005811A0">
              <w:rPr>
                <w:rStyle w:val="apple-converted-space"/>
                <w:bCs/>
                <w:szCs w:val="20"/>
              </w:rPr>
              <w:t>Acid Sulphate Rock Audit Area</w:t>
            </w:r>
          </w:p>
        </w:tc>
      </w:tr>
    </w:tbl>
    <w:bookmarkEnd w:id="1"/>
    <w:bookmarkEnd w:id="2"/>
    <w:p w14:paraId="51E0EAB5" w14:textId="3C9903FC" w:rsidR="00BB2B62" w:rsidRDefault="00BB2B62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ab/>
      </w:r>
    </w:p>
    <w:p w14:paraId="2F6E8B6B" w14:textId="1BE6D21D" w:rsidR="00A6219F" w:rsidRDefault="00A6219F" w:rsidP="00BB2B62">
      <w:pPr>
        <w:ind w:firstLine="720"/>
        <w:rPr>
          <w:rStyle w:val="apple-converted-space"/>
        </w:rPr>
      </w:pPr>
      <w:r>
        <w:rPr>
          <w:rStyle w:val="apple-converted-space"/>
        </w:rPr>
        <w:t>The following entries have been removed from the Register:</w:t>
      </w:r>
    </w:p>
    <w:p w14:paraId="3EE765E8" w14:textId="77777777" w:rsidR="00A6219F" w:rsidRPr="00F016CE" w:rsidRDefault="00A6219F" w:rsidP="00A6219F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344"/>
        <w:gridCol w:w="829"/>
        <w:gridCol w:w="1089"/>
        <w:gridCol w:w="3594"/>
      </w:tblGrid>
      <w:tr w:rsidR="005811A0" w14:paraId="64B7AD55" w14:textId="77777777" w:rsidTr="005811A0"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B1B6" w14:textId="77777777" w:rsidR="005811A0" w:rsidRDefault="005811A0" w:rsidP="00631F1D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71C0" w14:textId="77777777" w:rsidR="005811A0" w:rsidRDefault="005811A0" w:rsidP="00631F1D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BC67" w14:textId="77777777" w:rsidR="005811A0" w:rsidRDefault="005811A0" w:rsidP="00631F1D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733D" w14:textId="77777777" w:rsidR="005811A0" w:rsidRDefault="005811A0" w:rsidP="00631F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D15D" w14:textId="77777777" w:rsidR="005811A0" w:rsidRDefault="005811A0" w:rsidP="00631F1D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5811A0" w:rsidRPr="00B342D1" w14:paraId="0FF79339" w14:textId="77777777" w:rsidTr="005811A0"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79D5" w14:textId="77777777" w:rsidR="005811A0" w:rsidRPr="00B342D1" w:rsidRDefault="005811A0" w:rsidP="00631F1D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C610" w14:textId="77777777" w:rsidR="005811A0" w:rsidRPr="00B342D1" w:rsidRDefault="005811A0" w:rsidP="00631F1D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9F3A8" w14:textId="77777777" w:rsidR="005811A0" w:rsidRPr="00B342D1" w:rsidRDefault="005811A0" w:rsidP="00631F1D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24</w:t>
            </w: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5571" w14:textId="77777777" w:rsidR="005811A0" w:rsidRPr="00B342D1" w:rsidRDefault="005811A0" w:rsidP="00631F1D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80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9FA0" w14:textId="77777777" w:rsidR="005811A0" w:rsidRPr="00B342D1" w:rsidRDefault="005811A0" w:rsidP="00631F1D">
            <w:pPr>
              <w:rPr>
                <w:rStyle w:val="apple-converted-space"/>
                <w:bCs/>
              </w:rPr>
            </w:pPr>
            <w:r w:rsidRPr="00B05D7D">
              <w:rPr>
                <w:rStyle w:val="apple-converted-space"/>
                <w:bCs/>
              </w:rPr>
              <w:t>Proposed Callam Street Bus Interchange and Light Rail Terminus</w:t>
            </w:r>
          </w:p>
        </w:tc>
      </w:tr>
      <w:tr w:rsidR="005811A0" w:rsidRPr="00B342D1" w14:paraId="1DF1CE98" w14:textId="77777777" w:rsidTr="005811A0"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99DF" w14:textId="77777777" w:rsidR="005811A0" w:rsidRDefault="005811A0" w:rsidP="00631F1D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C147" w14:textId="77777777" w:rsidR="005811A0" w:rsidRDefault="005811A0" w:rsidP="00631F1D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7C49" w14:textId="77777777" w:rsid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32</w:t>
            </w: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DEE6" w14:textId="77777777" w:rsid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80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0A6D" w14:textId="77777777" w:rsidR="005811A0" w:rsidRDefault="005811A0" w:rsidP="00631F1D">
            <w:pPr>
              <w:rPr>
                <w:rStyle w:val="apple-converted-space"/>
                <w:bCs/>
              </w:rPr>
            </w:pPr>
            <w:r w:rsidRPr="00B05D7D">
              <w:rPr>
                <w:rStyle w:val="apple-converted-space"/>
                <w:bCs/>
              </w:rPr>
              <w:t>Proposed Callam Street Bus Interchange and Light Rail Terminus</w:t>
            </w:r>
          </w:p>
        </w:tc>
      </w:tr>
      <w:tr w:rsidR="005811A0" w:rsidRPr="00B342D1" w14:paraId="3943CA19" w14:textId="77777777" w:rsidTr="005811A0"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4C46" w14:textId="77777777" w:rsidR="005811A0" w:rsidRDefault="005811A0" w:rsidP="00631F1D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F5F7" w14:textId="77777777" w:rsidR="005811A0" w:rsidRDefault="005811A0" w:rsidP="00631F1D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EB15" w14:textId="77777777" w:rsid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33</w:t>
            </w: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6343" w14:textId="77777777" w:rsidR="005811A0" w:rsidRDefault="005811A0" w:rsidP="00631F1D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80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EAFD" w14:textId="77777777" w:rsidR="005811A0" w:rsidRDefault="005811A0" w:rsidP="00631F1D">
            <w:pPr>
              <w:rPr>
                <w:rStyle w:val="apple-converted-space"/>
                <w:bCs/>
              </w:rPr>
            </w:pPr>
            <w:r w:rsidRPr="00B05D7D">
              <w:rPr>
                <w:rStyle w:val="apple-converted-space"/>
                <w:bCs/>
              </w:rPr>
              <w:t>Proposed Callam Street Bus Interchange and Light Rail Terminus</w:t>
            </w:r>
          </w:p>
        </w:tc>
      </w:tr>
    </w:tbl>
    <w:p w14:paraId="717D2F94" w14:textId="6B46B131" w:rsidR="00905C67" w:rsidRDefault="00905C67">
      <w:pPr>
        <w:rPr>
          <w:rFonts w:ascii="Arial" w:hAnsi="Arial" w:cs="Arial"/>
          <w:b/>
          <w:bCs/>
          <w:szCs w:val="20"/>
        </w:rPr>
      </w:pPr>
    </w:p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7C0E4BED" w14:textId="77777777" w:rsidR="00BB2B62" w:rsidRDefault="00BB2B62" w:rsidP="005E5875">
      <w:pPr>
        <w:rPr>
          <w:rFonts w:ascii="Arial" w:hAnsi="Arial" w:cs="Arial"/>
          <w:b/>
          <w:bCs/>
          <w:szCs w:val="20"/>
        </w:rPr>
      </w:pPr>
    </w:p>
    <w:p w14:paraId="278B2057" w14:textId="011775C9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3D71EF17" w:rsidR="004E0BF9" w:rsidRDefault="005811A0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Narelle Sargent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59B86BF3" w:rsidR="00337DD4" w:rsidRDefault="00BB2B62" w:rsidP="00BB2B62">
      <w:pPr>
        <w:pStyle w:val="Amain"/>
        <w:tabs>
          <w:tab w:val="clear" w:pos="500"/>
          <w:tab w:val="right" w:pos="0"/>
        </w:tabs>
        <w:spacing w:before="0" w:after="0"/>
        <w:jc w:val="left"/>
      </w:pPr>
      <w:r>
        <w:t xml:space="preserve">2 </w:t>
      </w:r>
      <w:r w:rsidR="005811A0">
        <w:t>November</w:t>
      </w:r>
      <w:r w:rsidR="0093160C">
        <w:t xml:space="preserve"> 2021</w:t>
      </w:r>
    </w:p>
    <w:sectPr w:rsidR="00337DD4" w:rsidSect="00BB2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680" w:footer="690" w:gutter="0"/>
      <w:pgNumType w:fmt="lowerRoma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7E10" w14:textId="77777777" w:rsidR="000D3FCD" w:rsidRDefault="000D3FCD" w:rsidP="00DD31BD">
      <w:r>
        <w:separator/>
      </w:r>
    </w:p>
  </w:endnote>
  <w:endnote w:type="continuationSeparator" w:id="0">
    <w:p w14:paraId="09CEAB78" w14:textId="77777777" w:rsidR="000D3FCD" w:rsidRDefault="000D3FCD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3930" w14:textId="77777777" w:rsidR="00872C1D" w:rsidRDefault="00872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D21A" w14:textId="65B86C68" w:rsidR="00872C1D" w:rsidRPr="00872C1D" w:rsidRDefault="00872C1D" w:rsidP="00872C1D">
    <w:pPr>
      <w:pStyle w:val="Footer"/>
      <w:jc w:val="center"/>
      <w:rPr>
        <w:sz w:val="14"/>
      </w:rPr>
    </w:pPr>
    <w:r w:rsidRPr="00872C1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8E78" w14:textId="77777777" w:rsidR="00872C1D" w:rsidRDefault="00872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2FC4" w14:textId="77777777" w:rsidR="000D3FCD" w:rsidRDefault="000D3FCD" w:rsidP="00DD31BD">
      <w:r>
        <w:separator/>
      </w:r>
    </w:p>
  </w:footnote>
  <w:footnote w:type="continuationSeparator" w:id="0">
    <w:p w14:paraId="639C8BF7" w14:textId="77777777" w:rsidR="000D3FCD" w:rsidRDefault="000D3FCD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E837" w14:textId="77777777" w:rsidR="00872C1D" w:rsidRDefault="00872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40F3" w14:textId="77777777" w:rsidR="00872C1D" w:rsidRDefault="00872C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B66F" w14:textId="77777777" w:rsidR="00872C1D" w:rsidRDefault="00872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63DF7"/>
    <w:rsid w:val="00074422"/>
    <w:rsid w:val="0008256C"/>
    <w:rsid w:val="00091AD3"/>
    <w:rsid w:val="000959D4"/>
    <w:rsid w:val="00096459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D2A9C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2C1D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B62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24396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1293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2021-11-02T00:46:00Z</dcterms:created>
  <dcterms:modified xsi:type="dcterms:W3CDTF">2021-11-02T00:46:00Z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A31325101</vt:lpwstr>
  </property>
  <property fmtid="{D5CDD505-2E9C-101B-9397-08002B2CF9AE}" pid="4" name="Objective-Title">
    <vt:lpwstr>NI_Register_Notice 2021 (No 5)_NI2021-XXX</vt:lpwstr>
  </property>
  <property fmtid="{D5CDD505-2E9C-101B-9397-08002B2CF9AE}" pid="5" name="Objective-Comment">
    <vt:lpwstr/>
  </property>
  <property fmtid="{D5CDD505-2E9C-101B-9397-08002B2CF9AE}" pid="6" name="Objective-CreationStamp">
    <vt:filetime>2021-11-01T21:30:27Z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2021-11-01T22:33:34Z</vt:filetime>
  </property>
  <property fmtid="{D5CDD505-2E9C-101B-9397-08002B2CF9AE}" pid="10" name="Objective-ModificationStamp">
    <vt:filetime>2021-11-01T22:33:34Z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Instruments:2021:</vt:lpwstr>
  </property>
  <property fmtid="{D5CDD505-2E9C-101B-9397-08002B2CF9AE}" pid="13" name="Objective-Parent">
    <vt:lpwstr>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No 5 updated 2 November 2021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