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2374" w14:textId="77777777" w:rsidR="007C67AB" w:rsidRDefault="007C67AB">
      <w:pPr>
        <w:spacing w:before="120"/>
        <w:rPr>
          <w:rFonts w:ascii="Arial" w:hAnsi="Arial" w:cs="Arial"/>
        </w:rPr>
      </w:pPr>
      <w:bookmarkStart w:id="0" w:name="_Toc44738651"/>
    </w:p>
    <w:p w14:paraId="1BD8E7E5" w14:textId="77777777" w:rsidR="008936B5" w:rsidRDefault="008936B5">
      <w:pPr>
        <w:spacing w:before="120"/>
        <w:rPr>
          <w:rFonts w:ascii="Arial" w:hAnsi="Arial" w:cs="Arial"/>
        </w:rPr>
      </w:pPr>
      <w:r>
        <w:rPr>
          <w:rFonts w:ascii="Arial" w:hAnsi="Arial" w:cs="Arial"/>
        </w:rPr>
        <w:t>Australian Capital Territory</w:t>
      </w:r>
    </w:p>
    <w:p w14:paraId="6B44EBFE" w14:textId="77777777" w:rsidR="008936B5" w:rsidRPr="009D0B7A" w:rsidRDefault="009D0B7A">
      <w:pPr>
        <w:pStyle w:val="Billname"/>
        <w:spacing w:before="700"/>
        <w:rPr>
          <w:szCs w:val="40"/>
        </w:rPr>
      </w:pPr>
      <w:r>
        <w:t xml:space="preserve">Public Place Names </w:t>
      </w:r>
      <w:r w:rsidR="008936B5" w:rsidRPr="009D0B7A">
        <w:rPr>
          <w:szCs w:val="40"/>
        </w:rPr>
        <w:t>(</w:t>
      </w:r>
      <w:r w:rsidR="004D750B">
        <w:rPr>
          <w:szCs w:val="40"/>
        </w:rPr>
        <w:t>N</w:t>
      </w:r>
      <w:r w:rsidR="00584701">
        <w:rPr>
          <w:szCs w:val="40"/>
        </w:rPr>
        <w:t>aming of public places</w:t>
      </w:r>
      <w:r>
        <w:rPr>
          <w:rFonts w:cs="Arial"/>
          <w:bCs/>
          <w:szCs w:val="40"/>
          <w:lang w:eastAsia="en-AU"/>
        </w:rPr>
        <w:t>)</w:t>
      </w:r>
      <w:r w:rsidR="008936B5" w:rsidRPr="009D0B7A">
        <w:rPr>
          <w:szCs w:val="40"/>
        </w:rPr>
        <w:t xml:space="preserve"> </w:t>
      </w:r>
      <w:r w:rsidR="004D750B">
        <w:rPr>
          <w:szCs w:val="40"/>
        </w:rPr>
        <w:t xml:space="preserve">Guidelines </w:t>
      </w:r>
      <w:r w:rsidR="00FC692B" w:rsidRPr="004F269E">
        <w:rPr>
          <w:szCs w:val="40"/>
        </w:rPr>
        <w:t>202</w:t>
      </w:r>
      <w:r w:rsidR="00E00FA2">
        <w:rPr>
          <w:szCs w:val="40"/>
        </w:rPr>
        <w:t>1</w:t>
      </w:r>
      <w:r w:rsidR="00FC692B" w:rsidRPr="009D0B7A">
        <w:rPr>
          <w:szCs w:val="40"/>
        </w:rPr>
        <w:t xml:space="preserve"> </w:t>
      </w:r>
    </w:p>
    <w:p w14:paraId="4E1E6B21" w14:textId="77777777" w:rsidR="008936B5" w:rsidRDefault="008936B5">
      <w:pPr>
        <w:spacing w:before="240" w:after="60"/>
        <w:rPr>
          <w:rFonts w:ascii="Arial" w:hAnsi="Arial" w:cs="Arial"/>
          <w:b/>
          <w:bCs/>
          <w:vertAlign w:val="superscript"/>
        </w:rPr>
      </w:pPr>
      <w:r>
        <w:rPr>
          <w:rFonts w:ascii="Arial" w:hAnsi="Arial" w:cs="Arial"/>
          <w:b/>
          <w:bCs/>
        </w:rPr>
        <w:t xml:space="preserve">Notifiable instrument </w:t>
      </w:r>
      <w:r w:rsidR="00FC692B">
        <w:rPr>
          <w:rFonts w:ascii="Arial" w:hAnsi="Arial" w:cs="Arial"/>
          <w:b/>
          <w:bCs/>
        </w:rPr>
        <w:t>NI</w:t>
      </w:r>
      <w:r w:rsidR="00A63224">
        <w:rPr>
          <w:rFonts w:ascii="Arial" w:hAnsi="Arial" w:cs="Arial"/>
          <w:b/>
          <w:bCs/>
        </w:rPr>
        <w:t>2021-72</w:t>
      </w:r>
    </w:p>
    <w:p w14:paraId="0000B492" w14:textId="77777777" w:rsidR="008936B5" w:rsidRDefault="008936B5">
      <w:pPr>
        <w:pStyle w:val="madeunder"/>
        <w:spacing w:before="240" w:after="120"/>
      </w:pPr>
      <w:r>
        <w:t xml:space="preserve">made under the  </w:t>
      </w:r>
    </w:p>
    <w:p w14:paraId="361C07E0" w14:textId="77777777" w:rsidR="008936B5" w:rsidRPr="009D0B7A" w:rsidRDefault="009D0B7A" w:rsidP="009D0B7A">
      <w:pPr>
        <w:autoSpaceDE w:val="0"/>
        <w:autoSpaceDN w:val="0"/>
        <w:adjustRightInd w:val="0"/>
        <w:rPr>
          <w:rFonts w:ascii="Arial" w:hAnsi="Arial" w:cs="Arial"/>
          <w:sz w:val="20"/>
        </w:rPr>
      </w:pPr>
      <w:r>
        <w:rPr>
          <w:rFonts w:ascii="Arial" w:hAnsi="Arial" w:cs="Arial"/>
          <w:b/>
          <w:bCs/>
          <w:sz w:val="20"/>
          <w:lang w:eastAsia="en-AU"/>
        </w:rPr>
        <w:t xml:space="preserve">Public Place Names Act 1989, section 4A </w:t>
      </w:r>
      <w:r w:rsidRPr="009D0B7A">
        <w:rPr>
          <w:rFonts w:ascii="Arial" w:hAnsi="Arial" w:cs="Arial"/>
          <w:b/>
          <w:bCs/>
          <w:sz w:val="20"/>
          <w:lang w:eastAsia="en-AU"/>
        </w:rPr>
        <w:t>(</w:t>
      </w:r>
      <w:r w:rsidR="00A93DE8">
        <w:rPr>
          <w:rFonts w:ascii="Arial" w:hAnsi="Arial" w:cs="Arial"/>
          <w:b/>
          <w:bCs/>
          <w:sz w:val="20"/>
          <w:lang w:eastAsia="en-AU"/>
        </w:rPr>
        <w:t>Guidelines about naming of public places</w:t>
      </w:r>
      <w:r w:rsidR="008936B5" w:rsidRPr="009D0B7A">
        <w:rPr>
          <w:rFonts w:ascii="Arial" w:hAnsi="Arial" w:cs="Arial"/>
          <w:sz w:val="20"/>
        </w:rPr>
        <w:t>)</w:t>
      </w:r>
    </w:p>
    <w:p w14:paraId="6C66F71D" w14:textId="77777777" w:rsidR="008936B5" w:rsidRDefault="008936B5">
      <w:pPr>
        <w:pStyle w:val="N-line3"/>
        <w:pBdr>
          <w:bottom w:val="none" w:sz="0" w:space="0" w:color="auto"/>
        </w:pBdr>
      </w:pPr>
    </w:p>
    <w:p w14:paraId="4522F9E3" w14:textId="77777777" w:rsidR="008936B5" w:rsidRDefault="008936B5">
      <w:pPr>
        <w:pStyle w:val="N-line3"/>
        <w:pBdr>
          <w:top w:val="single" w:sz="12" w:space="1" w:color="auto"/>
          <w:bottom w:val="none" w:sz="0" w:space="0" w:color="auto"/>
        </w:pBdr>
      </w:pPr>
    </w:p>
    <w:p w14:paraId="69D95819" w14:textId="77777777"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215A0BB" w14:textId="77777777" w:rsidR="008936B5" w:rsidRPr="00891C52" w:rsidRDefault="008936B5">
      <w:pPr>
        <w:spacing w:before="80" w:after="60"/>
        <w:ind w:left="720"/>
        <w:rPr>
          <w:i/>
        </w:rPr>
      </w:pPr>
      <w:r>
        <w:t xml:space="preserve">This instrument is the </w:t>
      </w:r>
      <w:r w:rsidR="00891C52" w:rsidRPr="00891C52">
        <w:rPr>
          <w:i/>
          <w:szCs w:val="24"/>
        </w:rPr>
        <w:t>Public Place Names (</w:t>
      </w:r>
      <w:r w:rsidR="004D750B">
        <w:rPr>
          <w:bCs/>
          <w:i/>
          <w:szCs w:val="24"/>
          <w:lang w:eastAsia="en-AU"/>
        </w:rPr>
        <w:t>N</w:t>
      </w:r>
      <w:r w:rsidR="00576A04">
        <w:rPr>
          <w:bCs/>
          <w:i/>
          <w:szCs w:val="24"/>
          <w:lang w:eastAsia="en-AU"/>
        </w:rPr>
        <w:t>aming of public places</w:t>
      </w:r>
      <w:r w:rsidR="00891C52" w:rsidRPr="00891C52">
        <w:rPr>
          <w:bCs/>
          <w:i/>
          <w:szCs w:val="24"/>
          <w:lang w:eastAsia="en-AU"/>
        </w:rPr>
        <w:t>)</w:t>
      </w:r>
      <w:r w:rsidR="00891C52" w:rsidRPr="00891C52">
        <w:rPr>
          <w:i/>
          <w:szCs w:val="24"/>
        </w:rPr>
        <w:t xml:space="preserve"> </w:t>
      </w:r>
      <w:r w:rsidR="004D750B">
        <w:rPr>
          <w:i/>
          <w:szCs w:val="24"/>
        </w:rPr>
        <w:t xml:space="preserve">Guidelines </w:t>
      </w:r>
      <w:r w:rsidR="00FC692B" w:rsidRPr="004F269E">
        <w:rPr>
          <w:i/>
          <w:szCs w:val="24"/>
        </w:rPr>
        <w:t>202</w:t>
      </w:r>
      <w:r w:rsidR="00E00FA2">
        <w:rPr>
          <w:i/>
          <w:szCs w:val="24"/>
        </w:rPr>
        <w:t>1</w:t>
      </w:r>
      <w:r w:rsidRPr="00891C52">
        <w:rPr>
          <w:bCs/>
          <w:i/>
          <w:iCs/>
          <w:szCs w:val="24"/>
        </w:rPr>
        <w:t>.</w:t>
      </w:r>
    </w:p>
    <w:p w14:paraId="22C4041F" w14:textId="77777777" w:rsidR="008936B5" w:rsidRDefault="008936B5">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4DED91A" w14:textId="77777777" w:rsidR="008936B5" w:rsidRDefault="008936B5">
      <w:pPr>
        <w:spacing w:before="80" w:after="60"/>
        <w:ind w:left="720"/>
        <w:rPr>
          <w:szCs w:val="24"/>
          <w:lang w:eastAsia="en-AU"/>
        </w:rPr>
      </w:pPr>
      <w:r>
        <w:t xml:space="preserve">This instrument commences on </w:t>
      </w:r>
      <w:r w:rsidR="009D0B7A" w:rsidRPr="00523C74">
        <w:rPr>
          <w:szCs w:val="24"/>
          <w:lang w:eastAsia="en-AU"/>
        </w:rPr>
        <w:t xml:space="preserve">the day after </w:t>
      </w:r>
      <w:r w:rsidR="00B728ED">
        <w:rPr>
          <w:szCs w:val="24"/>
          <w:lang w:eastAsia="en-AU"/>
        </w:rPr>
        <w:t xml:space="preserve">its </w:t>
      </w:r>
      <w:r w:rsidR="00523C74">
        <w:rPr>
          <w:szCs w:val="24"/>
          <w:lang w:eastAsia="en-AU"/>
        </w:rPr>
        <w:t>notification</w:t>
      </w:r>
      <w:r w:rsidR="00B728ED">
        <w:rPr>
          <w:szCs w:val="24"/>
          <w:lang w:eastAsia="en-AU"/>
        </w:rPr>
        <w:t xml:space="preserve"> day</w:t>
      </w:r>
      <w:r w:rsidR="00523C74">
        <w:rPr>
          <w:szCs w:val="24"/>
          <w:lang w:eastAsia="en-AU"/>
        </w:rPr>
        <w:t xml:space="preserve">. </w:t>
      </w:r>
    </w:p>
    <w:p w14:paraId="043B8AFF" w14:textId="77777777" w:rsidR="00F47A40" w:rsidRPr="000A23AD" w:rsidRDefault="00BB2B40" w:rsidP="00F47A40">
      <w:pPr>
        <w:spacing w:before="240" w:after="60"/>
        <w:ind w:left="720" w:hanging="720"/>
        <w:rPr>
          <w:rFonts w:ascii="Arial" w:hAnsi="Arial" w:cs="Arial"/>
          <w:b/>
          <w:bCs/>
        </w:rPr>
      </w:pPr>
      <w:r>
        <w:rPr>
          <w:rFonts w:ascii="Arial" w:hAnsi="Arial" w:cs="Arial"/>
          <w:b/>
          <w:bCs/>
        </w:rPr>
        <w:t>3</w:t>
      </w:r>
      <w:r w:rsidR="00F47A40" w:rsidRPr="00592AAB">
        <w:rPr>
          <w:rFonts w:ascii="Arial" w:hAnsi="Arial" w:cs="Arial"/>
          <w:b/>
          <w:bCs/>
        </w:rPr>
        <w:tab/>
      </w:r>
      <w:r w:rsidR="00A30182">
        <w:rPr>
          <w:rFonts w:ascii="Arial" w:hAnsi="Arial" w:cs="Arial"/>
          <w:b/>
          <w:bCs/>
        </w:rPr>
        <w:t>Australian Standards</w:t>
      </w:r>
    </w:p>
    <w:p w14:paraId="7B501639" w14:textId="77777777" w:rsidR="00F47A40" w:rsidRPr="004F269E" w:rsidRDefault="00F47A40" w:rsidP="00F47A40">
      <w:pPr>
        <w:autoSpaceDE w:val="0"/>
        <w:autoSpaceDN w:val="0"/>
        <w:adjustRightInd w:val="0"/>
        <w:spacing w:before="80" w:after="60"/>
        <w:ind w:left="720"/>
        <w:rPr>
          <w:color w:val="000000"/>
          <w:szCs w:val="24"/>
          <w:lang w:eastAsia="en-AU"/>
        </w:rPr>
      </w:pPr>
      <w:bookmarkStart w:id="1" w:name="_Hlk34131741"/>
      <w:r w:rsidRPr="00C56A01">
        <w:rPr>
          <w:szCs w:val="24"/>
        </w:rPr>
        <w:t xml:space="preserve">Australian Standards are available for </w:t>
      </w:r>
      <w:r w:rsidRPr="00C56A01">
        <w:rPr>
          <w:color w:val="000000"/>
          <w:szCs w:val="24"/>
          <w:lang w:eastAsia="en-AU"/>
        </w:rPr>
        <w:t xml:space="preserve">purchase at </w:t>
      </w:r>
      <w:hyperlink r:id="rId7" w:history="1">
        <w:r w:rsidRPr="0063750A">
          <w:rPr>
            <w:rStyle w:val="Hyperlink"/>
            <w:szCs w:val="24"/>
            <w:lang w:eastAsia="en-AU"/>
          </w:rPr>
          <w:t>www.standards.org.au</w:t>
        </w:r>
      </w:hyperlink>
      <w:r>
        <w:rPr>
          <w:rStyle w:val="Hyperlink"/>
          <w:szCs w:val="24"/>
          <w:u w:val="none"/>
          <w:lang w:eastAsia="en-AU"/>
        </w:rPr>
        <w:t xml:space="preserve"> </w:t>
      </w:r>
      <w:r w:rsidRPr="000A23AD">
        <w:t xml:space="preserve">and are available for inspection by members of the public </w:t>
      </w:r>
      <w:r w:rsidR="00450148">
        <w:t xml:space="preserve">by contacting the </w:t>
      </w:r>
      <w:r w:rsidR="004F269E">
        <w:br w:type="textWrapping" w:clear="all"/>
        <w:t>Office of the Surveyor-General and Land Information</w:t>
      </w:r>
      <w:r w:rsidR="000A23AD">
        <w:t>.</w:t>
      </w:r>
      <w:r w:rsidR="00450148">
        <w:t xml:space="preserve"> </w:t>
      </w:r>
    </w:p>
    <w:bookmarkEnd w:id="1"/>
    <w:p w14:paraId="4A7194BF" w14:textId="77777777" w:rsidR="0057442C" w:rsidRDefault="00BB2B40" w:rsidP="0057442C">
      <w:pPr>
        <w:spacing w:before="240" w:after="60"/>
        <w:ind w:left="720" w:hanging="720"/>
        <w:rPr>
          <w:rFonts w:ascii="Arial" w:hAnsi="Arial" w:cs="Arial"/>
          <w:b/>
          <w:bCs/>
        </w:rPr>
      </w:pPr>
      <w:r>
        <w:rPr>
          <w:rFonts w:ascii="Arial" w:hAnsi="Arial" w:cs="Arial"/>
          <w:b/>
          <w:bCs/>
        </w:rPr>
        <w:t>4</w:t>
      </w:r>
      <w:r w:rsidR="008936B5">
        <w:rPr>
          <w:rFonts w:ascii="Arial" w:hAnsi="Arial" w:cs="Arial"/>
          <w:b/>
          <w:bCs/>
        </w:rPr>
        <w:tab/>
      </w:r>
      <w:r w:rsidR="00A93DE8">
        <w:rPr>
          <w:rFonts w:ascii="Arial" w:hAnsi="Arial" w:cs="Arial"/>
          <w:b/>
          <w:bCs/>
        </w:rPr>
        <w:t>Guidelines about naming of public places</w:t>
      </w:r>
    </w:p>
    <w:p w14:paraId="02644FF6" w14:textId="77777777" w:rsidR="00B728ED" w:rsidRDefault="00A93DE8" w:rsidP="003F6C45">
      <w:pPr>
        <w:spacing w:before="80" w:after="60"/>
        <w:ind w:left="720"/>
      </w:pPr>
      <w:r>
        <w:t>I make the guideline</w:t>
      </w:r>
      <w:r w:rsidR="003F6C45">
        <w:t>s</w:t>
      </w:r>
      <w:r w:rsidR="006E2CE1">
        <w:t xml:space="preserve"> </w:t>
      </w:r>
      <w:r w:rsidR="0048332B">
        <w:t xml:space="preserve">for the purposes of </w:t>
      </w:r>
      <w:r w:rsidR="006E2CE1">
        <w:t xml:space="preserve">section 4A of the </w:t>
      </w:r>
      <w:r w:rsidR="0048332B">
        <w:br/>
      </w:r>
      <w:r w:rsidR="006E2CE1" w:rsidRPr="006E2CE1">
        <w:rPr>
          <w:i/>
        </w:rPr>
        <w:t>Public Place Names Act 1989</w:t>
      </w:r>
      <w:r w:rsidR="0048332B">
        <w:rPr>
          <w:i/>
        </w:rPr>
        <w:t xml:space="preserve"> </w:t>
      </w:r>
      <w:r w:rsidR="0048332B">
        <w:t>as set out in the Schedule</w:t>
      </w:r>
      <w:r>
        <w:t>.</w:t>
      </w:r>
    </w:p>
    <w:p w14:paraId="5D5C4B69" w14:textId="77777777" w:rsidR="00B728ED" w:rsidRPr="000A23AD" w:rsidRDefault="00BB2B40" w:rsidP="004F269E">
      <w:pPr>
        <w:spacing w:before="240" w:after="60"/>
        <w:ind w:left="720" w:hanging="720"/>
        <w:rPr>
          <w:rFonts w:ascii="Arial" w:hAnsi="Arial" w:cs="Arial"/>
          <w:b/>
          <w:bCs/>
        </w:rPr>
      </w:pPr>
      <w:r>
        <w:rPr>
          <w:rFonts w:ascii="Arial" w:hAnsi="Arial" w:cs="Arial"/>
          <w:b/>
          <w:bCs/>
        </w:rPr>
        <w:t>5</w:t>
      </w:r>
      <w:r w:rsidR="00B728ED" w:rsidRPr="00592AAB">
        <w:rPr>
          <w:rFonts w:ascii="Arial" w:hAnsi="Arial" w:cs="Arial"/>
          <w:b/>
          <w:bCs/>
        </w:rPr>
        <w:tab/>
      </w:r>
      <w:r w:rsidR="00B728ED" w:rsidRPr="000A23AD">
        <w:rPr>
          <w:rFonts w:ascii="Arial" w:hAnsi="Arial" w:cs="Arial"/>
          <w:b/>
          <w:bCs/>
        </w:rPr>
        <w:t>Revocation</w:t>
      </w:r>
    </w:p>
    <w:p w14:paraId="38C5DA15" w14:textId="77777777" w:rsidR="008936B5" w:rsidRDefault="00B728ED" w:rsidP="002856DD">
      <w:pPr>
        <w:spacing w:before="80" w:after="60"/>
        <w:ind w:left="720"/>
      </w:pPr>
      <w:r>
        <w:t xml:space="preserve">This instrument revokes the </w:t>
      </w:r>
      <w:r w:rsidRPr="000A23AD">
        <w:rPr>
          <w:i/>
          <w:iCs/>
        </w:rPr>
        <w:t xml:space="preserve">Public Place Names (Naming of public places) Guidelines </w:t>
      </w:r>
      <w:r w:rsidR="002856DD" w:rsidRPr="000A23AD">
        <w:rPr>
          <w:i/>
          <w:iCs/>
        </w:rPr>
        <w:t>2014</w:t>
      </w:r>
      <w:r w:rsidR="002856DD">
        <w:t xml:space="preserve"> </w:t>
      </w:r>
      <w:r w:rsidR="002856DD" w:rsidRPr="000A23AD">
        <w:rPr>
          <w:i/>
          <w:iCs/>
        </w:rPr>
        <w:t>(No 1)</w:t>
      </w:r>
      <w:r w:rsidR="002856DD">
        <w:t xml:space="preserve"> NI2014-643.</w:t>
      </w:r>
    </w:p>
    <w:p w14:paraId="194C276E" w14:textId="77777777" w:rsidR="00145343" w:rsidRDefault="00145343">
      <w:pPr>
        <w:tabs>
          <w:tab w:val="left" w:pos="4320"/>
        </w:tabs>
        <w:spacing w:before="480"/>
      </w:pPr>
    </w:p>
    <w:p w14:paraId="19916B99" w14:textId="77777777" w:rsidR="00145343" w:rsidRDefault="00145343">
      <w:pPr>
        <w:tabs>
          <w:tab w:val="left" w:pos="4320"/>
        </w:tabs>
        <w:spacing w:before="480"/>
      </w:pPr>
    </w:p>
    <w:p w14:paraId="7AD98EBE" w14:textId="77777777" w:rsidR="007C67AB" w:rsidRDefault="0048332B" w:rsidP="00145343">
      <w:pPr>
        <w:tabs>
          <w:tab w:val="left" w:pos="4320"/>
        </w:tabs>
        <w:spacing w:before="480"/>
      </w:pPr>
      <w:r>
        <w:t>Mick Gentleman</w:t>
      </w:r>
      <w:r w:rsidR="001F2BD0">
        <w:t xml:space="preserve"> MLA</w:t>
      </w:r>
      <w:r w:rsidR="008936B5">
        <w:br/>
      </w:r>
      <w:r w:rsidR="009D0B7A">
        <w:t xml:space="preserve">Minister for </w:t>
      </w:r>
      <w:r>
        <w:t>Planning</w:t>
      </w:r>
      <w:r w:rsidR="00FC692B">
        <w:t xml:space="preserve"> and Land Management</w:t>
      </w:r>
      <w:r w:rsidR="0057442C">
        <w:br w:type="textWrapping" w:clear="all"/>
      </w:r>
      <w:bookmarkEnd w:id="0"/>
      <w:r w:rsidR="00A63224">
        <w:t>11 February 2021</w:t>
      </w:r>
    </w:p>
    <w:p w14:paraId="0745F7C7" w14:textId="77777777" w:rsidR="007C67AB" w:rsidRDefault="007C67AB">
      <w:pPr>
        <w:tabs>
          <w:tab w:val="left" w:pos="4320"/>
        </w:tabs>
      </w:pPr>
    </w:p>
    <w:p w14:paraId="223F3E60" w14:textId="77777777" w:rsidR="0057442C" w:rsidRPr="00F56E1F" w:rsidRDefault="009D0B7A" w:rsidP="0057442C">
      <w:pPr>
        <w:autoSpaceDE w:val="0"/>
        <w:autoSpaceDN w:val="0"/>
        <w:adjustRightInd w:val="0"/>
        <w:rPr>
          <w:rFonts w:ascii="Arial" w:hAnsi="Arial" w:cs="Arial"/>
          <w:b/>
          <w:bCs/>
          <w:szCs w:val="24"/>
          <w:lang w:eastAsia="en-AU"/>
        </w:rPr>
      </w:pPr>
      <w:r>
        <w:br w:type="page"/>
      </w:r>
      <w:r w:rsidR="00810660">
        <w:rPr>
          <w:rFonts w:ascii="Arial" w:hAnsi="Arial" w:cs="Arial"/>
          <w:b/>
          <w:bCs/>
          <w:szCs w:val="24"/>
          <w:lang w:eastAsia="en-AU"/>
        </w:rPr>
        <w:lastRenderedPageBreak/>
        <w:t>Schedule</w:t>
      </w:r>
    </w:p>
    <w:p w14:paraId="6F489B60" w14:textId="77777777" w:rsidR="0057442C" w:rsidRPr="00F56E1F" w:rsidRDefault="0057442C" w:rsidP="0057442C">
      <w:pPr>
        <w:autoSpaceDE w:val="0"/>
        <w:autoSpaceDN w:val="0"/>
        <w:adjustRightInd w:val="0"/>
        <w:rPr>
          <w:rFonts w:ascii="Arial" w:hAnsi="Arial" w:cs="Arial"/>
          <w:b/>
          <w:bCs/>
          <w:szCs w:val="24"/>
          <w:lang w:eastAsia="en-AU"/>
        </w:rPr>
      </w:pPr>
    </w:p>
    <w:p w14:paraId="4F7D9C0C" w14:textId="77777777" w:rsidR="008936B5" w:rsidRPr="004F269E" w:rsidRDefault="0057442C" w:rsidP="0057442C">
      <w:pPr>
        <w:autoSpaceDE w:val="0"/>
        <w:autoSpaceDN w:val="0"/>
        <w:adjustRightInd w:val="0"/>
      </w:pPr>
      <w:bookmarkStart w:id="2" w:name="_Hlk44065741"/>
      <w:r w:rsidRPr="00F56E1F">
        <w:rPr>
          <w:rFonts w:ascii="Arial" w:hAnsi="Arial" w:cs="Arial"/>
          <w:b/>
          <w:bCs/>
          <w:szCs w:val="24"/>
          <w:lang w:eastAsia="en-AU"/>
        </w:rPr>
        <w:t xml:space="preserve">Public Place Names </w:t>
      </w:r>
      <w:r w:rsidR="005C669B" w:rsidRPr="00F56E1F">
        <w:rPr>
          <w:rFonts w:ascii="Arial" w:hAnsi="Arial" w:cs="Arial"/>
          <w:b/>
          <w:bCs/>
          <w:szCs w:val="24"/>
          <w:lang w:eastAsia="en-AU"/>
        </w:rPr>
        <w:t xml:space="preserve">(Naming of public places) </w:t>
      </w:r>
      <w:r w:rsidR="004C04F6" w:rsidRPr="00F56E1F">
        <w:rPr>
          <w:rFonts w:ascii="Arial" w:hAnsi="Arial" w:cs="Arial"/>
          <w:b/>
          <w:bCs/>
          <w:szCs w:val="24"/>
          <w:lang w:eastAsia="en-AU"/>
        </w:rPr>
        <w:t xml:space="preserve">Guidelines </w:t>
      </w:r>
      <w:r w:rsidR="00FC692B" w:rsidRPr="004F269E">
        <w:rPr>
          <w:rFonts w:ascii="Arial" w:hAnsi="Arial" w:cs="Arial"/>
          <w:b/>
          <w:bCs/>
          <w:szCs w:val="24"/>
          <w:lang w:eastAsia="en-AU"/>
        </w:rPr>
        <w:t>202</w:t>
      </w:r>
      <w:r w:rsidR="00E00FA2">
        <w:rPr>
          <w:rFonts w:ascii="Arial" w:hAnsi="Arial" w:cs="Arial"/>
          <w:b/>
          <w:bCs/>
          <w:szCs w:val="24"/>
          <w:lang w:eastAsia="en-AU"/>
        </w:rPr>
        <w:t>1</w:t>
      </w:r>
      <w:r w:rsidR="00FC692B" w:rsidRPr="004F269E">
        <w:rPr>
          <w:rFonts w:ascii="Arial" w:hAnsi="Arial" w:cs="Arial"/>
          <w:b/>
          <w:bCs/>
          <w:szCs w:val="24"/>
          <w:lang w:eastAsia="en-AU"/>
        </w:rPr>
        <w:t xml:space="preserve"> </w:t>
      </w:r>
    </w:p>
    <w:bookmarkEnd w:id="2"/>
    <w:p w14:paraId="20D86109" w14:textId="77777777" w:rsidR="005C669B" w:rsidRDefault="005C669B">
      <w:pPr>
        <w:autoSpaceDE w:val="0"/>
        <w:autoSpaceDN w:val="0"/>
        <w:adjustRightInd w:val="0"/>
      </w:pPr>
    </w:p>
    <w:p w14:paraId="280F6698" w14:textId="77777777" w:rsidR="00484955" w:rsidRPr="00966AC7" w:rsidRDefault="00484955">
      <w:pPr>
        <w:autoSpaceDE w:val="0"/>
        <w:autoSpaceDN w:val="0"/>
        <w:adjustRightInd w:val="0"/>
        <w:rPr>
          <w:rFonts w:ascii="Arial" w:hAnsi="Arial" w:cs="Arial"/>
          <w:b/>
        </w:rPr>
      </w:pPr>
      <w:r w:rsidRPr="00966AC7">
        <w:rPr>
          <w:rFonts w:ascii="Arial" w:hAnsi="Arial" w:cs="Arial"/>
          <w:b/>
        </w:rPr>
        <w:t>Naming of public places - generally</w:t>
      </w:r>
    </w:p>
    <w:p w14:paraId="71DFA444" w14:textId="77777777" w:rsidR="005C669B" w:rsidRDefault="005C669B">
      <w:pPr>
        <w:autoSpaceDE w:val="0"/>
        <w:autoSpaceDN w:val="0"/>
        <w:adjustRightInd w:val="0"/>
      </w:pPr>
    </w:p>
    <w:p w14:paraId="2BADB6BF" w14:textId="77777777" w:rsidR="00484955" w:rsidRPr="00966AC7" w:rsidRDefault="007A6E13" w:rsidP="00027387">
      <w:pPr>
        <w:pStyle w:val="ListParagraph"/>
      </w:pPr>
      <w:r>
        <w:t>In naming a public place, the following should be considered as relevant</w:t>
      </w:r>
      <w:r w:rsidR="00484955" w:rsidRPr="00966AC7">
        <w:t>:</w:t>
      </w:r>
    </w:p>
    <w:p w14:paraId="4248828C" w14:textId="77777777" w:rsidR="00490594" w:rsidRPr="003A452C" w:rsidRDefault="00810AC8" w:rsidP="00490594">
      <w:pPr>
        <w:pStyle w:val="ListParagraph"/>
        <w:numPr>
          <w:ilvl w:val="0"/>
          <w:numId w:val="4"/>
        </w:numPr>
      </w:pPr>
      <w:r w:rsidRPr="003A452C">
        <w:rPr>
          <w:i/>
          <w:iCs/>
        </w:rPr>
        <w:t>Districts (</w:t>
      </w:r>
      <w:r w:rsidR="00490594" w:rsidRPr="003A452C">
        <w:rPr>
          <w:i/>
          <w:iCs/>
        </w:rPr>
        <w:t>Allocation of Street Addresses</w:t>
      </w:r>
      <w:r w:rsidRPr="003A452C">
        <w:rPr>
          <w:i/>
          <w:iCs/>
        </w:rPr>
        <w:t>)</w:t>
      </w:r>
      <w:r w:rsidR="00490594" w:rsidRPr="003A452C">
        <w:rPr>
          <w:i/>
          <w:iCs/>
        </w:rPr>
        <w:t xml:space="preserve"> Guidelines 2020</w:t>
      </w:r>
      <w:r w:rsidR="00D42E57" w:rsidRPr="003A452C">
        <w:rPr>
          <w:b/>
          <w:bCs/>
        </w:rPr>
        <w:t xml:space="preserve"> </w:t>
      </w:r>
      <w:r w:rsidR="0063750A" w:rsidRPr="0063750A">
        <w:t>in</w:t>
      </w:r>
      <w:r w:rsidR="0063750A">
        <w:rPr>
          <w:b/>
          <w:bCs/>
        </w:rPr>
        <w:t xml:space="preserve"> </w:t>
      </w:r>
      <w:r w:rsidR="00D42E57" w:rsidRPr="003A452C">
        <w:t xml:space="preserve">NI2020-679 available at </w:t>
      </w:r>
      <w:hyperlink r:id="rId8" w:history="1">
        <w:r w:rsidRPr="003A452C">
          <w:rPr>
            <w:rStyle w:val="Hyperlink"/>
          </w:rPr>
          <w:t>https://www.legislation.act.gov.au/ni/2020-679/</w:t>
        </w:r>
      </w:hyperlink>
      <w:r w:rsidR="00EC0791" w:rsidRPr="0063750A">
        <w:t>;</w:t>
      </w:r>
    </w:p>
    <w:p w14:paraId="72C5016F" w14:textId="77777777" w:rsidR="00EA151E" w:rsidRDefault="00484955" w:rsidP="00810AC8">
      <w:pPr>
        <w:pStyle w:val="ListParagraph"/>
        <w:numPr>
          <w:ilvl w:val="0"/>
          <w:numId w:val="4"/>
        </w:numPr>
      </w:pPr>
      <w:r w:rsidRPr="00966AC7">
        <w:t>Terms of Reference for the appointment of the</w:t>
      </w:r>
      <w:r w:rsidR="00EC2E11">
        <w:t xml:space="preserve"> </w:t>
      </w:r>
      <w:r w:rsidRPr="00966AC7">
        <w:t>ACT Place Names Committee</w:t>
      </w:r>
      <w:r w:rsidR="00EA151E">
        <w:t xml:space="preserve"> </w:t>
      </w:r>
      <w:r w:rsidR="00EA151E" w:rsidRPr="0063750A">
        <w:t>(and its successors)</w:t>
      </w:r>
      <w:r w:rsidR="00EA151E">
        <w:t xml:space="preserve"> at </w:t>
      </w:r>
      <w:hyperlink r:id="rId9" w:history="1">
        <w:r w:rsidR="00EA151E" w:rsidRPr="00D518C6">
          <w:rPr>
            <w:rStyle w:val="Hyperlink"/>
          </w:rPr>
          <w:t>https://www.planning.act.gov.au/tools_resources/place_names/place_names_committee</w:t>
        </w:r>
      </w:hyperlink>
    </w:p>
    <w:p w14:paraId="0AD4F198" w14:textId="77777777" w:rsidR="0048332B" w:rsidRDefault="007D4137" w:rsidP="00810AC8">
      <w:pPr>
        <w:pStyle w:val="ListParagraph"/>
        <w:numPr>
          <w:ilvl w:val="0"/>
          <w:numId w:val="4"/>
        </w:numPr>
      </w:pPr>
      <w:r w:rsidRPr="0055485C">
        <w:t>Rural and Urban Addressing Standard AS/NZS 4819:2011</w:t>
      </w:r>
      <w:r w:rsidR="003B63E6" w:rsidRPr="0055485C">
        <w:t xml:space="preserve"> as in force from time to time</w:t>
      </w:r>
      <w:r w:rsidR="00792190" w:rsidRPr="0055485C">
        <w:t xml:space="preserve">; </w:t>
      </w:r>
    </w:p>
    <w:p w14:paraId="264507D9" w14:textId="77777777" w:rsidR="003C3141" w:rsidRPr="001F2BD0" w:rsidRDefault="00B15384" w:rsidP="00810AC8">
      <w:pPr>
        <w:pStyle w:val="ListParagraph"/>
        <w:numPr>
          <w:ilvl w:val="0"/>
          <w:numId w:val="4"/>
        </w:numPr>
      </w:pPr>
      <w:r w:rsidRPr="001F2BD0">
        <w:t>U</w:t>
      </w:r>
      <w:r w:rsidR="00E955F9" w:rsidRPr="001F2BD0">
        <w:t>nited Nations D</w:t>
      </w:r>
      <w:r w:rsidRPr="001F2BD0">
        <w:t xml:space="preserve">eclaration of the Rights of Indigenous Peoples, Article 13 - </w:t>
      </w:r>
      <w:r w:rsidR="006E2A2E" w:rsidRPr="001F2BD0">
        <w:t xml:space="preserve">United Nations Group of Experts on Geographical </w:t>
      </w:r>
      <w:r w:rsidRPr="001F2BD0">
        <w:t>Names (UNGEGN)</w:t>
      </w:r>
      <w:r w:rsidR="003C3141" w:rsidRPr="001F2BD0">
        <w:t>.</w:t>
      </w:r>
    </w:p>
    <w:p w14:paraId="414AC914" w14:textId="77777777" w:rsidR="008647BF" w:rsidRPr="00437137" w:rsidRDefault="00B16158" w:rsidP="008647BF">
      <w:pPr>
        <w:ind w:left="1440" w:hanging="720"/>
        <w:rPr>
          <w:sz w:val="20"/>
        </w:rPr>
      </w:pPr>
      <w:r w:rsidRPr="00437137">
        <w:rPr>
          <w:i/>
          <w:iCs/>
          <w:sz w:val="20"/>
        </w:rPr>
        <w:t>Note</w:t>
      </w:r>
      <w:r w:rsidR="008647BF" w:rsidRPr="00437137">
        <w:tab/>
      </w:r>
      <w:r w:rsidR="008647BF" w:rsidRPr="00437137">
        <w:rPr>
          <w:sz w:val="20"/>
        </w:rPr>
        <w:t>Article 13 of the United Nations Declaration of the Rights of Indigenous Peoples provides:</w:t>
      </w:r>
    </w:p>
    <w:p w14:paraId="6D10D569" w14:textId="77777777" w:rsidR="008F0B88" w:rsidRPr="00437137" w:rsidRDefault="008F0B88" w:rsidP="009327FA">
      <w:pPr>
        <w:pStyle w:val="ListParagraph"/>
        <w:numPr>
          <w:ilvl w:val="0"/>
          <w:numId w:val="9"/>
        </w:numPr>
        <w:rPr>
          <w:sz w:val="20"/>
          <w:szCs w:val="20"/>
        </w:rPr>
      </w:pPr>
      <w:r w:rsidRPr="00437137">
        <w:rPr>
          <w:sz w:val="20"/>
        </w:rPr>
        <w:t>Indigenous peoples have the right to revitalize, use, develop and transmit to future generations their histories, languages, oral traditions, philosophies, writing systems and literatures, and to designate and retain their own names for communities, places and persons</w:t>
      </w:r>
      <w:r w:rsidR="00E34444" w:rsidRPr="00437137">
        <w:rPr>
          <w:sz w:val="20"/>
        </w:rPr>
        <w:t>;</w:t>
      </w:r>
    </w:p>
    <w:p w14:paraId="39D8127C" w14:textId="77777777" w:rsidR="006E2A2E" w:rsidRPr="00437137" w:rsidRDefault="008F0B88" w:rsidP="009327FA">
      <w:pPr>
        <w:pStyle w:val="ListParagraph"/>
        <w:numPr>
          <w:ilvl w:val="0"/>
          <w:numId w:val="9"/>
        </w:numPr>
        <w:rPr>
          <w:sz w:val="20"/>
          <w:szCs w:val="20"/>
        </w:rPr>
      </w:pPr>
      <w:r w:rsidRPr="00437137">
        <w:rPr>
          <w:sz w:val="20"/>
          <w:szCs w:val="20"/>
        </w:rPr>
        <w:t>States shall take effective measures to ensure this right is protected and also to ensure that indigenous peoples can understand and be understood in political, legal and administrative proceedings, where necessary through the provision of interpretation or by other appropriate means.</w:t>
      </w:r>
    </w:p>
    <w:p w14:paraId="3149E3E8" w14:textId="77777777" w:rsidR="0048332B" w:rsidRDefault="0048332B" w:rsidP="009327FA">
      <w:pPr>
        <w:pStyle w:val="ListParagraph"/>
        <w:numPr>
          <w:ilvl w:val="0"/>
          <w:numId w:val="4"/>
        </w:numPr>
      </w:pPr>
      <w:r w:rsidRPr="0055485C">
        <w:t>the nomenclature theme</w:t>
      </w:r>
      <w:r>
        <w:t xml:space="preserve"> assigned to a </w:t>
      </w:r>
      <w:r w:rsidR="00027387">
        <w:t xml:space="preserve">division </w:t>
      </w:r>
      <w:r w:rsidR="0016581D">
        <w:t>(</w:t>
      </w:r>
      <w:r w:rsidR="00F077F1">
        <w:t>s</w:t>
      </w:r>
      <w:r w:rsidR="0016581D">
        <w:t xml:space="preserve">uburb) </w:t>
      </w:r>
      <w:r>
        <w:t xml:space="preserve">by </w:t>
      </w:r>
      <w:r w:rsidR="00EC2E11">
        <w:t>t</w:t>
      </w:r>
      <w:r>
        <w:t xml:space="preserve">he </w:t>
      </w:r>
      <w:r w:rsidR="0016581D">
        <w:t>Minister or the Minister’s delegate</w:t>
      </w:r>
      <w:r w:rsidR="00EA151E">
        <w:t xml:space="preserve"> at  </w:t>
      </w:r>
      <w:hyperlink r:id="rId10" w:history="1">
        <w:r w:rsidR="00EA151E" w:rsidRPr="00DE1E4A">
          <w:rPr>
            <w:rStyle w:val="Hyperlink"/>
          </w:rPr>
          <w:t>https://www.planning.act.gov.au/tools_resources/place_names/place_search</w:t>
        </w:r>
      </w:hyperlink>
      <w:r>
        <w:t>;</w:t>
      </w:r>
    </w:p>
    <w:p w14:paraId="7AB91258" w14:textId="77777777" w:rsidR="0048332B" w:rsidRPr="000A23AD" w:rsidRDefault="0055485C" w:rsidP="005C3489">
      <w:pPr>
        <w:pStyle w:val="ListParagraph"/>
        <w:numPr>
          <w:ilvl w:val="0"/>
          <w:numId w:val="4"/>
        </w:numPr>
        <w:spacing w:line="240" w:lineRule="auto"/>
      </w:pPr>
      <w:bookmarkStart w:id="3" w:name="_Hlk44064970"/>
      <w:r w:rsidRPr="000A23AD">
        <w:t xml:space="preserve">the </w:t>
      </w:r>
      <w:r w:rsidR="00E445D0" w:rsidRPr="000A23AD">
        <w:t>desirability for the totality of public place names in the ACT to be</w:t>
      </w:r>
      <w:r w:rsidRPr="000A23AD">
        <w:t xml:space="preserve"> reflect</w:t>
      </w:r>
      <w:r w:rsidR="00E445D0" w:rsidRPr="000A23AD">
        <w:t xml:space="preserve">ive of </w:t>
      </w:r>
      <w:r w:rsidR="0048332B" w:rsidRPr="000A23AD">
        <w:t>diverse cultural situations</w:t>
      </w:r>
      <w:r w:rsidR="0016581D" w:rsidRPr="000A23AD">
        <w:t xml:space="preserve"> and cognisant of community sensitivities</w:t>
      </w:r>
      <w:bookmarkEnd w:id="3"/>
      <w:r w:rsidRPr="000A23AD">
        <w:t>;</w:t>
      </w:r>
      <w:r w:rsidR="0048332B" w:rsidRPr="000A23AD">
        <w:t xml:space="preserve"> </w:t>
      </w:r>
    </w:p>
    <w:p w14:paraId="2901BCB8" w14:textId="77777777" w:rsidR="00305B38" w:rsidRDefault="00305B38" w:rsidP="009327FA">
      <w:pPr>
        <w:pStyle w:val="ListParagraph"/>
        <w:numPr>
          <w:ilvl w:val="0"/>
          <w:numId w:val="4"/>
        </w:numPr>
      </w:pPr>
      <w:r>
        <w:t>any advic</w:t>
      </w:r>
      <w:r w:rsidRPr="00305B38">
        <w:t xml:space="preserve">e </w:t>
      </w:r>
      <w:r>
        <w:t xml:space="preserve">of </w:t>
      </w:r>
      <w:r w:rsidRPr="00305B38">
        <w:t xml:space="preserve">the ACT Place Names Committee </w:t>
      </w:r>
      <w:r w:rsidR="0037389A">
        <w:t xml:space="preserve">(and its successors) </w:t>
      </w:r>
      <w:r>
        <w:t>to the</w:t>
      </w:r>
      <w:r w:rsidRPr="00305B38">
        <w:t xml:space="preserve"> Minister on proposals for geographic and </w:t>
      </w:r>
      <w:r w:rsidR="00EC2E11">
        <w:t>d</w:t>
      </w:r>
      <w:r w:rsidR="0016581D" w:rsidRPr="00305B38">
        <w:t xml:space="preserve">ivision </w:t>
      </w:r>
      <w:r w:rsidRPr="00305B38">
        <w:t xml:space="preserve">names and </w:t>
      </w:r>
      <w:r w:rsidR="002259DD">
        <w:t xml:space="preserve">nomenclature themes </w:t>
      </w:r>
      <w:r w:rsidRPr="00305B38">
        <w:t>to be adopted for naming roads and other public places on Territory land</w:t>
      </w:r>
      <w:r>
        <w:t>;</w:t>
      </w:r>
      <w:r w:rsidRPr="00305B38">
        <w:t xml:space="preserve"> </w:t>
      </w:r>
    </w:p>
    <w:p w14:paraId="42B1B756" w14:textId="77777777" w:rsidR="007D4137" w:rsidRPr="00966AC7" w:rsidRDefault="0048332B" w:rsidP="009327FA">
      <w:pPr>
        <w:pStyle w:val="ListParagraph"/>
        <w:numPr>
          <w:ilvl w:val="0"/>
          <w:numId w:val="4"/>
        </w:numPr>
      </w:pPr>
      <w:r>
        <w:t>in relation to urban open spaces</w:t>
      </w:r>
      <w:r w:rsidR="00EC2E11">
        <w:t>,</w:t>
      </w:r>
      <w:r>
        <w:t xml:space="preserve"> </w:t>
      </w:r>
      <w:r w:rsidRPr="00966AC7">
        <w:rPr>
          <w:lang w:eastAsia="en-AU"/>
        </w:rPr>
        <w:t>the names of</w:t>
      </w:r>
      <w:r>
        <w:rPr>
          <w:lang w:eastAsia="en-AU"/>
        </w:rPr>
        <w:t xml:space="preserve"> </w:t>
      </w:r>
      <w:r w:rsidRPr="00966AC7">
        <w:rPr>
          <w:lang w:eastAsia="en-AU"/>
        </w:rPr>
        <w:t>people</w:t>
      </w:r>
      <w:r w:rsidR="002259DD">
        <w:rPr>
          <w:lang w:eastAsia="en-AU"/>
        </w:rPr>
        <w:t xml:space="preserve"> </w:t>
      </w:r>
      <w:r w:rsidRPr="00966AC7">
        <w:rPr>
          <w:lang w:eastAsia="en-AU"/>
        </w:rPr>
        <w:t xml:space="preserve">who had a long association </w:t>
      </w:r>
      <w:r>
        <w:rPr>
          <w:lang w:eastAsia="en-AU"/>
        </w:rPr>
        <w:t>with the place</w:t>
      </w:r>
      <w:r w:rsidR="002259DD">
        <w:rPr>
          <w:lang w:eastAsia="en-AU"/>
        </w:rPr>
        <w:t xml:space="preserve">, </w:t>
      </w:r>
      <w:r w:rsidR="009F7A95" w:rsidRPr="000A23AD">
        <w:rPr>
          <w:lang w:eastAsia="en-AU"/>
        </w:rPr>
        <w:t xml:space="preserve">local </w:t>
      </w:r>
      <w:r w:rsidR="002259DD" w:rsidRPr="000A23AD">
        <w:rPr>
          <w:lang w:eastAsia="en-AU"/>
        </w:rPr>
        <w:t>Aboriginal vocabulary and the names of things characteristic of the location</w:t>
      </w:r>
      <w:r w:rsidR="003B63E6" w:rsidRPr="000A23AD">
        <w:rPr>
          <w:lang w:eastAsia="en-AU"/>
        </w:rPr>
        <w:t>;</w:t>
      </w:r>
      <w:r>
        <w:rPr>
          <w:lang w:eastAsia="en-AU"/>
        </w:rPr>
        <w:t xml:space="preserve"> </w:t>
      </w:r>
      <w:r w:rsidR="00792190" w:rsidRPr="00966AC7">
        <w:t>and</w:t>
      </w:r>
    </w:p>
    <w:p w14:paraId="36D32593" w14:textId="77777777" w:rsidR="000E5376" w:rsidRPr="00966AC7" w:rsidRDefault="00DD7E0E" w:rsidP="009327FA">
      <w:pPr>
        <w:pStyle w:val="ListParagraph"/>
        <w:numPr>
          <w:ilvl w:val="0"/>
          <w:numId w:val="4"/>
        </w:numPr>
      </w:pPr>
      <w:r>
        <w:t>a</w:t>
      </w:r>
      <w:r w:rsidR="000E5376" w:rsidRPr="00966AC7">
        <w:t>ny other matters the Minister considers appropriate</w:t>
      </w:r>
      <w:r w:rsidR="00792190" w:rsidRPr="00966AC7">
        <w:t>.</w:t>
      </w:r>
    </w:p>
    <w:p w14:paraId="5D554F3E" w14:textId="77777777" w:rsidR="00FC396B" w:rsidRDefault="003B63E6" w:rsidP="003B63E6">
      <w:pPr>
        <w:ind w:left="360"/>
        <w:rPr>
          <w:szCs w:val="24"/>
        </w:rPr>
      </w:pPr>
      <w:r>
        <w:rPr>
          <w:szCs w:val="24"/>
        </w:rPr>
        <w:t xml:space="preserve">In this section, “urban open space” includes neighbourhood parks.  </w:t>
      </w:r>
    </w:p>
    <w:p w14:paraId="2CCDEB5F" w14:textId="77777777" w:rsidR="00FC396B" w:rsidRDefault="00FC396B">
      <w:pPr>
        <w:rPr>
          <w:szCs w:val="24"/>
        </w:rPr>
      </w:pPr>
      <w:r>
        <w:rPr>
          <w:szCs w:val="24"/>
        </w:rPr>
        <w:br w:type="page"/>
      </w:r>
    </w:p>
    <w:p w14:paraId="72CB59ED" w14:textId="77777777" w:rsidR="00F56E1F" w:rsidRDefault="007A6E13" w:rsidP="00027387">
      <w:pPr>
        <w:pStyle w:val="ListParagraph"/>
      </w:pPr>
      <w:r>
        <w:lastRenderedPageBreak/>
        <w:t>In</w:t>
      </w:r>
      <w:r w:rsidR="00F73CDD" w:rsidRPr="00966AC7">
        <w:t xml:space="preserve"> naming a public place, the </w:t>
      </w:r>
      <w:r>
        <w:t>following terms or names should be avoided</w:t>
      </w:r>
      <w:r w:rsidR="00F73CDD" w:rsidRPr="00966AC7">
        <w:t xml:space="preserve">: </w:t>
      </w:r>
    </w:p>
    <w:p w14:paraId="7E45BEB2" w14:textId="77777777" w:rsidR="006561F1" w:rsidRPr="000A23AD" w:rsidRDefault="00FC396B" w:rsidP="009327FA">
      <w:pPr>
        <w:pStyle w:val="ListParagraph"/>
        <w:numPr>
          <w:ilvl w:val="0"/>
          <w:numId w:val="6"/>
        </w:numPr>
      </w:pPr>
      <w:bookmarkStart w:id="4" w:name="_Hlk44065223"/>
      <w:r>
        <w:t>d</w:t>
      </w:r>
      <w:r w:rsidRPr="000A23AD">
        <w:t xml:space="preserve">iscriminatory </w:t>
      </w:r>
      <w:r w:rsidR="0051598B" w:rsidRPr="000A23AD">
        <w:t xml:space="preserve">or derogatory names. Such names are those names perceived, at </w:t>
      </w:r>
      <w:r w:rsidR="00C3754E" w:rsidRPr="000A23AD">
        <w:rPr>
          <w:bCs/>
        </w:rPr>
        <w:t>the time of</w:t>
      </w:r>
      <w:r w:rsidR="00CD29A3" w:rsidRPr="000A23AD">
        <w:rPr>
          <w:bCs/>
        </w:rPr>
        <w:t xml:space="preserve"> consideration</w:t>
      </w:r>
      <w:r w:rsidR="0051598B" w:rsidRPr="000A23AD">
        <w:t>, to be offensive, demeaning or harmful to the reputation of individuals, or to social, ethnic, religious or other groups</w:t>
      </w:r>
      <w:r w:rsidR="00C3754E" w:rsidRPr="000A23AD">
        <w:t>;</w:t>
      </w:r>
      <w:r w:rsidR="006561F1" w:rsidRPr="000A23AD">
        <w:t xml:space="preserve"> </w:t>
      </w:r>
    </w:p>
    <w:bookmarkEnd w:id="4"/>
    <w:p w14:paraId="54B1BE8E" w14:textId="77777777" w:rsidR="00F56E1F" w:rsidRPr="00F56E1F" w:rsidRDefault="00792190" w:rsidP="009327FA">
      <w:pPr>
        <w:pStyle w:val="ListParagraph"/>
        <w:numPr>
          <w:ilvl w:val="0"/>
          <w:numId w:val="6"/>
        </w:numPr>
      </w:pPr>
      <w:r w:rsidRPr="00F56E1F">
        <w:t>names contrived to circumvent othe</w:t>
      </w:r>
      <w:r w:rsidR="00675D83">
        <w:t xml:space="preserve">r parts of these </w:t>
      </w:r>
      <w:r w:rsidR="00CD29A3">
        <w:t xml:space="preserve">guidelines; </w:t>
      </w:r>
      <w:r w:rsidR="00CD29A3" w:rsidRPr="00F56E1F">
        <w:t>and</w:t>
      </w:r>
    </w:p>
    <w:p w14:paraId="41E82C38" w14:textId="77777777" w:rsidR="00675D83" w:rsidRDefault="00792190" w:rsidP="009327FA">
      <w:pPr>
        <w:pStyle w:val="ListParagraph"/>
        <w:numPr>
          <w:ilvl w:val="0"/>
          <w:numId w:val="6"/>
        </w:numPr>
      </w:pPr>
      <w:r w:rsidRPr="00F56E1F">
        <w:t>terms which could be construed as advertising a comm</w:t>
      </w:r>
      <w:r w:rsidR="00DD7E0E">
        <w:t>ercial or industrial enterprise.</w:t>
      </w:r>
    </w:p>
    <w:p w14:paraId="02F549FF" w14:textId="77777777" w:rsidR="004C50AE" w:rsidRDefault="004C50AE" w:rsidP="00FC396B">
      <w:pPr>
        <w:rPr>
          <w:rFonts w:ascii="Arial" w:hAnsi="Arial" w:cs="Arial"/>
          <w:b/>
          <w:iCs/>
          <w:szCs w:val="24"/>
        </w:rPr>
      </w:pPr>
      <w:r w:rsidRPr="00966AC7">
        <w:rPr>
          <w:rFonts w:ascii="Arial" w:hAnsi="Arial" w:cs="Arial"/>
          <w:b/>
          <w:iCs/>
          <w:szCs w:val="24"/>
        </w:rPr>
        <w:t>N</w:t>
      </w:r>
      <w:r w:rsidR="004016E9">
        <w:rPr>
          <w:rFonts w:ascii="Arial" w:hAnsi="Arial" w:cs="Arial"/>
          <w:b/>
          <w:iCs/>
          <w:szCs w:val="24"/>
        </w:rPr>
        <w:t xml:space="preserve">aming of public places – </w:t>
      </w:r>
      <w:r w:rsidRPr="00966AC7">
        <w:rPr>
          <w:rFonts w:ascii="Arial" w:hAnsi="Arial" w:cs="Arial"/>
          <w:b/>
          <w:iCs/>
          <w:szCs w:val="24"/>
        </w:rPr>
        <w:t>addressing</w:t>
      </w:r>
    </w:p>
    <w:p w14:paraId="17247376" w14:textId="77777777" w:rsidR="00D42E57" w:rsidRDefault="00D42E57" w:rsidP="00FC396B">
      <w:pPr>
        <w:rPr>
          <w:rFonts w:ascii="Arial" w:hAnsi="Arial" w:cs="Arial"/>
          <w:b/>
          <w:iCs/>
          <w:szCs w:val="24"/>
        </w:rPr>
      </w:pPr>
    </w:p>
    <w:p w14:paraId="6C6E35B5" w14:textId="77777777" w:rsidR="00665CDF" w:rsidRPr="0063750A" w:rsidRDefault="00F57AC4" w:rsidP="003A452C">
      <w:pPr>
        <w:pStyle w:val="ListParagraph"/>
        <w:rPr>
          <w:iCs/>
        </w:rPr>
      </w:pPr>
      <w:r w:rsidRPr="005C3489">
        <w:t xml:space="preserve">If the public place is a </w:t>
      </w:r>
      <w:r w:rsidR="00027387" w:rsidRPr="005C3489">
        <w:t>road</w:t>
      </w:r>
      <w:r w:rsidRPr="005C3489">
        <w:t xml:space="preserve">, the </w:t>
      </w:r>
      <w:r w:rsidR="007A6E13" w:rsidRPr="005C3489">
        <w:t>requirements of</w:t>
      </w:r>
      <w:r w:rsidR="004016E9" w:rsidRPr="005C3489">
        <w:t xml:space="preserve"> the </w:t>
      </w:r>
      <w:r w:rsidR="003D07B8" w:rsidRPr="005C3489">
        <w:rPr>
          <w:i/>
          <w:iCs/>
        </w:rPr>
        <w:t>Districts (A</w:t>
      </w:r>
      <w:r w:rsidR="00D42E57" w:rsidRPr="005C3489">
        <w:rPr>
          <w:i/>
          <w:iCs/>
        </w:rPr>
        <w:t>llocation of Street Addresses</w:t>
      </w:r>
      <w:r w:rsidR="003D07B8" w:rsidRPr="005C3489">
        <w:rPr>
          <w:i/>
          <w:iCs/>
        </w:rPr>
        <w:t>)</w:t>
      </w:r>
      <w:r w:rsidR="00D42E57" w:rsidRPr="005C3489">
        <w:rPr>
          <w:i/>
          <w:iCs/>
        </w:rPr>
        <w:t xml:space="preserve"> Guidelines 2020</w:t>
      </w:r>
      <w:r w:rsidR="00D42E57" w:rsidRPr="005C3489">
        <w:t xml:space="preserve"> in NI2020-679 available at</w:t>
      </w:r>
      <w:r w:rsidR="00D42E57" w:rsidRPr="005C3489">
        <w:rPr>
          <w:b/>
          <w:bCs/>
        </w:rPr>
        <w:t xml:space="preserve"> </w:t>
      </w:r>
      <w:hyperlink r:id="rId11" w:history="1">
        <w:r w:rsidR="00EC0791" w:rsidRPr="005C3489">
          <w:rPr>
            <w:rStyle w:val="Hyperlink"/>
          </w:rPr>
          <w:t>https://www.legislation.act.gov.au/ni/2020-679/</w:t>
        </w:r>
      </w:hyperlink>
      <w:r w:rsidR="00EC0791" w:rsidRPr="005C3489">
        <w:t xml:space="preserve"> </w:t>
      </w:r>
      <w:r w:rsidR="007A6E13" w:rsidRPr="009A786B">
        <w:t>should be complied with</w:t>
      </w:r>
      <w:r w:rsidR="00EC2E11" w:rsidRPr="009A786B">
        <w:t>;</w:t>
      </w:r>
    </w:p>
    <w:p w14:paraId="5B0F484E" w14:textId="77777777" w:rsidR="00F57AC4" w:rsidRPr="003A452C" w:rsidRDefault="00665CDF" w:rsidP="00027387">
      <w:pPr>
        <w:pStyle w:val="ListParagraph"/>
        <w:rPr>
          <w:i/>
        </w:rPr>
      </w:pPr>
      <w:r w:rsidRPr="005C3489">
        <w:t xml:space="preserve">Where a road name </w:t>
      </w:r>
      <w:r w:rsidR="00437137" w:rsidRPr="005C3489">
        <w:t xml:space="preserve">is </w:t>
      </w:r>
      <w:r w:rsidRPr="005C3489">
        <w:t xml:space="preserve">inconsistent with the </w:t>
      </w:r>
      <w:r w:rsidR="003D07B8" w:rsidRPr="005C3489">
        <w:rPr>
          <w:i/>
          <w:iCs/>
        </w:rPr>
        <w:t>Districts (Allocation of Street Addresses) Guidelines 2020</w:t>
      </w:r>
      <w:r w:rsidR="003D07B8" w:rsidRPr="005C3489">
        <w:rPr>
          <w:b/>
          <w:bCs/>
        </w:rPr>
        <w:t xml:space="preserve"> </w:t>
      </w:r>
      <w:r w:rsidRPr="005C3489">
        <w:t>the</w:t>
      </w:r>
      <w:r w:rsidR="004016E9" w:rsidRPr="005C3489">
        <w:t xml:space="preserve"> Minister </w:t>
      </w:r>
      <w:r w:rsidR="001C2AE1" w:rsidRPr="005C3489">
        <w:t xml:space="preserve">may </w:t>
      </w:r>
      <w:r w:rsidRPr="005C3489">
        <w:t xml:space="preserve">determine a road name recommended </w:t>
      </w:r>
      <w:r w:rsidR="00F57AC4" w:rsidRPr="005C3489">
        <w:t>by the ACT Place Names</w:t>
      </w:r>
      <w:r w:rsidR="00F57AC4" w:rsidRPr="003A452C">
        <w:t xml:space="preserve"> Committee</w:t>
      </w:r>
      <w:r w:rsidR="0037389A">
        <w:t xml:space="preserve"> (and its successors) </w:t>
      </w:r>
      <w:r w:rsidR="00152AD6" w:rsidRPr="003A452C">
        <w:t xml:space="preserve">and/or the </w:t>
      </w:r>
      <w:r w:rsidR="003D07B8" w:rsidRPr="009A786B">
        <w:br w:type="textWrapping" w:clear="all"/>
      </w:r>
      <w:r w:rsidR="00152AD6" w:rsidRPr="003A452C">
        <w:t xml:space="preserve">ACT Place Names Unit </w:t>
      </w:r>
      <w:r w:rsidR="00027387" w:rsidRPr="003A452C">
        <w:t>after consultation with</w:t>
      </w:r>
      <w:r w:rsidR="00F57AC4" w:rsidRPr="003A452C">
        <w:t>:</w:t>
      </w:r>
    </w:p>
    <w:p w14:paraId="7455B35F" w14:textId="77777777" w:rsidR="00F57AC4" w:rsidRDefault="0031486C" w:rsidP="009327FA">
      <w:pPr>
        <w:pStyle w:val="ListParagraph"/>
        <w:numPr>
          <w:ilvl w:val="1"/>
          <w:numId w:val="5"/>
        </w:numPr>
      </w:pPr>
      <w:r>
        <w:t xml:space="preserve">the </w:t>
      </w:r>
      <w:r w:rsidR="00F57AC4" w:rsidRPr="006E5663">
        <w:t>ACT Emergency Services Agency;</w:t>
      </w:r>
    </w:p>
    <w:p w14:paraId="16CF37F4" w14:textId="77777777" w:rsidR="00F57AC4" w:rsidRDefault="00F57AC4" w:rsidP="009327FA">
      <w:pPr>
        <w:pStyle w:val="ListParagraph"/>
        <w:numPr>
          <w:ilvl w:val="1"/>
          <w:numId w:val="5"/>
        </w:numPr>
      </w:pPr>
      <w:r>
        <w:t xml:space="preserve">ACT Policing; </w:t>
      </w:r>
      <w:r w:rsidR="001C2AE1">
        <w:t>or</w:t>
      </w:r>
    </w:p>
    <w:p w14:paraId="26A2499C" w14:textId="77777777" w:rsidR="00F57AC4" w:rsidRDefault="00F57AC4" w:rsidP="009327FA">
      <w:pPr>
        <w:pStyle w:val="ListParagraph"/>
        <w:numPr>
          <w:ilvl w:val="1"/>
          <w:numId w:val="5"/>
        </w:numPr>
      </w:pPr>
      <w:r>
        <w:t>Australia Post.</w:t>
      </w:r>
    </w:p>
    <w:p w14:paraId="3AEEA177" w14:textId="77777777" w:rsidR="00484955" w:rsidRPr="00966AC7" w:rsidRDefault="00484955" w:rsidP="00F94A75">
      <w:pPr>
        <w:keepNext/>
        <w:keepLines/>
        <w:rPr>
          <w:rFonts w:ascii="Arial" w:hAnsi="Arial" w:cs="Arial"/>
          <w:b/>
          <w:szCs w:val="24"/>
        </w:rPr>
      </w:pPr>
      <w:r w:rsidRPr="00966AC7">
        <w:rPr>
          <w:rFonts w:ascii="Arial" w:hAnsi="Arial" w:cs="Arial"/>
          <w:b/>
          <w:szCs w:val="24"/>
        </w:rPr>
        <w:t xml:space="preserve">Naming of public places – names of </w:t>
      </w:r>
      <w:r w:rsidR="004C50AE" w:rsidRPr="00966AC7">
        <w:rPr>
          <w:rFonts w:ascii="Arial" w:hAnsi="Arial" w:cs="Arial"/>
          <w:b/>
          <w:szCs w:val="24"/>
        </w:rPr>
        <w:t>persons</w:t>
      </w:r>
    </w:p>
    <w:p w14:paraId="6FB52A1E" w14:textId="77777777" w:rsidR="007D4137" w:rsidRPr="00792190" w:rsidRDefault="007D4137" w:rsidP="00F94A75">
      <w:pPr>
        <w:keepNext/>
        <w:keepLines/>
        <w:rPr>
          <w:b/>
          <w:szCs w:val="24"/>
        </w:rPr>
      </w:pPr>
    </w:p>
    <w:p w14:paraId="141DC394" w14:textId="77777777" w:rsidR="007F274B" w:rsidRDefault="00305B38">
      <w:pPr>
        <w:pStyle w:val="ListParagraph"/>
      </w:pPr>
      <w:r>
        <w:t>O</w:t>
      </w:r>
      <w:r w:rsidR="007A6E13">
        <w:t>nly</w:t>
      </w:r>
      <w:r w:rsidR="007D4137" w:rsidRPr="00792190">
        <w:t xml:space="preserve"> the names of deceased persons</w:t>
      </w:r>
      <w:r w:rsidR="007A6E13">
        <w:t xml:space="preserve"> should be </w:t>
      </w:r>
      <w:r w:rsidR="00027387">
        <w:t>determined.</w:t>
      </w:r>
      <w:r w:rsidR="00E9091D">
        <w:t xml:space="preserve"> </w:t>
      </w:r>
    </w:p>
    <w:p w14:paraId="54E4AFD9" w14:textId="77777777" w:rsidR="007F274B" w:rsidRDefault="00305B38">
      <w:pPr>
        <w:pStyle w:val="ListParagraph"/>
      </w:pPr>
      <w:r>
        <w:t>A</w:t>
      </w:r>
      <w:r w:rsidR="007A6E13" w:rsidRPr="00966AC7">
        <w:t xml:space="preserve">t least 12 months </w:t>
      </w:r>
      <w:r w:rsidR="007A6E13">
        <w:t xml:space="preserve">should </w:t>
      </w:r>
      <w:r w:rsidR="0031486C">
        <w:t>elapse</w:t>
      </w:r>
      <w:r w:rsidR="007A6E13" w:rsidRPr="00966AC7">
        <w:t xml:space="preserve"> </w:t>
      </w:r>
      <w:r w:rsidR="0031486C">
        <w:t>after</w:t>
      </w:r>
      <w:r w:rsidR="007A6E13" w:rsidRPr="00966AC7">
        <w:t xml:space="preserve"> the death </w:t>
      </w:r>
      <w:r w:rsidR="007A6E13">
        <w:t xml:space="preserve">of </w:t>
      </w:r>
      <w:r w:rsidR="0031486C">
        <w:t>a person before that</w:t>
      </w:r>
      <w:r w:rsidR="007A6E13">
        <w:t xml:space="preserve"> </w:t>
      </w:r>
      <w:r w:rsidR="0031486C">
        <w:t xml:space="preserve">person’s </w:t>
      </w:r>
      <w:r w:rsidR="007A6E13">
        <w:t xml:space="preserve">name </w:t>
      </w:r>
      <w:r w:rsidR="0031486C">
        <w:t>can be</w:t>
      </w:r>
      <w:r w:rsidR="007A6E13">
        <w:t xml:space="preserve"> </w:t>
      </w:r>
      <w:r w:rsidR="00027387">
        <w:t>determined</w:t>
      </w:r>
      <w:r w:rsidR="0067792C">
        <w:t>.</w:t>
      </w:r>
      <w:r w:rsidR="007A6E13">
        <w:t xml:space="preserve"> </w:t>
      </w:r>
    </w:p>
    <w:p w14:paraId="643B02AE" w14:textId="77777777" w:rsidR="00FE1B63" w:rsidRDefault="00FE1B63">
      <w:pPr>
        <w:pStyle w:val="ListParagraph"/>
      </w:pPr>
      <w:r w:rsidRPr="00FC396B">
        <w:t>Names should consi</w:t>
      </w:r>
      <w:r w:rsidR="0051598B" w:rsidRPr="00FC396B">
        <w:t>der</w:t>
      </w:r>
      <w:r w:rsidRPr="00FC396B">
        <w:t xml:space="preserve"> community sensitivities</w:t>
      </w:r>
      <w:r>
        <w:t>.</w:t>
      </w:r>
    </w:p>
    <w:p w14:paraId="46E2A7CD" w14:textId="77777777" w:rsidR="00755F18" w:rsidRPr="00966AC7" w:rsidRDefault="00755F18" w:rsidP="00755F18">
      <w:pPr>
        <w:pStyle w:val="ListParagraph"/>
      </w:pPr>
      <w:r w:rsidRPr="00305B38">
        <w:t xml:space="preserve">Reasonable steps should be taken to </w:t>
      </w:r>
      <w:r w:rsidR="007E4FA6">
        <w:t xml:space="preserve">consult </w:t>
      </w:r>
      <w:r w:rsidRPr="00305B38">
        <w:t>the person’s relatives</w:t>
      </w:r>
      <w:r>
        <w:t>,</w:t>
      </w:r>
      <w:r w:rsidRPr="00305B38">
        <w:t xml:space="preserve"> </w:t>
      </w:r>
      <w:r w:rsidR="007E4FA6">
        <w:t>associates</w:t>
      </w:r>
      <w:r w:rsidR="00C07784">
        <w:t xml:space="preserve">, </w:t>
      </w:r>
      <w:r w:rsidR="00C07784" w:rsidRPr="00F5221B">
        <w:t>an appropriate cultural group</w:t>
      </w:r>
      <w:r w:rsidR="00F5221B">
        <w:t>,</w:t>
      </w:r>
      <w:r w:rsidRPr="00F5221B">
        <w:t xml:space="preserve"> o</w:t>
      </w:r>
      <w:r>
        <w:t>r a relevant professional organisation</w:t>
      </w:r>
      <w:r w:rsidR="00F5221B">
        <w:t>,</w:t>
      </w:r>
      <w:r>
        <w:t xml:space="preserve"> </w:t>
      </w:r>
      <w:r w:rsidRPr="00305B38">
        <w:t>before naming a public place after a person.</w:t>
      </w:r>
    </w:p>
    <w:p w14:paraId="004C2E1B" w14:textId="77777777" w:rsidR="007F274B" w:rsidRDefault="0031486C">
      <w:pPr>
        <w:pStyle w:val="ListParagraph"/>
        <w:keepNext/>
        <w:keepLines/>
      </w:pPr>
      <w:r>
        <w:t xml:space="preserve">Before </w:t>
      </w:r>
      <w:r w:rsidR="00027387">
        <w:t>determining</w:t>
      </w:r>
      <w:r w:rsidR="00027387" w:rsidRPr="007A6E13">
        <w:t xml:space="preserve"> </w:t>
      </w:r>
      <w:r w:rsidR="007A6E13" w:rsidRPr="007A6E13">
        <w:t>a</w:t>
      </w:r>
      <w:r w:rsidR="00810660" w:rsidRPr="007A6E13">
        <w:t xml:space="preserve"> person</w:t>
      </w:r>
      <w:r w:rsidR="00F5221B">
        <w:t>al</w:t>
      </w:r>
      <w:r w:rsidR="00810660" w:rsidRPr="007A6E13">
        <w:t xml:space="preserve"> </w:t>
      </w:r>
      <w:r w:rsidR="00F5221B" w:rsidRPr="007A6E13">
        <w:t>name,</w:t>
      </w:r>
      <w:r w:rsidR="007A6E13" w:rsidRPr="007A6E13">
        <w:t xml:space="preserve"> consideration should be given to the </w:t>
      </w:r>
      <w:r w:rsidR="00810660" w:rsidRPr="007A6E13">
        <w:t xml:space="preserve">prominence </w:t>
      </w:r>
      <w:r w:rsidR="007A6E13" w:rsidRPr="007A6E13">
        <w:t>of</w:t>
      </w:r>
      <w:r w:rsidR="00810660" w:rsidRPr="007A6E13">
        <w:t xml:space="preserve"> the person</w:t>
      </w:r>
      <w:r w:rsidR="007A6E13" w:rsidRPr="007A6E13">
        <w:t xml:space="preserve"> in </w:t>
      </w:r>
      <w:r>
        <w:t>their</w:t>
      </w:r>
      <w:r w:rsidR="00810660" w:rsidRPr="007A6E13">
        <w:t xml:space="preserve"> particular field. </w:t>
      </w:r>
    </w:p>
    <w:p w14:paraId="059171FE" w14:textId="77777777" w:rsidR="007F274B" w:rsidRDefault="007A6E13">
      <w:pPr>
        <w:pStyle w:val="ListParagraph"/>
        <w:keepNext/>
        <w:keepLines/>
      </w:pPr>
      <w:r w:rsidRPr="00305B38">
        <w:t>A person’s name should not be</w:t>
      </w:r>
      <w:r w:rsidR="00D163EB" w:rsidRPr="00305B38">
        <w:t xml:space="preserve"> </w:t>
      </w:r>
      <w:r w:rsidR="00027387">
        <w:t>determined</w:t>
      </w:r>
      <w:r w:rsidR="00027387" w:rsidRPr="00305B38">
        <w:t xml:space="preserve"> </w:t>
      </w:r>
      <w:r w:rsidRPr="00305B38">
        <w:t xml:space="preserve">for a major thoroughfare or arterial road unless the person has </w:t>
      </w:r>
      <w:r w:rsidR="00D163EB" w:rsidRPr="00305B38">
        <w:t xml:space="preserve">attained prominence or standing </w:t>
      </w:r>
      <w:r w:rsidRPr="00305B38">
        <w:t>in th</w:t>
      </w:r>
      <w:r w:rsidR="0031486C" w:rsidRPr="00305B38">
        <w:t>eir</w:t>
      </w:r>
      <w:r w:rsidRPr="00305B38">
        <w:t xml:space="preserve"> particular field</w:t>
      </w:r>
      <w:r w:rsidR="00E9091D">
        <w:t>.</w:t>
      </w:r>
    </w:p>
    <w:p w14:paraId="37CEC8E2" w14:textId="77777777" w:rsidR="001C2AE1" w:rsidRPr="00F5221B" w:rsidRDefault="00755F18" w:rsidP="001C2AE1">
      <w:pPr>
        <w:pStyle w:val="ListParagraph"/>
      </w:pPr>
      <w:r w:rsidRPr="00F5221B">
        <w:t xml:space="preserve">The use of two names </w:t>
      </w:r>
      <w:r w:rsidR="001C2AE1" w:rsidRPr="00F5221B">
        <w:t xml:space="preserve">may </w:t>
      </w:r>
      <w:r w:rsidRPr="00F5221B">
        <w:t xml:space="preserve">be considered to afford commemoration of a significant </w:t>
      </w:r>
      <w:r w:rsidR="001C2AE1" w:rsidRPr="00F5221B">
        <w:t xml:space="preserve">person’s name </w:t>
      </w:r>
      <w:r w:rsidR="00C3754E" w:rsidRPr="00F5221B">
        <w:t xml:space="preserve">while striving </w:t>
      </w:r>
      <w:r w:rsidRPr="00F5221B">
        <w:t>to accord with simple addressing requirements.</w:t>
      </w:r>
    </w:p>
    <w:p w14:paraId="12FD6360" w14:textId="77777777" w:rsidR="00BB38DC" w:rsidRPr="00F5221B" w:rsidRDefault="00BB38DC" w:rsidP="009A6D9C">
      <w:pPr>
        <w:rPr>
          <w:rFonts w:ascii="Arial" w:hAnsi="Arial" w:cs="Arial"/>
          <w:b/>
        </w:rPr>
      </w:pPr>
      <w:r w:rsidRPr="00F5221B">
        <w:rPr>
          <w:rFonts w:ascii="Arial" w:hAnsi="Arial" w:cs="Arial"/>
          <w:b/>
        </w:rPr>
        <w:t xml:space="preserve">Community </w:t>
      </w:r>
      <w:r w:rsidR="00B64385" w:rsidRPr="00F5221B">
        <w:rPr>
          <w:rFonts w:ascii="Arial" w:hAnsi="Arial" w:cs="Arial"/>
          <w:b/>
        </w:rPr>
        <w:t xml:space="preserve">Proposals and </w:t>
      </w:r>
      <w:r w:rsidRPr="00F5221B">
        <w:rPr>
          <w:rFonts w:ascii="Arial" w:hAnsi="Arial" w:cs="Arial"/>
          <w:b/>
        </w:rPr>
        <w:t>Consultation</w:t>
      </w:r>
    </w:p>
    <w:p w14:paraId="1DDA2255" w14:textId="77777777" w:rsidR="00B64385" w:rsidRPr="00F5221B" w:rsidRDefault="00B64385" w:rsidP="009A6D9C"/>
    <w:p w14:paraId="5463E328" w14:textId="77777777" w:rsidR="00B64385" w:rsidRPr="00F5221B" w:rsidRDefault="00BB38DC" w:rsidP="001C2AE1">
      <w:pPr>
        <w:pStyle w:val="ListParagraph"/>
      </w:pPr>
      <w:r w:rsidRPr="00F5221B">
        <w:t>In naming public place</w:t>
      </w:r>
      <w:r w:rsidR="00B64385" w:rsidRPr="00F5221B">
        <w:t>s,</w:t>
      </w:r>
      <w:r w:rsidRPr="00F5221B">
        <w:t xml:space="preserve"> </w:t>
      </w:r>
      <w:r w:rsidR="00B64385" w:rsidRPr="00F5221B">
        <w:t xml:space="preserve">the Minister </w:t>
      </w:r>
      <w:r w:rsidR="0010426F" w:rsidRPr="00F5221B">
        <w:t xml:space="preserve">or </w:t>
      </w:r>
      <w:r w:rsidR="00D31CB5">
        <w:t xml:space="preserve">the Minister’s </w:t>
      </w:r>
      <w:r w:rsidR="0010426F" w:rsidRPr="00F5221B">
        <w:t xml:space="preserve">delegate </w:t>
      </w:r>
      <w:r w:rsidR="00B64385" w:rsidRPr="00F5221B">
        <w:t xml:space="preserve">should give </w:t>
      </w:r>
      <w:r w:rsidRPr="00F5221B">
        <w:t xml:space="preserve">consideration </w:t>
      </w:r>
      <w:r w:rsidR="00B64385" w:rsidRPr="00F5221B">
        <w:t>to</w:t>
      </w:r>
      <w:r w:rsidR="0063750A">
        <w:t>:</w:t>
      </w:r>
      <w:r w:rsidRPr="00F5221B">
        <w:t xml:space="preserve"> </w:t>
      </w:r>
    </w:p>
    <w:p w14:paraId="170E4BED" w14:textId="77777777" w:rsidR="00B64385" w:rsidRPr="00F5221B" w:rsidRDefault="00BB38DC" w:rsidP="009327FA">
      <w:pPr>
        <w:pStyle w:val="ListParagraph"/>
        <w:numPr>
          <w:ilvl w:val="1"/>
          <w:numId w:val="5"/>
        </w:numPr>
      </w:pPr>
      <w:r w:rsidRPr="00F5221B">
        <w:t xml:space="preserve">community input on potential nomenclature themes </w:t>
      </w:r>
      <w:r w:rsidR="00B64385" w:rsidRPr="00F5221B">
        <w:t xml:space="preserve">and </w:t>
      </w:r>
      <w:r w:rsidR="0010426F" w:rsidRPr="00F5221B">
        <w:t xml:space="preserve">the </w:t>
      </w:r>
      <w:r w:rsidR="00B64385" w:rsidRPr="00F5221B">
        <w:t>nomination of names for commemoration</w:t>
      </w:r>
      <w:r w:rsidR="00FD74DA" w:rsidRPr="00F5221B">
        <w:t xml:space="preserve">; </w:t>
      </w:r>
    </w:p>
    <w:p w14:paraId="1A838723" w14:textId="77777777" w:rsidR="00B64385" w:rsidRPr="00F5221B" w:rsidRDefault="00B64385" w:rsidP="009327FA">
      <w:pPr>
        <w:pStyle w:val="ListParagraph"/>
        <w:numPr>
          <w:ilvl w:val="1"/>
          <w:numId w:val="5"/>
        </w:numPr>
      </w:pPr>
      <w:r w:rsidRPr="00F5221B">
        <w:t>feedback in response to community consultation.</w:t>
      </w:r>
    </w:p>
    <w:p w14:paraId="42E3FA7E" w14:textId="77777777" w:rsidR="00FF6336" w:rsidRPr="00966AC7" w:rsidRDefault="00FF6336">
      <w:pPr>
        <w:rPr>
          <w:rFonts w:ascii="Arial" w:hAnsi="Arial" w:cs="Arial"/>
          <w:b/>
        </w:rPr>
      </w:pPr>
      <w:r w:rsidRPr="00966AC7">
        <w:rPr>
          <w:rFonts w:ascii="Arial" w:hAnsi="Arial" w:cs="Arial"/>
          <w:b/>
        </w:rPr>
        <w:lastRenderedPageBreak/>
        <w:t xml:space="preserve">Naming of </w:t>
      </w:r>
      <w:r w:rsidR="00174FA1">
        <w:rPr>
          <w:rFonts w:ascii="Arial" w:hAnsi="Arial" w:cs="Arial"/>
          <w:b/>
        </w:rPr>
        <w:t xml:space="preserve">a </w:t>
      </w:r>
      <w:r w:rsidRPr="00966AC7">
        <w:rPr>
          <w:rFonts w:ascii="Arial" w:hAnsi="Arial" w:cs="Arial"/>
          <w:b/>
        </w:rPr>
        <w:t xml:space="preserve">geographical feature </w:t>
      </w:r>
    </w:p>
    <w:p w14:paraId="3F0D9721" w14:textId="77777777" w:rsidR="00FF6336" w:rsidRDefault="00FF6336"/>
    <w:p w14:paraId="076BA149" w14:textId="77777777" w:rsidR="007F274B" w:rsidRDefault="00FF6336">
      <w:pPr>
        <w:pStyle w:val="ListParagraph"/>
      </w:pPr>
      <w:r w:rsidRPr="00966AC7">
        <w:t xml:space="preserve">Where no </w:t>
      </w:r>
      <w:r w:rsidRPr="0055485C">
        <w:t xml:space="preserve">previous official name exists for a geographical </w:t>
      </w:r>
      <w:r w:rsidR="00F5221B" w:rsidRPr="0055485C">
        <w:t>feature,</w:t>
      </w:r>
      <w:r w:rsidR="00F5221B">
        <w:t xml:space="preserve"> preference</w:t>
      </w:r>
      <w:r w:rsidRPr="0055485C">
        <w:t xml:space="preserve"> </w:t>
      </w:r>
      <w:r w:rsidR="00AF524C" w:rsidRPr="0055485C">
        <w:t>should</w:t>
      </w:r>
      <w:r w:rsidRPr="0055485C">
        <w:t xml:space="preserve"> be</w:t>
      </w:r>
      <w:r w:rsidRPr="00966AC7">
        <w:t xml:space="preserve"> given to a name that:</w:t>
      </w:r>
      <w:r w:rsidR="00966AC7" w:rsidRPr="00966AC7">
        <w:t xml:space="preserve"> </w:t>
      </w:r>
    </w:p>
    <w:p w14:paraId="47172E42" w14:textId="77777777" w:rsidR="00D163EB" w:rsidRDefault="00FF6336" w:rsidP="009327FA">
      <w:pPr>
        <w:pStyle w:val="ListParagraph"/>
        <w:numPr>
          <w:ilvl w:val="0"/>
          <w:numId w:val="7"/>
        </w:numPr>
      </w:pPr>
      <w:r w:rsidRPr="007F1BE9">
        <w:t>is the local Aboriginal name that was originally applied to identify the geographical feature, provided the wishes of the relevant Aboriginal community are respected regarding the use of the name;</w:t>
      </w:r>
      <w:r w:rsidR="00D163EB">
        <w:t xml:space="preserve"> or</w:t>
      </w:r>
      <w:r w:rsidR="00966AC7" w:rsidRPr="007F1BE9">
        <w:t xml:space="preserve"> </w:t>
      </w:r>
    </w:p>
    <w:p w14:paraId="5F56716B" w14:textId="77777777" w:rsidR="00D163EB" w:rsidRDefault="00FF6336" w:rsidP="009327FA">
      <w:pPr>
        <w:pStyle w:val="ListParagraph"/>
        <w:numPr>
          <w:ilvl w:val="0"/>
          <w:numId w:val="7"/>
        </w:numPr>
      </w:pPr>
      <w:r w:rsidRPr="007F1BE9">
        <w:t xml:space="preserve">is in keeping with the character and tradition of the </w:t>
      </w:r>
      <w:r w:rsidR="00E22B77">
        <w:t>location</w:t>
      </w:r>
      <w:r w:rsidRPr="007F1BE9">
        <w:t>;</w:t>
      </w:r>
      <w:r w:rsidR="00966AC7" w:rsidRPr="007F1BE9">
        <w:t xml:space="preserve"> </w:t>
      </w:r>
      <w:r w:rsidR="00D163EB">
        <w:t xml:space="preserve">or </w:t>
      </w:r>
    </w:p>
    <w:p w14:paraId="1249EEBD" w14:textId="77777777" w:rsidR="00D163EB" w:rsidRDefault="00FF6336" w:rsidP="009327FA">
      <w:pPr>
        <w:pStyle w:val="ListParagraph"/>
        <w:numPr>
          <w:ilvl w:val="0"/>
          <w:numId w:val="7"/>
        </w:numPr>
      </w:pPr>
      <w:r w:rsidRPr="007F1BE9">
        <w:t>has historical or local significance; or</w:t>
      </w:r>
      <w:r w:rsidR="00966AC7" w:rsidRPr="007F1BE9">
        <w:t xml:space="preserve"> </w:t>
      </w:r>
    </w:p>
    <w:p w14:paraId="39588C79" w14:textId="77777777" w:rsidR="00C449BD" w:rsidRDefault="00FF6336" w:rsidP="009327FA">
      <w:pPr>
        <w:pStyle w:val="ListParagraph"/>
        <w:numPr>
          <w:ilvl w:val="0"/>
          <w:numId w:val="7"/>
        </w:numPr>
      </w:pPr>
      <w:r w:rsidRPr="007F1BE9">
        <w:t>is suggestive of the peculiarit</w:t>
      </w:r>
      <w:r w:rsidR="00D163EB">
        <w:t>y of the geographical feature.</w:t>
      </w:r>
    </w:p>
    <w:p w14:paraId="1511C032" w14:textId="77777777" w:rsidR="00A5301D" w:rsidRPr="007F1BE9" w:rsidRDefault="00A5301D" w:rsidP="009A6D9C">
      <w:pPr>
        <w:pStyle w:val="ListParagraph"/>
        <w:numPr>
          <w:ilvl w:val="0"/>
          <w:numId w:val="0"/>
        </w:numPr>
        <w:ind w:left="720"/>
      </w:pPr>
    </w:p>
    <w:p w14:paraId="65070784" w14:textId="77777777" w:rsidR="00966AC7" w:rsidRDefault="00A5301D" w:rsidP="009A6D9C">
      <w:pPr>
        <w:pStyle w:val="ListParagraph"/>
      </w:pPr>
      <w:r w:rsidRPr="003A452C">
        <w:t xml:space="preserve">Where a </w:t>
      </w:r>
      <w:r w:rsidR="002B3346" w:rsidRPr="003A452C">
        <w:t>geographical feature</w:t>
      </w:r>
      <w:r w:rsidRPr="003A452C">
        <w:t xml:space="preserve"> has an existing introduced </w:t>
      </w:r>
      <w:r w:rsidR="009A6D9C" w:rsidRPr="003A452C">
        <w:t>name, consideration</w:t>
      </w:r>
      <w:r w:rsidR="002B3346" w:rsidRPr="003A452C">
        <w:t xml:space="preserve"> </w:t>
      </w:r>
      <w:r w:rsidRPr="003A452C">
        <w:t xml:space="preserve">shall </w:t>
      </w:r>
      <w:r w:rsidR="002B3346" w:rsidRPr="003A452C">
        <w:t>be given to r</w:t>
      </w:r>
      <w:r w:rsidR="009F7A95" w:rsidRPr="003A452C">
        <w:t xml:space="preserve">estoring traditional Aboriginal language to </w:t>
      </w:r>
      <w:r w:rsidRPr="003A452C">
        <w:t>the f</w:t>
      </w:r>
      <w:r w:rsidR="009F7A95" w:rsidRPr="003A452C">
        <w:t xml:space="preserve">eature </w:t>
      </w:r>
      <w:r w:rsidR="00784B97">
        <w:t xml:space="preserve">by giving it dual names </w:t>
      </w:r>
      <w:r w:rsidR="00AD3A49">
        <w:t xml:space="preserve">which </w:t>
      </w:r>
      <w:r w:rsidR="009F7A95" w:rsidRPr="003A452C">
        <w:t>recognis</w:t>
      </w:r>
      <w:r w:rsidRPr="003A452C">
        <w:t>e</w:t>
      </w:r>
      <w:r w:rsidR="009F7A95" w:rsidRPr="003A452C">
        <w:t xml:space="preserve"> </w:t>
      </w:r>
      <w:r w:rsidR="00AD3A49">
        <w:t xml:space="preserve">the </w:t>
      </w:r>
      <w:r w:rsidR="009F7A95" w:rsidRPr="003A452C">
        <w:t xml:space="preserve">traditional Aboriginal place name alongside </w:t>
      </w:r>
      <w:r w:rsidR="00AD3A49">
        <w:t xml:space="preserve">the </w:t>
      </w:r>
      <w:r w:rsidR="009327FA" w:rsidRPr="003A452C">
        <w:t>long-standing</w:t>
      </w:r>
      <w:r w:rsidR="009F7A95" w:rsidRPr="003A452C">
        <w:t xml:space="preserve"> introduced name.</w:t>
      </w:r>
    </w:p>
    <w:p w14:paraId="59B84C7C" w14:textId="77777777" w:rsidR="00EF2A25" w:rsidRPr="003A452C" w:rsidRDefault="00EF2A25" w:rsidP="00784B97">
      <w:pPr>
        <w:pStyle w:val="ListParagraph"/>
        <w:numPr>
          <w:ilvl w:val="0"/>
          <w:numId w:val="0"/>
        </w:numPr>
        <w:ind w:left="360"/>
      </w:pPr>
    </w:p>
    <w:p w14:paraId="0E5B22B7" w14:textId="77777777" w:rsidR="00EF2A25" w:rsidRPr="003A452C" w:rsidRDefault="00EF2A25" w:rsidP="00784B97">
      <w:pPr>
        <w:pStyle w:val="ListParagraph"/>
        <w:numPr>
          <w:ilvl w:val="0"/>
          <w:numId w:val="0"/>
        </w:numPr>
        <w:ind w:left="360"/>
      </w:pPr>
    </w:p>
    <w:p w14:paraId="594F8F03" w14:textId="77777777" w:rsidR="00AF524C" w:rsidRDefault="00AF524C" w:rsidP="00AF524C">
      <w:pPr>
        <w:rPr>
          <w:rFonts w:ascii="Arial" w:hAnsi="Arial" w:cs="Arial"/>
          <w:b/>
        </w:rPr>
      </w:pPr>
      <w:r>
        <w:rPr>
          <w:rFonts w:ascii="Arial" w:hAnsi="Arial" w:cs="Arial"/>
          <w:b/>
        </w:rPr>
        <w:t>Note:</w:t>
      </w:r>
    </w:p>
    <w:p w14:paraId="5C2E3955" w14:textId="77777777" w:rsidR="00AF524C" w:rsidRDefault="00AF524C" w:rsidP="00AF524C">
      <w:pPr>
        <w:rPr>
          <w:rFonts w:ascii="Arial" w:hAnsi="Arial" w:cs="Arial"/>
          <w:b/>
        </w:rPr>
      </w:pPr>
    </w:p>
    <w:p w14:paraId="745A6A83" w14:textId="77777777" w:rsidR="007F274B" w:rsidRDefault="00AF524C" w:rsidP="00810AC8">
      <w:pPr>
        <w:pStyle w:val="ListParagraph"/>
        <w:numPr>
          <w:ilvl w:val="0"/>
          <w:numId w:val="8"/>
        </w:numPr>
        <w:ind w:left="426" w:hanging="426"/>
      </w:pPr>
      <w:r w:rsidRPr="0055485C">
        <w:t xml:space="preserve">The ACT Place Names </w:t>
      </w:r>
      <w:r w:rsidRPr="005C3489">
        <w:t>Co</w:t>
      </w:r>
      <w:r w:rsidRPr="0055485C">
        <w:t xml:space="preserve">mmittee </w:t>
      </w:r>
      <w:r w:rsidR="0037389A">
        <w:t xml:space="preserve">(and its successors) </w:t>
      </w:r>
      <w:r w:rsidRPr="0055485C">
        <w:t xml:space="preserve">will advise the Minister on all proposals for geographic and division names and the themes to be adopted for naming roads and other public places on Territory land.  </w:t>
      </w:r>
    </w:p>
    <w:p w14:paraId="4BB50E5D" w14:textId="77777777" w:rsidR="007F274B" w:rsidRDefault="00E9091D" w:rsidP="00810AC8">
      <w:pPr>
        <w:pStyle w:val="ListParagraph"/>
        <w:numPr>
          <w:ilvl w:val="0"/>
          <w:numId w:val="8"/>
        </w:numPr>
        <w:ind w:left="426" w:hanging="426"/>
      </w:pPr>
      <w:r w:rsidRPr="0055485C">
        <w:t xml:space="preserve">The ACT Place Names Committee </w:t>
      </w:r>
      <w:r w:rsidR="0037389A">
        <w:t xml:space="preserve">(and its successors) </w:t>
      </w:r>
      <w:r w:rsidRPr="0055485C">
        <w:t>will provide guidance to the ACT Place Names Unit of the Environment</w:t>
      </w:r>
      <w:r w:rsidR="006E2A2E">
        <w:t xml:space="preserve">, </w:t>
      </w:r>
      <w:r w:rsidRPr="0055485C">
        <w:t xml:space="preserve">Planning </w:t>
      </w:r>
      <w:r w:rsidR="006E2A2E">
        <w:t xml:space="preserve">and Sustainable Development </w:t>
      </w:r>
      <w:r w:rsidRPr="0055485C">
        <w:t xml:space="preserve">Directorate to ensure that </w:t>
      </w:r>
      <w:r w:rsidR="006E2A2E" w:rsidRPr="00F5221B">
        <w:t>community</w:t>
      </w:r>
      <w:r w:rsidR="006E2A2E" w:rsidRPr="0055485C">
        <w:t xml:space="preserve"> sensitivit</w:t>
      </w:r>
      <w:r w:rsidR="006E2A2E">
        <w:t>ies</w:t>
      </w:r>
      <w:r w:rsidR="006E2A2E" w:rsidRPr="0055485C">
        <w:t xml:space="preserve"> </w:t>
      </w:r>
      <w:r w:rsidR="006E2A2E">
        <w:t>have</w:t>
      </w:r>
      <w:r w:rsidR="006E2A2E" w:rsidRPr="0055485C">
        <w:t xml:space="preserve"> </w:t>
      </w:r>
      <w:r w:rsidRPr="0055485C">
        <w:t xml:space="preserve">been </w:t>
      </w:r>
      <w:r w:rsidR="006E2A2E">
        <w:t>considered</w:t>
      </w:r>
      <w:r w:rsidR="006E2A2E" w:rsidRPr="0055485C">
        <w:t xml:space="preserve"> </w:t>
      </w:r>
      <w:r w:rsidRPr="0055485C">
        <w:t xml:space="preserve">in the work of the unit. </w:t>
      </w:r>
    </w:p>
    <w:p w14:paraId="7BF4D97A" w14:textId="77777777" w:rsidR="007F274B" w:rsidRDefault="00755F18" w:rsidP="00810AC8">
      <w:pPr>
        <w:pStyle w:val="ListParagraph"/>
        <w:numPr>
          <w:ilvl w:val="0"/>
          <w:numId w:val="8"/>
        </w:numPr>
        <w:ind w:left="426" w:hanging="426"/>
      </w:pPr>
      <w:r w:rsidRPr="00D448C3">
        <w:t xml:space="preserve">The </w:t>
      </w:r>
      <w:r w:rsidR="00F7470D" w:rsidRPr="00D448C3">
        <w:t xml:space="preserve">power of the Minister to determine names for </w:t>
      </w:r>
      <w:r w:rsidR="001F2D63" w:rsidRPr="00D448C3">
        <w:t xml:space="preserve">public </w:t>
      </w:r>
      <w:r w:rsidR="00F7470D" w:rsidRPr="00D448C3">
        <w:t xml:space="preserve">places and divisions applies to Territory </w:t>
      </w:r>
      <w:r w:rsidR="0067792C">
        <w:t>L</w:t>
      </w:r>
      <w:r w:rsidR="00F7470D" w:rsidRPr="00D448C3">
        <w:t xml:space="preserve">and </w:t>
      </w:r>
      <w:r w:rsidR="001F2D63" w:rsidRPr="00D448C3">
        <w:t xml:space="preserve">only </w:t>
      </w:r>
      <w:r w:rsidR="00F7470D" w:rsidRPr="00D448C3">
        <w:t xml:space="preserve">and not to National </w:t>
      </w:r>
      <w:r w:rsidR="0067792C">
        <w:t>L</w:t>
      </w:r>
      <w:r w:rsidR="00F7470D" w:rsidRPr="00D448C3">
        <w:t xml:space="preserve">and, refer to section 3 of the </w:t>
      </w:r>
      <w:r w:rsidR="00C5562C" w:rsidRPr="00D448C3">
        <w:rPr>
          <w:i/>
        </w:rPr>
        <w:t>Public Place Names Act 1989</w:t>
      </w:r>
      <w:r w:rsidR="00F7470D" w:rsidRPr="00D448C3">
        <w:t xml:space="preserve">.  </w:t>
      </w:r>
      <w:bookmarkStart w:id="5" w:name="_Hlk44067766"/>
      <w:r w:rsidR="00F7470D" w:rsidRPr="00D448C3">
        <w:t xml:space="preserve">“National </w:t>
      </w:r>
      <w:r w:rsidR="0067792C">
        <w:t>L</w:t>
      </w:r>
      <w:r w:rsidR="0067792C" w:rsidRPr="00D448C3">
        <w:t>and</w:t>
      </w:r>
      <w:r w:rsidR="0078024B" w:rsidRPr="00D448C3">
        <w:t xml:space="preserve">” </w:t>
      </w:r>
      <w:r w:rsidR="00C5562C" w:rsidRPr="00D448C3">
        <w:t xml:space="preserve">is land declared to be “National Land” under section 27 of the </w:t>
      </w:r>
      <w:r w:rsidR="00C5562C" w:rsidRPr="00D448C3">
        <w:rPr>
          <w:i/>
        </w:rPr>
        <w:t>Australian Capital Territory (Planning and Land Management) Act 1988</w:t>
      </w:r>
      <w:r w:rsidR="00C5562C" w:rsidRPr="00C5562C">
        <w:t xml:space="preserve"> </w:t>
      </w:r>
      <w:r w:rsidR="00F7470D" w:rsidRPr="001F2D63">
        <w:t>(Cwlth)</w:t>
      </w:r>
      <w:r w:rsidR="001F2D63">
        <w:t xml:space="preserve"> (PALM Act)</w:t>
      </w:r>
      <w:r w:rsidR="00F7470D" w:rsidRPr="001F2D63">
        <w:t>.  “Territory Land” is land in the Australian Capital Territory that is not “National Land”</w:t>
      </w:r>
      <w:r w:rsidR="00C5562C" w:rsidRPr="00C5562C">
        <w:t xml:space="preserve">, refer to section 28 of the </w:t>
      </w:r>
      <w:r w:rsidR="001F2D63">
        <w:t>PALM Act</w:t>
      </w:r>
      <w:r w:rsidR="00F7470D" w:rsidRPr="001F2D63">
        <w:t xml:space="preserve">.  </w:t>
      </w:r>
    </w:p>
    <w:bookmarkEnd w:id="5"/>
    <w:p w14:paraId="7B481966" w14:textId="77777777" w:rsidR="00AE1BDB" w:rsidRDefault="00755F18" w:rsidP="00D31CB5">
      <w:pPr>
        <w:pStyle w:val="ListParagraph"/>
        <w:numPr>
          <w:ilvl w:val="0"/>
          <w:numId w:val="8"/>
        </w:numPr>
        <w:ind w:left="426" w:hanging="426"/>
      </w:pPr>
      <w:r>
        <w:t xml:space="preserve">The </w:t>
      </w:r>
      <w:r w:rsidRPr="0000728A">
        <w:t xml:space="preserve">ACT Place Names Unit will consult with the Commonwealth on the naming of public places in areas </w:t>
      </w:r>
      <w:r w:rsidR="009B4690">
        <w:t xml:space="preserve">of Territory Land </w:t>
      </w:r>
      <w:r w:rsidRPr="0000728A">
        <w:t>specified as Designated Areas</w:t>
      </w:r>
      <w:r w:rsidR="001F2D63">
        <w:t xml:space="preserve">.  </w:t>
      </w:r>
      <w:r w:rsidR="001F2D63" w:rsidRPr="001F2D63">
        <w:t>The National Capital Plan can specify areas of land in the Territory to be “Designated Areas</w:t>
      </w:r>
      <w:r w:rsidR="00C5562C">
        <w:t xml:space="preserve">” under section 10 of the </w:t>
      </w:r>
      <w:r w:rsidR="00C5562C" w:rsidRPr="00C5562C">
        <w:t>PALM Act</w:t>
      </w:r>
      <w:r w:rsidR="00C5562C" w:rsidRPr="00C5562C">
        <w:rPr>
          <w:sz w:val="20"/>
          <w:szCs w:val="20"/>
        </w:rPr>
        <w:t xml:space="preserve">.  </w:t>
      </w:r>
    </w:p>
    <w:sectPr w:rsidR="00AE1BDB" w:rsidSect="003A452C">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A27D" w14:textId="77777777" w:rsidR="00D04B77" w:rsidRDefault="00D04B77">
      <w:r>
        <w:separator/>
      </w:r>
    </w:p>
  </w:endnote>
  <w:endnote w:type="continuationSeparator" w:id="0">
    <w:p w14:paraId="0745796E" w14:textId="77777777" w:rsidR="00D04B77" w:rsidRDefault="00D0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1702" w14:textId="77777777" w:rsidR="004F269E" w:rsidRDefault="004F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BB23" w14:textId="77777777" w:rsidR="004F269E" w:rsidRDefault="004F269E">
    <w:pPr>
      <w:pStyle w:val="Footer"/>
    </w:pPr>
    <w:r w:rsidRPr="00D25309">
      <w:t xml:space="preserve">Page </w:t>
    </w:r>
    <w:r w:rsidRPr="00D25309">
      <w:fldChar w:fldCharType="begin"/>
    </w:r>
    <w:r w:rsidRPr="00D25309">
      <w:instrText xml:space="preserve"> PAGE </w:instrText>
    </w:r>
    <w:r w:rsidRPr="00D25309">
      <w:fldChar w:fldCharType="separate"/>
    </w:r>
    <w:r>
      <w:rPr>
        <w:noProof/>
      </w:rPr>
      <w:t>4</w:t>
    </w:r>
    <w:r w:rsidRPr="00D25309">
      <w:fldChar w:fldCharType="end"/>
    </w:r>
    <w:r w:rsidRPr="00D25309">
      <w:t xml:space="preserve"> of </w:t>
    </w:r>
    <w:fldSimple w:instr=" NUMPAGES  ">
      <w:r>
        <w:rPr>
          <w:noProof/>
        </w:rPr>
        <w:t>4</w:t>
      </w:r>
    </w:fldSimple>
  </w:p>
  <w:p w14:paraId="52CC14D1" w14:textId="77777777" w:rsidR="004F269E" w:rsidRPr="005E1E22" w:rsidRDefault="005E1E22" w:rsidP="005E1E22">
    <w:pPr>
      <w:pStyle w:val="Footer"/>
      <w:jc w:val="center"/>
      <w:rPr>
        <w:rFonts w:cs="Arial"/>
        <w:sz w:val="14"/>
      </w:rPr>
    </w:pPr>
    <w:r w:rsidRPr="005E1E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43AE" w14:textId="77777777" w:rsidR="004F269E" w:rsidRDefault="004F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5678" w14:textId="77777777" w:rsidR="00D04B77" w:rsidRDefault="00D04B77">
      <w:r>
        <w:separator/>
      </w:r>
    </w:p>
  </w:footnote>
  <w:footnote w:type="continuationSeparator" w:id="0">
    <w:p w14:paraId="7DB623EF" w14:textId="77777777" w:rsidR="00D04B77" w:rsidRDefault="00D0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0A68" w14:textId="77777777" w:rsidR="004F269E" w:rsidRDefault="004F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89D7" w14:textId="77777777" w:rsidR="004F269E" w:rsidRDefault="004F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8804" w14:textId="77777777" w:rsidR="004F269E" w:rsidRDefault="004F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2260B2"/>
    <w:lvl w:ilvl="0">
      <w:start w:val="1"/>
      <w:numFmt w:val="bullet"/>
      <w:pStyle w:val="Bullet1"/>
      <w:lvlText w:val=""/>
      <w:lvlJc w:val="left"/>
      <w:pPr>
        <w:tabs>
          <w:tab w:val="num" w:pos="360"/>
        </w:tabs>
        <w:ind w:left="360" w:hanging="360"/>
      </w:pPr>
      <w:rPr>
        <w:rFonts w:ascii="Symbol" w:hAnsi="Symbol" w:hint="default"/>
        <w:sz w:val="20"/>
      </w:rPr>
    </w:lvl>
  </w:abstractNum>
  <w:abstractNum w:abstractNumId="1" w15:restartNumberingAfterBreak="0">
    <w:nsid w:val="03AE5A94"/>
    <w:multiLevelType w:val="hybridMultilevel"/>
    <w:tmpl w:val="59AA335C"/>
    <w:lvl w:ilvl="0" w:tplc="25465D2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8177D3E"/>
    <w:multiLevelType w:val="hybridMultilevel"/>
    <w:tmpl w:val="71C29FE2"/>
    <w:lvl w:ilvl="0" w:tplc="1E0C019A">
      <w:start w:val="1"/>
      <w:numFmt w:val="decimal"/>
      <w:pStyle w:val="ListParagraph"/>
      <w:lvlText w:val="%1."/>
      <w:lvlJc w:val="left"/>
      <w:pPr>
        <w:ind w:left="360" w:hanging="360"/>
      </w:pPr>
      <w:rPr>
        <w:rFonts w:cs="Times New Roman" w:hint="default"/>
        <w:b w:val="0"/>
        <w:i w:val="0"/>
        <w:color w:val="auto"/>
      </w:rPr>
    </w:lvl>
    <w:lvl w:ilvl="1" w:tplc="399C8F3A">
      <w:start w:val="1"/>
      <w:numFmt w:val="lowerLetter"/>
      <w:lvlText w:val="(%2)"/>
      <w:lvlJc w:val="left"/>
      <w:pPr>
        <w:ind w:left="785" w:hanging="360"/>
      </w:pPr>
      <w:rPr>
        <w:rFonts w:ascii="Times New Roman" w:hAnsi="Times New Roman" w:cs="Times New Roman" w:hint="default"/>
        <w:sz w:val="24"/>
        <w:szCs w:val="24"/>
      </w:rPr>
    </w:lvl>
    <w:lvl w:ilvl="2" w:tplc="0C09001B">
      <w:start w:val="1"/>
      <w:numFmt w:val="lowerRoman"/>
      <w:lvlText w:val="%3."/>
      <w:lvlJc w:val="right"/>
      <w:pPr>
        <w:ind w:left="1876" w:hanging="180"/>
      </w:pPr>
      <w:rPr>
        <w:rFonts w:cs="Times New Roman"/>
      </w:rPr>
    </w:lvl>
    <w:lvl w:ilvl="3" w:tplc="0C09000F" w:tentative="1">
      <w:start w:val="1"/>
      <w:numFmt w:val="decimal"/>
      <w:lvlText w:val="%4."/>
      <w:lvlJc w:val="left"/>
      <w:pPr>
        <w:ind w:left="2596" w:hanging="360"/>
      </w:pPr>
      <w:rPr>
        <w:rFonts w:cs="Times New Roman"/>
      </w:rPr>
    </w:lvl>
    <w:lvl w:ilvl="4" w:tplc="0C090019" w:tentative="1">
      <w:start w:val="1"/>
      <w:numFmt w:val="lowerLetter"/>
      <w:lvlText w:val="%5."/>
      <w:lvlJc w:val="left"/>
      <w:pPr>
        <w:ind w:left="3316" w:hanging="360"/>
      </w:pPr>
      <w:rPr>
        <w:rFonts w:cs="Times New Roman"/>
      </w:rPr>
    </w:lvl>
    <w:lvl w:ilvl="5" w:tplc="0C09001B" w:tentative="1">
      <w:start w:val="1"/>
      <w:numFmt w:val="lowerRoman"/>
      <w:lvlText w:val="%6."/>
      <w:lvlJc w:val="right"/>
      <w:pPr>
        <w:ind w:left="4036" w:hanging="180"/>
      </w:pPr>
      <w:rPr>
        <w:rFonts w:cs="Times New Roman"/>
      </w:rPr>
    </w:lvl>
    <w:lvl w:ilvl="6" w:tplc="0C09000F" w:tentative="1">
      <w:start w:val="1"/>
      <w:numFmt w:val="decimal"/>
      <w:lvlText w:val="%7."/>
      <w:lvlJc w:val="left"/>
      <w:pPr>
        <w:ind w:left="4756" w:hanging="360"/>
      </w:pPr>
      <w:rPr>
        <w:rFonts w:cs="Times New Roman"/>
      </w:rPr>
    </w:lvl>
    <w:lvl w:ilvl="7" w:tplc="0C090019" w:tentative="1">
      <w:start w:val="1"/>
      <w:numFmt w:val="lowerLetter"/>
      <w:lvlText w:val="%8."/>
      <w:lvlJc w:val="left"/>
      <w:pPr>
        <w:ind w:left="5476" w:hanging="360"/>
      </w:pPr>
      <w:rPr>
        <w:rFonts w:cs="Times New Roman"/>
      </w:rPr>
    </w:lvl>
    <w:lvl w:ilvl="8" w:tplc="0C09001B" w:tentative="1">
      <w:start w:val="1"/>
      <w:numFmt w:val="lowerRoman"/>
      <w:lvlText w:val="%9."/>
      <w:lvlJc w:val="right"/>
      <w:pPr>
        <w:ind w:left="6196"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122D743A"/>
    <w:multiLevelType w:val="hybridMultilevel"/>
    <w:tmpl w:val="399ECAD4"/>
    <w:lvl w:ilvl="0" w:tplc="CD8E58B8">
      <w:start w:val="1"/>
      <w:numFmt w:val="lowerLetter"/>
      <w:lvlText w:val="(%1)"/>
      <w:lvlJc w:val="left"/>
      <w:pPr>
        <w:ind w:left="786" w:hanging="360"/>
      </w:pPr>
      <w:rPr>
        <w:rFonts w:asciiTheme="minorHAnsi" w:hAnsiTheme="minorHAnsi" w:cs="Calibri" w:hint="default"/>
        <w:i w:val="0"/>
        <w:iCs/>
      </w:rPr>
    </w:lvl>
    <w:lvl w:ilvl="1" w:tplc="0C090019">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5" w15:restartNumberingAfterBreak="0">
    <w:nsid w:val="1A457DA8"/>
    <w:multiLevelType w:val="hybridMultilevel"/>
    <w:tmpl w:val="44725AF6"/>
    <w:lvl w:ilvl="0" w:tplc="25465D2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A1C0553"/>
    <w:multiLevelType w:val="hybridMultilevel"/>
    <w:tmpl w:val="D33C5D66"/>
    <w:lvl w:ilvl="0" w:tplc="A8E83510">
      <w:start w:val="1"/>
      <w:numFmt w:val="decimal"/>
      <w:lvlText w:val="%1."/>
      <w:lvlJc w:val="left"/>
      <w:pPr>
        <w:ind w:left="644" w:hanging="360"/>
      </w:pPr>
      <w:rPr>
        <w:rFonts w:cs="Times New Roman" w:hint="default"/>
        <w:sz w:val="24"/>
        <w:szCs w:val="24"/>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3D75017F"/>
    <w:multiLevelType w:val="multilevel"/>
    <w:tmpl w:val="461AC37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9" w15:restartNumberingAfterBreak="0">
    <w:nsid w:val="413E3C77"/>
    <w:multiLevelType w:val="hybridMultilevel"/>
    <w:tmpl w:val="DAD6CDC4"/>
    <w:lvl w:ilvl="0" w:tplc="74A69418">
      <w:start w:val="1"/>
      <w:numFmt w:val="lowerLetter"/>
      <w:lvlText w:val="(%1)"/>
      <w:lvlJc w:val="left"/>
      <w:pPr>
        <w:ind w:left="720" w:hanging="360"/>
      </w:pPr>
      <w:rPr>
        <w:rFonts w:cs="Times New Roman" w:hint="default"/>
        <w:i w:val="0"/>
        <w:iCs/>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74E4E30"/>
    <w:multiLevelType w:val="hybridMultilevel"/>
    <w:tmpl w:val="6B32DA34"/>
    <w:lvl w:ilvl="0" w:tplc="0C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11" w15:restartNumberingAfterBreak="0">
    <w:nsid w:val="72946903"/>
    <w:multiLevelType w:val="hybridMultilevel"/>
    <w:tmpl w:val="71C64344"/>
    <w:lvl w:ilvl="0" w:tplc="F1C242E4">
      <w:start w:val="1"/>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3"/>
  </w:num>
  <w:num w:numId="2">
    <w:abstractNumId w:val="6"/>
  </w:num>
  <w:num w:numId="3">
    <w:abstractNumId w:val="8"/>
  </w:num>
  <w:num w:numId="4">
    <w:abstractNumId w:val="4"/>
  </w:num>
  <w:num w:numId="5">
    <w:abstractNumId w:val="2"/>
  </w:num>
  <w:num w:numId="6">
    <w:abstractNumId w:val="5"/>
  </w:num>
  <w:num w:numId="7">
    <w:abstractNumId w:val="1"/>
  </w:num>
  <w:num w:numId="8">
    <w:abstractNumId w:val="7"/>
  </w:num>
  <w:num w:numId="9">
    <w:abstractNumId w:val="11"/>
  </w:num>
  <w:num w:numId="10">
    <w:abstractNumId w:val="0"/>
    <w:lvlOverride w:ilv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F3A30"/>
    <w:rsid w:val="0000728A"/>
    <w:rsid w:val="0000759D"/>
    <w:rsid w:val="0001430C"/>
    <w:rsid w:val="000217B9"/>
    <w:rsid w:val="0002263D"/>
    <w:rsid w:val="00027387"/>
    <w:rsid w:val="000469FE"/>
    <w:rsid w:val="000A23AD"/>
    <w:rsid w:val="000C45B1"/>
    <w:rsid w:val="000E5376"/>
    <w:rsid w:val="000E6CB2"/>
    <w:rsid w:val="0010426F"/>
    <w:rsid w:val="00105CF9"/>
    <w:rsid w:val="00106272"/>
    <w:rsid w:val="00114AB2"/>
    <w:rsid w:val="00121E91"/>
    <w:rsid w:val="001310A5"/>
    <w:rsid w:val="0013521D"/>
    <w:rsid w:val="00136C6C"/>
    <w:rsid w:val="00145343"/>
    <w:rsid w:val="00152AD6"/>
    <w:rsid w:val="00164E64"/>
    <w:rsid w:val="0016581D"/>
    <w:rsid w:val="00174FA1"/>
    <w:rsid w:val="00197CB8"/>
    <w:rsid w:val="001A13BA"/>
    <w:rsid w:val="001A37CD"/>
    <w:rsid w:val="001A6FE4"/>
    <w:rsid w:val="001B392C"/>
    <w:rsid w:val="001C2ABC"/>
    <w:rsid w:val="001C2AE1"/>
    <w:rsid w:val="001C44D9"/>
    <w:rsid w:val="001D647E"/>
    <w:rsid w:val="001E4A24"/>
    <w:rsid w:val="001F2BD0"/>
    <w:rsid w:val="001F2D63"/>
    <w:rsid w:val="001F3A30"/>
    <w:rsid w:val="00210856"/>
    <w:rsid w:val="00221131"/>
    <w:rsid w:val="00223E60"/>
    <w:rsid w:val="002259DD"/>
    <w:rsid w:val="002315B2"/>
    <w:rsid w:val="00233923"/>
    <w:rsid w:val="002346DE"/>
    <w:rsid w:val="00234991"/>
    <w:rsid w:val="00237743"/>
    <w:rsid w:val="0024250E"/>
    <w:rsid w:val="00250EF5"/>
    <w:rsid w:val="00251F5D"/>
    <w:rsid w:val="0025520A"/>
    <w:rsid w:val="00272EAF"/>
    <w:rsid w:val="002856DD"/>
    <w:rsid w:val="00291818"/>
    <w:rsid w:val="002B0251"/>
    <w:rsid w:val="002B3346"/>
    <w:rsid w:val="002C56E2"/>
    <w:rsid w:val="002D48B9"/>
    <w:rsid w:val="002E5F05"/>
    <w:rsid w:val="002F11C8"/>
    <w:rsid w:val="00305B38"/>
    <w:rsid w:val="0031486C"/>
    <w:rsid w:val="0031528C"/>
    <w:rsid w:val="00316355"/>
    <w:rsid w:val="00327E57"/>
    <w:rsid w:val="00332CD8"/>
    <w:rsid w:val="00360716"/>
    <w:rsid w:val="00365A4F"/>
    <w:rsid w:val="0037389A"/>
    <w:rsid w:val="00397305"/>
    <w:rsid w:val="003A452C"/>
    <w:rsid w:val="003B0C16"/>
    <w:rsid w:val="003B63E6"/>
    <w:rsid w:val="003C3141"/>
    <w:rsid w:val="003D07B8"/>
    <w:rsid w:val="003D3225"/>
    <w:rsid w:val="003F6C45"/>
    <w:rsid w:val="004016E9"/>
    <w:rsid w:val="00420D18"/>
    <w:rsid w:val="00436D5B"/>
    <w:rsid w:val="00437137"/>
    <w:rsid w:val="004406DE"/>
    <w:rsid w:val="00450148"/>
    <w:rsid w:val="00453103"/>
    <w:rsid w:val="004775E5"/>
    <w:rsid w:val="00482575"/>
    <w:rsid w:val="0048332B"/>
    <w:rsid w:val="00484955"/>
    <w:rsid w:val="00490594"/>
    <w:rsid w:val="004B22BC"/>
    <w:rsid w:val="004B2AB0"/>
    <w:rsid w:val="004C04F6"/>
    <w:rsid w:val="004C50AE"/>
    <w:rsid w:val="004D23AB"/>
    <w:rsid w:val="004D750B"/>
    <w:rsid w:val="004E6F3A"/>
    <w:rsid w:val="004F269E"/>
    <w:rsid w:val="00504377"/>
    <w:rsid w:val="0051598B"/>
    <w:rsid w:val="00523C74"/>
    <w:rsid w:val="00546780"/>
    <w:rsid w:val="00551065"/>
    <w:rsid w:val="0055485C"/>
    <w:rsid w:val="0057442C"/>
    <w:rsid w:val="00576A04"/>
    <w:rsid w:val="00580A7A"/>
    <w:rsid w:val="00582277"/>
    <w:rsid w:val="00584701"/>
    <w:rsid w:val="0059035A"/>
    <w:rsid w:val="00592AAB"/>
    <w:rsid w:val="005B3535"/>
    <w:rsid w:val="005C3489"/>
    <w:rsid w:val="005C590D"/>
    <w:rsid w:val="005C669B"/>
    <w:rsid w:val="005D4EF0"/>
    <w:rsid w:val="005D6C2E"/>
    <w:rsid w:val="005E1E22"/>
    <w:rsid w:val="005E3EB7"/>
    <w:rsid w:val="00632054"/>
    <w:rsid w:val="00632E98"/>
    <w:rsid w:val="00636746"/>
    <w:rsid w:val="0063750A"/>
    <w:rsid w:val="006561F1"/>
    <w:rsid w:val="006579DD"/>
    <w:rsid w:val="00661033"/>
    <w:rsid w:val="00665CDF"/>
    <w:rsid w:val="00670C89"/>
    <w:rsid w:val="00675D83"/>
    <w:rsid w:val="0067792C"/>
    <w:rsid w:val="0068493B"/>
    <w:rsid w:val="00697742"/>
    <w:rsid w:val="006A230F"/>
    <w:rsid w:val="006A69BA"/>
    <w:rsid w:val="006B6634"/>
    <w:rsid w:val="006D1FA0"/>
    <w:rsid w:val="006E0C9E"/>
    <w:rsid w:val="006E2A2E"/>
    <w:rsid w:val="006E2CE1"/>
    <w:rsid w:val="006E5663"/>
    <w:rsid w:val="006F383A"/>
    <w:rsid w:val="0070000F"/>
    <w:rsid w:val="00715182"/>
    <w:rsid w:val="00717224"/>
    <w:rsid w:val="00744570"/>
    <w:rsid w:val="00755F18"/>
    <w:rsid w:val="00763B6D"/>
    <w:rsid w:val="0078024B"/>
    <w:rsid w:val="007809F4"/>
    <w:rsid w:val="00783E66"/>
    <w:rsid w:val="00784B97"/>
    <w:rsid w:val="00792190"/>
    <w:rsid w:val="007959DA"/>
    <w:rsid w:val="007A6E13"/>
    <w:rsid w:val="007A7FBC"/>
    <w:rsid w:val="007B426B"/>
    <w:rsid w:val="007C4094"/>
    <w:rsid w:val="007C67AB"/>
    <w:rsid w:val="007D4137"/>
    <w:rsid w:val="007E4FA6"/>
    <w:rsid w:val="007F1BE9"/>
    <w:rsid w:val="007F274B"/>
    <w:rsid w:val="00810660"/>
    <w:rsid w:val="00810AC8"/>
    <w:rsid w:val="00823380"/>
    <w:rsid w:val="00837EAB"/>
    <w:rsid w:val="00845577"/>
    <w:rsid w:val="008521D6"/>
    <w:rsid w:val="00855C5F"/>
    <w:rsid w:val="0086150C"/>
    <w:rsid w:val="008647BF"/>
    <w:rsid w:val="00872083"/>
    <w:rsid w:val="008722AA"/>
    <w:rsid w:val="00873B2D"/>
    <w:rsid w:val="00874413"/>
    <w:rsid w:val="00875A10"/>
    <w:rsid w:val="00876CD8"/>
    <w:rsid w:val="008830E1"/>
    <w:rsid w:val="00884EAB"/>
    <w:rsid w:val="0088511F"/>
    <w:rsid w:val="00891C52"/>
    <w:rsid w:val="008936B5"/>
    <w:rsid w:val="008A2EB2"/>
    <w:rsid w:val="008A3908"/>
    <w:rsid w:val="008B3A01"/>
    <w:rsid w:val="008C1EEE"/>
    <w:rsid w:val="008C629F"/>
    <w:rsid w:val="008D3C5D"/>
    <w:rsid w:val="008D7365"/>
    <w:rsid w:val="008E4E1C"/>
    <w:rsid w:val="008F0B88"/>
    <w:rsid w:val="009069AA"/>
    <w:rsid w:val="00912628"/>
    <w:rsid w:val="00923519"/>
    <w:rsid w:val="009327FA"/>
    <w:rsid w:val="00961559"/>
    <w:rsid w:val="00966AC7"/>
    <w:rsid w:val="0097500B"/>
    <w:rsid w:val="0099506C"/>
    <w:rsid w:val="009A590B"/>
    <w:rsid w:val="009A6D9C"/>
    <w:rsid w:val="009A786B"/>
    <w:rsid w:val="009B11F1"/>
    <w:rsid w:val="009B4690"/>
    <w:rsid w:val="009B784B"/>
    <w:rsid w:val="009D0B7A"/>
    <w:rsid w:val="009D2EB1"/>
    <w:rsid w:val="009D5159"/>
    <w:rsid w:val="009E424E"/>
    <w:rsid w:val="009F7A95"/>
    <w:rsid w:val="00A0182A"/>
    <w:rsid w:val="00A25FEE"/>
    <w:rsid w:val="00A30182"/>
    <w:rsid w:val="00A43B33"/>
    <w:rsid w:val="00A5301D"/>
    <w:rsid w:val="00A54F07"/>
    <w:rsid w:val="00A61781"/>
    <w:rsid w:val="00A63224"/>
    <w:rsid w:val="00A643B8"/>
    <w:rsid w:val="00A93DE8"/>
    <w:rsid w:val="00AA7C3B"/>
    <w:rsid w:val="00AD3A49"/>
    <w:rsid w:val="00AE1BDB"/>
    <w:rsid w:val="00AF524C"/>
    <w:rsid w:val="00B06B6B"/>
    <w:rsid w:val="00B15384"/>
    <w:rsid w:val="00B16158"/>
    <w:rsid w:val="00B161D4"/>
    <w:rsid w:val="00B2342C"/>
    <w:rsid w:val="00B23812"/>
    <w:rsid w:val="00B314A5"/>
    <w:rsid w:val="00B421C8"/>
    <w:rsid w:val="00B445A9"/>
    <w:rsid w:val="00B47D37"/>
    <w:rsid w:val="00B6286E"/>
    <w:rsid w:val="00B64385"/>
    <w:rsid w:val="00B728ED"/>
    <w:rsid w:val="00B8181C"/>
    <w:rsid w:val="00BB1D2A"/>
    <w:rsid w:val="00BB2B40"/>
    <w:rsid w:val="00BB38DC"/>
    <w:rsid w:val="00BC4287"/>
    <w:rsid w:val="00BD59BF"/>
    <w:rsid w:val="00C030B5"/>
    <w:rsid w:val="00C07784"/>
    <w:rsid w:val="00C218D3"/>
    <w:rsid w:val="00C3754E"/>
    <w:rsid w:val="00C449BD"/>
    <w:rsid w:val="00C47B2A"/>
    <w:rsid w:val="00C51BA0"/>
    <w:rsid w:val="00C53BFE"/>
    <w:rsid w:val="00C5562C"/>
    <w:rsid w:val="00C56A01"/>
    <w:rsid w:val="00C719E5"/>
    <w:rsid w:val="00C95ADE"/>
    <w:rsid w:val="00CA6CF3"/>
    <w:rsid w:val="00CB10BE"/>
    <w:rsid w:val="00CB3FAB"/>
    <w:rsid w:val="00CD29A3"/>
    <w:rsid w:val="00CD4009"/>
    <w:rsid w:val="00D04B77"/>
    <w:rsid w:val="00D105C5"/>
    <w:rsid w:val="00D163EB"/>
    <w:rsid w:val="00D20EB1"/>
    <w:rsid w:val="00D22F18"/>
    <w:rsid w:val="00D25309"/>
    <w:rsid w:val="00D318CA"/>
    <w:rsid w:val="00D31CB5"/>
    <w:rsid w:val="00D42E57"/>
    <w:rsid w:val="00D448C3"/>
    <w:rsid w:val="00D518C6"/>
    <w:rsid w:val="00D5411C"/>
    <w:rsid w:val="00D60B87"/>
    <w:rsid w:val="00D61762"/>
    <w:rsid w:val="00D61EE3"/>
    <w:rsid w:val="00D90729"/>
    <w:rsid w:val="00D923BA"/>
    <w:rsid w:val="00DD7E0E"/>
    <w:rsid w:val="00DE1E4A"/>
    <w:rsid w:val="00E00FA2"/>
    <w:rsid w:val="00E13B30"/>
    <w:rsid w:val="00E20520"/>
    <w:rsid w:val="00E22B77"/>
    <w:rsid w:val="00E24134"/>
    <w:rsid w:val="00E34444"/>
    <w:rsid w:val="00E445D0"/>
    <w:rsid w:val="00E45839"/>
    <w:rsid w:val="00E63074"/>
    <w:rsid w:val="00E66D4D"/>
    <w:rsid w:val="00E700FE"/>
    <w:rsid w:val="00E712B4"/>
    <w:rsid w:val="00E72337"/>
    <w:rsid w:val="00E9091D"/>
    <w:rsid w:val="00E955F9"/>
    <w:rsid w:val="00E95C1F"/>
    <w:rsid w:val="00EA151E"/>
    <w:rsid w:val="00EA3816"/>
    <w:rsid w:val="00EC0791"/>
    <w:rsid w:val="00EC2E11"/>
    <w:rsid w:val="00EC56D3"/>
    <w:rsid w:val="00EF2A25"/>
    <w:rsid w:val="00EF41E3"/>
    <w:rsid w:val="00EF5E01"/>
    <w:rsid w:val="00F077F1"/>
    <w:rsid w:val="00F11C26"/>
    <w:rsid w:val="00F175EB"/>
    <w:rsid w:val="00F4706F"/>
    <w:rsid w:val="00F47A40"/>
    <w:rsid w:val="00F50F89"/>
    <w:rsid w:val="00F51902"/>
    <w:rsid w:val="00F5221B"/>
    <w:rsid w:val="00F55AD7"/>
    <w:rsid w:val="00F56C4C"/>
    <w:rsid w:val="00F56E1F"/>
    <w:rsid w:val="00F57AC4"/>
    <w:rsid w:val="00F6386B"/>
    <w:rsid w:val="00F66178"/>
    <w:rsid w:val="00F73CDD"/>
    <w:rsid w:val="00F7470D"/>
    <w:rsid w:val="00F80ACB"/>
    <w:rsid w:val="00F83F19"/>
    <w:rsid w:val="00F9161D"/>
    <w:rsid w:val="00F94A75"/>
    <w:rsid w:val="00F96B94"/>
    <w:rsid w:val="00FA4242"/>
    <w:rsid w:val="00FB1DD0"/>
    <w:rsid w:val="00FC396B"/>
    <w:rsid w:val="00FC692B"/>
    <w:rsid w:val="00FC6B4E"/>
    <w:rsid w:val="00FD189A"/>
    <w:rsid w:val="00FD2310"/>
    <w:rsid w:val="00FD5822"/>
    <w:rsid w:val="00FD74DA"/>
    <w:rsid w:val="00FE1B63"/>
    <w:rsid w:val="00FF6336"/>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A0685"/>
  <w14:defaultImageDpi w14:val="0"/>
  <w15:docId w15:val="{88A1A9ED-E9C9-415A-B3E7-60AB0AB6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C9E"/>
    <w:rPr>
      <w:sz w:val="24"/>
      <w:lang w:eastAsia="en-US"/>
    </w:rPr>
  </w:style>
  <w:style w:type="paragraph" w:styleId="Heading1">
    <w:name w:val="heading 1"/>
    <w:basedOn w:val="Normal"/>
    <w:next w:val="Normal"/>
    <w:link w:val="Heading1Char"/>
    <w:uiPriority w:val="9"/>
    <w:qFormat/>
    <w:rsid w:val="006E0C9E"/>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6E0C9E"/>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6E0C9E"/>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6E0C9E"/>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6E0C9E"/>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6E0C9E"/>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D25309"/>
    <w:rPr>
      <w:rFonts w:ascii="Arial" w:hAnsi="Arial" w:cs="Times New Roman"/>
      <w:sz w:val="18"/>
      <w:lang w:val="x-none" w:eastAsia="en-US"/>
    </w:rPr>
  </w:style>
  <w:style w:type="paragraph" w:customStyle="1" w:styleId="Billname">
    <w:name w:val="Billname"/>
    <w:basedOn w:val="Normal"/>
    <w:rsid w:val="006E0C9E"/>
    <w:pPr>
      <w:tabs>
        <w:tab w:val="left" w:pos="2400"/>
        <w:tab w:val="left" w:pos="2880"/>
      </w:tabs>
      <w:spacing w:before="1220" w:after="100"/>
    </w:pPr>
    <w:rPr>
      <w:rFonts w:ascii="Arial" w:hAnsi="Arial"/>
      <w:b/>
      <w:sz w:val="40"/>
    </w:rPr>
  </w:style>
  <w:style w:type="paragraph" w:customStyle="1" w:styleId="Amain">
    <w:name w:val="A main"/>
    <w:basedOn w:val="Normal"/>
    <w:rsid w:val="006E0C9E"/>
    <w:pPr>
      <w:tabs>
        <w:tab w:val="right" w:pos="500"/>
        <w:tab w:val="left" w:pos="700"/>
      </w:tabs>
      <w:spacing w:before="80" w:after="60"/>
      <w:ind w:left="700" w:hanging="700"/>
      <w:jc w:val="both"/>
      <w:outlineLvl w:val="5"/>
    </w:pPr>
  </w:style>
  <w:style w:type="paragraph" w:customStyle="1" w:styleId="N-line3">
    <w:name w:val="N-line3"/>
    <w:basedOn w:val="Normal"/>
    <w:next w:val="Normal"/>
    <w:rsid w:val="006E0C9E"/>
    <w:pPr>
      <w:pBdr>
        <w:bottom w:val="single" w:sz="12" w:space="1" w:color="auto"/>
      </w:pBdr>
      <w:jc w:val="both"/>
    </w:pPr>
  </w:style>
  <w:style w:type="paragraph" w:customStyle="1" w:styleId="madeunder">
    <w:name w:val="made under"/>
    <w:basedOn w:val="Normal"/>
    <w:rsid w:val="006E0C9E"/>
    <w:pPr>
      <w:spacing w:before="180" w:after="60"/>
      <w:jc w:val="both"/>
    </w:pPr>
  </w:style>
  <w:style w:type="paragraph" w:customStyle="1" w:styleId="CoverActName">
    <w:name w:val="CoverActName"/>
    <w:basedOn w:val="Normal"/>
    <w:rsid w:val="006E0C9E"/>
    <w:pPr>
      <w:tabs>
        <w:tab w:val="left" w:pos="2600"/>
      </w:tabs>
      <w:spacing w:before="200" w:after="60"/>
      <w:jc w:val="both"/>
    </w:pPr>
    <w:rPr>
      <w:rFonts w:ascii="Arial" w:hAnsi="Arial"/>
      <w:b/>
    </w:rPr>
  </w:style>
  <w:style w:type="paragraph" w:customStyle="1" w:styleId="06Copyright">
    <w:name w:val="06Copyright"/>
    <w:basedOn w:val="Normal"/>
    <w:rsid w:val="006E0C9E"/>
    <w:pPr>
      <w:tabs>
        <w:tab w:val="left" w:pos="2880"/>
      </w:tabs>
    </w:pPr>
  </w:style>
  <w:style w:type="paragraph" w:customStyle="1" w:styleId="Apara">
    <w:name w:val="A para"/>
    <w:basedOn w:val="Normal"/>
    <w:rsid w:val="006E0C9E"/>
    <w:pPr>
      <w:numPr>
        <w:ilvl w:val="6"/>
        <w:numId w:val="3"/>
      </w:numPr>
      <w:spacing w:before="80" w:after="60"/>
      <w:jc w:val="both"/>
      <w:outlineLvl w:val="6"/>
    </w:pPr>
  </w:style>
  <w:style w:type="paragraph" w:customStyle="1" w:styleId="Asubpara">
    <w:name w:val="A subpara"/>
    <w:basedOn w:val="Normal"/>
    <w:rsid w:val="006E0C9E"/>
    <w:pPr>
      <w:numPr>
        <w:ilvl w:val="7"/>
        <w:numId w:val="3"/>
      </w:numPr>
      <w:spacing w:before="80" w:after="60"/>
      <w:jc w:val="both"/>
      <w:outlineLvl w:val="7"/>
    </w:pPr>
  </w:style>
  <w:style w:type="paragraph" w:customStyle="1" w:styleId="Asubsubpara">
    <w:name w:val="A subsubpara"/>
    <w:basedOn w:val="Normal"/>
    <w:rsid w:val="006E0C9E"/>
    <w:pPr>
      <w:numPr>
        <w:ilvl w:val="8"/>
        <w:numId w:val="3"/>
      </w:numPr>
      <w:spacing w:before="80" w:after="60"/>
      <w:jc w:val="both"/>
      <w:outlineLvl w:val="8"/>
    </w:pPr>
  </w:style>
  <w:style w:type="paragraph" w:customStyle="1" w:styleId="AH5Sec">
    <w:name w:val="A H5 Sec"/>
    <w:basedOn w:val="Normal"/>
    <w:next w:val="Amain"/>
    <w:rsid w:val="006E0C9E"/>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6E0C9E"/>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6E0C9E"/>
    <w:pPr>
      <w:spacing w:after="60"/>
      <w:jc w:val="both"/>
    </w:pPr>
    <w:rPr>
      <w:sz w:val="18"/>
    </w:rPr>
  </w:style>
  <w:style w:type="character" w:customStyle="1" w:styleId="CharDivText">
    <w:name w:val="CharDivText"/>
    <w:basedOn w:val="DefaultParagraphFont"/>
    <w:rsid w:val="006E0C9E"/>
    <w:rPr>
      <w:rFonts w:cs="Times New Roman"/>
    </w:rPr>
  </w:style>
  <w:style w:type="paragraph" w:customStyle="1" w:styleId="CoverInForce">
    <w:name w:val="CoverInForce"/>
    <w:basedOn w:val="Normal"/>
    <w:rsid w:val="006E0C9E"/>
    <w:pPr>
      <w:tabs>
        <w:tab w:val="left" w:pos="2600"/>
      </w:tabs>
      <w:spacing w:before="200" w:after="60"/>
      <w:jc w:val="both"/>
    </w:pPr>
    <w:rPr>
      <w:rFonts w:ascii="Arial" w:hAnsi="Arial"/>
    </w:rPr>
  </w:style>
  <w:style w:type="paragraph" w:customStyle="1" w:styleId="AFHdg">
    <w:name w:val="AFHdg"/>
    <w:basedOn w:val="Normal"/>
    <w:rsid w:val="006E0C9E"/>
    <w:pPr>
      <w:tabs>
        <w:tab w:val="left" w:pos="2600"/>
      </w:tabs>
      <w:spacing w:before="80" w:after="60"/>
      <w:jc w:val="both"/>
    </w:pPr>
    <w:rPr>
      <w:rFonts w:ascii="Arial" w:hAnsi="Arial"/>
      <w:b/>
      <w:sz w:val="32"/>
    </w:rPr>
  </w:style>
  <w:style w:type="paragraph" w:customStyle="1" w:styleId="ApprFormHd">
    <w:name w:val="ApprFormHd"/>
    <w:basedOn w:val="Normal"/>
    <w:rsid w:val="006E0C9E"/>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6E0C9E"/>
    <w:rPr>
      <w:rFonts w:cs="Times New Roman"/>
    </w:rPr>
  </w:style>
  <w:style w:type="paragraph" w:customStyle="1" w:styleId="Aparabullet">
    <w:name w:val="A para bullet"/>
    <w:basedOn w:val="Normal"/>
    <w:rsid w:val="006E0C9E"/>
    <w:pPr>
      <w:numPr>
        <w:numId w:val="2"/>
      </w:numPr>
    </w:pPr>
  </w:style>
  <w:style w:type="paragraph" w:styleId="TOC1">
    <w:name w:val="toc 1"/>
    <w:basedOn w:val="Normal"/>
    <w:next w:val="Normal"/>
    <w:autoRedefine/>
    <w:uiPriority w:val="39"/>
    <w:semiHidden/>
    <w:rsid w:val="006E0C9E"/>
  </w:style>
  <w:style w:type="paragraph" w:styleId="TOC2">
    <w:name w:val="toc 2"/>
    <w:basedOn w:val="Normal"/>
    <w:next w:val="Normal"/>
    <w:autoRedefine/>
    <w:uiPriority w:val="39"/>
    <w:semiHidden/>
    <w:rsid w:val="006E0C9E"/>
    <w:pPr>
      <w:ind w:left="240"/>
    </w:pPr>
  </w:style>
  <w:style w:type="paragraph" w:styleId="TOC3">
    <w:name w:val="toc 3"/>
    <w:basedOn w:val="Normal"/>
    <w:next w:val="Normal"/>
    <w:autoRedefine/>
    <w:uiPriority w:val="39"/>
    <w:semiHidden/>
    <w:rsid w:val="006E0C9E"/>
    <w:pPr>
      <w:ind w:left="480"/>
    </w:pPr>
  </w:style>
  <w:style w:type="paragraph" w:styleId="TOC4">
    <w:name w:val="toc 4"/>
    <w:basedOn w:val="Normal"/>
    <w:next w:val="Normal"/>
    <w:autoRedefine/>
    <w:uiPriority w:val="39"/>
    <w:semiHidden/>
    <w:rsid w:val="006E0C9E"/>
    <w:pPr>
      <w:ind w:left="720"/>
    </w:pPr>
  </w:style>
  <w:style w:type="paragraph" w:styleId="TOC5">
    <w:name w:val="toc 5"/>
    <w:basedOn w:val="Normal"/>
    <w:next w:val="Normal"/>
    <w:autoRedefine/>
    <w:uiPriority w:val="39"/>
    <w:semiHidden/>
    <w:rsid w:val="006E0C9E"/>
    <w:pPr>
      <w:ind w:left="960"/>
    </w:pPr>
  </w:style>
  <w:style w:type="paragraph" w:styleId="TOC6">
    <w:name w:val="toc 6"/>
    <w:basedOn w:val="Normal"/>
    <w:next w:val="Normal"/>
    <w:autoRedefine/>
    <w:uiPriority w:val="39"/>
    <w:semiHidden/>
    <w:rsid w:val="006E0C9E"/>
    <w:pPr>
      <w:ind w:left="1200"/>
    </w:pPr>
  </w:style>
  <w:style w:type="paragraph" w:styleId="TOC7">
    <w:name w:val="toc 7"/>
    <w:basedOn w:val="Normal"/>
    <w:next w:val="Normal"/>
    <w:autoRedefine/>
    <w:uiPriority w:val="39"/>
    <w:semiHidden/>
    <w:rsid w:val="006E0C9E"/>
    <w:pPr>
      <w:ind w:left="1440"/>
    </w:pPr>
  </w:style>
  <w:style w:type="paragraph" w:styleId="TOC8">
    <w:name w:val="toc 8"/>
    <w:basedOn w:val="Normal"/>
    <w:next w:val="Normal"/>
    <w:autoRedefine/>
    <w:uiPriority w:val="39"/>
    <w:semiHidden/>
    <w:rsid w:val="006E0C9E"/>
    <w:pPr>
      <w:ind w:left="1680"/>
    </w:pPr>
  </w:style>
  <w:style w:type="paragraph" w:styleId="TOC9">
    <w:name w:val="toc 9"/>
    <w:basedOn w:val="Normal"/>
    <w:next w:val="Normal"/>
    <w:autoRedefine/>
    <w:uiPriority w:val="39"/>
    <w:semiHidden/>
    <w:rsid w:val="006E0C9E"/>
    <w:pPr>
      <w:ind w:left="1920"/>
    </w:pPr>
  </w:style>
  <w:style w:type="character" w:styleId="Hyperlink">
    <w:name w:val="Hyperlink"/>
    <w:basedOn w:val="DefaultParagraphFont"/>
    <w:uiPriority w:val="99"/>
    <w:rsid w:val="006E0C9E"/>
    <w:rPr>
      <w:rFonts w:cs="Times New Roman"/>
      <w:color w:val="0000FF"/>
      <w:u w:val="single"/>
    </w:rPr>
  </w:style>
  <w:style w:type="paragraph" w:styleId="BodyTextIndent">
    <w:name w:val="Body Text Indent"/>
    <w:basedOn w:val="Normal"/>
    <w:link w:val="BodyTextIndentChar"/>
    <w:uiPriority w:val="99"/>
    <w:rsid w:val="006E0C9E"/>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6E0C9E"/>
    <w:pPr>
      <w:spacing w:before="880" w:after="60"/>
      <w:jc w:val="right"/>
    </w:pPr>
    <w:rPr>
      <w:caps/>
      <w:szCs w:val="24"/>
    </w:rPr>
  </w:style>
  <w:style w:type="paragraph" w:customStyle="1" w:styleId="DateLine">
    <w:name w:val="DateLine"/>
    <w:basedOn w:val="Normal"/>
    <w:rsid w:val="006E0C9E"/>
    <w:pPr>
      <w:tabs>
        <w:tab w:val="left" w:pos="4320"/>
      </w:tabs>
      <w:spacing w:before="80" w:after="60"/>
      <w:jc w:val="both"/>
    </w:pPr>
    <w:rPr>
      <w:szCs w:val="24"/>
    </w:rPr>
  </w:style>
  <w:style w:type="paragraph" w:customStyle="1" w:styleId="MinisterWord">
    <w:name w:val="MinisterWord"/>
    <w:basedOn w:val="Normal"/>
    <w:rsid w:val="006E0C9E"/>
    <w:pPr>
      <w:tabs>
        <w:tab w:val="left" w:pos="2880"/>
      </w:tabs>
      <w:jc w:val="right"/>
    </w:pPr>
    <w:rPr>
      <w:szCs w:val="24"/>
    </w:rPr>
  </w:style>
  <w:style w:type="character" w:styleId="FollowedHyperlink">
    <w:name w:val="FollowedHyperlink"/>
    <w:basedOn w:val="DefaultParagraphFont"/>
    <w:uiPriority w:val="99"/>
    <w:rsid w:val="006E0C9E"/>
    <w:rPr>
      <w:rFonts w:cs="Times New Roman"/>
      <w:color w:val="800080"/>
      <w:u w:val="single"/>
    </w:rPr>
  </w:style>
  <w:style w:type="character" w:styleId="FootnoteReference">
    <w:name w:val="footnote reference"/>
    <w:basedOn w:val="DefaultParagraphFont"/>
    <w:uiPriority w:val="99"/>
    <w:semiHidden/>
    <w:rsid w:val="006E0C9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6E0C9E"/>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6E0C9E"/>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6E0C9E"/>
    <w:rPr>
      <w:rFonts w:cs="Times New Roman"/>
    </w:rPr>
  </w:style>
  <w:style w:type="paragraph" w:styleId="ListParagraph">
    <w:name w:val="List Paragraph"/>
    <w:basedOn w:val="Normal"/>
    <w:uiPriority w:val="34"/>
    <w:qFormat/>
    <w:rsid w:val="00027387"/>
    <w:pPr>
      <w:numPr>
        <w:numId w:val="5"/>
      </w:numPr>
      <w:autoSpaceDE w:val="0"/>
      <w:autoSpaceDN w:val="0"/>
      <w:adjustRightInd w:val="0"/>
      <w:spacing w:after="200" w:line="276" w:lineRule="auto"/>
      <w:contextualSpacing/>
    </w:pPr>
    <w:rPr>
      <w:szCs w:val="24"/>
    </w:rPr>
  </w:style>
  <w:style w:type="character" w:styleId="CommentReference">
    <w:name w:val="annotation reference"/>
    <w:basedOn w:val="DefaultParagraphFont"/>
    <w:uiPriority w:val="99"/>
    <w:rsid w:val="00E45839"/>
    <w:rPr>
      <w:rFonts w:cs="Times New Roman"/>
      <w:sz w:val="16"/>
      <w:szCs w:val="16"/>
    </w:rPr>
  </w:style>
  <w:style w:type="paragraph" w:styleId="CommentText">
    <w:name w:val="annotation text"/>
    <w:basedOn w:val="Normal"/>
    <w:link w:val="CommentTextChar"/>
    <w:uiPriority w:val="99"/>
    <w:rsid w:val="00E45839"/>
    <w:rPr>
      <w:sz w:val="20"/>
    </w:rPr>
  </w:style>
  <w:style w:type="character" w:customStyle="1" w:styleId="CommentTextChar">
    <w:name w:val="Comment Text Char"/>
    <w:basedOn w:val="DefaultParagraphFont"/>
    <w:link w:val="CommentText"/>
    <w:uiPriority w:val="99"/>
    <w:locked/>
    <w:rsid w:val="00E45839"/>
    <w:rPr>
      <w:rFonts w:cs="Times New Roman"/>
      <w:lang w:val="x-none" w:eastAsia="en-US"/>
    </w:rPr>
  </w:style>
  <w:style w:type="paragraph" w:styleId="CommentSubject">
    <w:name w:val="annotation subject"/>
    <w:basedOn w:val="CommentText"/>
    <w:next w:val="CommentText"/>
    <w:link w:val="CommentSubjectChar"/>
    <w:uiPriority w:val="99"/>
    <w:rsid w:val="00E45839"/>
    <w:rPr>
      <w:b/>
      <w:bCs/>
    </w:rPr>
  </w:style>
  <w:style w:type="character" w:customStyle="1" w:styleId="CommentSubjectChar">
    <w:name w:val="Comment Subject Char"/>
    <w:basedOn w:val="CommentTextChar"/>
    <w:link w:val="CommentSubject"/>
    <w:uiPriority w:val="99"/>
    <w:locked/>
    <w:rsid w:val="00E45839"/>
    <w:rPr>
      <w:rFonts w:cs="Times New Roman"/>
      <w:b/>
      <w:bCs/>
      <w:lang w:val="x-none" w:eastAsia="en-US"/>
    </w:rPr>
  </w:style>
  <w:style w:type="paragraph" w:styleId="BalloonText">
    <w:name w:val="Balloon Text"/>
    <w:basedOn w:val="Normal"/>
    <w:link w:val="BalloonTextChar"/>
    <w:uiPriority w:val="99"/>
    <w:rsid w:val="00E45839"/>
    <w:rPr>
      <w:rFonts w:ascii="Tahoma" w:hAnsi="Tahoma" w:cs="Tahoma"/>
      <w:sz w:val="16"/>
      <w:szCs w:val="16"/>
    </w:rPr>
  </w:style>
  <w:style w:type="character" w:customStyle="1" w:styleId="BalloonTextChar">
    <w:name w:val="Balloon Text Char"/>
    <w:basedOn w:val="DefaultParagraphFont"/>
    <w:link w:val="BalloonText"/>
    <w:uiPriority w:val="99"/>
    <w:locked/>
    <w:rsid w:val="00E45839"/>
    <w:rPr>
      <w:rFonts w:ascii="Tahoma" w:hAnsi="Tahoma" w:cs="Tahoma"/>
      <w:sz w:val="16"/>
      <w:szCs w:val="16"/>
      <w:lang w:val="x-none" w:eastAsia="en-US"/>
    </w:rPr>
  </w:style>
  <w:style w:type="paragraph" w:styleId="Revision">
    <w:name w:val="Revision"/>
    <w:hidden/>
    <w:uiPriority w:val="99"/>
    <w:semiHidden/>
    <w:rsid w:val="002856DD"/>
    <w:rPr>
      <w:sz w:val="24"/>
      <w:lang w:eastAsia="en-US"/>
    </w:rPr>
  </w:style>
  <w:style w:type="paragraph" w:customStyle="1" w:styleId="Bullet1">
    <w:name w:val="Bullet 1"/>
    <w:basedOn w:val="Normal"/>
    <w:uiPriority w:val="99"/>
    <w:rsid w:val="00FD74DA"/>
    <w:pPr>
      <w:numPr>
        <w:numId w:val="10"/>
      </w:numPr>
      <w:spacing w:before="60" w:after="60"/>
    </w:pPr>
    <w:rPr>
      <w:rFonts w:ascii="Verdana" w:hAnsi="Verdana" w:cs="Calibri"/>
      <w:sz w:val="20"/>
      <w:lang w:eastAsia="en-AU"/>
    </w:rPr>
  </w:style>
  <w:style w:type="character" w:styleId="UnresolvedMention">
    <w:name w:val="Unresolved Mention"/>
    <w:basedOn w:val="DefaultParagraphFont"/>
    <w:uiPriority w:val="99"/>
    <w:semiHidden/>
    <w:unhideWhenUsed/>
    <w:rsid w:val="00810AC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823001">
      <w:marLeft w:val="0"/>
      <w:marRight w:val="0"/>
      <w:marTop w:val="0"/>
      <w:marBottom w:val="0"/>
      <w:divBdr>
        <w:top w:val="none" w:sz="0" w:space="0" w:color="auto"/>
        <w:left w:val="none" w:sz="0" w:space="0" w:color="auto"/>
        <w:bottom w:val="none" w:sz="0" w:space="0" w:color="auto"/>
        <w:right w:val="none" w:sz="0" w:space="0" w:color="auto"/>
      </w:divBdr>
    </w:div>
    <w:div w:id="1939823002">
      <w:marLeft w:val="0"/>
      <w:marRight w:val="0"/>
      <w:marTop w:val="0"/>
      <w:marBottom w:val="0"/>
      <w:divBdr>
        <w:top w:val="none" w:sz="0" w:space="0" w:color="auto"/>
        <w:left w:val="none" w:sz="0" w:space="0" w:color="auto"/>
        <w:bottom w:val="none" w:sz="0" w:space="0" w:color="auto"/>
        <w:right w:val="none" w:sz="0" w:space="0" w:color="auto"/>
      </w:divBdr>
    </w:div>
    <w:div w:id="1939823003">
      <w:marLeft w:val="0"/>
      <w:marRight w:val="0"/>
      <w:marTop w:val="0"/>
      <w:marBottom w:val="0"/>
      <w:divBdr>
        <w:top w:val="none" w:sz="0" w:space="0" w:color="auto"/>
        <w:left w:val="none" w:sz="0" w:space="0" w:color="auto"/>
        <w:bottom w:val="none" w:sz="0" w:space="0" w:color="auto"/>
        <w:right w:val="none" w:sz="0" w:space="0" w:color="auto"/>
      </w:divBdr>
    </w:div>
    <w:div w:id="1939823004">
      <w:marLeft w:val="0"/>
      <w:marRight w:val="0"/>
      <w:marTop w:val="0"/>
      <w:marBottom w:val="0"/>
      <w:divBdr>
        <w:top w:val="none" w:sz="0" w:space="0" w:color="auto"/>
        <w:left w:val="none" w:sz="0" w:space="0" w:color="auto"/>
        <w:bottom w:val="none" w:sz="0" w:space="0" w:color="auto"/>
        <w:right w:val="none" w:sz="0" w:space="0" w:color="auto"/>
      </w:divBdr>
    </w:div>
    <w:div w:id="1939823005">
      <w:marLeft w:val="0"/>
      <w:marRight w:val="0"/>
      <w:marTop w:val="0"/>
      <w:marBottom w:val="0"/>
      <w:divBdr>
        <w:top w:val="none" w:sz="0" w:space="0" w:color="auto"/>
        <w:left w:val="none" w:sz="0" w:space="0" w:color="auto"/>
        <w:bottom w:val="none" w:sz="0" w:space="0" w:color="auto"/>
        <w:right w:val="none" w:sz="0" w:space="0" w:color="auto"/>
      </w:divBdr>
    </w:div>
    <w:div w:id="1939823006">
      <w:marLeft w:val="0"/>
      <w:marRight w:val="0"/>
      <w:marTop w:val="0"/>
      <w:marBottom w:val="0"/>
      <w:divBdr>
        <w:top w:val="none" w:sz="0" w:space="0" w:color="auto"/>
        <w:left w:val="none" w:sz="0" w:space="0" w:color="auto"/>
        <w:bottom w:val="none" w:sz="0" w:space="0" w:color="auto"/>
        <w:right w:val="none" w:sz="0" w:space="0" w:color="auto"/>
      </w:divBdr>
    </w:div>
    <w:div w:id="1939823007">
      <w:marLeft w:val="0"/>
      <w:marRight w:val="0"/>
      <w:marTop w:val="0"/>
      <w:marBottom w:val="0"/>
      <w:divBdr>
        <w:top w:val="none" w:sz="0" w:space="0" w:color="auto"/>
        <w:left w:val="none" w:sz="0" w:space="0" w:color="auto"/>
        <w:bottom w:val="none" w:sz="0" w:space="0" w:color="auto"/>
        <w:right w:val="none" w:sz="0" w:space="0" w:color="auto"/>
      </w:divBdr>
    </w:div>
    <w:div w:id="1939823008">
      <w:marLeft w:val="0"/>
      <w:marRight w:val="0"/>
      <w:marTop w:val="0"/>
      <w:marBottom w:val="0"/>
      <w:divBdr>
        <w:top w:val="none" w:sz="0" w:space="0" w:color="auto"/>
        <w:left w:val="none" w:sz="0" w:space="0" w:color="auto"/>
        <w:bottom w:val="none" w:sz="0" w:space="0" w:color="auto"/>
        <w:right w:val="none" w:sz="0" w:space="0" w:color="auto"/>
      </w:divBdr>
    </w:div>
    <w:div w:id="1939823023">
      <w:marLeft w:val="0"/>
      <w:marRight w:val="0"/>
      <w:marTop w:val="0"/>
      <w:marBottom w:val="0"/>
      <w:divBdr>
        <w:top w:val="none" w:sz="0" w:space="0" w:color="auto"/>
        <w:left w:val="none" w:sz="0" w:space="0" w:color="auto"/>
        <w:bottom w:val="none" w:sz="0" w:space="0" w:color="auto"/>
        <w:right w:val="none" w:sz="0" w:space="0" w:color="auto"/>
      </w:divBdr>
    </w:div>
    <w:div w:id="1939823024">
      <w:marLeft w:val="0"/>
      <w:marRight w:val="0"/>
      <w:marTop w:val="0"/>
      <w:marBottom w:val="0"/>
      <w:divBdr>
        <w:top w:val="none" w:sz="0" w:space="0" w:color="auto"/>
        <w:left w:val="none" w:sz="0" w:space="0" w:color="auto"/>
        <w:bottom w:val="none" w:sz="0" w:space="0" w:color="auto"/>
        <w:right w:val="none" w:sz="0" w:space="0" w:color="auto"/>
      </w:divBdr>
      <w:divsChild>
        <w:div w:id="1939823021">
          <w:marLeft w:val="0"/>
          <w:marRight w:val="0"/>
          <w:marTop w:val="0"/>
          <w:marBottom w:val="0"/>
          <w:divBdr>
            <w:top w:val="single" w:sz="4" w:space="1" w:color="CCCCCC"/>
            <w:left w:val="single" w:sz="4" w:space="0" w:color="CCCCCC"/>
            <w:bottom w:val="single" w:sz="4" w:space="0" w:color="CCCCCC"/>
            <w:right w:val="single" w:sz="4" w:space="0" w:color="CCCCCC"/>
          </w:divBdr>
          <w:divsChild>
            <w:div w:id="1939823017">
              <w:marLeft w:val="0"/>
              <w:marRight w:val="0"/>
              <w:marTop w:val="242"/>
              <w:marBottom w:val="0"/>
              <w:divBdr>
                <w:top w:val="none" w:sz="0" w:space="0" w:color="auto"/>
                <w:left w:val="none" w:sz="0" w:space="0" w:color="auto"/>
                <w:bottom w:val="none" w:sz="0" w:space="0" w:color="auto"/>
                <w:right w:val="none" w:sz="0" w:space="0" w:color="auto"/>
              </w:divBdr>
              <w:divsChild>
                <w:div w:id="1939823025">
                  <w:marLeft w:val="3025"/>
                  <w:marRight w:val="1876"/>
                  <w:marTop w:val="0"/>
                  <w:marBottom w:val="242"/>
                  <w:divBdr>
                    <w:top w:val="single" w:sz="12" w:space="0" w:color="CCCCCC"/>
                    <w:left w:val="single" w:sz="12" w:space="0" w:color="CCCCCC"/>
                    <w:bottom w:val="none" w:sz="0" w:space="0" w:color="auto"/>
                    <w:right w:val="single" w:sz="12" w:space="0" w:color="CCCCCC"/>
                  </w:divBdr>
                  <w:divsChild>
                    <w:div w:id="1939823016">
                      <w:marLeft w:val="0"/>
                      <w:marRight w:val="0"/>
                      <w:marTop w:val="0"/>
                      <w:marBottom w:val="0"/>
                      <w:divBdr>
                        <w:top w:val="none" w:sz="0" w:space="0" w:color="auto"/>
                        <w:left w:val="none" w:sz="0" w:space="0" w:color="auto"/>
                        <w:bottom w:val="none" w:sz="0" w:space="0" w:color="auto"/>
                        <w:right w:val="none" w:sz="0" w:space="0" w:color="auto"/>
                      </w:divBdr>
                      <w:divsChild>
                        <w:div w:id="19398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23026">
      <w:marLeft w:val="0"/>
      <w:marRight w:val="0"/>
      <w:marTop w:val="0"/>
      <w:marBottom w:val="0"/>
      <w:divBdr>
        <w:top w:val="none" w:sz="0" w:space="0" w:color="auto"/>
        <w:left w:val="none" w:sz="0" w:space="0" w:color="auto"/>
        <w:bottom w:val="none" w:sz="0" w:space="0" w:color="auto"/>
        <w:right w:val="none" w:sz="0" w:space="0" w:color="auto"/>
      </w:divBdr>
      <w:divsChild>
        <w:div w:id="1939823027">
          <w:marLeft w:val="0"/>
          <w:marRight w:val="0"/>
          <w:marTop w:val="0"/>
          <w:marBottom w:val="0"/>
          <w:divBdr>
            <w:top w:val="none" w:sz="0" w:space="0" w:color="auto"/>
            <w:left w:val="none" w:sz="0" w:space="0" w:color="auto"/>
            <w:bottom w:val="none" w:sz="0" w:space="0" w:color="auto"/>
            <w:right w:val="none" w:sz="0" w:space="0" w:color="auto"/>
          </w:divBdr>
          <w:divsChild>
            <w:div w:id="1939823029">
              <w:marLeft w:val="0"/>
              <w:marRight w:val="0"/>
              <w:marTop w:val="0"/>
              <w:marBottom w:val="0"/>
              <w:divBdr>
                <w:top w:val="none" w:sz="0" w:space="0" w:color="auto"/>
                <w:left w:val="none" w:sz="0" w:space="0" w:color="auto"/>
                <w:bottom w:val="none" w:sz="0" w:space="0" w:color="auto"/>
                <w:right w:val="none" w:sz="0" w:space="0" w:color="auto"/>
              </w:divBdr>
              <w:divsChild>
                <w:div w:id="1939823012">
                  <w:marLeft w:val="0"/>
                  <w:marRight w:val="0"/>
                  <w:marTop w:val="0"/>
                  <w:marBottom w:val="0"/>
                  <w:divBdr>
                    <w:top w:val="none" w:sz="0" w:space="0" w:color="auto"/>
                    <w:left w:val="none" w:sz="0" w:space="0" w:color="auto"/>
                    <w:bottom w:val="none" w:sz="0" w:space="0" w:color="auto"/>
                    <w:right w:val="none" w:sz="0" w:space="0" w:color="auto"/>
                  </w:divBdr>
                  <w:divsChild>
                    <w:div w:id="1939823013">
                      <w:marLeft w:val="0"/>
                      <w:marRight w:val="0"/>
                      <w:marTop w:val="0"/>
                      <w:marBottom w:val="0"/>
                      <w:divBdr>
                        <w:top w:val="none" w:sz="0" w:space="0" w:color="auto"/>
                        <w:left w:val="none" w:sz="0" w:space="0" w:color="auto"/>
                        <w:bottom w:val="none" w:sz="0" w:space="0" w:color="auto"/>
                        <w:right w:val="none" w:sz="0" w:space="0" w:color="auto"/>
                      </w:divBdr>
                      <w:divsChild>
                        <w:div w:id="1939823028">
                          <w:marLeft w:val="0"/>
                          <w:marRight w:val="0"/>
                          <w:marTop w:val="0"/>
                          <w:marBottom w:val="0"/>
                          <w:divBdr>
                            <w:top w:val="single" w:sz="4" w:space="0" w:color="828282"/>
                            <w:left w:val="single" w:sz="4" w:space="0" w:color="828282"/>
                            <w:bottom w:val="single" w:sz="4" w:space="0" w:color="828282"/>
                            <w:right w:val="single" w:sz="4" w:space="0" w:color="828282"/>
                          </w:divBdr>
                          <w:divsChild>
                            <w:div w:id="1939823014">
                              <w:marLeft w:val="0"/>
                              <w:marRight w:val="0"/>
                              <w:marTop w:val="0"/>
                              <w:marBottom w:val="0"/>
                              <w:divBdr>
                                <w:top w:val="none" w:sz="0" w:space="0" w:color="auto"/>
                                <w:left w:val="none" w:sz="0" w:space="0" w:color="auto"/>
                                <w:bottom w:val="none" w:sz="0" w:space="0" w:color="auto"/>
                                <w:right w:val="none" w:sz="0" w:space="0" w:color="auto"/>
                              </w:divBdr>
                              <w:divsChild>
                                <w:div w:id="1939823022">
                                  <w:marLeft w:val="0"/>
                                  <w:marRight w:val="0"/>
                                  <w:marTop w:val="0"/>
                                  <w:marBottom w:val="0"/>
                                  <w:divBdr>
                                    <w:top w:val="none" w:sz="0" w:space="0" w:color="auto"/>
                                    <w:left w:val="none" w:sz="0" w:space="0" w:color="auto"/>
                                    <w:bottom w:val="none" w:sz="0" w:space="0" w:color="auto"/>
                                    <w:right w:val="none" w:sz="0" w:space="0" w:color="auto"/>
                                  </w:divBdr>
                                  <w:divsChild>
                                    <w:div w:id="1939823015">
                                      <w:marLeft w:val="0"/>
                                      <w:marRight w:val="0"/>
                                      <w:marTop w:val="0"/>
                                      <w:marBottom w:val="0"/>
                                      <w:divBdr>
                                        <w:top w:val="none" w:sz="0" w:space="0" w:color="auto"/>
                                        <w:left w:val="none" w:sz="0" w:space="0" w:color="auto"/>
                                        <w:bottom w:val="none" w:sz="0" w:space="0" w:color="auto"/>
                                        <w:right w:val="none" w:sz="0" w:space="0" w:color="auto"/>
                                      </w:divBdr>
                                      <w:divsChild>
                                        <w:div w:id="1939823020">
                                          <w:marLeft w:val="0"/>
                                          <w:marRight w:val="0"/>
                                          <w:marTop w:val="0"/>
                                          <w:marBottom w:val="0"/>
                                          <w:divBdr>
                                            <w:top w:val="none" w:sz="0" w:space="0" w:color="auto"/>
                                            <w:left w:val="none" w:sz="0" w:space="0" w:color="auto"/>
                                            <w:bottom w:val="none" w:sz="0" w:space="0" w:color="auto"/>
                                            <w:right w:val="none" w:sz="0" w:space="0" w:color="auto"/>
                                          </w:divBdr>
                                          <w:divsChild>
                                            <w:div w:id="1939823018">
                                              <w:marLeft w:val="0"/>
                                              <w:marRight w:val="0"/>
                                              <w:marTop w:val="0"/>
                                              <w:marBottom w:val="0"/>
                                              <w:divBdr>
                                                <w:top w:val="none" w:sz="0" w:space="0" w:color="auto"/>
                                                <w:left w:val="none" w:sz="0" w:space="0" w:color="auto"/>
                                                <w:bottom w:val="none" w:sz="0" w:space="0" w:color="auto"/>
                                                <w:right w:val="none" w:sz="0" w:space="0" w:color="auto"/>
                                              </w:divBdr>
                                              <w:divsChild>
                                                <w:div w:id="19398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823030">
      <w:marLeft w:val="0"/>
      <w:marRight w:val="0"/>
      <w:marTop w:val="0"/>
      <w:marBottom w:val="0"/>
      <w:divBdr>
        <w:top w:val="none" w:sz="0" w:space="0" w:color="auto"/>
        <w:left w:val="none" w:sz="0" w:space="0" w:color="auto"/>
        <w:bottom w:val="none" w:sz="0" w:space="0" w:color="auto"/>
        <w:right w:val="none" w:sz="0" w:space="0" w:color="auto"/>
      </w:divBdr>
      <w:divsChild>
        <w:div w:id="1939823035">
          <w:marLeft w:val="0"/>
          <w:marRight w:val="0"/>
          <w:marTop w:val="0"/>
          <w:marBottom w:val="0"/>
          <w:divBdr>
            <w:top w:val="none" w:sz="0" w:space="0" w:color="auto"/>
            <w:left w:val="none" w:sz="0" w:space="0" w:color="auto"/>
            <w:bottom w:val="none" w:sz="0" w:space="0" w:color="auto"/>
            <w:right w:val="none" w:sz="0" w:space="0" w:color="auto"/>
          </w:divBdr>
          <w:divsChild>
            <w:div w:id="1939823036">
              <w:marLeft w:val="0"/>
              <w:marRight w:val="0"/>
              <w:marTop w:val="0"/>
              <w:marBottom w:val="0"/>
              <w:divBdr>
                <w:top w:val="none" w:sz="0" w:space="0" w:color="auto"/>
                <w:left w:val="none" w:sz="0" w:space="0" w:color="auto"/>
                <w:bottom w:val="none" w:sz="0" w:space="0" w:color="auto"/>
                <w:right w:val="none" w:sz="0" w:space="0" w:color="auto"/>
              </w:divBdr>
              <w:divsChild>
                <w:div w:id="1939823031">
                  <w:marLeft w:val="0"/>
                  <w:marRight w:val="0"/>
                  <w:marTop w:val="0"/>
                  <w:marBottom w:val="0"/>
                  <w:divBdr>
                    <w:top w:val="none" w:sz="0" w:space="0" w:color="auto"/>
                    <w:left w:val="none" w:sz="0" w:space="0" w:color="auto"/>
                    <w:bottom w:val="none" w:sz="0" w:space="0" w:color="auto"/>
                    <w:right w:val="none" w:sz="0" w:space="0" w:color="auto"/>
                  </w:divBdr>
                  <w:divsChild>
                    <w:div w:id="1939823010">
                      <w:marLeft w:val="0"/>
                      <w:marRight w:val="0"/>
                      <w:marTop w:val="0"/>
                      <w:marBottom w:val="0"/>
                      <w:divBdr>
                        <w:top w:val="none" w:sz="0" w:space="0" w:color="auto"/>
                        <w:left w:val="none" w:sz="0" w:space="0" w:color="auto"/>
                        <w:bottom w:val="none" w:sz="0" w:space="0" w:color="auto"/>
                        <w:right w:val="none" w:sz="0" w:space="0" w:color="auto"/>
                      </w:divBdr>
                      <w:divsChild>
                        <w:div w:id="1939823037">
                          <w:marLeft w:val="0"/>
                          <w:marRight w:val="0"/>
                          <w:marTop w:val="0"/>
                          <w:marBottom w:val="0"/>
                          <w:divBdr>
                            <w:top w:val="none" w:sz="0" w:space="0" w:color="auto"/>
                            <w:left w:val="none" w:sz="0" w:space="0" w:color="auto"/>
                            <w:bottom w:val="none" w:sz="0" w:space="0" w:color="auto"/>
                            <w:right w:val="none" w:sz="0" w:space="0" w:color="auto"/>
                          </w:divBdr>
                          <w:divsChild>
                            <w:div w:id="1939823033">
                              <w:marLeft w:val="0"/>
                              <w:marRight w:val="0"/>
                              <w:marTop w:val="15"/>
                              <w:marBottom w:val="0"/>
                              <w:divBdr>
                                <w:top w:val="none" w:sz="0" w:space="0" w:color="auto"/>
                                <w:left w:val="none" w:sz="0" w:space="0" w:color="auto"/>
                                <w:bottom w:val="none" w:sz="0" w:space="0" w:color="auto"/>
                                <w:right w:val="none" w:sz="0" w:space="0" w:color="auto"/>
                              </w:divBdr>
                              <w:divsChild>
                                <w:div w:id="1939823034">
                                  <w:marLeft w:val="0"/>
                                  <w:marRight w:val="0"/>
                                  <w:marTop w:val="0"/>
                                  <w:marBottom w:val="0"/>
                                  <w:divBdr>
                                    <w:top w:val="none" w:sz="0" w:space="0" w:color="auto"/>
                                    <w:left w:val="none" w:sz="0" w:space="0" w:color="auto"/>
                                    <w:bottom w:val="none" w:sz="0" w:space="0" w:color="auto"/>
                                    <w:right w:val="none" w:sz="0" w:space="0" w:color="auto"/>
                                  </w:divBdr>
                                  <w:divsChild>
                                    <w:div w:id="1939823009">
                                      <w:marLeft w:val="0"/>
                                      <w:marRight w:val="0"/>
                                      <w:marTop w:val="0"/>
                                      <w:marBottom w:val="0"/>
                                      <w:divBdr>
                                        <w:top w:val="none" w:sz="0" w:space="0" w:color="auto"/>
                                        <w:left w:val="none" w:sz="0" w:space="0" w:color="auto"/>
                                        <w:bottom w:val="none" w:sz="0" w:space="0" w:color="auto"/>
                                        <w:right w:val="none" w:sz="0" w:space="0" w:color="auto"/>
                                      </w:divBdr>
                                    </w:div>
                                    <w:div w:id="19398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23038">
      <w:marLeft w:val="0"/>
      <w:marRight w:val="0"/>
      <w:marTop w:val="0"/>
      <w:marBottom w:val="0"/>
      <w:divBdr>
        <w:top w:val="none" w:sz="0" w:space="0" w:color="auto"/>
        <w:left w:val="none" w:sz="0" w:space="0" w:color="auto"/>
        <w:bottom w:val="none" w:sz="0" w:space="0" w:color="auto"/>
        <w:right w:val="none" w:sz="0" w:space="0" w:color="auto"/>
      </w:divBdr>
    </w:div>
    <w:div w:id="1939823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ni/2020-67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ards.org.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act.gov.au/ni/2020-67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lanning.act.gov.au/tools_resources/place_names/place_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lanning.act.gov.au/tools_resources/place_names/place_names_commit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6677</Characters>
  <Application>Microsoft Office Word</Application>
  <DocSecurity>0</DocSecurity>
  <Lines>158</Lines>
  <Paragraphs>81</Paragraphs>
  <ScaleCrop>false</ScaleCrop>
  <Company>InTACT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Ledwidge, Greg</dc:creator>
  <cp:keywords/>
  <dc:description/>
  <cp:lastModifiedBy>Moxon, KarenL</cp:lastModifiedBy>
  <cp:revision>2</cp:revision>
  <cp:lastPrinted>2014-11-26T05:27:00Z</cp:lastPrinted>
  <dcterms:created xsi:type="dcterms:W3CDTF">2021-02-11T04:00:00Z</dcterms:created>
  <dcterms:modified xsi:type="dcterms:W3CDTF">2021-02-11T04:00:00Z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A10081468</vt:lpwstr>
  </property>
  <property fmtid="{D5CDD505-2E9C-101B-9397-08002B2CF9AE}" pid="4" name="Objective-Title">
    <vt:lpwstr>Attachment A - Public Place Names (Naming of public places) Guidelines 2014 (No 1)</vt:lpwstr>
  </property>
  <property fmtid="{D5CDD505-2E9C-101B-9397-08002B2CF9AE}" pid="5" name="Objective-Comment">
    <vt:lpwstr>Message registered by Keziah Judd on Friday, 31 October 2014 01:26:03 PM</vt:lpwstr>
  </property>
  <property fmtid="{D5CDD505-2E9C-101B-9397-08002B2CF9AE}" pid="6" name="Objective-CreationStamp">
    <vt:filetime>2014-09-25T13:00:00Z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2014-10-17T13:00:00Z</vt:filetime>
  </property>
  <property fmtid="{D5CDD505-2E9C-101B-9397-08002B2CF9AE}" pid="10" name="Objective-ModificationStamp">
    <vt:filetime>2014-10-17T13:00:00Z</vt:filetime>
  </property>
  <property fmtid="{D5CDD505-2E9C-101B-9397-08002B2CF9AE}" pid="11" name="Objective-Owner">
    <vt:lpwstr>Sharon Priestly</vt:lpwstr>
  </property>
  <property fmtid="{D5CDD505-2E9C-101B-9397-08002B2CF9AE}" pid="12" name="Objective-Path">
    <vt:lpwstr>Whole of ACT Government:EPD - Environment and Planning Directorate:07. Ministerial, Cabinet and Government Relations:06. Ministerials:2014 - Ministerial and Chief Ministerial Correspondence:Construction and Services:CS - Information Briefs:14/22001 - 14/2</vt:lpwstr>
  </property>
  <property fmtid="{D5CDD505-2E9C-101B-9397-08002B2CF9AE}" pid="13" name="Objective-Parent">
    <vt:lpwstr>14/26393 - Ministerial-Brief to Minister Gentleman - Notification of place names guidelines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to change date to December</vt:lpwstr>
  </property>
  <property fmtid="{D5CDD505-2E9C-101B-9397-08002B2CF9AE}" pid="18" name="Objective-FileNumber">
    <vt:lpwstr>1-2014/26393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
  </property>
  <property fmtid="{D5CDD505-2E9C-101B-9397-08002B2CF9AE}" pid="22" name="Objective-Document Type [system]">
    <vt:lpwstr/>
  </property>
  <property fmtid="{D5CDD505-2E9C-101B-9397-08002B2CF9AE}" pid="23" name="Objective-Language [system]">
    <vt:lpwstr/>
  </property>
  <property fmtid="{D5CDD505-2E9C-101B-9397-08002B2CF9AE}" pid="24" name="Objective-Jurisdiction [system]">
    <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