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3920" w14:textId="77777777" w:rsidR="00F02286" w:rsidRDefault="00BC5584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5BDD63C1" w14:textId="77777777" w:rsidR="00F02286" w:rsidRDefault="00F02286">
      <w:pPr>
        <w:rPr>
          <w:rFonts w:ascii="Arial" w:hAnsi="Arial"/>
          <w:snapToGrid w:val="0"/>
          <w:color w:val="000000"/>
          <w:sz w:val="23"/>
        </w:rPr>
      </w:pPr>
    </w:p>
    <w:p w14:paraId="5748C8F1" w14:textId="492B83AF" w:rsidR="00F02286" w:rsidRDefault="00BC5584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>Utilities (Energy industry levy – other) Determination 20</w:t>
      </w:r>
      <w:r w:rsidR="00084D0C">
        <w:rPr>
          <w:rFonts w:ascii="Arial" w:hAnsi="Arial"/>
          <w:b/>
          <w:snapToGrid w:val="0"/>
          <w:color w:val="000000"/>
          <w:sz w:val="40"/>
        </w:rPr>
        <w:t>2</w:t>
      </w:r>
      <w:r w:rsidR="00AC2655">
        <w:rPr>
          <w:rFonts w:ascii="Arial" w:hAnsi="Arial"/>
          <w:b/>
          <w:snapToGrid w:val="0"/>
          <w:color w:val="000000"/>
          <w:sz w:val="40"/>
        </w:rPr>
        <w:t>2</w:t>
      </w:r>
    </w:p>
    <w:p w14:paraId="1E51999F" w14:textId="77777777" w:rsidR="00F02286" w:rsidRDefault="00F02286">
      <w:pPr>
        <w:rPr>
          <w:rFonts w:ascii="Arial" w:hAnsi="Arial"/>
          <w:b/>
          <w:snapToGrid w:val="0"/>
          <w:color w:val="000000"/>
          <w:sz w:val="32"/>
        </w:rPr>
      </w:pPr>
    </w:p>
    <w:p w14:paraId="3B7F3AF5" w14:textId="54B554E3" w:rsidR="00F02286" w:rsidRDefault="005D3D04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</w:t>
      </w:r>
      <w:r w:rsidR="00084D0C">
        <w:rPr>
          <w:rFonts w:ascii="Arial" w:hAnsi="Arial"/>
          <w:b/>
          <w:snapToGrid w:val="0"/>
          <w:color w:val="000000"/>
        </w:rPr>
        <w:t>2</w:t>
      </w:r>
      <w:r w:rsidR="00AC2655">
        <w:rPr>
          <w:rFonts w:ascii="Arial" w:hAnsi="Arial"/>
          <w:b/>
          <w:snapToGrid w:val="0"/>
          <w:color w:val="000000"/>
        </w:rPr>
        <w:t>2</w:t>
      </w:r>
      <w:r>
        <w:rPr>
          <w:rFonts w:ascii="Arial" w:hAnsi="Arial"/>
          <w:b/>
          <w:snapToGrid w:val="0"/>
          <w:color w:val="000000"/>
        </w:rPr>
        <w:t>-</w:t>
      </w:r>
      <w:r w:rsidR="006765AE">
        <w:rPr>
          <w:rFonts w:ascii="Arial" w:hAnsi="Arial"/>
          <w:b/>
          <w:snapToGrid w:val="0"/>
          <w:color w:val="000000"/>
        </w:rPr>
        <w:t>488</w:t>
      </w:r>
    </w:p>
    <w:p w14:paraId="1B05ACD0" w14:textId="77777777" w:rsidR="00F02286" w:rsidRDefault="00F02286">
      <w:pPr>
        <w:rPr>
          <w:rFonts w:ascii="Arial" w:hAnsi="Arial"/>
          <w:b/>
          <w:snapToGrid w:val="0"/>
          <w:color w:val="000000"/>
        </w:rPr>
      </w:pPr>
    </w:p>
    <w:p w14:paraId="43C358F1" w14:textId="77777777" w:rsidR="00F02286" w:rsidRDefault="00BC5584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3837E3ED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532FD4C9" w14:textId="77777777" w:rsidR="00F02286" w:rsidRDefault="00BC5584">
      <w:pPr>
        <w:pStyle w:val="CoverActName"/>
      </w:pPr>
      <w:r w:rsidRPr="007902A2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8655B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54H (Further energy sector determinations)</w:t>
      </w:r>
    </w:p>
    <w:p w14:paraId="6D030D1E" w14:textId="77777777" w:rsidR="00F02286" w:rsidRDefault="00F02286">
      <w:pPr>
        <w:pBdr>
          <w:bottom w:val="single" w:sz="4" w:space="1" w:color="auto"/>
        </w:pBdr>
        <w:rPr>
          <w:rFonts w:ascii="Arial" w:hAnsi="Arial"/>
          <w:b/>
          <w:i/>
          <w:snapToGrid w:val="0"/>
          <w:color w:val="000000"/>
        </w:rPr>
      </w:pPr>
    </w:p>
    <w:p w14:paraId="291B1988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0FAF43F6" w14:textId="77777777" w:rsidR="00F02286" w:rsidRDefault="00BC558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CEE7C4" w14:textId="6D177661" w:rsidR="00F02286" w:rsidRPr="002A15FF" w:rsidRDefault="00BC5584">
      <w:pPr>
        <w:spacing w:before="80" w:after="60"/>
        <w:ind w:left="720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This instrument is the </w:t>
      </w:r>
      <w:r w:rsidRPr="002A15FF">
        <w:rPr>
          <w:rFonts w:asciiTheme="minorHAnsi" w:hAnsiTheme="minorHAnsi"/>
          <w:i/>
          <w:iCs/>
        </w:rPr>
        <w:t>Utilities (Energy industry levy – other) Determination 20</w:t>
      </w:r>
      <w:r w:rsidR="00084D0C">
        <w:rPr>
          <w:rFonts w:asciiTheme="minorHAnsi" w:hAnsiTheme="minorHAnsi"/>
          <w:i/>
          <w:iCs/>
        </w:rPr>
        <w:t>2</w:t>
      </w:r>
      <w:r w:rsidR="00AC2655">
        <w:rPr>
          <w:rFonts w:asciiTheme="minorHAnsi" w:hAnsiTheme="minorHAnsi"/>
          <w:i/>
          <w:iCs/>
        </w:rPr>
        <w:t>2</w:t>
      </w:r>
      <w:r w:rsidRPr="002A15FF">
        <w:rPr>
          <w:rFonts w:asciiTheme="minorHAnsi" w:hAnsiTheme="minorHAnsi"/>
          <w:i/>
          <w:iCs/>
        </w:rPr>
        <w:t>.</w:t>
      </w:r>
    </w:p>
    <w:p w14:paraId="099E3B46" w14:textId="11F4C1B1" w:rsidR="00F02286" w:rsidRDefault="00BC55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Determination</w:t>
      </w:r>
    </w:p>
    <w:p w14:paraId="1654A394" w14:textId="77777777" w:rsidR="00F02286" w:rsidRPr="002A15FF" w:rsidRDefault="00BC5584">
      <w:pPr>
        <w:ind w:left="709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I determine that:  </w:t>
      </w:r>
    </w:p>
    <w:p w14:paraId="4814329E" w14:textId="77777777" w:rsidR="00F02286" w:rsidRDefault="00F02286">
      <w:pPr>
        <w:ind w:left="709"/>
      </w:pPr>
    </w:p>
    <w:p w14:paraId="49E6A6AC" w14:textId="14052062" w:rsidR="00402987" w:rsidRDefault="00D568FC" w:rsidP="00D568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D568FC">
        <w:rPr>
          <w:rFonts w:asciiTheme="minorHAnsi" w:hAnsiTheme="minorHAnsi" w:cstheme="minorHAnsi"/>
        </w:rPr>
        <w:t>F</w:t>
      </w:r>
      <w:r w:rsidR="00BC5584" w:rsidRPr="00D568FC">
        <w:rPr>
          <w:rFonts w:asciiTheme="minorHAnsi" w:hAnsiTheme="minorHAnsi" w:cstheme="minorHAnsi"/>
        </w:rPr>
        <w:t>or the 20</w:t>
      </w:r>
      <w:r w:rsidR="00084D0C" w:rsidRPr="00D568FC">
        <w:rPr>
          <w:rFonts w:asciiTheme="minorHAnsi" w:hAnsiTheme="minorHAnsi" w:cstheme="minorHAnsi"/>
        </w:rPr>
        <w:t>2</w:t>
      </w:r>
      <w:r w:rsidR="00AC2655" w:rsidRPr="00D568FC">
        <w:rPr>
          <w:rFonts w:asciiTheme="minorHAnsi" w:hAnsiTheme="minorHAnsi" w:cstheme="minorHAnsi"/>
        </w:rPr>
        <w:t>2</w:t>
      </w:r>
      <w:r w:rsidR="00F4032F" w:rsidRPr="00D568FC">
        <w:rPr>
          <w:rFonts w:asciiTheme="minorHAnsi" w:hAnsiTheme="minorHAnsi" w:cstheme="minorHAnsi"/>
        </w:rPr>
        <w:t>–2</w:t>
      </w:r>
      <w:r w:rsidR="00AC2655" w:rsidRPr="00D568FC">
        <w:rPr>
          <w:rFonts w:asciiTheme="minorHAnsi" w:hAnsiTheme="minorHAnsi" w:cstheme="minorHAnsi"/>
        </w:rPr>
        <w:t>3</w:t>
      </w:r>
      <w:r w:rsidR="00BC5584" w:rsidRPr="00D568FC">
        <w:rPr>
          <w:rFonts w:asciiTheme="minorHAnsi" w:hAnsiTheme="minorHAnsi" w:cstheme="minorHAnsi"/>
        </w:rPr>
        <w:t xml:space="preserve"> levy year, the number of energy utilities that provided an energy utility service in each energy util</w:t>
      </w:r>
      <w:r w:rsidR="00D03E6A" w:rsidRPr="00D568FC">
        <w:rPr>
          <w:rFonts w:asciiTheme="minorHAnsi" w:hAnsiTheme="minorHAnsi" w:cstheme="minorHAnsi"/>
        </w:rPr>
        <w:t>ity sector at any time before 30</w:t>
      </w:r>
      <w:r w:rsidR="00CE2562" w:rsidRPr="00D568FC">
        <w:rPr>
          <w:rFonts w:asciiTheme="minorHAnsi" w:hAnsiTheme="minorHAnsi" w:cstheme="minorHAnsi"/>
        </w:rPr>
        <w:t> </w:t>
      </w:r>
      <w:r w:rsidR="00D03E6A" w:rsidRPr="00D568FC">
        <w:rPr>
          <w:rFonts w:asciiTheme="minorHAnsi" w:hAnsiTheme="minorHAnsi" w:cstheme="minorHAnsi"/>
        </w:rPr>
        <w:t>August 20</w:t>
      </w:r>
      <w:r w:rsidR="00084D0C" w:rsidRPr="00D568FC">
        <w:rPr>
          <w:rFonts w:asciiTheme="minorHAnsi" w:hAnsiTheme="minorHAnsi" w:cstheme="minorHAnsi"/>
        </w:rPr>
        <w:t>2</w:t>
      </w:r>
      <w:r w:rsidR="00AC2655" w:rsidRPr="00D568FC">
        <w:rPr>
          <w:rFonts w:asciiTheme="minorHAnsi" w:hAnsiTheme="minorHAnsi" w:cstheme="minorHAnsi"/>
        </w:rPr>
        <w:t>2</w:t>
      </w:r>
      <w:r w:rsidR="00BC5584" w:rsidRPr="00D568FC">
        <w:rPr>
          <w:rFonts w:asciiTheme="minorHAnsi" w:hAnsiTheme="minorHAnsi" w:cstheme="minorHAnsi"/>
        </w:rPr>
        <w:t xml:space="preserve"> is as follows:</w:t>
      </w:r>
    </w:p>
    <w:p w14:paraId="23B80EC5" w14:textId="3554AD4C" w:rsidR="00FB3E34" w:rsidRDefault="00FB3E34" w:rsidP="00FB3E34">
      <w:pPr>
        <w:rPr>
          <w:rFonts w:asciiTheme="minorHAnsi" w:hAnsiTheme="minorHAnsi" w:cstheme="minorHAnsi"/>
        </w:rPr>
      </w:pPr>
    </w:p>
    <w:tbl>
      <w:tblPr>
        <w:tblW w:w="6452" w:type="dxa"/>
        <w:tblInd w:w="709" w:type="dxa"/>
        <w:tblLook w:val="04A0" w:firstRow="1" w:lastRow="0" w:firstColumn="1" w:lastColumn="0" w:noHBand="0" w:noVBand="1"/>
      </w:tblPr>
      <w:tblGrid>
        <w:gridCol w:w="3736"/>
        <w:gridCol w:w="2716"/>
      </w:tblGrid>
      <w:tr w:rsidR="00FB3E34" w:rsidRPr="00FB3E34" w14:paraId="6EE19808" w14:textId="77777777" w:rsidTr="00CC7021">
        <w:trPr>
          <w:trHeight w:val="703"/>
        </w:trPr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49F2F29" w14:textId="77777777" w:rsidR="00FB3E34" w:rsidRPr="00FB3E34" w:rsidRDefault="00FB3E34" w:rsidP="00FB3E34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>Industry sector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9E12F55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b/>
                <w:bCs/>
                <w:szCs w:val="24"/>
                <w:lang w:eastAsia="en-AU"/>
              </w:rPr>
              <w:t>2022-23</w:t>
            </w:r>
          </w:p>
        </w:tc>
      </w:tr>
      <w:tr w:rsidR="00FB3E34" w:rsidRPr="00FB3E34" w14:paraId="45811C15" w14:textId="77777777" w:rsidTr="00CC7021">
        <w:trPr>
          <w:trHeight w:val="48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26809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E084D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1</w:t>
            </w:r>
          </w:p>
        </w:tc>
      </w:tr>
      <w:tr w:rsidR="00FB3E34" w:rsidRPr="00FB3E34" w14:paraId="3C7AA580" w14:textId="77777777" w:rsidTr="00CC7021">
        <w:trPr>
          <w:trHeight w:val="48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F2E9E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Supply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C26D6" w14:textId="10437639" w:rsidR="00FB3E34" w:rsidRPr="00FB3E34" w:rsidRDefault="00E035E6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en-AU"/>
              </w:rPr>
              <w:t>30</w:t>
            </w:r>
          </w:p>
        </w:tc>
      </w:tr>
      <w:tr w:rsidR="00FB3E34" w:rsidRPr="00FB3E34" w14:paraId="637A4D2B" w14:textId="77777777" w:rsidTr="00CC7021">
        <w:trPr>
          <w:trHeight w:val="48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BFD76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Gas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7692A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1</w:t>
            </w:r>
          </w:p>
        </w:tc>
      </w:tr>
      <w:tr w:rsidR="00FB3E34" w:rsidRPr="00FB3E34" w14:paraId="17480E68" w14:textId="77777777" w:rsidTr="00CC7021">
        <w:trPr>
          <w:trHeight w:val="480"/>
        </w:trPr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F4D73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Gas Supply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B2506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5</w:t>
            </w:r>
          </w:p>
        </w:tc>
      </w:tr>
    </w:tbl>
    <w:p w14:paraId="5D26E302" w14:textId="77777777" w:rsidR="00296D24" w:rsidRPr="00D568FC" w:rsidRDefault="00296D24" w:rsidP="00D568FC">
      <w:pPr>
        <w:rPr>
          <w:rFonts w:asciiTheme="minorHAnsi" w:hAnsiTheme="minorHAnsi" w:cstheme="minorHAnsi"/>
        </w:rPr>
      </w:pPr>
    </w:p>
    <w:p w14:paraId="37DFA176" w14:textId="60485B05" w:rsidR="00F02286" w:rsidRDefault="00BC5584" w:rsidP="00D568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OLE_LINK1"/>
      <w:r w:rsidRPr="00D568FC">
        <w:rPr>
          <w:rFonts w:asciiTheme="minorHAnsi" w:hAnsiTheme="minorHAnsi" w:cstheme="minorHAnsi"/>
        </w:rPr>
        <w:t>For the 20</w:t>
      </w:r>
      <w:r w:rsidR="00084D0C" w:rsidRPr="00D568FC">
        <w:rPr>
          <w:rFonts w:asciiTheme="minorHAnsi" w:hAnsiTheme="minorHAnsi" w:cstheme="minorHAnsi"/>
        </w:rPr>
        <w:t>2</w:t>
      </w:r>
      <w:r w:rsidR="00AC2655" w:rsidRPr="00D568FC">
        <w:rPr>
          <w:rFonts w:asciiTheme="minorHAnsi" w:hAnsiTheme="minorHAnsi" w:cstheme="minorHAnsi"/>
        </w:rPr>
        <w:t>1</w:t>
      </w:r>
      <w:r w:rsidR="00F4032F" w:rsidRPr="00D568FC">
        <w:rPr>
          <w:rFonts w:asciiTheme="minorHAnsi" w:hAnsiTheme="minorHAnsi" w:cstheme="minorHAnsi"/>
        </w:rPr>
        <w:t>–</w:t>
      </w:r>
      <w:r w:rsidR="00084D0C" w:rsidRPr="00D568FC">
        <w:rPr>
          <w:rFonts w:asciiTheme="minorHAnsi" w:hAnsiTheme="minorHAnsi" w:cstheme="minorHAnsi"/>
        </w:rPr>
        <w:t>2</w:t>
      </w:r>
      <w:r w:rsidR="00AC2655" w:rsidRPr="00D568FC">
        <w:rPr>
          <w:rFonts w:asciiTheme="minorHAnsi" w:hAnsiTheme="minorHAnsi" w:cstheme="minorHAnsi"/>
        </w:rPr>
        <w:t>2</w:t>
      </w:r>
      <w:r w:rsidRPr="00D568FC">
        <w:rPr>
          <w:rFonts w:asciiTheme="minorHAnsi" w:hAnsiTheme="minorHAnsi" w:cstheme="minorHAnsi"/>
        </w:rPr>
        <w:t xml:space="preserve"> levy year, the number of energy utilities that provided an energy utility service in each energy industry sector at any time during the year was as follows:</w:t>
      </w:r>
    </w:p>
    <w:p w14:paraId="52D8AA4E" w14:textId="5A07480D" w:rsidR="00FB3E34" w:rsidRDefault="00FB3E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463F0E3" w14:textId="77777777" w:rsidR="00FB3E34" w:rsidRDefault="00FB3E34" w:rsidP="00FB3E34">
      <w:pPr>
        <w:rPr>
          <w:rFonts w:asciiTheme="minorHAnsi" w:hAnsiTheme="minorHAnsi" w:cstheme="minorHAnsi"/>
        </w:rPr>
      </w:pPr>
    </w:p>
    <w:p w14:paraId="0FEB1657" w14:textId="20363CFA" w:rsidR="00FB3E34" w:rsidRDefault="00FB3E34" w:rsidP="00FB3E34">
      <w:pPr>
        <w:rPr>
          <w:rFonts w:asciiTheme="minorHAnsi" w:hAnsiTheme="minorHAnsi" w:cstheme="minorHAnsi"/>
        </w:rPr>
      </w:pPr>
    </w:p>
    <w:tbl>
      <w:tblPr>
        <w:tblW w:w="6452" w:type="dxa"/>
        <w:tblInd w:w="709" w:type="dxa"/>
        <w:tblLook w:val="04A0" w:firstRow="1" w:lastRow="0" w:firstColumn="1" w:lastColumn="0" w:noHBand="0" w:noVBand="1"/>
      </w:tblPr>
      <w:tblGrid>
        <w:gridCol w:w="3736"/>
        <w:gridCol w:w="2716"/>
      </w:tblGrid>
      <w:tr w:rsidR="00FB3E34" w:rsidRPr="00FB3E34" w14:paraId="759D2AED" w14:textId="77777777" w:rsidTr="00CC7021">
        <w:trPr>
          <w:trHeight w:val="763"/>
        </w:trPr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41DA0C4" w14:textId="77777777" w:rsidR="00FB3E34" w:rsidRPr="00FB3E34" w:rsidRDefault="00FB3E34" w:rsidP="00FB3E34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>Industry sector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FAD4782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b/>
                <w:bCs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b/>
                <w:bCs/>
                <w:szCs w:val="24"/>
                <w:lang w:eastAsia="en-AU"/>
              </w:rPr>
              <w:t>2021-22</w:t>
            </w:r>
          </w:p>
        </w:tc>
      </w:tr>
      <w:tr w:rsidR="00FB3E34" w:rsidRPr="00FB3E34" w14:paraId="7B8B7133" w14:textId="77777777" w:rsidTr="00CC7021">
        <w:trPr>
          <w:trHeight w:val="438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4CB19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04171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1</w:t>
            </w:r>
          </w:p>
        </w:tc>
      </w:tr>
      <w:tr w:rsidR="00FB3E34" w:rsidRPr="00FB3E34" w14:paraId="4472878B" w14:textId="77777777" w:rsidTr="00CC7021">
        <w:trPr>
          <w:trHeight w:val="438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2B9F9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Supply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55674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30</w:t>
            </w:r>
          </w:p>
        </w:tc>
      </w:tr>
      <w:tr w:rsidR="00FB3E34" w:rsidRPr="00FB3E34" w14:paraId="3E8B6A5A" w14:textId="77777777" w:rsidTr="00CC7021">
        <w:trPr>
          <w:trHeight w:val="438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6AC72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Gas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28028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1</w:t>
            </w:r>
          </w:p>
        </w:tc>
      </w:tr>
      <w:tr w:rsidR="00FB3E34" w:rsidRPr="00FB3E34" w14:paraId="3C0EC803" w14:textId="77777777" w:rsidTr="00CC7021">
        <w:trPr>
          <w:trHeight w:val="438"/>
        </w:trPr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7BE739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Gas Supply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623817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6</w:t>
            </w:r>
          </w:p>
        </w:tc>
      </w:tr>
      <w:bookmarkEnd w:id="0"/>
    </w:tbl>
    <w:p w14:paraId="2B6B20C7" w14:textId="77777777" w:rsidR="008C6292" w:rsidRPr="00D568FC" w:rsidRDefault="008C6292" w:rsidP="00D568FC">
      <w:pPr>
        <w:rPr>
          <w:rFonts w:asciiTheme="minorHAnsi" w:hAnsiTheme="minorHAnsi" w:cstheme="minorHAnsi"/>
        </w:rPr>
      </w:pPr>
    </w:p>
    <w:p w14:paraId="2F56F9BE" w14:textId="152CE223" w:rsidR="00FB3E34" w:rsidRDefault="00BC5584" w:rsidP="00FB3E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D568FC">
        <w:rPr>
          <w:rFonts w:asciiTheme="minorHAnsi" w:hAnsiTheme="minorHAnsi" w:cstheme="minorHAnsi"/>
        </w:rPr>
        <w:t>For the 20</w:t>
      </w:r>
      <w:r w:rsidR="00084D0C" w:rsidRPr="00D568FC">
        <w:rPr>
          <w:rFonts w:asciiTheme="minorHAnsi" w:hAnsiTheme="minorHAnsi" w:cstheme="minorHAnsi"/>
        </w:rPr>
        <w:t>2</w:t>
      </w:r>
      <w:r w:rsidR="00AC2655" w:rsidRPr="00D568FC">
        <w:rPr>
          <w:rFonts w:asciiTheme="minorHAnsi" w:hAnsiTheme="minorHAnsi" w:cstheme="minorHAnsi"/>
        </w:rPr>
        <w:t>1</w:t>
      </w:r>
      <w:r w:rsidR="00F4032F" w:rsidRPr="00D568FC">
        <w:rPr>
          <w:rFonts w:asciiTheme="minorHAnsi" w:hAnsiTheme="minorHAnsi" w:cstheme="minorHAnsi"/>
        </w:rPr>
        <w:t>–</w:t>
      </w:r>
      <w:r w:rsidR="00084D0C" w:rsidRPr="00D568FC">
        <w:rPr>
          <w:rFonts w:asciiTheme="minorHAnsi" w:hAnsiTheme="minorHAnsi" w:cstheme="minorHAnsi"/>
        </w:rPr>
        <w:t>2</w:t>
      </w:r>
      <w:r w:rsidR="00AC2655" w:rsidRPr="00D568FC">
        <w:rPr>
          <w:rFonts w:asciiTheme="minorHAnsi" w:hAnsiTheme="minorHAnsi" w:cstheme="minorHAnsi"/>
        </w:rPr>
        <w:t>2</w:t>
      </w:r>
      <w:r w:rsidRPr="00D568FC">
        <w:rPr>
          <w:rFonts w:asciiTheme="minorHAnsi" w:hAnsiTheme="minorHAnsi" w:cstheme="minorHAnsi"/>
        </w:rPr>
        <w:t xml:space="preserve"> levy year, having regard to statements lodged under section 54I, the total number of megawatt hours of electricity </w:t>
      </w:r>
      <w:r w:rsidR="00263E7E" w:rsidRPr="00D568FC">
        <w:rPr>
          <w:rFonts w:asciiTheme="minorHAnsi" w:hAnsiTheme="minorHAnsi" w:cstheme="minorHAnsi"/>
        </w:rPr>
        <w:t xml:space="preserve">and </w:t>
      </w:r>
      <w:r w:rsidRPr="00D568FC">
        <w:rPr>
          <w:rFonts w:asciiTheme="minorHAnsi" w:hAnsiTheme="minorHAnsi" w:cstheme="minorHAnsi"/>
        </w:rPr>
        <w:t>megajoules of gas distributed or sold in the ACT by all energy utilities in each energy industry sector was as follows:</w:t>
      </w:r>
    </w:p>
    <w:p w14:paraId="75EC16D4" w14:textId="240BEF2B" w:rsidR="00FB3E34" w:rsidRDefault="00FB3E34" w:rsidP="00FB3E34">
      <w:pPr>
        <w:ind w:left="360"/>
        <w:rPr>
          <w:rFonts w:asciiTheme="minorHAnsi" w:hAnsiTheme="minorHAnsi" w:cstheme="minorHAnsi"/>
        </w:rPr>
      </w:pPr>
    </w:p>
    <w:p w14:paraId="78E30EDF" w14:textId="39BE8171" w:rsidR="00FB3E34" w:rsidRDefault="00FB3E34" w:rsidP="00FB3E34">
      <w:pPr>
        <w:ind w:left="360"/>
        <w:rPr>
          <w:rFonts w:asciiTheme="minorHAnsi" w:hAnsiTheme="minorHAnsi" w:cstheme="minorHAnsi"/>
        </w:rPr>
      </w:pPr>
    </w:p>
    <w:tbl>
      <w:tblPr>
        <w:tblW w:w="6452" w:type="dxa"/>
        <w:tblInd w:w="709" w:type="dxa"/>
        <w:tblLook w:val="04A0" w:firstRow="1" w:lastRow="0" w:firstColumn="1" w:lastColumn="0" w:noHBand="0" w:noVBand="1"/>
      </w:tblPr>
      <w:tblGrid>
        <w:gridCol w:w="3736"/>
        <w:gridCol w:w="2716"/>
      </w:tblGrid>
      <w:tr w:rsidR="00FB3E34" w:rsidRPr="00FB3E34" w14:paraId="2A072E25" w14:textId="77777777" w:rsidTr="00CC7021">
        <w:trPr>
          <w:trHeight w:val="525"/>
        </w:trPr>
        <w:tc>
          <w:tcPr>
            <w:tcW w:w="37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D62F08A" w14:textId="77777777" w:rsidR="00FB3E34" w:rsidRPr="00FB3E34" w:rsidRDefault="00FB3E34" w:rsidP="00FB3E34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>Industry sector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7B29B93" w14:textId="77777777" w:rsidR="00FB3E34" w:rsidRPr="00FB3E34" w:rsidRDefault="00FB3E34" w:rsidP="00FB3E3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> </w:t>
            </w:r>
          </w:p>
        </w:tc>
      </w:tr>
      <w:tr w:rsidR="00FB3E34" w:rsidRPr="00FB3E34" w14:paraId="14C2D736" w14:textId="77777777" w:rsidTr="00CC7021">
        <w:trPr>
          <w:trHeight w:val="46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20FD0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59E9D" w14:textId="4D27CCDE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3,000,784</w:t>
            </w:r>
            <w:r w:rsidR="00E035E6">
              <w:rPr>
                <w:rFonts w:ascii="Calibri" w:hAnsi="Calibri" w:cs="Calibri"/>
                <w:color w:val="000000"/>
                <w:szCs w:val="24"/>
                <w:lang w:eastAsia="en-AU"/>
              </w:rPr>
              <w:t> </w:t>
            </w: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MWh</w:t>
            </w:r>
          </w:p>
        </w:tc>
      </w:tr>
      <w:tr w:rsidR="00FB3E34" w:rsidRPr="00FB3E34" w14:paraId="22F66A2E" w14:textId="77777777" w:rsidTr="00CC7021">
        <w:trPr>
          <w:trHeight w:val="46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6F4DB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Supply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C3EEB" w14:textId="071B2195" w:rsidR="00FB3E34" w:rsidRPr="00FB3E34" w:rsidRDefault="005C2597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en-AU"/>
              </w:rPr>
              <w:t>2,860,</w:t>
            </w:r>
            <w:r w:rsidR="00381883">
              <w:rPr>
                <w:rFonts w:ascii="Calibri" w:hAnsi="Calibri" w:cs="Calibri"/>
                <w:color w:val="000000"/>
                <w:szCs w:val="24"/>
                <w:lang w:eastAsia="en-AU"/>
              </w:rPr>
              <w:t>524</w:t>
            </w:r>
            <w:r w:rsidR="00E035E6">
              <w:rPr>
                <w:rFonts w:ascii="Calibri" w:hAnsi="Calibri" w:cs="Calibri"/>
                <w:color w:val="000000"/>
                <w:szCs w:val="24"/>
                <w:lang w:eastAsia="en-AU"/>
              </w:rPr>
              <w:t> </w:t>
            </w:r>
            <w:r w:rsidR="00FB3E34"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MWh</w:t>
            </w:r>
          </w:p>
        </w:tc>
      </w:tr>
      <w:tr w:rsidR="00FB3E34" w:rsidRPr="00FB3E34" w14:paraId="167A15CC" w14:textId="77777777" w:rsidTr="00CC7021">
        <w:trPr>
          <w:trHeight w:val="46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43203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Gas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F8BFC" w14:textId="44638DBD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7,483,168,396</w:t>
            </w:r>
            <w:r w:rsidR="00E035E6">
              <w:rPr>
                <w:rFonts w:ascii="Calibri" w:hAnsi="Calibri" w:cs="Calibri"/>
                <w:color w:val="000000"/>
                <w:szCs w:val="24"/>
                <w:lang w:eastAsia="en-AU"/>
              </w:rPr>
              <w:t> </w:t>
            </w: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MJh</w:t>
            </w:r>
          </w:p>
        </w:tc>
      </w:tr>
      <w:tr w:rsidR="00FB3E34" w:rsidRPr="00FB3E34" w14:paraId="141A8FB1" w14:textId="77777777" w:rsidTr="00CC7021">
        <w:trPr>
          <w:trHeight w:val="465"/>
        </w:trPr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2DF04" w14:textId="77777777" w:rsidR="00FB3E34" w:rsidRPr="00FB3E34" w:rsidRDefault="00FB3E34" w:rsidP="00FB3E3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Gas Supply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2873A" w14:textId="78C8DDB7" w:rsidR="00FB3E34" w:rsidRPr="00FB3E34" w:rsidRDefault="00FB3E34" w:rsidP="00FB3E34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7,308,898,075</w:t>
            </w:r>
            <w:r w:rsidR="00E035E6">
              <w:rPr>
                <w:rFonts w:ascii="Calibri" w:hAnsi="Calibri" w:cs="Calibri"/>
                <w:color w:val="000000"/>
                <w:szCs w:val="24"/>
                <w:lang w:eastAsia="en-AU"/>
              </w:rPr>
              <w:t> </w:t>
            </w:r>
            <w:r w:rsidRPr="00FB3E34">
              <w:rPr>
                <w:rFonts w:ascii="Calibri" w:hAnsi="Calibri" w:cs="Calibri"/>
                <w:color w:val="000000"/>
                <w:szCs w:val="24"/>
                <w:lang w:eastAsia="en-AU"/>
              </w:rPr>
              <w:t>MJh</w:t>
            </w:r>
          </w:p>
        </w:tc>
      </w:tr>
    </w:tbl>
    <w:p w14:paraId="5C788C6A" w14:textId="77777777" w:rsidR="00FB3E34" w:rsidRPr="00FB3E34" w:rsidRDefault="00FB3E34" w:rsidP="00FB3E34">
      <w:pPr>
        <w:ind w:left="360"/>
        <w:rPr>
          <w:rFonts w:asciiTheme="minorHAnsi" w:hAnsiTheme="minorHAnsi" w:cstheme="minorHAnsi"/>
        </w:rPr>
      </w:pPr>
    </w:p>
    <w:p w14:paraId="2E72858E" w14:textId="0A8ABB44" w:rsidR="00E93795" w:rsidRDefault="00E93795" w:rsidP="00AC2655">
      <w:pPr>
        <w:spacing w:before="80" w:after="60"/>
        <w:rPr>
          <w:rFonts w:asciiTheme="minorHAnsi" w:hAnsiTheme="minorHAnsi"/>
        </w:rPr>
      </w:pPr>
    </w:p>
    <w:p w14:paraId="352B2B68" w14:textId="13E67106" w:rsidR="00E93795" w:rsidRDefault="00AC2655" w:rsidP="00E9379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E93795">
        <w:rPr>
          <w:rFonts w:ascii="Arial" w:hAnsi="Arial" w:cs="Arial"/>
          <w:b/>
          <w:bCs/>
        </w:rPr>
        <w:tab/>
        <w:t xml:space="preserve">Commencement </w:t>
      </w:r>
    </w:p>
    <w:p w14:paraId="542CFA3D" w14:textId="62521ACE" w:rsidR="00E93795" w:rsidRPr="002A15FF" w:rsidRDefault="00E93795" w:rsidP="00E93795">
      <w:pPr>
        <w:spacing w:before="80" w:after="60"/>
        <w:ind w:left="720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This determination commences </w:t>
      </w:r>
      <w:r w:rsidR="0063796C">
        <w:rPr>
          <w:rFonts w:asciiTheme="minorHAnsi" w:hAnsiTheme="minorHAnsi"/>
        </w:rPr>
        <w:t>on the day after it is notified.</w:t>
      </w:r>
    </w:p>
    <w:p w14:paraId="1666A73F" w14:textId="77777777" w:rsidR="00E93795" w:rsidRPr="002A15FF" w:rsidRDefault="00E93795">
      <w:pPr>
        <w:spacing w:before="80" w:after="60"/>
        <w:ind w:left="720"/>
        <w:rPr>
          <w:rFonts w:asciiTheme="minorHAnsi" w:hAnsiTheme="minorHAnsi"/>
        </w:rPr>
      </w:pPr>
    </w:p>
    <w:p w14:paraId="198CE036" w14:textId="77777777" w:rsidR="002B21FC" w:rsidRPr="00721DB6" w:rsidRDefault="002B21FC" w:rsidP="002B21FC">
      <w:pPr>
        <w:rPr>
          <w:snapToGrid w:val="0"/>
          <w:color w:val="000000"/>
          <w:szCs w:val="24"/>
        </w:rPr>
      </w:pPr>
    </w:p>
    <w:p w14:paraId="4C822B18" w14:textId="77777777" w:rsidR="007902A2" w:rsidRPr="00721DB6" w:rsidRDefault="007902A2" w:rsidP="002B21FC">
      <w:pPr>
        <w:rPr>
          <w:snapToGrid w:val="0"/>
          <w:color w:val="000000"/>
          <w:szCs w:val="24"/>
        </w:rPr>
      </w:pPr>
    </w:p>
    <w:p w14:paraId="38BC0964" w14:textId="77777777" w:rsidR="002B21FC" w:rsidRDefault="002B21FC" w:rsidP="002B21FC">
      <w:pPr>
        <w:rPr>
          <w:snapToGrid w:val="0"/>
          <w:color w:val="000000"/>
          <w:szCs w:val="24"/>
        </w:rPr>
      </w:pPr>
    </w:p>
    <w:p w14:paraId="20C11AB8" w14:textId="77777777" w:rsidR="008F3E20" w:rsidRPr="00721DB6" w:rsidRDefault="008F3E20" w:rsidP="002B21FC">
      <w:pPr>
        <w:rPr>
          <w:snapToGrid w:val="0"/>
          <w:color w:val="000000"/>
          <w:szCs w:val="24"/>
        </w:rPr>
      </w:pPr>
    </w:p>
    <w:p w14:paraId="2B2AD312" w14:textId="77777777" w:rsidR="002B21FC" w:rsidRPr="00721DB6" w:rsidRDefault="002B21FC" w:rsidP="002B21FC">
      <w:pPr>
        <w:rPr>
          <w:snapToGrid w:val="0"/>
          <w:color w:val="000000"/>
          <w:szCs w:val="24"/>
        </w:rPr>
      </w:pPr>
    </w:p>
    <w:p w14:paraId="24F0254B" w14:textId="77777777" w:rsidR="00B84CFA" w:rsidRPr="002A15FF" w:rsidRDefault="00801048" w:rsidP="00B84CFA">
      <w:pPr>
        <w:rPr>
          <w:rFonts w:asciiTheme="minorHAnsi" w:hAnsiTheme="minorHAnsi"/>
          <w:snapToGrid w:val="0"/>
          <w:color w:val="000000"/>
          <w:szCs w:val="24"/>
        </w:rPr>
      </w:pPr>
      <w:r>
        <w:rPr>
          <w:rFonts w:asciiTheme="minorHAnsi" w:hAnsiTheme="minorHAnsi"/>
          <w:snapToGrid w:val="0"/>
          <w:color w:val="000000"/>
          <w:szCs w:val="24"/>
        </w:rPr>
        <w:t>Annette Weier</w:t>
      </w:r>
    </w:p>
    <w:p w14:paraId="2BD37A3A" w14:textId="77777777" w:rsidR="00B84CFA" w:rsidRPr="002A15FF" w:rsidRDefault="00B84CFA" w:rsidP="00B84CFA">
      <w:pPr>
        <w:rPr>
          <w:rFonts w:asciiTheme="minorHAnsi" w:hAnsiTheme="minorHAnsi"/>
          <w:snapToGrid w:val="0"/>
          <w:color w:val="000000"/>
          <w:highlight w:val="yellow"/>
        </w:rPr>
      </w:pPr>
      <w:r w:rsidRPr="002A15FF">
        <w:rPr>
          <w:rFonts w:asciiTheme="minorHAnsi" w:hAnsiTheme="minorHAnsi"/>
          <w:snapToGrid w:val="0"/>
          <w:color w:val="000000"/>
        </w:rPr>
        <w:t>Levy Administrator</w:t>
      </w:r>
    </w:p>
    <w:p w14:paraId="6B04BD96" w14:textId="7A91EDF8" w:rsidR="00F02286" w:rsidRPr="002A15FF" w:rsidRDefault="007228AA" w:rsidP="00B84CFA">
      <w:pPr>
        <w:rPr>
          <w:rFonts w:asciiTheme="minorHAnsi" w:hAnsiTheme="minorHAnsi"/>
          <w:snapToGrid w:val="0"/>
        </w:rPr>
      </w:pPr>
      <w:r w:rsidRPr="007228AA">
        <w:rPr>
          <w:rFonts w:asciiTheme="minorHAnsi" w:hAnsiTheme="minorHAnsi"/>
          <w:snapToGrid w:val="0"/>
        </w:rPr>
        <w:t xml:space="preserve">28 </w:t>
      </w:r>
      <w:r w:rsidR="00AC2655" w:rsidRPr="007228AA">
        <w:rPr>
          <w:rFonts w:asciiTheme="minorHAnsi" w:hAnsiTheme="minorHAnsi"/>
          <w:snapToGrid w:val="0"/>
        </w:rPr>
        <w:t>September</w:t>
      </w:r>
      <w:r w:rsidR="00165B88" w:rsidRPr="007228AA">
        <w:rPr>
          <w:rFonts w:asciiTheme="minorHAnsi" w:hAnsiTheme="minorHAnsi"/>
          <w:snapToGrid w:val="0"/>
        </w:rPr>
        <w:t xml:space="preserve"> 20</w:t>
      </w:r>
      <w:r w:rsidR="00084D0C" w:rsidRPr="007228AA">
        <w:rPr>
          <w:rFonts w:asciiTheme="minorHAnsi" w:hAnsiTheme="minorHAnsi"/>
          <w:snapToGrid w:val="0"/>
        </w:rPr>
        <w:t>2</w:t>
      </w:r>
      <w:r w:rsidR="00AC2655" w:rsidRPr="007228AA">
        <w:rPr>
          <w:rFonts w:asciiTheme="minorHAnsi" w:hAnsiTheme="minorHAnsi"/>
          <w:snapToGrid w:val="0"/>
        </w:rPr>
        <w:t>2</w:t>
      </w:r>
    </w:p>
    <w:sectPr w:rsidR="00F02286" w:rsidRPr="002A15FF" w:rsidSect="00DF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993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02BE" w14:textId="77777777" w:rsidR="00EF1255" w:rsidRDefault="00EF1255" w:rsidP="00EF1255">
      <w:r>
        <w:separator/>
      </w:r>
    </w:p>
  </w:endnote>
  <w:endnote w:type="continuationSeparator" w:id="0">
    <w:p w14:paraId="33B1A320" w14:textId="77777777" w:rsidR="00EF1255" w:rsidRDefault="00EF1255" w:rsidP="00EF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9C30" w14:textId="77777777" w:rsidR="00EF1255" w:rsidRDefault="00EF1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932D" w14:textId="353E332E" w:rsidR="00EF1255" w:rsidRPr="00EF1255" w:rsidRDefault="00EF1255" w:rsidP="00EF1255">
    <w:pPr>
      <w:pStyle w:val="Footer"/>
      <w:jc w:val="center"/>
      <w:rPr>
        <w:rFonts w:ascii="Arial" w:hAnsi="Arial" w:cs="Arial"/>
        <w:sz w:val="14"/>
      </w:rPr>
    </w:pPr>
    <w:r w:rsidRPr="00EF125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5FC6" w14:textId="77777777" w:rsidR="00EF1255" w:rsidRDefault="00EF1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4DBD" w14:textId="77777777" w:rsidR="00EF1255" w:rsidRDefault="00EF1255" w:rsidP="00EF1255">
      <w:r>
        <w:separator/>
      </w:r>
    </w:p>
  </w:footnote>
  <w:footnote w:type="continuationSeparator" w:id="0">
    <w:p w14:paraId="15C0A056" w14:textId="77777777" w:rsidR="00EF1255" w:rsidRDefault="00EF1255" w:rsidP="00EF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C395" w14:textId="77777777" w:rsidR="00EF1255" w:rsidRDefault="00EF1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17C4" w14:textId="77777777" w:rsidR="00EF1255" w:rsidRDefault="00EF1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3BA" w14:textId="77777777" w:rsidR="00EF1255" w:rsidRDefault="00EF1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A3B3995"/>
    <w:multiLevelType w:val="hybridMultilevel"/>
    <w:tmpl w:val="846221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C0CDE"/>
    <w:multiLevelType w:val="hybridMultilevel"/>
    <w:tmpl w:val="BAF0436C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880621">
    <w:abstractNumId w:val="2"/>
  </w:num>
  <w:num w:numId="2" w16cid:durableId="982545167">
    <w:abstractNumId w:val="0"/>
  </w:num>
  <w:num w:numId="3" w16cid:durableId="68112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C"/>
    <w:rsid w:val="0000335D"/>
    <w:rsid w:val="00077C8D"/>
    <w:rsid w:val="00084D0C"/>
    <w:rsid w:val="000B20A7"/>
    <w:rsid w:val="000B58A6"/>
    <w:rsid w:val="0014471E"/>
    <w:rsid w:val="00165B88"/>
    <w:rsid w:val="00183504"/>
    <w:rsid w:val="0018655B"/>
    <w:rsid w:val="00194FE8"/>
    <w:rsid w:val="00196461"/>
    <w:rsid w:val="001A12E2"/>
    <w:rsid w:val="00242051"/>
    <w:rsid w:val="00245F13"/>
    <w:rsid w:val="00263E7E"/>
    <w:rsid w:val="00296D24"/>
    <w:rsid w:val="002A0D2E"/>
    <w:rsid w:val="002A15FF"/>
    <w:rsid w:val="002B21FC"/>
    <w:rsid w:val="003065EA"/>
    <w:rsid w:val="00311C0A"/>
    <w:rsid w:val="0031690F"/>
    <w:rsid w:val="00352C38"/>
    <w:rsid w:val="00364C69"/>
    <w:rsid w:val="00381883"/>
    <w:rsid w:val="003A3AA6"/>
    <w:rsid w:val="003A4B90"/>
    <w:rsid w:val="003E37AA"/>
    <w:rsid w:val="00402987"/>
    <w:rsid w:val="00417409"/>
    <w:rsid w:val="00440F52"/>
    <w:rsid w:val="004448A0"/>
    <w:rsid w:val="00444FEE"/>
    <w:rsid w:val="005059C8"/>
    <w:rsid w:val="00530F4B"/>
    <w:rsid w:val="005C2597"/>
    <w:rsid w:val="005D3D04"/>
    <w:rsid w:val="005E574B"/>
    <w:rsid w:val="005F1232"/>
    <w:rsid w:val="00620664"/>
    <w:rsid w:val="0063796C"/>
    <w:rsid w:val="006765AE"/>
    <w:rsid w:val="006B697B"/>
    <w:rsid w:val="006E6C53"/>
    <w:rsid w:val="00712489"/>
    <w:rsid w:val="007211D3"/>
    <w:rsid w:val="007228AA"/>
    <w:rsid w:val="00724788"/>
    <w:rsid w:val="007353CA"/>
    <w:rsid w:val="00757285"/>
    <w:rsid w:val="007902A2"/>
    <w:rsid w:val="007B4DB2"/>
    <w:rsid w:val="00801048"/>
    <w:rsid w:val="008339D0"/>
    <w:rsid w:val="00842594"/>
    <w:rsid w:val="00851DE8"/>
    <w:rsid w:val="0086787F"/>
    <w:rsid w:val="008C6292"/>
    <w:rsid w:val="008D12E8"/>
    <w:rsid w:val="008D264B"/>
    <w:rsid w:val="008F0AC5"/>
    <w:rsid w:val="008F3E20"/>
    <w:rsid w:val="008F4FBE"/>
    <w:rsid w:val="009147D2"/>
    <w:rsid w:val="00935E11"/>
    <w:rsid w:val="009549FB"/>
    <w:rsid w:val="00986055"/>
    <w:rsid w:val="009929E4"/>
    <w:rsid w:val="00995DF2"/>
    <w:rsid w:val="009E0AC2"/>
    <w:rsid w:val="00A14BF0"/>
    <w:rsid w:val="00A52510"/>
    <w:rsid w:val="00A80435"/>
    <w:rsid w:val="00A84BB2"/>
    <w:rsid w:val="00AC2655"/>
    <w:rsid w:val="00AC2FC9"/>
    <w:rsid w:val="00AC7886"/>
    <w:rsid w:val="00B567ED"/>
    <w:rsid w:val="00B84CFA"/>
    <w:rsid w:val="00BC5584"/>
    <w:rsid w:val="00BD1117"/>
    <w:rsid w:val="00C11783"/>
    <w:rsid w:val="00C25B52"/>
    <w:rsid w:val="00C300B4"/>
    <w:rsid w:val="00C423DF"/>
    <w:rsid w:val="00C86DA3"/>
    <w:rsid w:val="00CA712D"/>
    <w:rsid w:val="00CC7021"/>
    <w:rsid w:val="00CC7995"/>
    <w:rsid w:val="00CE2562"/>
    <w:rsid w:val="00CE4A19"/>
    <w:rsid w:val="00D03E6A"/>
    <w:rsid w:val="00D21AC1"/>
    <w:rsid w:val="00D34111"/>
    <w:rsid w:val="00D568FC"/>
    <w:rsid w:val="00D63EA7"/>
    <w:rsid w:val="00DB2B74"/>
    <w:rsid w:val="00DD0A7E"/>
    <w:rsid w:val="00DF3AFB"/>
    <w:rsid w:val="00E01F48"/>
    <w:rsid w:val="00E035E6"/>
    <w:rsid w:val="00E11584"/>
    <w:rsid w:val="00E115F0"/>
    <w:rsid w:val="00E74894"/>
    <w:rsid w:val="00E7741A"/>
    <w:rsid w:val="00E93795"/>
    <w:rsid w:val="00EF1255"/>
    <w:rsid w:val="00EF3E1E"/>
    <w:rsid w:val="00F02286"/>
    <w:rsid w:val="00F02584"/>
    <w:rsid w:val="00F37F21"/>
    <w:rsid w:val="00F4032F"/>
    <w:rsid w:val="00F5571E"/>
    <w:rsid w:val="00F66B25"/>
    <w:rsid w:val="00FA3C26"/>
    <w:rsid w:val="00FA5284"/>
    <w:rsid w:val="00FA5C1C"/>
    <w:rsid w:val="00FB3E34"/>
    <w:rsid w:val="00FB74F0"/>
    <w:rsid w:val="00FC73B4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9C1E85"/>
  <w15:docId w15:val="{19AD8387-4B61-41C0-93A9-18E9D10A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8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2286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F022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F0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937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79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7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795"/>
    <w:rPr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EF1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1255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EF1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125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95A0-38BC-4EC3-A772-D231BBEB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1264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Ofiana, Jen</dc:creator>
  <cp:lastModifiedBy>Moxon, KarenL</cp:lastModifiedBy>
  <cp:revision>2</cp:revision>
  <cp:lastPrinted>2018-09-26T01:12:00Z</cp:lastPrinted>
  <dcterms:created xsi:type="dcterms:W3CDTF">2022-09-30T00:01:00Z</dcterms:created>
  <dcterms:modified xsi:type="dcterms:W3CDTF">2022-09-30T00:01:00Z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A38672862</vt:lpwstr>
  </property>
  <property fmtid="{D5CDD505-2E9C-101B-9397-08002B2CF9AE}" pid="4" name="Objective-Title">
    <vt:lpwstr>20220926 energy industry levy - other 2022 (determination)</vt:lpwstr>
  </property>
  <property fmtid="{D5CDD505-2E9C-101B-9397-08002B2CF9AE}" pid="5" name="Objective-Comment">
    <vt:lpwstr/>
  </property>
  <property fmtid="{D5CDD505-2E9C-101B-9397-08002B2CF9AE}" pid="6" name="Objective-CreationStamp">
    <vt:filetime>2022-09-26T04:04:14Z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2022-09-29T00:02:59Z</vt:filetime>
  </property>
  <property fmtid="{D5CDD505-2E9C-101B-9397-08002B2CF9AE}" pid="11" name="Objective-Owner">
    <vt:lpwstr>Ryan Ostopowicz</vt:lpwstr>
  </property>
  <property fmtid="{D5CDD505-2E9C-101B-9397-08002B2CF9AE}" pid="12" name="Objective-Path">
    <vt:lpwstr>Whole of ACT Government:ICRC - Independent Competition and Regulatory Commission:06. UTILITIES LICENSING:02. Fees and Levies:Previous Fees and Levies:2022-23 Fees and Levies:07 Instruments:Levy:</vt:lpwstr>
  </property>
  <property fmtid="{D5CDD505-2E9C-101B-9397-08002B2CF9AE}" pid="13" name="Objective-Parent">
    <vt:lpwstr>Levy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1-2022/64755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