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DA534" w14:textId="77777777" w:rsidR="005024D5" w:rsidRPr="005024D5" w:rsidRDefault="005024D5" w:rsidP="005024D5">
      <w:pPr>
        <w:spacing w:before="120" w:after="0" w:line="240" w:lineRule="auto"/>
        <w:rPr>
          <w:rFonts w:ascii="Arial" w:eastAsia="Times New Roman" w:hAnsi="Arial" w:cs="Arial"/>
          <w:color w:val="auto"/>
          <w:sz w:val="24"/>
          <w:szCs w:val="20"/>
          <w:lang w:eastAsia="en-US"/>
        </w:rPr>
      </w:pPr>
      <w:bookmarkStart w:id="0" w:name="_Toc44738651"/>
      <w:r w:rsidRPr="005024D5">
        <w:rPr>
          <w:rFonts w:ascii="Arial" w:eastAsia="Times New Roman" w:hAnsi="Arial" w:cs="Arial"/>
          <w:color w:val="auto"/>
          <w:sz w:val="24"/>
          <w:szCs w:val="20"/>
          <w:lang w:eastAsia="en-US"/>
        </w:rPr>
        <w:t>Australian Capital Territory</w:t>
      </w:r>
    </w:p>
    <w:p w14:paraId="58479D4C" w14:textId="7E3D9BB4" w:rsidR="005024D5" w:rsidRPr="005024D5" w:rsidRDefault="005024D5" w:rsidP="005024D5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color w:val="auto"/>
          <w:sz w:val="40"/>
          <w:szCs w:val="20"/>
          <w:lang w:eastAsia="en-US"/>
        </w:rPr>
      </w:pPr>
      <w:bookmarkStart w:id="1" w:name="_Hlk116299465"/>
      <w:r w:rsidRPr="005024D5">
        <w:rPr>
          <w:rFonts w:ascii="Arial" w:eastAsia="Times New Roman" w:hAnsi="Arial" w:cs="Arial (W1)"/>
          <w:b/>
          <w:color w:val="auto"/>
          <w:sz w:val="40"/>
          <w:szCs w:val="24"/>
          <w:lang w:eastAsia="en-US"/>
        </w:rPr>
        <w:t xml:space="preserve">Public Sector Management (Court Procedures) Delegation 2022 (No </w:t>
      </w:r>
      <w:r>
        <w:rPr>
          <w:rFonts w:ascii="Arial" w:eastAsia="Times New Roman" w:hAnsi="Arial" w:cs="Arial (W1)"/>
          <w:b/>
          <w:color w:val="auto"/>
          <w:sz w:val="40"/>
          <w:szCs w:val="24"/>
          <w:lang w:eastAsia="en-US"/>
        </w:rPr>
        <w:t>1</w:t>
      </w:r>
      <w:r w:rsidRPr="005024D5">
        <w:rPr>
          <w:rFonts w:ascii="Arial" w:eastAsia="Times New Roman" w:hAnsi="Arial" w:cs="Arial (W1)"/>
          <w:b/>
          <w:color w:val="auto"/>
          <w:sz w:val="40"/>
          <w:szCs w:val="24"/>
          <w:lang w:eastAsia="en-US"/>
        </w:rPr>
        <w:t>)</w:t>
      </w:r>
      <w:bookmarkEnd w:id="1"/>
      <w:r>
        <w:rPr>
          <w:rFonts w:ascii="Arial" w:eastAsia="Times New Roman" w:hAnsi="Arial" w:cs="Arial (W1)"/>
          <w:b/>
          <w:color w:val="auto"/>
          <w:sz w:val="40"/>
          <w:szCs w:val="24"/>
          <w:lang w:eastAsia="en-US"/>
        </w:rPr>
        <w:t>*</w:t>
      </w:r>
    </w:p>
    <w:p w14:paraId="4E6A4B8B" w14:textId="69257144" w:rsidR="005024D5" w:rsidRPr="005024D5" w:rsidRDefault="005024D5" w:rsidP="005024D5">
      <w:pPr>
        <w:spacing w:before="340"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0"/>
          <w:lang w:eastAsia="en-US"/>
        </w:rPr>
      </w:pPr>
      <w:r w:rsidRPr="005024D5">
        <w:rPr>
          <w:rFonts w:ascii="Arial" w:eastAsia="Times New Roman" w:hAnsi="Arial" w:cs="Arial"/>
          <w:b/>
          <w:bCs/>
          <w:color w:val="auto"/>
          <w:sz w:val="24"/>
          <w:szCs w:val="20"/>
          <w:lang w:eastAsia="en-US"/>
        </w:rPr>
        <w:t>Notifiable instrument NI2022–501</w:t>
      </w:r>
    </w:p>
    <w:p w14:paraId="5EE0F2A7" w14:textId="77777777" w:rsidR="005024D5" w:rsidRPr="005024D5" w:rsidRDefault="005024D5" w:rsidP="005024D5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</w:pPr>
      <w:r w:rsidRPr="005024D5"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t xml:space="preserve">made under the  </w:t>
      </w:r>
    </w:p>
    <w:p w14:paraId="76C9E4BB" w14:textId="77777777" w:rsidR="005024D5" w:rsidRPr="005024D5" w:rsidRDefault="005024D5" w:rsidP="005024D5">
      <w:pPr>
        <w:tabs>
          <w:tab w:val="left" w:pos="2600"/>
        </w:tabs>
        <w:spacing w:before="320" w:after="0" w:line="24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eastAsia="en-US"/>
        </w:rPr>
      </w:pPr>
      <w:r w:rsidRPr="005024D5">
        <w:rPr>
          <w:rFonts w:ascii="Arial" w:eastAsia="Times New Roman" w:hAnsi="Arial" w:cs="Arial"/>
          <w:b/>
          <w:color w:val="auto"/>
          <w:sz w:val="20"/>
          <w:szCs w:val="20"/>
          <w:lang w:eastAsia="en-US"/>
        </w:rPr>
        <w:t>Public Sector Management Act 1994, section 20 (Delegation by Director-General)</w:t>
      </w:r>
    </w:p>
    <w:p w14:paraId="3A58C1A3" w14:textId="77777777" w:rsidR="005024D5" w:rsidRPr="005024D5" w:rsidRDefault="005024D5" w:rsidP="005024D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</w:pPr>
    </w:p>
    <w:p w14:paraId="7A094CAC" w14:textId="77777777" w:rsidR="005024D5" w:rsidRPr="005024D5" w:rsidRDefault="005024D5" w:rsidP="005024D5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</w:pPr>
    </w:p>
    <w:p w14:paraId="51CF671B" w14:textId="77777777" w:rsidR="005024D5" w:rsidRPr="005024D5" w:rsidRDefault="005024D5" w:rsidP="005024D5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color w:val="auto"/>
          <w:sz w:val="24"/>
          <w:szCs w:val="20"/>
          <w:lang w:eastAsia="en-US"/>
        </w:rPr>
      </w:pPr>
      <w:r w:rsidRPr="005024D5">
        <w:rPr>
          <w:rFonts w:ascii="Arial" w:eastAsia="Times New Roman" w:hAnsi="Arial" w:cs="Arial"/>
          <w:b/>
          <w:bCs/>
          <w:color w:val="auto"/>
          <w:sz w:val="24"/>
          <w:szCs w:val="20"/>
          <w:lang w:eastAsia="en-US"/>
        </w:rPr>
        <w:t>1</w:t>
      </w:r>
      <w:r w:rsidRPr="005024D5">
        <w:rPr>
          <w:rFonts w:ascii="Arial" w:eastAsia="Times New Roman" w:hAnsi="Arial" w:cs="Arial"/>
          <w:b/>
          <w:bCs/>
          <w:color w:val="auto"/>
          <w:sz w:val="24"/>
          <w:szCs w:val="20"/>
          <w:lang w:eastAsia="en-US"/>
        </w:rPr>
        <w:tab/>
        <w:t>Name of instrument</w:t>
      </w:r>
    </w:p>
    <w:p w14:paraId="1CB36422" w14:textId="68964D6E" w:rsidR="005024D5" w:rsidRPr="005024D5" w:rsidRDefault="005024D5" w:rsidP="005024D5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</w:pPr>
      <w:r w:rsidRPr="005024D5"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t xml:space="preserve">This instrument is the </w:t>
      </w:r>
      <w:r w:rsidRPr="005024D5">
        <w:rPr>
          <w:rFonts w:ascii="Times New Roman" w:eastAsia="Times New Roman" w:hAnsi="Times New Roman" w:cs="Times New Roman"/>
          <w:i/>
          <w:color w:val="auto"/>
          <w:sz w:val="24"/>
          <w:szCs w:val="20"/>
          <w:lang w:eastAsia="en-US"/>
        </w:rPr>
        <w:t>Public Sector Management (Court Procedures) Delegation 2022 (No 1)</w:t>
      </w:r>
      <w:r w:rsidRPr="005024D5"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t>.</w:t>
      </w:r>
    </w:p>
    <w:p w14:paraId="2915205B" w14:textId="77777777" w:rsidR="005024D5" w:rsidRPr="005024D5" w:rsidRDefault="005024D5" w:rsidP="005024D5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color w:val="auto"/>
          <w:sz w:val="24"/>
          <w:szCs w:val="20"/>
          <w:lang w:eastAsia="en-US"/>
        </w:rPr>
      </w:pPr>
      <w:r w:rsidRPr="005024D5">
        <w:rPr>
          <w:rFonts w:ascii="Arial" w:eastAsia="Times New Roman" w:hAnsi="Arial" w:cs="Arial"/>
          <w:b/>
          <w:bCs/>
          <w:color w:val="auto"/>
          <w:sz w:val="24"/>
          <w:szCs w:val="20"/>
          <w:lang w:eastAsia="en-US"/>
        </w:rPr>
        <w:t>2</w:t>
      </w:r>
      <w:r w:rsidRPr="005024D5">
        <w:rPr>
          <w:rFonts w:ascii="Arial" w:eastAsia="Times New Roman" w:hAnsi="Arial" w:cs="Arial"/>
          <w:b/>
          <w:bCs/>
          <w:color w:val="auto"/>
          <w:sz w:val="24"/>
          <w:szCs w:val="20"/>
          <w:lang w:eastAsia="en-US"/>
        </w:rPr>
        <w:tab/>
        <w:t xml:space="preserve">Commencement </w:t>
      </w:r>
    </w:p>
    <w:p w14:paraId="2A86F8C9" w14:textId="77777777" w:rsidR="005024D5" w:rsidRPr="005024D5" w:rsidRDefault="005024D5" w:rsidP="005024D5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</w:pPr>
      <w:r w:rsidRPr="005024D5"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t>This instrument commences on the day after notification.</w:t>
      </w:r>
    </w:p>
    <w:p w14:paraId="1702F390" w14:textId="77777777" w:rsidR="005024D5" w:rsidRPr="005024D5" w:rsidRDefault="005024D5" w:rsidP="005024D5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color w:val="auto"/>
          <w:sz w:val="24"/>
          <w:szCs w:val="20"/>
          <w:lang w:eastAsia="en-US"/>
        </w:rPr>
      </w:pPr>
      <w:r w:rsidRPr="005024D5">
        <w:rPr>
          <w:rFonts w:ascii="Arial" w:eastAsia="Times New Roman" w:hAnsi="Arial" w:cs="Arial"/>
          <w:b/>
          <w:bCs/>
          <w:color w:val="auto"/>
          <w:sz w:val="24"/>
          <w:szCs w:val="20"/>
          <w:lang w:eastAsia="en-US"/>
        </w:rPr>
        <w:t>3</w:t>
      </w:r>
      <w:r w:rsidRPr="005024D5">
        <w:rPr>
          <w:rFonts w:ascii="Arial" w:eastAsia="Times New Roman" w:hAnsi="Arial" w:cs="Arial"/>
          <w:b/>
          <w:bCs/>
          <w:color w:val="auto"/>
          <w:sz w:val="24"/>
          <w:szCs w:val="20"/>
          <w:lang w:eastAsia="en-US"/>
        </w:rPr>
        <w:tab/>
        <w:t>Delegation</w:t>
      </w:r>
    </w:p>
    <w:p w14:paraId="6746AC28" w14:textId="77777777" w:rsidR="005024D5" w:rsidRPr="005024D5" w:rsidRDefault="005024D5" w:rsidP="005024D5">
      <w:pPr>
        <w:spacing w:before="140" w:after="0" w:line="240" w:lineRule="auto"/>
        <w:ind w:left="720" w:hanging="436"/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</w:pPr>
      <w:r w:rsidRPr="005024D5"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t>(1)</w:t>
      </w:r>
      <w:r w:rsidRPr="005024D5"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tab/>
        <w:t xml:space="preserve">I delegate my functions under the </w:t>
      </w:r>
      <w:r w:rsidRPr="005024D5">
        <w:rPr>
          <w:rFonts w:ascii="Times New Roman" w:eastAsia="Times New Roman" w:hAnsi="Times New Roman" w:cs="Times New Roman"/>
          <w:i/>
          <w:color w:val="auto"/>
          <w:sz w:val="24"/>
          <w:szCs w:val="20"/>
          <w:lang w:eastAsia="en-US"/>
        </w:rPr>
        <w:t>Court Procedures Act 2004</w:t>
      </w:r>
      <w:r w:rsidRPr="005024D5"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t xml:space="preserve"> mentioned in schedule 2, column 2 to the people identified by the corresponding code mentioned in column 1.</w:t>
      </w:r>
    </w:p>
    <w:p w14:paraId="1D477A5D" w14:textId="77777777" w:rsidR="005024D5" w:rsidRPr="005024D5" w:rsidRDefault="005024D5" w:rsidP="005024D5">
      <w:pPr>
        <w:spacing w:before="140" w:after="0" w:line="240" w:lineRule="auto"/>
        <w:ind w:left="720" w:hanging="436"/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</w:pPr>
      <w:r w:rsidRPr="005024D5"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t>(2)</w:t>
      </w:r>
      <w:r w:rsidRPr="005024D5"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tab/>
        <w:t>A person identified by a code in schedule 2, column 1 is the person occupying the position mentioned in schedule 1, column 2 in relation to the code.</w:t>
      </w:r>
    </w:p>
    <w:p w14:paraId="5A2DF09D" w14:textId="77777777" w:rsidR="005024D5" w:rsidRPr="005024D5" w:rsidRDefault="005024D5" w:rsidP="005024D5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color w:val="auto"/>
          <w:sz w:val="24"/>
          <w:szCs w:val="20"/>
          <w:lang w:eastAsia="en-US"/>
        </w:rPr>
      </w:pPr>
      <w:r w:rsidRPr="005024D5">
        <w:rPr>
          <w:rFonts w:ascii="Arial" w:eastAsia="Times New Roman" w:hAnsi="Arial" w:cs="Arial"/>
          <w:b/>
          <w:bCs/>
          <w:color w:val="auto"/>
          <w:sz w:val="24"/>
          <w:szCs w:val="20"/>
          <w:lang w:eastAsia="en-US"/>
        </w:rPr>
        <w:t>4</w:t>
      </w:r>
      <w:r w:rsidRPr="005024D5">
        <w:rPr>
          <w:rFonts w:ascii="Arial" w:eastAsia="Times New Roman" w:hAnsi="Arial" w:cs="Arial"/>
          <w:b/>
          <w:bCs/>
          <w:color w:val="auto"/>
          <w:sz w:val="24"/>
          <w:szCs w:val="20"/>
          <w:lang w:eastAsia="en-US"/>
        </w:rPr>
        <w:tab/>
        <w:t>Revocation</w:t>
      </w:r>
    </w:p>
    <w:bookmarkEnd w:id="0"/>
    <w:p w14:paraId="2F74A508" w14:textId="77777777" w:rsidR="005024D5" w:rsidRPr="005024D5" w:rsidRDefault="005024D5" w:rsidP="005024D5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</w:pPr>
      <w:r w:rsidRPr="005024D5"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t xml:space="preserve">This instrument revokes </w:t>
      </w:r>
      <w:r w:rsidRPr="005024D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NI2019-626.</w:t>
      </w:r>
    </w:p>
    <w:p w14:paraId="28EBF043" w14:textId="77777777" w:rsidR="005024D5" w:rsidRPr="005024D5" w:rsidRDefault="005024D5" w:rsidP="005024D5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</w:pPr>
    </w:p>
    <w:p w14:paraId="7E6CF155" w14:textId="77777777" w:rsidR="005024D5" w:rsidRPr="005024D5" w:rsidRDefault="005024D5" w:rsidP="005024D5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</w:pPr>
    </w:p>
    <w:p w14:paraId="34735685" w14:textId="77777777" w:rsidR="005024D5" w:rsidRPr="005024D5" w:rsidRDefault="005024D5" w:rsidP="005024D5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</w:pPr>
    </w:p>
    <w:p w14:paraId="47CB03E8" w14:textId="5B59639B" w:rsidR="005024D5" w:rsidRPr="005024D5" w:rsidRDefault="005024D5" w:rsidP="005024D5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t>Jo Wood</w:t>
      </w:r>
    </w:p>
    <w:p w14:paraId="5261C215" w14:textId="35E1CFF8" w:rsidR="005024D5" w:rsidRPr="005024D5" w:rsidRDefault="005024D5" w:rsidP="005024D5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t xml:space="preserve">A/g </w:t>
      </w:r>
      <w:r w:rsidRPr="005024D5"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t>Director General</w:t>
      </w:r>
    </w:p>
    <w:p w14:paraId="0B5F8190" w14:textId="77777777" w:rsidR="005024D5" w:rsidRPr="005024D5" w:rsidRDefault="005024D5" w:rsidP="005024D5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</w:pPr>
      <w:r w:rsidRPr="005024D5"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t>Community Services Directorate</w:t>
      </w:r>
    </w:p>
    <w:p w14:paraId="69FA344C" w14:textId="5EFD5435" w:rsidR="005024D5" w:rsidRPr="005024D5" w:rsidRDefault="005024D5" w:rsidP="005024D5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t>5</w:t>
      </w:r>
      <w:r w:rsidRPr="005024D5"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t xml:space="preserve"> October 2022</w:t>
      </w:r>
    </w:p>
    <w:p w14:paraId="2EDF3CE0" w14:textId="77777777" w:rsidR="005024D5" w:rsidRDefault="005024D5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292291E5" w14:textId="542BC988" w:rsidR="005024D5" w:rsidRDefault="005024D5">
      <w:pPr>
        <w:spacing w:after="0"/>
        <w:rPr>
          <w:rFonts w:ascii="Times New Roman" w:eastAsia="Times New Roman" w:hAnsi="Times New Roman" w:cs="Times New Roman"/>
          <w:sz w:val="24"/>
        </w:rPr>
        <w:sectPr w:rsidR="005024D5" w:rsidSect="008546F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8" w:h="16840"/>
          <w:pgMar w:top="1440" w:right="1797" w:bottom="1134" w:left="1797" w:header="720" w:footer="720" w:gutter="0"/>
          <w:cols w:space="720"/>
          <w:titlePg/>
          <w:docGrid w:linePitch="299"/>
        </w:sectPr>
      </w:pPr>
    </w:p>
    <w:p w14:paraId="4BD1F7E8" w14:textId="77777777" w:rsidR="006D461D" w:rsidRPr="006D461D" w:rsidRDefault="006D461D" w:rsidP="006D461D">
      <w:pPr>
        <w:spacing w:after="0" w:line="240" w:lineRule="auto"/>
        <w:jc w:val="center"/>
        <w:outlineLvl w:val="0"/>
        <w:rPr>
          <w:rFonts w:eastAsia="Times New Roman" w:cs="Arial"/>
          <w:b/>
          <w:color w:val="auto"/>
          <w:sz w:val="28"/>
          <w:szCs w:val="28"/>
          <w:lang w:eastAsia="en-US"/>
        </w:rPr>
      </w:pPr>
      <w:r w:rsidRPr="006D461D">
        <w:rPr>
          <w:rFonts w:eastAsia="Times New Roman" w:cs="Arial"/>
          <w:b/>
          <w:color w:val="auto"/>
          <w:sz w:val="28"/>
          <w:szCs w:val="28"/>
          <w:lang w:eastAsia="en-US"/>
        </w:rPr>
        <w:lastRenderedPageBreak/>
        <w:t>Schedule 1</w:t>
      </w:r>
    </w:p>
    <w:p w14:paraId="51204EEE" w14:textId="77777777" w:rsidR="006D461D" w:rsidRPr="006D461D" w:rsidRDefault="006D461D" w:rsidP="006D461D">
      <w:pPr>
        <w:spacing w:after="0" w:line="240" w:lineRule="auto"/>
        <w:jc w:val="center"/>
        <w:outlineLvl w:val="0"/>
        <w:rPr>
          <w:rFonts w:eastAsia="Times New Roman" w:cs="Arial"/>
          <w:b/>
          <w:bCs/>
          <w:color w:val="auto"/>
          <w:sz w:val="24"/>
          <w:szCs w:val="24"/>
          <w:lang w:eastAsia="en-US"/>
        </w:rPr>
      </w:pPr>
      <w:r w:rsidRPr="006D461D">
        <w:rPr>
          <w:rFonts w:eastAsia="Times New Roman" w:cs="Arial"/>
          <w:b/>
          <w:color w:val="auto"/>
          <w:sz w:val="24"/>
          <w:szCs w:val="24"/>
          <w:lang w:eastAsia="en-US"/>
        </w:rPr>
        <w:t>TABLE OF DELEGATIONS</w:t>
      </w:r>
    </w:p>
    <w:p w14:paraId="5F80DD85" w14:textId="554285E6" w:rsidR="006D461D" w:rsidRDefault="006D461D" w:rsidP="006D46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eastAsia="Times New Roman" w:cs="Arial"/>
          <w:b/>
          <w:bCs/>
          <w:color w:val="auto"/>
          <w:sz w:val="24"/>
          <w:szCs w:val="24"/>
          <w:lang w:eastAsia="en-US"/>
        </w:rPr>
      </w:pPr>
      <w:r w:rsidRPr="006D461D">
        <w:rPr>
          <w:rFonts w:eastAsia="Times New Roman" w:cs="Arial"/>
          <w:b/>
          <w:bCs/>
          <w:color w:val="auto"/>
          <w:sz w:val="24"/>
          <w:szCs w:val="24"/>
          <w:lang w:eastAsia="en-US"/>
        </w:rPr>
        <w:t>Child and Youth Protection Services (CYPS)</w:t>
      </w:r>
    </w:p>
    <w:tbl>
      <w:tblPr>
        <w:tblW w:w="8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6912"/>
      </w:tblGrid>
      <w:tr w:rsidR="009C7F73" w:rsidRPr="009C7F73" w14:paraId="63CE5747" w14:textId="77777777" w:rsidTr="009C7F73">
        <w:trPr>
          <w:trHeight w:val="312"/>
          <w:tblHeader/>
          <w:jc w:val="center"/>
        </w:trPr>
        <w:tc>
          <w:tcPr>
            <w:tcW w:w="1288" w:type="dxa"/>
            <w:shd w:val="clear" w:color="auto" w:fill="BFBFBF"/>
          </w:tcPr>
          <w:p w14:paraId="4F1BCD57" w14:textId="77777777" w:rsidR="009C7F73" w:rsidRPr="009C7F73" w:rsidRDefault="009C7F73" w:rsidP="009C7F73">
            <w:pPr>
              <w:spacing w:after="0" w:line="240" w:lineRule="auto"/>
              <w:ind w:left="-93"/>
              <w:jc w:val="center"/>
              <w:rPr>
                <w:rFonts w:eastAsia="Times New Roman" w:cs="Arial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9C7F73">
              <w:rPr>
                <w:rFonts w:eastAsia="Times New Roman" w:cs="Arial"/>
                <w:b/>
                <w:bCs/>
                <w:color w:val="auto"/>
                <w:sz w:val="24"/>
                <w:szCs w:val="24"/>
                <w:lang w:eastAsia="en-US"/>
              </w:rPr>
              <w:t>Column 1</w:t>
            </w:r>
          </w:p>
        </w:tc>
        <w:tc>
          <w:tcPr>
            <w:tcW w:w="6912" w:type="dxa"/>
            <w:shd w:val="clear" w:color="auto" w:fill="BFBFBF"/>
          </w:tcPr>
          <w:p w14:paraId="78A16C8D" w14:textId="77777777" w:rsidR="009C7F73" w:rsidRPr="009C7F73" w:rsidRDefault="009C7F73" w:rsidP="009C7F73">
            <w:pPr>
              <w:spacing w:after="0" w:line="240" w:lineRule="auto"/>
              <w:jc w:val="center"/>
              <w:rPr>
                <w:rFonts w:eastAsia="Times New Roman" w:cs="Arial (W1)"/>
                <w:b/>
                <w:color w:val="auto"/>
                <w:sz w:val="24"/>
                <w:szCs w:val="24"/>
                <w:lang w:val="en-US"/>
              </w:rPr>
            </w:pPr>
            <w:r w:rsidRPr="009C7F73">
              <w:rPr>
                <w:rFonts w:eastAsia="Times New Roman" w:cs="Arial (W1)"/>
                <w:b/>
                <w:color w:val="auto"/>
                <w:sz w:val="24"/>
                <w:szCs w:val="24"/>
                <w:lang w:val="en-US"/>
              </w:rPr>
              <w:t>Column 2</w:t>
            </w:r>
          </w:p>
        </w:tc>
      </w:tr>
      <w:tr w:rsidR="009C7F73" w:rsidRPr="009C7F73" w14:paraId="7EDDEFFD" w14:textId="77777777" w:rsidTr="009C7F73">
        <w:trPr>
          <w:trHeight w:val="312"/>
          <w:tblHeader/>
          <w:jc w:val="center"/>
        </w:trPr>
        <w:tc>
          <w:tcPr>
            <w:tcW w:w="1288" w:type="dxa"/>
            <w:shd w:val="clear" w:color="auto" w:fill="D9D9D9"/>
            <w:hideMark/>
          </w:tcPr>
          <w:p w14:paraId="7DF73AF2" w14:textId="77777777" w:rsidR="009C7F73" w:rsidRPr="009C7F73" w:rsidRDefault="009C7F73" w:rsidP="009C7F73">
            <w:pPr>
              <w:spacing w:after="0" w:line="240" w:lineRule="auto"/>
              <w:ind w:left="-93"/>
              <w:jc w:val="center"/>
              <w:rPr>
                <w:rFonts w:eastAsia="Times New Roman" w:cs="Arial (W1)"/>
                <w:b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Arial"/>
                <w:b/>
                <w:bCs/>
                <w:color w:val="auto"/>
                <w:sz w:val="24"/>
                <w:szCs w:val="24"/>
                <w:lang w:eastAsia="en-US"/>
              </w:rPr>
              <w:br w:type="page"/>
            </w:r>
            <w:r w:rsidRPr="009C7F73">
              <w:rPr>
                <w:rFonts w:eastAsia="Times New Roman" w:cs="Arial (W1)"/>
                <w:b/>
                <w:color w:val="auto"/>
                <w:sz w:val="24"/>
                <w:szCs w:val="24"/>
              </w:rPr>
              <w:t>Code</w:t>
            </w:r>
          </w:p>
        </w:tc>
        <w:tc>
          <w:tcPr>
            <w:tcW w:w="6912" w:type="dxa"/>
            <w:shd w:val="clear" w:color="auto" w:fill="D9D9D9"/>
            <w:hideMark/>
          </w:tcPr>
          <w:p w14:paraId="109D554C" w14:textId="77777777" w:rsidR="009C7F73" w:rsidRPr="009C7F73" w:rsidRDefault="009C7F73" w:rsidP="009C7F73">
            <w:pPr>
              <w:spacing w:after="0" w:line="240" w:lineRule="auto"/>
              <w:jc w:val="center"/>
              <w:rPr>
                <w:rFonts w:eastAsia="Times New Roman" w:cs="Arial (W1)"/>
                <w:b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Arial (W1)"/>
                <w:b/>
                <w:color w:val="auto"/>
                <w:sz w:val="24"/>
                <w:szCs w:val="24"/>
                <w:lang w:val="en-US"/>
              </w:rPr>
              <w:t>Positions</w:t>
            </w:r>
          </w:p>
        </w:tc>
      </w:tr>
      <w:tr w:rsidR="009C7F73" w:rsidRPr="009C7F73" w14:paraId="584A2DDF" w14:textId="77777777" w:rsidTr="00DA3BE1">
        <w:trPr>
          <w:trHeight w:val="312"/>
          <w:jc w:val="center"/>
        </w:trPr>
        <w:tc>
          <w:tcPr>
            <w:tcW w:w="1288" w:type="dxa"/>
            <w:vMerge w:val="restart"/>
            <w:shd w:val="clear" w:color="auto" w:fill="auto"/>
          </w:tcPr>
          <w:p w14:paraId="234CC3A2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A</w:t>
            </w:r>
          </w:p>
        </w:tc>
        <w:tc>
          <w:tcPr>
            <w:tcW w:w="6912" w:type="dxa"/>
            <w:shd w:val="clear" w:color="auto" w:fill="D9D9D9"/>
          </w:tcPr>
          <w:p w14:paraId="52F9E81B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  <w:t>Deputy Director-General</w:t>
            </w:r>
          </w:p>
        </w:tc>
      </w:tr>
      <w:tr w:rsidR="009C7F73" w:rsidRPr="009C7F73" w14:paraId="7500C073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30CEAA97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03732FE3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  <w:t>Executive Group Manager, Children, Youth and Families</w:t>
            </w:r>
          </w:p>
        </w:tc>
      </w:tr>
      <w:tr w:rsidR="009C7F73" w:rsidRPr="009C7F73" w14:paraId="00AA5DAA" w14:textId="77777777" w:rsidTr="00DA3BE1">
        <w:trPr>
          <w:trHeight w:val="251"/>
          <w:jc w:val="center"/>
        </w:trPr>
        <w:tc>
          <w:tcPr>
            <w:tcW w:w="1288" w:type="dxa"/>
            <w:vMerge/>
            <w:vAlign w:val="center"/>
            <w:hideMark/>
          </w:tcPr>
          <w:p w14:paraId="38E3E354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1994E88E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  <w:t>Executive Group Manager (Deputy), Children, Youth and Families</w:t>
            </w:r>
          </w:p>
        </w:tc>
      </w:tr>
      <w:tr w:rsidR="009C7F73" w:rsidRPr="009C7F73" w14:paraId="76E84E65" w14:textId="77777777" w:rsidTr="00DA3BE1">
        <w:trPr>
          <w:trHeight w:val="312"/>
          <w:jc w:val="center"/>
        </w:trPr>
        <w:tc>
          <w:tcPr>
            <w:tcW w:w="1288" w:type="dxa"/>
            <w:vMerge w:val="restart"/>
            <w:shd w:val="clear" w:color="auto" w:fill="auto"/>
            <w:hideMark/>
          </w:tcPr>
          <w:p w14:paraId="22D80093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B</w:t>
            </w:r>
          </w:p>
        </w:tc>
        <w:tc>
          <w:tcPr>
            <w:tcW w:w="6912" w:type="dxa"/>
            <w:shd w:val="clear" w:color="auto" w:fill="D9D9D9"/>
            <w:hideMark/>
          </w:tcPr>
          <w:p w14:paraId="539ADB9F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Executive Branch Manager, Child and Youth Protection Services</w:t>
            </w:r>
          </w:p>
        </w:tc>
      </w:tr>
      <w:tr w:rsidR="009C7F73" w:rsidRPr="009C7F73" w14:paraId="49721774" w14:textId="77777777" w:rsidTr="00DA3BE1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  <w:hideMark/>
          </w:tcPr>
          <w:p w14:paraId="491462F1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2E2480E8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Executive Branch Manager, Bimberi Residential Services</w:t>
            </w:r>
          </w:p>
        </w:tc>
      </w:tr>
      <w:tr w:rsidR="009C7F73" w:rsidRPr="009C7F73" w14:paraId="0EF5282A" w14:textId="77777777" w:rsidTr="00DA3BE1">
        <w:trPr>
          <w:trHeight w:val="312"/>
          <w:jc w:val="center"/>
        </w:trPr>
        <w:tc>
          <w:tcPr>
            <w:tcW w:w="1288" w:type="dxa"/>
            <w:vMerge w:val="restart"/>
            <w:shd w:val="clear" w:color="auto" w:fill="auto"/>
            <w:hideMark/>
          </w:tcPr>
          <w:p w14:paraId="38FA8872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C</w:t>
            </w:r>
          </w:p>
        </w:tc>
        <w:tc>
          <w:tcPr>
            <w:tcW w:w="6912" w:type="dxa"/>
            <w:shd w:val="clear" w:color="auto" w:fill="D9D9D9"/>
            <w:hideMark/>
          </w:tcPr>
          <w:p w14:paraId="7E5145F1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Deputy Centre Manager, Bimberi Residential Services</w:t>
            </w:r>
          </w:p>
        </w:tc>
      </w:tr>
      <w:tr w:rsidR="009C7F73" w:rsidRPr="009C7F73" w14:paraId="0E9BC592" w14:textId="77777777" w:rsidTr="00DA3BE1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6E127F3D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56A838E6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  <w:t xml:space="preserve">Senior Director, Practice </w:t>
            </w:r>
          </w:p>
        </w:tc>
      </w:tr>
      <w:tr w:rsidR="009C7F73" w:rsidRPr="009C7F73" w14:paraId="6DE33ECF" w14:textId="77777777" w:rsidTr="00DA3BE1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08F728BE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0CE2A511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  <w:t>Senior Director, Performance</w:t>
            </w:r>
          </w:p>
        </w:tc>
      </w:tr>
      <w:tr w:rsidR="009C7F73" w:rsidRPr="009C7F73" w14:paraId="569EBD0E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41ED8FE6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51B63868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  <w:t>Senior Director, Legal Services</w:t>
            </w:r>
          </w:p>
        </w:tc>
      </w:tr>
      <w:tr w:rsidR="009C7F73" w:rsidRPr="009C7F73" w14:paraId="3E402D1E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22C7A2AC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5FB85921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  <w:t>Senior Director, North/South</w:t>
            </w:r>
          </w:p>
        </w:tc>
      </w:tr>
      <w:tr w:rsidR="009C7F73" w:rsidRPr="009C7F73" w14:paraId="42B2E0FF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3F0FA17A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55B2AD65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Senior Director, CYRIS Business System</w:t>
            </w:r>
          </w:p>
        </w:tc>
      </w:tr>
      <w:tr w:rsidR="009C7F73" w:rsidRPr="009C7F73" w14:paraId="32319648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636E604A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1C70E5EE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Senior Director, Cultural Services</w:t>
            </w:r>
          </w:p>
        </w:tc>
      </w:tr>
      <w:tr w:rsidR="009C7F73" w:rsidRPr="009C7F73" w14:paraId="5BD73A28" w14:textId="77777777" w:rsidTr="00DA3BE1">
        <w:trPr>
          <w:trHeight w:val="312"/>
          <w:jc w:val="center"/>
        </w:trPr>
        <w:tc>
          <w:tcPr>
            <w:tcW w:w="1288" w:type="dxa"/>
            <w:vMerge w:val="restart"/>
            <w:shd w:val="clear" w:color="auto" w:fill="auto"/>
            <w:hideMark/>
          </w:tcPr>
          <w:p w14:paraId="335F1230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D</w:t>
            </w:r>
          </w:p>
        </w:tc>
        <w:tc>
          <w:tcPr>
            <w:tcW w:w="6912" w:type="dxa"/>
            <w:shd w:val="clear" w:color="auto" w:fill="D9D9D9"/>
            <w:hideMark/>
          </w:tcPr>
          <w:p w14:paraId="61498098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Operations Manager Intake/North/South/CMT </w:t>
            </w:r>
          </w:p>
        </w:tc>
      </w:tr>
      <w:tr w:rsidR="009C7F73" w:rsidRPr="009C7F73" w14:paraId="776E8CD1" w14:textId="77777777" w:rsidTr="00DA3BE1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6ADF02CB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087B2607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Director, Practice</w:t>
            </w:r>
          </w:p>
        </w:tc>
      </w:tr>
      <w:tr w:rsidR="009C7F73" w:rsidRPr="009C7F73" w14:paraId="1FA9A632" w14:textId="77777777" w:rsidTr="00DA3BE1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671D298E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64D021B2" w14:textId="77777777" w:rsidR="009C7F73" w:rsidRPr="009C7F73" w:rsidDel="008164B9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Director, Practice Development</w:t>
            </w:r>
          </w:p>
        </w:tc>
      </w:tr>
      <w:tr w:rsidR="009C7F73" w:rsidRPr="009C7F73" w14:paraId="4991A300" w14:textId="77777777" w:rsidTr="00DA3BE1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4A59A1A8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6B9B8D89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Director, Performance </w:t>
            </w:r>
          </w:p>
        </w:tc>
      </w:tr>
      <w:tr w:rsidR="009C7F73" w:rsidRPr="009C7F73" w14:paraId="250CA166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732715EE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3D8150FC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Director, Relationships Management</w:t>
            </w:r>
          </w:p>
        </w:tc>
      </w:tr>
      <w:tr w:rsidR="009C7F73" w:rsidRPr="009C7F73" w14:paraId="73C8D62A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70989554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28A5981A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Director, Placement</w:t>
            </w:r>
          </w:p>
        </w:tc>
      </w:tr>
      <w:tr w:rsidR="009C7F73" w:rsidRPr="009C7F73" w14:paraId="25B39E7B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7ACCF65A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2413C685" w14:textId="77777777" w:rsidR="009C7F73" w:rsidRPr="009C7F73" w:rsidRDefault="009C7F73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Director, Assessment and Support</w:t>
            </w:r>
          </w:p>
        </w:tc>
      </w:tr>
      <w:tr w:rsidR="004D7F00" w:rsidRPr="009C7F73" w14:paraId="69C40A61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76D39711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2E5764D5" w14:textId="236957BC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Principal Therapist, Therapeutic Services</w:t>
            </w:r>
          </w:p>
        </w:tc>
      </w:tr>
      <w:tr w:rsidR="004D7F00" w:rsidRPr="009C7F73" w14:paraId="76D7718B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20CF24A0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45BCCB7E" w14:textId="09B9C551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Principal Practitioner, Cultural Services</w:t>
            </w:r>
          </w:p>
        </w:tc>
      </w:tr>
      <w:tr w:rsidR="004D7F00" w:rsidRPr="009C7F73" w14:paraId="5C854000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422BDA5B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2764AE73" w14:textId="6679C3C5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Senior Legal Officer</w:t>
            </w:r>
          </w:p>
        </w:tc>
      </w:tr>
      <w:tr w:rsidR="004D7F00" w:rsidRPr="009C7F73" w14:paraId="03E09669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7EF5321D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1F9074E1" w14:textId="1EB57CB8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Legal Officer</w:t>
            </w:r>
          </w:p>
        </w:tc>
      </w:tr>
      <w:tr w:rsidR="004D7F00" w:rsidRPr="009C7F73" w14:paraId="34661324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59F6F63C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72514F8F" w14:textId="11063B82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Court Officer </w:t>
            </w:r>
          </w:p>
        </w:tc>
      </w:tr>
      <w:tr w:rsidR="004D7F00" w:rsidRPr="009C7F73" w14:paraId="6478C371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4AF91F06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522805F1" w14:textId="377F06D1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Principal Practitioner, North/South</w:t>
            </w:r>
          </w:p>
        </w:tc>
      </w:tr>
      <w:tr w:rsidR="004D7F00" w:rsidRPr="009C7F73" w14:paraId="29D6982C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07EEBE8A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6D106A9A" w14:textId="5A4082B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Operations Manager, Bimberi Residential Services</w:t>
            </w:r>
          </w:p>
        </w:tc>
      </w:tr>
      <w:tr w:rsidR="004D7F00" w:rsidRPr="009C7F73" w14:paraId="0B97239A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28989E23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01F76981" w14:textId="6D6B3F35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Programs and Services Manager, Bimberi Residential Services</w:t>
            </w:r>
          </w:p>
        </w:tc>
      </w:tr>
      <w:tr w:rsidR="004D7F00" w:rsidRPr="009C7F73" w14:paraId="74F37839" w14:textId="77777777" w:rsidTr="00DA3BE1">
        <w:trPr>
          <w:trHeight w:val="70"/>
          <w:jc w:val="center"/>
        </w:trPr>
        <w:tc>
          <w:tcPr>
            <w:tcW w:w="1288" w:type="dxa"/>
            <w:vMerge/>
            <w:vAlign w:val="center"/>
            <w:hideMark/>
          </w:tcPr>
          <w:p w14:paraId="403D8518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1327B265" w14:textId="25D29745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Intelligence and Classifications Officer, Bimberi Residential Services</w:t>
            </w:r>
          </w:p>
        </w:tc>
      </w:tr>
      <w:tr w:rsidR="004D7F00" w:rsidRPr="009C7F73" w14:paraId="24E81EF3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3B581101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3C91153A" w14:textId="34EF1EBA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Manager, Bimberi Community Residential Services</w:t>
            </w:r>
          </w:p>
        </w:tc>
      </w:tr>
      <w:tr w:rsidR="004D7F00" w:rsidRPr="009C7F73" w14:paraId="537CEC12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77F811B0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02CB7CBC" w14:textId="45971D9A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Principal </w:t>
            </w:r>
            <w:r w:rsidRPr="004D7F00">
              <w:rPr>
                <w:rFonts w:eastAsia="Times New Roman" w:cs="Times New Roman"/>
                <w:color w:val="auto"/>
                <w:sz w:val="24"/>
                <w:szCs w:val="24"/>
              </w:rPr>
              <w:t>Practitioner, Bimberi Residential Services</w:t>
            </w:r>
          </w:p>
        </w:tc>
      </w:tr>
      <w:tr w:rsidR="004D7F00" w:rsidRPr="009C7F73" w14:paraId="3CA63F93" w14:textId="77777777" w:rsidTr="00DA3BE1">
        <w:trPr>
          <w:trHeight w:val="312"/>
          <w:jc w:val="center"/>
        </w:trPr>
        <w:tc>
          <w:tcPr>
            <w:tcW w:w="1288" w:type="dxa"/>
            <w:vMerge w:val="restart"/>
            <w:shd w:val="clear" w:color="auto" w:fill="auto"/>
            <w:hideMark/>
          </w:tcPr>
          <w:p w14:paraId="7A795C15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E</w:t>
            </w:r>
          </w:p>
        </w:tc>
        <w:tc>
          <w:tcPr>
            <w:tcW w:w="6912" w:type="dxa"/>
            <w:shd w:val="clear" w:color="auto" w:fill="D9D9D9"/>
            <w:hideMark/>
          </w:tcPr>
          <w:p w14:paraId="1CCE97E7" w14:textId="432012CA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Team Leader, Intake/South/North/CMT</w:t>
            </w:r>
          </w:p>
        </w:tc>
      </w:tr>
      <w:tr w:rsidR="004D7F00" w:rsidRPr="009C7F73" w14:paraId="77AA357A" w14:textId="77777777" w:rsidTr="00DA3BE1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50E1CF41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01D8DD30" w14:textId="2F088A6F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Team Leader, Operational Policy, Audit and Compliance </w:t>
            </w:r>
          </w:p>
        </w:tc>
      </w:tr>
      <w:tr w:rsidR="004D7F00" w:rsidRPr="009C7F73" w14:paraId="40CB0DF2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57D28E9E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43B6398F" w14:textId="03F32386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Team leader, Case Analysis</w:t>
            </w:r>
          </w:p>
        </w:tc>
      </w:tr>
      <w:tr w:rsidR="004D7F00" w:rsidRPr="009C7F73" w14:paraId="7563B9FA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48E2E570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4388E270" w14:textId="0BC4EF11" w:rsidR="004D7F00" w:rsidRPr="009C7F73" w:rsidDel="0004650D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Team Leader, Therapeutic Assessment and Planning </w:t>
            </w:r>
          </w:p>
        </w:tc>
      </w:tr>
      <w:tr w:rsidR="004D7F00" w:rsidRPr="009C7F73" w14:paraId="538BBB58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0DE29D1E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49B22D96" w14:textId="2946FDDF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Team Leader, Cultural Services </w:t>
            </w:r>
          </w:p>
        </w:tc>
      </w:tr>
      <w:tr w:rsidR="004D7F00" w:rsidRPr="009C7F73" w14:paraId="591F9C2D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329EEF5E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1651BF2B" w14:textId="6BD96A0A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Team Leader, Assessment and Support</w:t>
            </w:r>
          </w:p>
        </w:tc>
      </w:tr>
      <w:tr w:rsidR="004D7F00" w:rsidRPr="009C7F73" w14:paraId="029D626F" w14:textId="77777777" w:rsidTr="009C7F73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2CB75619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106EB834" w14:textId="5BCB914D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Practice Leader</w:t>
            </w:r>
          </w:p>
        </w:tc>
      </w:tr>
      <w:tr w:rsidR="004D7F00" w:rsidRPr="009C7F73" w14:paraId="7931E328" w14:textId="77777777" w:rsidTr="009C7F73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6AD5F0FF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2C8B5B14" w14:textId="1E622450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Relationship Coordinator</w:t>
            </w:r>
          </w:p>
        </w:tc>
      </w:tr>
      <w:tr w:rsidR="004D7F00" w:rsidRPr="009C7F73" w14:paraId="6A102EBE" w14:textId="77777777" w:rsidTr="009C7F73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09E46E05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1B5D6C4B" w14:textId="4C2BADA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Operational Compliance Officer</w:t>
            </w:r>
          </w:p>
        </w:tc>
      </w:tr>
      <w:tr w:rsidR="004D7F00" w:rsidRPr="009C7F73" w14:paraId="6CF618B0" w14:textId="77777777" w:rsidTr="009C7F73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09DE2364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2A006A2D" w14:textId="38DE4E1D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Senior Practitioner, Cultural Services</w:t>
            </w:r>
          </w:p>
        </w:tc>
      </w:tr>
      <w:tr w:rsidR="004D7F00" w:rsidRPr="009C7F73" w14:paraId="4F10BA39" w14:textId="77777777" w:rsidTr="009C7F73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381DF7B2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70B446E5" w14:textId="73555A29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Senior Practitioner, Melaleuca Place</w:t>
            </w:r>
          </w:p>
        </w:tc>
      </w:tr>
      <w:tr w:rsidR="004D7F00" w:rsidRPr="009C7F73" w14:paraId="6C42165C" w14:textId="77777777" w:rsidTr="009C7F73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4FC50070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53AE9976" w14:textId="7D9A270A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Executive Officer</w:t>
            </w:r>
          </w:p>
        </w:tc>
      </w:tr>
      <w:tr w:rsidR="004D7F00" w:rsidRPr="009C7F73" w14:paraId="4FA58443" w14:textId="77777777" w:rsidTr="009C7F73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3E60C71A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21C2F7B4" w14:textId="1A21DC75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Senior Operational Policy, Audit and Compliance Officer</w:t>
            </w:r>
          </w:p>
        </w:tc>
      </w:tr>
      <w:tr w:rsidR="004D7F00" w:rsidRPr="009C7F73" w14:paraId="03826FCA" w14:textId="77777777" w:rsidTr="009C7F73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1BCFF04F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1342C4BE" w14:textId="1C0B21AD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Independent Case Conferencing Chair</w:t>
            </w:r>
          </w:p>
        </w:tc>
      </w:tr>
      <w:tr w:rsidR="004D7F00" w:rsidRPr="009C7F73" w14:paraId="6D6D0776" w14:textId="77777777" w:rsidTr="009C7F73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3E0745CA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380D3312" w14:textId="0E68B16C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IMPACT Program/Prenatal Liaison Officer</w:t>
            </w:r>
          </w:p>
        </w:tc>
      </w:tr>
      <w:tr w:rsidR="004D7F00" w:rsidRPr="009C7F73" w14:paraId="29027421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0AC4367A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246A9C7F" w14:textId="6AC40BC0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Family Law Court Liaison Officer </w:t>
            </w:r>
          </w:p>
        </w:tc>
      </w:tr>
      <w:tr w:rsidR="004D7F00" w:rsidRPr="009C7F73" w14:paraId="6D5B3B87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5E2DCE1C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1E48E3E3" w14:textId="6D188AD1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Disability Liaison Officer</w:t>
            </w:r>
          </w:p>
        </w:tc>
      </w:tr>
      <w:tr w:rsidR="004D7F00" w:rsidRPr="009C7F73" w14:paraId="5C5ED01D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60078F7F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1D18D2E1" w14:textId="4833821E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C</w:t>
            </w:r>
            <w:r w:rsidRPr="009C7F73">
              <w:rPr>
                <w:rFonts w:eastAsia="Times New Roman" w:cs="Arial (W1)"/>
                <w:color w:val="auto"/>
                <w:sz w:val="24"/>
                <w:szCs w:val="24"/>
              </w:rPr>
              <w:t xml:space="preserve">YPS </w:t>
            </w: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Health Liaison Officer</w:t>
            </w:r>
          </w:p>
        </w:tc>
      </w:tr>
      <w:tr w:rsidR="004D7F00" w:rsidRPr="009C7F73" w14:paraId="31F33678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3C62C23A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33C1EECE" w14:textId="396CC8C6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Senior Practitioner, North/South/CMT</w:t>
            </w:r>
          </w:p>
        </w:tc>
      </w:tr>
      <w:tr w:rsidR="004D7F00" w:rsidRPr="009C7F73" w14:paraId="37FBE211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5A7D6711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17E7F056" w14:textId="63CE19E1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Assistant Director, Reportable Conduct  </w:t>
            </w:r>
          </w:p>
        </w:tc>
      </w:tr>
      <w:tr w:rsidR="004D7F00" w:rsidRPr="009C7F73" w14:paraId="3ECE3734" w14:textId="77777777" w:rsidTr="00DA3BE1">
        <w:trPr>
          <w:trHeight w:val="67"/>
          <w:jc w:val="center"/>
        </w:trPr>
        <w:tc>
          <w:tcPr>
            <w:tcW w:w="1288" w:type="dxa"/>
            <w:vMerge/>
            <w:vAlign w:val="center"/>
          </w:tcPr>
          <w:p w14:paraId="551C8350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41E6656F" w14:textId="142D2729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Assistant Director, Compliance</w:t>
            </w:r>
          </w:p>
        </w:tc>
      </w:tr>
      <w:tr w:rsidR="004D7F00" w:rsidRPr="009C7F73" w14:paraId="0F0CE898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0828A49B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1A3F7234" w14:textId="04619841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Unit Manager, Bimberi Residential Services</w:t>
            </w:r>
          </w:p>
        </w:tc>
      </w:tr>
      <w:tr w:rsidR="004D7F00" w:rsidRPr="009C7F73" w14:paraId="2E56260C" w14:textId="77777777" w:rsidTr="00DA3BE1">
        <w:trPr>
          <w:trHeight w:val="312"/>
          <w:jc w:val="center"/>
        </w:trPr>
        <w:tc>
          <w:tcPr>
            <w:tcW w:w="1288" w:type="dxa"/>
            <w:vMerge w:val="restart"/>
            <w:shd w:val="clear" w:color="auto" w:fill="auto"/>
            <w:hideMark/>
          </w:tcPr>
          <w:p w14:paraId="7D43CF6E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sz w:val="24"/>
                <w:szCs w:val="24"/>
              </w:rPr>
              <w:t>F</w:t>
            </w:r>
          </w:p>
        </w:tc>
        <w:tc>
          <w:tcPr>
            <w:tcW w:w="6912" w:type="dxa"/>
            <w:shd w:val="clear" w:color="auto" w:fill="D9D9D9"/>
            <w:hideMark/>
          </w:tcPr>
          <w:p w14:paraId="2D79A25A" w14:textId="2E3FD8BC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Social Worker </w:t>
            </w:r>
          </w:p>
        </w:tc>
      </w:tr>
      <w:tr w:rsidR="004D7F00" w:rsidRPr="009C7F73" w14:paraId="32F659E4" w14:textId="77777777" w:rsidTr="00DA3BE1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39FE5B8C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6E0AE4BF" w14:textId="2750FA9A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Psychologist </w:t>
            </w:r>
          </w:p>
        </w:tc>
      </w:tr>
      <w:tr w:rsidR="004D7F00" w:rsidRPr="009C7F73" w14:paraId="4D810000" w14:textId="77777777" w:rsidTr="00DA3BE1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2FE345E3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3CFCE8EF" w14:textId="742E5182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Interstate Liaison Officer</w:t>
            </w:r>
          </w:p>
        </w:tc>
      </w:tr>
      <w:tr w:rsidR="004D7F00" w:rsidRPr="009C7F73" w14:paraId="5C748D03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68E9DE68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6F0636E3" w14:textId="1D8541AE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Operational Policy, Audit and Compliance Officer</w:t>
            </w:r>
          </w:p>
        </w:tc>
      </w:tr>
      <w:tr w:rsidR="004D7F00" w:rsidRPr="009C7F73" w14:paraId="7DE14A45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7E529151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409DB97A" w14:textId="4B3A9AB3" w:rsidR="004D7F00" w:rsidRPr="009C7F73" w:rsidRDefault="004D7F00" w:rsidP="009C7F73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/>
                <w:color w:val="auto"/>
                <w:sz w:val="24"/>
                <w:szCs w:val="24"/>
              </w:rPr>
              <w:t xml:space="preserve">Policy Officer </w:t>
            </w:r>
          </w:p>
        </w:tc>
      </w:tr>
      <w:tr w:rsidR="004D7F00" w:rsidRPr="009C7F73" w14:paraId="6336D444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46EB27CF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46631C05" w14:textId="15FCE606" w:rsidR="004D7F00" w:rsidRPr="009C7F73" w:rsidRDefault="004D7F00" w:rsidP="009C7F73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/>
                <w:color w:val="auto"/>
                <w:sz w:val="24"/>
                <w:szCs w:val="24"/>
              </w:rPr>
              <w:t>Project Officer, IMS and Knowledge Portal</w:t>
            </w:r>
          </w:p>
        </w:tc>
      </w:tr>
      <w:tr w:rsidR="004D7F00" w:rsidRPr="009C7F73" w14:paraId="5D436F6B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497A167C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6BBD6E75" w14:textId="076D46BB" w:rsidR="004D7F00" w:rsidRPr="009C7F73" w:rsidRDefault="004D7F00" w:rsidP="009C7F73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/>
                <w:color w:val="auto"/>
                <w:sz w:val="24"/>
                <w:szCs w:val="24"/>
              </w:rPr>
              <w:t xml:space="preserve">Family Finding, Cultural Services Officer </w:t>
            </w:r>
          </w:p>
        </w:tc>
      </w:tr>
      <w:tr w:rsidR="004D7F00" w:rsidRPr="009C7F73" w14:paraId="1C219DD0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7F1651E1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1650282A" w14:textId="42D1768C" w:rsidR="004D7F00" w:rsidRPr="009C7F73" w:rsidRDefault="004D7F00" w:rsidP="009C7F73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/>
                <w:color w:val="auto"/>
                <w:sz w:val="24"/>
                <w:szCs w:val="24"/>
              </w:rPr>
              <w:t>Case Manager</w:t>
            </w:r>
          </w:p>
        </w:tc>
      </w:tr>
      <w:tr w:rsidR="004D7F00" w:rsidRPr="009C7F73" w14:paraId="68DC3BB9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50B00423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0B9B88D0" w14:textId="1DBD0E63" w:rsidR="004D7F00" w:rsidRPr="009C7F73" w:rsidRDefault="004D7F00" w:rsidP="009C7F73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/>
                <w:color w:val="auto"/>
                <w:sz w:val="24"/>
                <w:szCs w:val="24"/>
              </w:rPr>
              <w:t xml:space="preserve">Intake Officer </w:t>
            </w:r>
          </w:p>
        </w:tc>
      </w:tr>
      <w:tr w:rsidR="004D7F00" w:rsidRPr="009C7F73" w14:paraId="0D35202E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63EC0FD5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7228403C" w14:textId="6B00AF49" w:rsidR="004D7F00" w:rsidRPr="009C7F73" w:rsidRDefault="004D7F00" w:rsidP="009C7F73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/>
                <w:color w:val="auto"/>
                <w:sz w:val="24"/>
                <w:szCs w:val="24"/>
              </w:rPr>
              <w:t xml:space="preserve">Cultural Services Officer  </w:t>
            </w:r>
          </w:p>
        </w:tc>
      </w:tr>
      <w:tr w:rsidR="004D7F00" w:rsidRPr="009C7F73" w14:paraId="18492ACB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4A204B38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53F27A42" w14:textId="164E20EC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Family Finding, Cultural Services Officer </w:t>
            </w:r>
          </w:p>
        </w:tc>
      </w:tr>
      <w:tr w:rsidR="004D7F00" w:rsidRPr="009C7F73" w14:paraId="5C899BAD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49FB680A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4CD32D9C" w14:textId="30D141BA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Case Analysis Officer  </w:t>
            </w:r>
          </w:p>
        </w:tc>
      </w:tr>
      <w:tr w:rsidR="004D7F00" w:rsidRPr="009C7F73" w14:paraId="40929B43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26262C2B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21792BD0" w14:textId="541FB1E5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OneLink Liaison Officer</w:t>
            </w:r>
          </w:p>
        </w:tc>
      </w:tr>
      <w:tr w:rsidR="004D7F00" w:rsidRPr="009C7F73" w14:paraId="6C01B0DF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535B24DE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6AA23615" w14:textId="7D583A1E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Family Group Conference Facilitator </w:t>
            </w:r>
          </w:p>
        </w:tc>
      </w:tr>
      <w:tr w:rsidR="004D7F00" w:rsidRPr="009C7F73" w14:paraId="755B1354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17EB54C6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3A1FE9DA" w14:textId="5C0FC79C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Therapeutic Assessor</w:t>
            </w:r>
          </w:p>
        </w:tc>
      </w:tr>
      <w:tr w:rsidR="004D7F00" w:rsidRPr="009C7F73" w14:paraId="03E70836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42017421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4CD0DE25" w14:textId="3E8FEBA2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Team Leader, Bimberi Residential Services</w:t>
            </w:r>
          </w:p>
        </w:tc>
      </w:tr>
      <w:tr w:rsidR="004D7F00" w:rsidRPr="009C7F73" w14:paraId="0F9FDBB2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5132C021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23019AE4" w14:textId="2F86539A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Project Officer</w:t>
            </w:r>
          </w:p>
        </w:tc>
      </w:tr>
      <w:tr w:rsidR="004D7F00" w:rsidRPr="009C7F73" w14:paraId="4CA2DBF2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02BBFE5B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01198F80" w14:textId="345DDD9E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Reportable Conduct Officer</w:t>
            </w:r>
          </w:p>
        </w:tc>
      </w:tr>
      <w:tr w:rsidR="004D7F00" w:rsidRPr="009C7F73" w14:paraId="365A16F8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1EDCB777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14770DD3" w14:textId="2CCE0D89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Business Manager, Bimberi Residential Services</w:t>
            </w:r>
          </w:p>
        </w:tc>
      </w:tr>
      <w:tr w:rsidR="004D7F00" w:rsidRPr="009C7F73" w14:paraId="7FEDBB47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392FEE3A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7ED30181" w14:textId="6ADAC68A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Family Engagement Officer, Bimberi Residential Services</w:t>
            </w:r>
          </w:p>
        </w:tc>
      </w:tr>
      <w:tr w:rsidR="004D7F00" w:rsidRPr="009C7F73" w14:paraId="0B2C3A87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5E369817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6F758996" w14:textId="190F2D26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Paraprofessional</w:t>
            </w:r>
          </w:p>
        </w:tc>
      </w:tr>
      <w:tr w:rsidR="004D7F00" w:rsidRPr="009C7F73" w14:paraId="707EBFDD" w14:textId="77777777" w:rsidTr="00DA3BE1">
        <w:trPr>
          <w:trHeight w:val="312"/>
          <w:jc w:val="center"/>
        </w:trPr>
        <w:tc>
          <w:tcPr>
            <w:tcW w:w="1288" w:type="dxa"/>
            <w:vMerge w:val="restart"/>
            <w:shd w:val="clear" w:color="auto" w:fill="auto"/>
            <w:hideMark/>
          </w:tcPr>
          <w:p w14:paraId="3ACE0A69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sz w:val="24"/>
                <w:szCs w:val="24"/>
              </w:rPr>
              <w:t>G</w:t>
            </w:r>
          </w:p>
        </w:tc>
        <w:tc>
          <w:tcPr>
            <w:tcW w:w="6912" w:type="dxa"/>
            <w:shd w:val="clear" w:color="auto" w:fill="D9D9D9"/>
            <w:hideMark/>
          </w:tcPr>
          <w:p w14:paraId="0D722EEC" w14:textId="2171701D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Director, Operational Support</w:t>
            </w:r>
          </w:p>
        </w:tc>
      </w:tr>
      <w:tr w:rsidR="004D7F00" w:rsidRPr="009C7F73" w14:paraId="0A949BCA" w14:textId="77777777" w:rsidTr="00DA3BE1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499380F6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3AC74AFD" w14:textId="0B59FEA9" w:rsidR="004D7F00" w:rsidRPr="009C7F73" w:rsidDel="00DA44AE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Manager, Operational Support </w:t>
            </w:r>
          </w:p>
        </w:tc>
      </w:tr>
      <w:tr w:rsidR="004D7F00" w:rsidRPr="009C7F73" w14:paraId="132CCD63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022939A0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02946D2B" w14:textId="78C61C0B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Assistant Manager, Operational Support</w:t>
            </w:r>
          </w:p>
        </w:tc>
      </w:tr>
      <w:tr w:rsidR="004D7F00" w:rsidRPr="009C7F73" w14:paraId="5D88273D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38D0135F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2183EF83" w14:textId="1500CEC3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Executive Assistant</w:t>
            </w:r>
          </w:p>
        </w:tc>
      </w:tr>
      <w:tr w:rsidR="004D7F00" w:rsidRPr="009C7F73" w14:paraId="36DED9B4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4B564745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47F9026D" w14:textId="7B3B81C6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Team Leader, Operational Support</w:t>
            </w:r>
          </w:p>
        </w:tc>
      </w:tr>
      <w:tr w:rsidR="004D7F00" w:rsidRPr="009C7F73" w14:paraId="019D8036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1E529A85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61FEA8C5" w14:textId="3D9F9411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Operational Compliance Support Officer</w:t>
            </w:r>
          </w:p>
        </w:tc>
      </w:tr>
      <w:tr w:rsidR="004D7F00" w:rsidRPr="009C7F73" w14:paraId="356D3F40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124C47A6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13656F58" w14:textId="585E415B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Operational Support Officer, Melaleuca Place</w:t>
            </w:r>
          </w:p>
        </w:tc>
      </w:tr>
      <w:tr w:rsidR="004D7F00" w:rsidRPr="009C7F73" w14:paraId="2F53BBB8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3B2045E4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6026107F" w14:textId="5A6DB021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Case Aid</w:t>
            </w:r>
          </w:p>
        </w:tc>
      </w:tr>
      <w:tr w:rsidR="004D7F00" w:rsidRPr="009C7F73" w14:paraId="3BA9BFD8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3A5544AE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7438A1F2" w14:textId="616F9331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Practice Development Administration Officer</w:t>
            </w:r>
          </w:p>
        </w:tc>
      </w:tr>
      <w:tr w:rsidR="004D7F00" w:rsidRPr="009C7F73" w14:paraId="5792F1AB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7A318FEA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5A6B0B07" w14:textId="017D53BE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Operational Policy, Audit and Compliance Support Officer</w:t>
            </w:r>
          </w:p>
        </w:tc>
      </w:tr>
      <w:tr w:rsidR="004D7F00" w:rsidRPr="009C7F73" w14:paraId="13E9A7C5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3B4E1D11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3EBDD6E3" w14:textId="3172E7E5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Team Leader, Contract, Data and Reporting</w:t>
            </w:r>
          </w:p>
        </w:tc>
      </w:tr>
      <w:tr w:rsidR="004D7F00" w:rsidRPr="009C7F73" w14:paraId="30C02826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05D5FA3A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7CED2562" w14:textId="79416603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Contract, Data and Reporting Officer</w:t>
            </w:r>
          </w:p>
        </w:tc>
      </w:tr>
      <w:tr w:rsidR="004D7F00" w:rsidRPr="009C7F73" w14:paraId="46D5ED63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56D103E8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2B8FCDC6" w14:textId="0161124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Legal Services Administration Officer</w:t>
            </w:r>
          </w:p>
        </w:tc>
      </w:tr>
      <w:tr w:rsidR="004D7F00" w:rsidRPr="009C7F73" w14:paraId="229B6E68" w14:textId="77777777" w:rsidTr="00DA3BE1">
        <w:trPr>
          <w:trHeight w:val="105"/>
          <w:jc w:val="center"/>
        </w:trPr>
        <w:tc>
          <w:tcPr>
            <w:tcW w:w="1288" w:type="dxa"/>
            <w:vMerge/>
            <w:vAlign w:val="center"/>
            <w:hideMark/>
          </w:tcPr>
          <w:p w14:paraId="1800BB3F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6F1C0FEA" w14:textId="16CC07F1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Youth Workers, Bimberi Residential Services</w:t>
            </w:r>
          </w:p>
        </w:tc>
      </w:tr>
      <w:tr w:rsidR="004D7F00" w:rsidRPr="009C7F73" w14:paraId="4343D5A6" w14:textId="77777777" w:rsidTr="009C7F73">
        <w:trPr>
          <w:trHeight w:val="286"/>
          <w:jc w:val="center"/>
        </w:trPr>
        <w:tc>
          <w:tcPr>
            <w:tcW w:w="1288" w:type="dxa"/>
            <w:vMerge/>
            <w:vAlign w:val="center"/>
          </w:tcPr>
          <w:p w14:paraId="3FE762EC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2ACADB17" w14:textId="7BD444A9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Sports and Recreation Officer, Bimberi Residential Services</w:t>
            </w:r>
          </w:p>
        </w:tc>
      </w:tr>
      <w:tr w:rsidR="004D7F00" w:rsidRPr="009C7F73" w14:paraId="37E66493" w14:textId="77777777" w:rsidTr="009C7F73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1C682869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62E2F539" w14:textId="51372D3F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Business Support Officer, Bimberi Residential Services</w:t>
            </w:r>
          </w:p>
        </w:tc>
      </w:tr>
      <w:tr w:rsidR="004D7F00" w:rsidRPr="009C7F73" w14:paraId="048684B4" w14:textId="77777777" w:rsidTr="009C7F73">
        <w:trPr>
          <w:trHeight w:val="312"/>
          <w:jc w:val="center"/>
        </w:trPr>
        <w:tc>
          <w:tcPr>
            <w:tcW w:w="1288" w:type="dxa"/>
            <w:vMerge/>
            <w:hideMark/>
          </w:tcPr>
          <w:p w14:paraId="1CAD1F37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38934338" w14:textId="55C8BCBB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Operational Support Officer, Melaleuca Place</w:t>
            </w:r>
          </w:p>
        </w:tc>
      </w:tr>
      <w:tr w:rsidR="004D7F00" w:rsidRPr="009C7F73" w14:paraId="6582F0E8" w14:textId="77777777" w:rsidTr="009C7F73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379D9A33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343161D5" w14:textId="5DFAA04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Administrative Support Officer, Bimberi Residential Services</w:t>
            </w:r>
          </w:p>
        </w:tc>
      </w:tr>
      <w:tr w:rsidR="004D7F00" w:rsidRPr="009C7F73" w14:paraId="25C3A802" w14:textId="77777777" w:rsidTr="009C7F73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6B60EDE3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0093161B" w14:textId="23CC62E0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Arial (W1)"/>
                <w:color w:val="auto"/>
                <w:sz w:val="24"/>
                <w:szCs w:val="24"/>
                <w:lang w:eastAsia="en-US"/>
              </w:rPr>
              <w:t>Assistant Director, Aboriginal and Torres Strait Islander Training and Development Officer</w:t>
            </w:r>
          </w:p>
        </w:tc>
      </w:tr>
      <w:tr w:rsidR="004D7F00" w:rsidRPr="009C7F73" w14:paraId="471C38A0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5E110FEB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4F9CA2BE" w14:textId="79F4FFB0" w:rsidR="004D7F00" w:rsidRPr="009C7F73" w:rsidRDefault="004D7F00" w:rsidP="009C7F73">
            <w:pPr>
              <w:spacing w:after="0" w:line="240" w:lineRule="auto"/>
              <w:rPr>
                <w:rFonts w:eastAsia="Times New Roman" w:cs="Arial (W1)"/>
                <w:color w:val="auto"/>
                <w:sz w:val="24"/>
                <w:szCs w:val="24"/>
                <w:lang w:eastAsia="en-US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Administrative Support Officer</w:t>
            </w:r>
          </w:p>
        </w:tc>
      </w:tr>
      <w:tr w:rsidR="004D7F00" w:rsidRPr="009C7F73" w14:paraId="18BAF3C1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20B537A8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6324E03A" w14:textId="31F1DCD4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Assessment Coordinator</w:t>
            </w:r>
          </w:p>
        </w:tc>
      </w:tr>
      <w:tr w:rsidR="004D7F00" w:rsidRPr="009C7F73" w14:paraId="6891D213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5725EF0E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6550D1E9" w14:textId="02097DAD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Operational Support Officer</w:t>
            </w:r>
          </w:p>
        </w:tc>
      </w:tr>
      <w:tr w:rsidR="004D7F00" w:rsidRPr="009C7F73" w14:paraId="678EDB39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3D351B76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396B61AC" w14:textId="1349D38F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Reportable Conduct and Compliance Administration Officer</w:t>
            </w:r>
          </w:p>
        </w:tc>
      </w:tr>
      <w:tr w:rsidR="004D7F00" w:rsidRPr="009C7F73" w14:paraId="6BF0A09E" w14:textId="77777777" w:rsidTr="00DA3BE1">
        <w:trPr>
          <w:trHeight w:val="312"/>
          <w:jc w:val="center"/>
        </w:trPr>
        <w:tc>
          <w:tcPr>
            <w:tcW w:w="1288" w:type="dxa"/>
            <w:vMerge w:val="restart"/>
            <w:shd w:val="clear" w:color="auto" w:fill="auto"/>
          </w:tcPr>
          <w:p w14:paraId="6E7D0E71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C7F7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7F73">
              <w:rPr>
                <w:rFonts w:eastAsia="Times New Roman" w:cs="Times New Roman"/>
                <w:sz w:val="24"/>
                <w:szCs w:val="24"/>
              </w:rPr>
              <w:t>H</w:t>
            </w:r>
          </w:p>
        </w:tc>
        <w:tc>
          <w:tcPr>
            <w:tcW w:w="6912" w:type="dxa"/>
            <w:shd w:val="clear" w:color="auto" w:fill="D9D9D9"/>
          </w:tcPr>
          <w:p w14:paraId="4EA0051A" w14:textId="1D7F68BC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Assistant Director, CYRIS Governance and Business Process</w:t>
            </w:r>
          </w:p>
        </w:tc>
      </w:tr>
      <w:tr w:rsidR="004D7F00" w:rsidRPr="009C7F73" w14:paraId="09C0613C" w14:textId="77777777" w:rsidTr="00DA3BE1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094EB601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2BA8E75B" w14:textId="5ACBAA2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Assistant Director, CYRIS Release Quality </w:t>
            </w:r>
          </w:p>
        </w:tc>
      </w:tr>
      <w:tr w:rsidR="004D7F00" w:rsidRPr="009C7F73" w14:paraId="1D25110C" w14:textId="77777777" w:rsidTr="00DA3BE1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345EDFBD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36BA1E31" w14:textId="35467009" w:rsidR="004D7F00" w:rsidRPr="009C7F73" w:rsidRDefault="004D7F00" w:rsidP="009C7F73">
            <w:pPr>
              <w:tabs>
                <w:tab w:val="left" w:pos="1069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color w:val="auto"/>
                <w:sz w:val="24"/>
                <w:szCs w:val="24"/>
              </w:rPr>
              <w:t>Assistant Director, CYRIS Data Quality and Training </w:t>
            </w:r>
          </w:p>
        </w:tc>
      </w:tr>
      <w:tr w:rsidR="004D7F00" w:rsidRPr="009C7F73" w14:paraId="6C4F3FF5" w14:textId="77777777" w:rsidTr="00DA3BE1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  <w:hideMark/>
          </w:tcPr>
          <w:p w14:paraId="320BCBA2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098FCA44" w14:textId="6E428C6E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sz w:val="24"/>
                <w:szCs w:val="24"/>
              </w:rPr>
              <w:t>Facilities and Services Manager, Bimberi Residential Services</w:t>
            </w:r>
          </w:p>
        </w:tc>
      </w:tr>
      <w:tr w:rsidR="004D7F00" w:rsidRPr="009C7F73" w14:paraId="50BC698A" w14:textId="77777777" w:rsidTr="00DA3BE1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37558F1E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68604824" w14:textId="7A7CEFA4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sz w:val="24"/>
                <w:szCs w:val="24"/>
              </w:rPr>
              <w:t>Facilities and Services Officer, Bimberi Residential Services</w:t>
            </w:r>
          </w:p>
        </w:tc>
      </w:tr>
      <w:tr w:rsidR="004D7F00" w:rsidRPr="009C7F73" w14:paraId="6562CD49" w14:textId="77777777" w:rsidTr="009C7F73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6729B284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45B2548F" w14:textId="46E5A48B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sz w:val="24"/>
                <w:szCs w:val="24"/>
              </w:rPr>
              <w:t>Health and Safety Officer, Bimberi Residential Services</w:t>
            </w:r>
          </w:p>
        </w:tc>
      </w:tr>
      <w:tr w:rsidR="004D7F00" w:rsidRPr="009C7F73" w14:paraId="31C54A9A" w14:textId="77777777" w:rsidTr="009C7F73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1A6A5379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7C10F649" w14:textId="03F96C89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sz w:val="24"/>
                <w:szCs w:val="24"/>
              </w:rPr>
              <w:t>Training Officer, Bimberi Residential Services</w:t>
            </w:r>
          </w:p>
        </w:tc>
      </w:tr>
      <w:tr w:rsidR="004D7F00" w:rsidRPr="009C7F73" w14:paraId="4D9E1236" w14:textId="77777777" w:rsidTr="009C7F73">
        <w:trPr>
          <w:trHeight w:val="312"/>
          <w:jc w:val="center"/>
        </w:trPr>
        <w:tc>
          <w:tcPr>
            <w:tcW w:w="1288" w:type="dxa"/>
            <w:vMerge w:val="restart"/>
            <w:shd w:val="clear" w:color="auto" w:fill="auto"/>
          </w:tcPr>
          <w:p w14:paraId="78CBC7FD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9C7F73">
              <w:rPr>
                <w:rFonts w:eastAsia="Times New Roman" w:cs="Times New Roman"/>
                <w:bCs/>
                <w:sz w:val="24"/>
                <w:szCs w:val="24"/>
              </w:rPr>
              <w:t xml:space="preserve"> I</w:t>
            </w:r>
          </w:p>
        </w:tc>
        <w:tc>
          <w:tcPr>
            <w:tcW w:w="6912" w:type="dxa"/>
            <w:shd w:val="clear" w:color="auto" w:fill="D9D9D9"/>
          </w:tcPr>
          <w:p w14:paraId="3CC43124" w14:textId="3A20D8B8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9C7F73">
              <w:rPr>
                <w:rFonts w:eastAsia="Times New Roman" w:cs="Times New Roman"/>
                <w:bCs/>
                <w:sz w:val="24"/>
                <w:szCs w:val="24"/>
              </w:rPr>
              <w:t>CYRIS Business System Officer</w:t>
            </w:r>
          </w:p>
        </w:tc>
      </w:tr>
      <w:tr w:rsidR="004D7F00" w:rsidRPr="009C7F73" w14:paraId="3F4E6039" w14:textId="77777777" w:rsidTr="009C7F73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442D7D2E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20282634" w14:textId="0184FD41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9C7F73">
              <w:rPr>
                <w:rFonts w:eastAsia="Times New Roman" w:cs="Times New Roman"/>
                <w:bCs/>
                <w:sz w:val="24"/>
                <w:szCs w:val="24"/>
              </w:rPr>
              <w:t>CYRIS Project Officer</w:t>
            </w:r>
          </w:p>
        </w:tc>
      </w:tr>
      <w:tr w:rsidR="004D7F00" w:rsidRPr="009C7F73" w14:paraId="01D72F2C" w14:textId="77777777" w:rsidTr="009C7F73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3CCE418D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4FB585B4" w14:textId="69ACBBFA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9C7F73">
              <w:rPr>
                <w:rFonts w:eastAsia="Times New Roman" w:cs="Times New Roman"/>
                <w:bCs/>
                <w:sz w:val="24"/>
                <w:szCs w:val="24"/>
              </w:rPr>
              <w:t xml:space="preserve">Senior Technical Specialist </w:t>
            </w:r>
          </w:p>
        </w:tc>
      </w:tr>
      <w:tr w:rsidR="004D7F00" w:rsidRPr="009C7F73" w14:paraId="75D5DD5B" w14:textId="77777777" w:rsidTr="009C7F73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37396A3A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30ACF23D" w14:textId="794B58EF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sz w:val="24"/>
                <w:szCs w:val="24"/>
              </w:rPr>
              <w:t xml:space="preserve">CYRIS Project Officer </w:t>
            </w:r>
          </w:p>
        </w:tc>
      </w:tr>
      <w:tr w:rsidR="004D7F00" w:rsidRPr="009C7F73" w14:paraId="244646CF" w14:textId="77777777" w:rsidTr="009C7F73">
        <w:trPr>
          <w:trHeight w:val="312"/>
          <w:jc w:val="center"/>
        </w:trPr>
        <w:tc>
          <w:tcPr>
            <w:tcW w:w="1288" w:type="dxa"/>
            <w:vMerge w:val="restart"/>
            <w:shd w:val="clear" w:color="auto" w:fill="auto"/>
          </w:tcPr>
          <w:p w14:paraId="2899EC0A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sz w:val="24"/>
                <w:szCs w:val="24"/>
              </w:rPr>
              <w:t>J</w:t>
            </w:r>
          </w:p>
        </w:tc>
        <w:tc>
          <w:tcPr>
            <w:tcW w:w="6912" w:type="dxa"/>
            <w:shd w:val="clear" w:color="auto" w:fill="D9D9D9"/>
          </w:tcPr>
          <w:p w14:paraId="3400F867" w14:textId="3B9A29C6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sz w:val="24"/>
                <w:szCs w:val="24"/>
              </w:rPr>
              <w:t>Student</w:t>
            </w:r>
          </w:p>
        </w:tc>
      </w:tr>
      <w:tr w:rsidR="004D7F00" w:rsidRPr="009C7F73" w14:paraId="3CB41A50" w14:textId="77777777" w:rsidTr="009C7F73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3717404D" w14:textId="77777777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120AA04B" w14:textId="24417496" w:rsidR="004D7F00" w:rsidRPr="009C7F73" w:rsidRDefault="004D7F00" w:rsidP="009C7F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7F73">
              <w:rPr>
                <w:rFonts w:eastAsia="Times New Roman" w:cs="Times New Roman"/>
                <w:sz w:val="24"/>
                <w:szCs w:val="24"/>
              </w:rPr>
              <w:t>Graduate Administrative Assistant, Bimberi Residential Services</w:t>
            </w:r>
          </w:p>
        </w:tc>
      </w:tr>
    </w:tbl>
    <w:p w14:paraId="5BD87E3A" w14:textId="77777777" w:rsidR="003330CD" w:rsidRDefault="003330CD">
      <w:pPr>
        <w:spacing w:after="0"/>
        <w:rPr>
          <w:b/>
          <w:sz w:val="28"/>
        </w:rPr>
      </w:pPr>
    </w:p>
    <w:p w14:paraId="67CC4570" w14:textId="608EA839" w:rsidR="003330CD" w:rsidRDefault="003330CD">
      <w:pPr>
        <w:spacing w:after="0"/>
        <w:rPr>
          <w:b/>
          <w:sz w:val="28"/>
        </w:rPr>
      </w:pPr>
      <w:r>
        <w:rPr>
          <w:b/>
          <w:sz w:val="28"/>
        </w:rPr>
        <w:br w:type="page"/>
      </w:r>
    </w:p>
    <w:p w14:paraId="718AA850" w14:textId="77777777" w:rsidR="00F36685" w:rsidRPr="00F36685" w:rsidRDefault="00F36685" w:rsidP="00F366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eastAsia="Times New Roman" w:cs="Arial"/>
          <w:b/>
          <w:color w:val="auto"/>
          <w:sz w:val="28"/>
          <w:szCs w:val="24"/>
          <w:lang w:eastAsia="en-US"/>
        </w:rPr>
      </w:pPr>
      <w:r w:rsidRPr="00F36685">
        <w:rPr>
          <w:rFonts w:eastAsia="Times New Roman" w:cs="Arial"/>
          <w:b/>
          <w:color w:val="auto"/>
          <w:sz w:val="28"/>
          <w:szCs w:val="24"/>
          <w:lang w:eastAsia="en-US"/>
        </w:rPr>
        <w:lastRenderedPageBreak/>
        <w:t>SCHEDULE 2</w:t>
      </w:r>
    </w:p>
    <w:p w14:paraId="6F67FD18" w14:textId="77777777" w:rsidR="00F36685" w:rsidRPr="00F36685" w:rsidRDefault="00F36685" w:rsidP="00F36685">
      <w:pPr>
        <w:spacing w:after="0" w:line="240" w:lineRule="auto"/>
        <w:rPr>
          <w:rFonts w:eastAsia="Times New Roman" w:cs="Arial (W1)"/>
          <w:b/>
          <w:color w:val="auto"/>
          <w:sz w:val="24"/>
          <w:szCs w:val="24"/>
          <w:lang w:eastAsia="en-US"/>
        </w:rPr>
      </w:pPr>
      <w:r w:rsidRPr="00F36685">
        <w:rPr>
          <w:rFonts w:eastAsia="Times New Roman" w:cs="Arial (W1)"/>
          <w:b/>
          <w:color w:val="auto"/>
          <w:sz w:val="24"/>
          <w:szCs w:val="24"/>
          <w:lang w:eastAsia="en-US"/>
        </w:rPr>
        <w:t>Court Procedures Act 2004</w:t>
      </w:r>
    </w:p>
    <w:p w14:paraId="036581A0" w14:textId="77777777" w:rsidR="00F36685" w:rsidRPr="00F36685" w:rsidRDefault="00F36685" w:rsidP="00F36685">
      <w:pPr>
        <w:spacing w:after="0" w:line="240" w:lineRule="auto"/>
        <w:rPr>
          <w:rFonts w:eastAsia="Times New Roman" w:cs="Arial (W1)"/>
          <w:b/>
          <w:bCs/>
          <w:color w:val="auto"/>
          <w:sz w:val="20"/>
          <w:szCs w:val="24"/>
          <w:lang w:eastAsia="en-US"/>
        </w:rPr>
      </w:pPr>
      <w:r w:rsidRPr="00F36685">
        <w:rPr>
          <w:rFonts w:eastAsia="Times New Roman" w:cs="Arial (W1)"/>
          <w:b/>
          <w:bCs/>
          <w:color w:val="auto"/>
          <w:sz w:val="20"/>
          <w:szCs w:val="24"/>
          <w:lang w:eastAsia="en-US"/>
        </w:rPr>
        <w:t>Note: The code mentioned in column 1 means the people occupying the positions identified in column 2 of schedule 1.</w:t>
      </w:r>
    </w:p>
    <w:tbl>
      <w:tblPr>
        <w:tblW w:w="79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8"/>
        <w:gridCol w:w="1552"/>
        <w:gridCol w:w="5131"/>
      </w:tblGrid>
      <w:tr w:rsidR="00F36685" w:rsidRPr="00F36685" w14:paraId="3B424E4A" w14:textId="77777777" w:rsidTr="00F36685">
        <w:trPr>
          <w:cantSplit/>
          <w:tblHeader/>
        </w:trPr>
        <w:tc>
          <w:tcPr>
            <w:tcW w:w="1302" w:type="dxa"/>
            <w:shd w:val="clear" w:color="auto" w:fill="BFBFBF"/>
          </w:tcPr>
          <w:p w14:paraId="682A8CFF" w14:textId="77777777" w:rsidR="00F36685" w:rsidRPr="00F36685" w:rsidRDefault="00F36685" w:rsidP="00F36685">
            <w:pPr>
              <w:spacing w:after="0" w:line="240" w:lineRule="auto"/>
              <w:ind w:right="-108"/>
              <w:jc w:val="center"/>
              <w:rPr>
                <w:rFonts w:eastAsia="Times New Roman" w:cs="Arial (W1)"/>
                <w:b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 (W1)"/>
                <w:b/>
                <w:color w:val="auto"/>
                <w:sz w:val="24"/>
                <w:szCs w:val="24"/>
                <w:lang w:eastAsia="en-US"/>
              </w:rPr>
              <w:t>Column 1</w:t>
            </w:r>
          </w:p>
        </w:tc>
        <w:tc>
          <w:tcPr>
            <w:tcW w:w="6691" w:type="dxa"/>
            <w:gridSpan w:val="3"/>
            <w:shd w:val="clear" w:color="auto" w:fill="BFBFBF"/>
          </w:tcPr>
          <w:p w14:paraId="4370037B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 (W1)"/>
                <w:b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 (W1)"/>
                <w:b/>
                <w:color w:val="auto"/>
                <w:sz w:val="24"/>
                <w:szCs w:val="24"/>
                <w:lang w:eastAsia="en-US"/>
              </w:rPr>
              <w:t>Column 2</w:t>
            </w:r>
          </w:p>
        </w:tc>
      </w:tr>
      <w:tr w:rsidR="00F36685" w:rsidRPr="00F36685" w14:paraId="65FBBAA7" w14:textId="77777777" w:rsidTr="00F36685">
        <w:trPr>
          <w:cantSplit/>
          <w:tblHeader/>
        </w:trPr>
        <w:tc>
          <w:tcPr>
            <w:tcW w:w="1302" w:type="dxa"/>
            <w:shd w:val="clear" w:color="auto" w:fill="D9D9D9"/>
          </w:tcPr>
          <w:p w14:paraId="79C24718" w14:textId="77777777" w:rsidR="00F36685" w:rsidRPr="00F36685" w:rsidRDefault="00F36685" w:rsidP="00F36685">
            <w:pPr>
              <w:spacing w:after="0" w:line="240" w:lineRule="auto"/>
              <w:ind w:right="-108"/>
              <w:jc w:val="center"/>
              <w:rPr>
                <w:rFonts w:eastAsia="Times New Roman" w:cs="Arial (W1)"/>
                <w:b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 (W1)"/>
                <w:b/>
                <w:color w:val="auto"/>
                <w:sz w:val="24"/>
                <w:szCs w:val="24"/>
                <w:lang w:eastAsia="en-US"/>
              </w:rPr>
              <w:t>Code</w:t>
            </w:r>
          </w:p>
        </w:tc>
        <w:tc>
          <w:tcPr>
            <w:tcW w:w="6691" w:type="dxa"/>
            <w:gridSpan w:val="3"/>
            <w:shd w:val="clear" w:color="auto" w:fill="D9D9D9"/>
          </w:tcPr>
          <w:p w14:paraId="2D2E583C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 (W1)"/>
                <w:b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 (W1)"/>
                <w:b/>
                <w:color w:val="auto"/>
                <w:sz w:val="24"/>
                <w:szCs w:val="24"/>
                <w:lang w:eastAsia="en-US"/>
              </w:rPr>
              <w:t>Delegated Provisions</w:t>
            </w:r>
          </w:p>
        </w:tc>
      </w:tr>
      <w:tr w:rsidR="00F36685" w:rsidRPr="00F36685" w14:paraId="0167D875" w14:textId="77777777" w:rsidTr="00DA3B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34961A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 (W1)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1978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 (W1)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30E903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b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b/>
                <w:bCs/>
                <w:color w:val="auto"/>
                <w:sz w:val="24"/>
                <w:szCs w:val="24"/>
                <w:lang w:eastAsia="en-US"/>
              </w:rPr>
              <w:t>Part 7A – Procedural provisions – proceedings involving children or young people</w:t>
            </w:r>
          </w:p>
        </w:tc>
      </w:tr>
      <w:tr w:rsidR="00F36685" w:rsidRPr="00F36685" w14:paraId="26B91CA9" w14:textId="77777777" w:rsidTr="00DA3B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E7B51B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A</w:t>
            </w:r>
          </w:p>
          <w:p w14:paraId="5F1B93EA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B</w:t>
            </w:r>
          </w:p>
          <w:p w14:paraId="40066BCF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C</w:t>
            </w:r>
          </w:p>
          <w:p w14:paraId="5162C6A7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D</w:t>
            </w:r>
          </w:p>
          <w:p w14:paraId="556BE86E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E</w:t>
            </w:r>
          </w:p>
          <w:p w14:paraId="27C0B627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F</w:t>
            </w:r>
          </w:p>
          <w:p w14:paraId="2718C91E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G</w:t>
            </w:r>
          </w:p>
          <w:p w14:paraId="7CE83A4B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 (W1)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14A80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Subject:</w:t>
            </w:r>
          </w:p>
          <w:p w14:paraId="5664090F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56BC6854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14FB3D3A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Power and/or function:</w:t>
            </w:r>
          </w:p>
          <w:p w14:paraId="0568A454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1A74DE38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107DCA8F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44D09CFA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1222F22C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61B1432C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686AC9DF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63CF5683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2436CC03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653D628F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Reference:</w:t>
            </w:r>
          </w:p>
        </w:tc>
        <w:tc>
          <w:tcPr>
            <w:tcW w:w="51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FAEF1F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Court proceedings involving children or young people not open to public</w:t>
            </w:r>
          </w:p>
          <w:p w14:paraId="7BB47D08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562D9703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(1) If a child or young person is the subject of a proceeding in a court, the following people are the only people who may be present at the hearing of the proceeding:</w:t>
            </w:r>
          </w:p>
          <w:p w14:paraId="2E0738B7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(f) the director-general or an authorised person under the Children and Young People Act 2008.</w:t>
            </w:r>
          </w:p>
          <w:p w14:paraId="66178A29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 xml:space="preserve">(3) The public advocate and the director-general may make submissions to the court about whether the court should require or permit a person to be present under subsection 72(1)(1) or exclude a person under subsection (2).  </w:t>
            </w:r>
          </w:p>
          <w:p w14:paraId="301C4440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477320AB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section 72</w:t>
            </w:r>
          </w:p>
        </w:tc>
      </w:tr>
      <w:tr w:rsidR="00F36685" w:rsidRPr="00F36685" w14:paraId="3C55D7F0" w14:textId="77777777" w:rsidTr="00DA3B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8D3F63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A</w:t>
            </w:r>
          </w:p>
          <w:p w14:paraId="13C57117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B</w:t>
            </w:r>
          </w:p>
          <w:p w14:paraId="189034B5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C</w:t>
            </w:r>
          </w:p>
          <w:p w14:paraId="6F42C3D1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D</w:t>
            </w:r>
          </w:p>
          <w:p w14:paraId="6F5F0E60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E</w:t>
            </w:r>
          </w:p>
          <w:p w14:paraId="2CB776FB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F</w:t>
            </w:r>
          </w:p>
          <w:p w14:paraId="155C49A3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G</w:t>
            </w:r>
          </w:p>
          <w:p w14:paraId="1081AC83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3DD34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Subject:</w:t>
            </w:r>
          </w:p>
          <w:p w14:paraId="4A09F5E6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7B2B4281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45A359C8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Power and/or function:</w:t>
            </w:r>
          </w:p>
          <w:p w14:paraId="26B81E81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00771455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7353AFB5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6C88A0BF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508BBDA4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1BF718F8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71859425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Reference:</w:t>
            </w:r>
          </w:p>
        </w:tc>
        <w:tc>
          <w:tcPr>
            <w:tcW w:w="51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91362B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Participation of children and young people in proceedings</w:t>
            </w:r>
          </w:p>
          <w:p w14:paraId="59D7EAA8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4B522378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(2) The court may ask the director-general responsible for the Children and Young People Act 2008 to assist the court by giving the child or young person sufficient information about the proceeding, in language and a way that the child or young person can understand, to allow the child or young person to take part fully in the proceeding</w:t>
            </w:r>
          </w:p>
          <w:p w14:paraId="292796C6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6ECFFE26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section 74A</w:t>
            </w:r>
          </w:p>
        </w:tc>
      </w:tr>
      <w:tr w:rsidR="00F36685" w:rsidRPr="00F36685" w14:paraId="0B5EAE46" w14:textId="77777777" w:rsidTr="00DA3B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49EDD3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lastRenderedPageBreak/>
              <w:t>A</w:t>
            </w:r>
          </w:p>
          <w:p w14:paraId="6335971C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B</w:t>
            </w:r>
          </w:p>
          <w:p w14:paraId="19F2F6C0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C</w:t>
            </w:r>
          </w:p>
          <w:p w14:paraId="18F0D49B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D</w:t>
            </w:r>
          </w:p>
          <w:p w14:paraId="6A190244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E</w:t>
            </w:r>
          </w:p>
          <w:p w14:paraId="5C78E13D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F</w:t>
            </w:r>
          </w:p>
          <w:p w14:paraId="2465C8A3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G</w:t>
            </w:r>
          </w:p>
          <w:p w14:paraId="6FD2A7F9" w14:textId="77777777" w:rsidR="00F36685" w:rsidRPr="00F36685" w:rsidRDefault="00F36685" w:rsidP="00E74D1D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E793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Subject:</w:t>
            </w:r>
          </w:p>
          <w:p w14:paraId="5BFAF6CD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45DAEED0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Power and/or function:</w:t>
            </w:r>
          </w:p>
          <w:p w14:paraId="7B088151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105605E0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4F2C292E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6C34BC80" w14:textId="77777777" w:rsidR="00F36685" w:rsidRPr="00F36685" w:rsidRDefault="00F36685" w:rsidP="00F366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3E305ED4" w14:textId="77777777" w:rsidR="00F36685" w:rsidRPr="00F36685" w:rsidRDefault="00F36685" w:rsidP="00F366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60B2CD3F" w14:textId="77777777" w:rsidR="00F36685" w:rsidRPr="00F36685" w:rsidRDefault="00F36685" w:rsidP="00F366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4678C8BF" w14:textId="77777777" w:rsidR="00F36685" w:rsidRPr="00F36685" w:rsidRDefault="00F36685" w:rsidP="00F366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22BA1F94" w14:textId="77777777" w:rsidR="00F36685" w:rsidRPr="00F36685" w:rsidRDefault="00F36685" w:rsidP="00F366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595A4296" w14:textId="77777777" w:rsidR="00F36685" w:rsidRPr="00F36685" w:rsidRDefault="00F36685" w:rsidP="00F366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76B95BD1" w14:textId="77777777" w:rsidR="00F36685" w:rsidRPr="00F36685" w:rsidRDefault="00F36685" w:rsidP="00F366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40044D46" w14:textId="77777777" w:rsidR="00F36685" w:rsidRPr="00F36685" w:rsidRDefault="00F36685" w:rsidP="00F366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00154316" w14:textId="77777777" w:rsidR="00F36685" w:rsidRPr="00F36685" w:rsidRDefault="00F36685" w:rsidP="00F366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4ABB4F80" w14:textId="77777777" w:rsidR="00F36685" w:rsidRPr="00F36685" w:rsidRDefault="00F36685" w:rsidP="00F366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0EE5B74C" w14:textId="77777777" w:rsidR="00F36685" w:rsidRPr="00F36685" w:rsidRDefault="00F36685" w:rsidP="00F366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1DB59EE6" w14:textId="77777777" w:rsidR="00F36685" w:rsidRPr="00F36685" w:rsidRDefault="00F36685" w:rsidP="00F366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5B9DB18C" w14:textId="77777777" w:rsidR="00F36685" w:rsidRPr="00F36685" w:rsidRDefault="00F36685" w:rsidP="00F366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4BB13973" w14:textId="77777777" w:rsidR="00F36685" w:rsidRPr="00F36685" w:rsidRDefault="00F36685" w:rsidP="00F366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68F5D8B3" w14:textId="77777777" w:rsidR="00F36685" w:rsidRPr="00F36685" w:rsidRDefault="00F36685" w:rsidP="00F366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3A8748C2" w14:textId="77777777" w:rsidR="00F36685" w:rsidRPr="00F36685" w:rsidRDefault="00F36685" w:rsidP="00F366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72FF0C5F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Reference:</w:t>
            </w:r>
          </w:p>
        </w:tc>
        <w:tc>
          <w:tcPr>
            <w:tcW w:w="51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8A86CE" w14:textId="77777777" w:rsidR="00F36685" w:rsidRPr="00F36685" w:rsidRDefault="00F36685" w:rsidP="00F366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Court may order a report about young person</w:t>
            </w:r>
          </w:p>
          <w:p w14:paraId="06627511" w14:textId="77777777" w:rsidR="00F36685" w:rsidRPr="00F36685" w:rsidRDefault="00F36685" w:rsidP="00F366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0A31B3B1" w14:textId="77777777" w:rsidR="00F36685" w:rsidRPr="00F36685" w:rsidRDefault="00F36685" w:rsidP="00F366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(1) A court hearing a criminal proceeding in relation to or against a child or young person may order the director general responsible for the Children and Young People Act 2008 to give the court a report</w:t>
            </w:r>
          </w:p>
          <w:p w14:paraId="2FC74EB7" w14:textId="77777777" w:rsidR="00F36685" w:rsidRPr="00F36685" w:rsidRDefault="00F36685" w:rsidP="00F366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about the child or young person.</w:t>
            </w:r>
          </w:p>
          <w:p w14:paraId="0C238BEA" w14:textId="77777777" w:rsidR="00F36685" w:rsidRPr="00F36685" w:rsidRDefault="00F36685" w:rsidP="00F366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(2) A director-general given an order must, despite any other ACT law other than the Human Rights Act 2004, give a report.</w:t>
            </w:r>
          </w:p>
          <w:p w14:paraId="4ABB43C8" w14:textId="77777777" w:rsidR="00F36685" w:rsidRPr="00F36685" w:rsidRDefault="00F36685" w:rsidP="00F366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(3) In giving effect to the order, the director general may do, or arrange for someone else to do, 1 or more of the following:</w:t>
            </w:r>
          </w:p>
          <w:p w14:paraId="0D243D34" w14:textId="77777777" w:rsidR="00F36685" w:rsidRPr="00F36685" w:rsidRDefault="00F36685" w:rsidP="00F366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(a) visit and interview the child or young person;</w:t>
            </w:r>
          </w:p>
          <w:p w14:paraId="424CBCCC" w14:textId="77777777" w:rsidR="00F36685" w:rsidRPr="00F36685" w:rsidRDefault="00F36685" w:rsidP="00F366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(b) interview a parent of the child or young person;</w:t>
            </w:r>
          </w:p>
          <w:p w14:paraId="14F3ADD6" w14:textId="77777777" w:rsidR="00F36685" w:rsidRPr="00F36685" w:rsidRDefault="00F36685" w:rsidP="00F366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(c) interview a schoolteacher or other person involved with the education or welfare of the child or young person;</w:t>
            </w:r>
          </w:p>
          <w:p w14:paraId="6360A868" w14:textId="77777777" w:rsidR="00F36685" w:rsidRPr="00F36685" w:rsidRDefault="00F36685" w:rsidP="00F366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(d) require the child or young person to submit to being interviewed by a doctor or other named person.</w:t>
            </w:r>
          </w:p>
          <w:p w14:paraId="0E298A6E" w14:textId="77777777" w:rsidR="00F36685" w:rsidRPr="00F36685" w:rsidRDefault="00F36685" w:rsidP="00F366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6AB05FF8" w14:textId="77777777" w:rsidR="00F36685" w:rsidRPr="00F36685" w:rsidRDefault="00F36685" w:rsidP="00F366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section 74D</w:t>
            </w:r>
          </w:p>
        </w:tc>
      </w:tr>
      <w:tr w:rsidR="00F36685" w:rsidRPr="00F36685" w14:paraId="2896C939" w14:textId="77777777" w:rsidTr="00DA3B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506C9A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A</w:t>
            </w:r>
          </w:p>
          <w:p w14:paraId="0A631A21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B</w:t>
            </w:r>
          </w:p>
          <w:p w14:paraId="16EE10B9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C</w:t>
            </w:r>
          </w:p>
          <w:p w14:paraId="46044D8B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D</w:t>
            </w:r>
          </w:p>
          <w:p w14:paraId="2E1F9A26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E</w:t>
            </w:r>
          </w:p>
          <w:p w14:paraId="0D6976AE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F</w:t>
            </w:r>
          </w:p>
          <w:p w14:paraId="21FAA0A5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G</w:t>
            </w:r>
          </w:p>
          <w:p w14:paraId="26F18C98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74F8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Subject:</w:t>
            </w:r>
          </w:p>
          <w:p w14:paraId="1BB30817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3E4A2476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3D658EFF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Power and/or function:</w:t>
            </w:r>
          </w:p>
          <w:p w14:paraId="7C2B9517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2F0385FF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35385E2E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4E81DCAF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66FBF479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6ADEAA0F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7B2EF50F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537C4B24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625B864F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Reference:</w:t>
            </w:r>
          </w:p>
        </w:tc>
        <w:tc>
          <w:tcPr>
            <w:tcW w:w="51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3C638E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Proceedings dismissed or adjourned for care and protection reasons</w:t>
            </w:r>
          </w:p>
          <w:p w14:paraId="63C43D23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7A6A5FF9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 xml:space="preserve">(2) If a court acts under subsection (1), the court must, as soon as practicable but not later than 2 working days after the day it acts, give a statement of the reasons for the action to – </w:t>
            </w:r>
          </w:p>
          <w:p w14:paraId="5DF0C1C0" w14:textId="77777777" w:rsidR="00F36685" w:rsidRPr="00F36685" w:rsidRDefault="00F36685" w:rsidP="00F36685">
            <w:pPr>
              <w:tabs>
                <w:tab w:val="left" w:pos="225"/>
              </w:tabs>
              <w:spacing w:after="0" w:line="240" w:lineRule="auto"/>
              <w:ind w:left="225" w:hanging="225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(a) the director-general</w:t>
            </w:r>
          </w:p>
          <w:p w14:paraId="7845CAF9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 xml:space="preserve">(4) The director-general must treat a statement of reasons given to the director-general under subsection (2) as if it were a [mandatory] report made under section 356, Children and Young People Act 2008 </w:t>
            </w:r>
          </w:p>
          <w:p w14:paraId="2888A5B3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1D498598" w14:textId="77777777" w:rsidR="00F36685" w:rsidRPr="00F36685" w:rsidRDefault="00F36685" w:rsidP="00F366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Section 74K</w:t>
            </w:r>
          </w:p>
        </w:tc>
      </w:tr>
      <w:tr w:rsidR="00F36685" w:rsidRPr="00F36685" w14:paraId="78326D68" w14:textId="77777777" w:rsidTr="00DA3B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B2619B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lastRenderedPageBreak/>
              <w:t>A</w:t>
            </w:r>
          </w:p>
          <w:p w14:paraId="45573F3D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B</w:t>
            </w:r>
          </w:p>
          <w:p w14:paraId="3F21EF63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C</w:t>
            </w:r>
          </w:p>
          <w:p w14:paraId="13E975D8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D</w:t>
            </w:r>
          </w:p>
          <w:p w14:paraId="7E5AA0E1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E</w:t>
            </w:r>
          </w:p>
          <w:p w14:paraId="75DAC787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F</w:t>
            </w:r>
          </w:p>
          <w:p w14:paraId="6525868B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G</w:t>
            </w:r>
          </w:p>
          <w:p w14:paraId="6BA7701D" w14:textId="77777777" w:rsidR="00F36685" w:rsidRPr="00F36685" w:rsidRDefault="00F36685" w:rsidP="00F3668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4FEC6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Subject:</w:t>
            </w:r>
          </w:p>
          <w:p w14:paraId="362EBDAF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3A2FAE8D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5248381B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Power and/or function:</w:t>
            </w:r>
          </w:p>
          <w:p w14:paraId="379D3854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2586C429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3E2023F9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7210E171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0CA5B207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4BAB6154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08C1A27E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0783807D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5AE4DE2D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192C48FB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52F8767C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20E660D2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Reference:</w:t>
            </w:r>
          </w:p>
        </w:tc>
        <w:tc>
          <w:tcPr>
            <w:tcW w:w="51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1D0FBC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Director-General must report to court and public advocate</w:t>
            </w:r>
          </w:p>
          <w:p w14:paraId="12F18906" w14:textId="77777777" w:rsidR="00F36685" w:rsidRPr="00F36685" w:rsidRDefault="00F36685" w:rsidP="00F366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572269F8" w14:textId="77777777" w:rsidR="00F36685" w:rsidRPr="00F36685" w:rsidRDefault="00F36685" w:rsidP="00F36685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 xml:space="preserve">(2) Not later than 15 days after the day the court adjourns the proceeding under section 74K(1), the director-general must tell the public advocate and the court, in writing -  </w:t>
            </w:r>
          </w:p>
          <w:p w14:paraId="5E48312C" w14:textId="77777777" w:rsidR="00F36685" w:rsidRPr="00F36685" w:rsidRDefault="00F36685" w:rsidP="00F36685">
            <w:pPr>
              <w:spacing w:after="0" w:line="240" w:lineRule="auto"/>
              <w:ind w:left="366" w:hanging="283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(a) what action the director-general has taken, is taking or proposes to take under the care and protection chapters in relation to the child or young person; or</w:t>
            </w:r>
          </w:p>
          <w:p w14:paraId="12935C46" w14:textId="77777777" w:rsidR="00F36685" w:rsidRPr="00F36685" w:rsidRDefault="00F36685" w:rsidP="00F36685">
            <w:pPr>
              <w:spacing w:after="0" w:line="240" w:lineRule="auto"/>
              <w:ind w:left="366" w:hanging="283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 xml:space="preserve">(b) if the director-general proposes to take no action under any care and protection chapter in relation to the child or young person – that the director-general proposes to take no action. </w:t>
            </w:r>
          </w:p>
          <w:p w14:paraId="3A47A380" w14:textId="77777777" w:rsidR="00F36685" w:rsidRPr="00F36685" w:rsidRDefault="00F36685" w:rsidP="00F366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69583692" w14:textId="77777777" w:rsidR="00F36685" w:rsidRPr="00F36685" w:rsidRDefault="00F36685" w:rsidP="00F366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F36685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section 74L</w:t>
            </w:r>
          </w:p>
        </w:tc>
      </w:tr>
    </w:tbl>
    <w:p w14:paraId="49E4AADE" w14:textId="7CBC8FA7" w:rsidR="00244587" w:rsidRDefault="00244587" w:rsidP="00F36685">
      <w:pPr>
        <w:spacing w:after="0"/>
      </w:pPr>
    </w:p>
    <w:sectPr w:rsidR="00244587" w:rsidSect="008546FA">
      <w:headerReference w:type="default" r:id="rId13"/>
      <w:footerReference w:type="default" r:id="rId14"/>
      <w:headerReference w:type="first" r:id="rId15"/>
      <w:footerReference w:type="first" r:id="rId16"/>
      <w:pgSz w:w="11908" w:h="16840"/>
      <w:pgMar w:top="1440" w:right="1797" w:bottom="1134" w:left="179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3B7E5" w14:textId="77777777" w:rsidR="003D6343" w:rsidRDefault="00987F8C">
      <w:pPr>
        <w:spacing w:after="0" w:line="240" w:lineRule="auto"/>
      </w:pPr>
      <w:r>
        <w:separator/>
      </w:r>
    </w:p>
  </w:endnote>
  <w:endnote w:type="continuationSeparator" w:id="0">
    <w:p w14:paraId="4F28CAB4" w14:textId="77777777" w:rsidR="003D6343" w:rsidRDefault="0098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9BBD7" w14:textId="77777777" w:rsidR="00244587" w:rsidRDefault="00987F8C">
    <w:pPr>
      <w:spacing w:after="0"/>
      <w:ind w:right="-8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2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14:paraId="133809F0" w14:textId="77777777" w:rsidR="00244587" w:rsidRDefault="00987F8C">
    <w:pPr>
      <w:spacing w:after="0"/>
      <w:ind w:left="120"/>
      <w:jc w:val="center"/>
    </w:pPr>
    <w:r>
      <w:rPr>
        <w:rFonts w:ascii="Arial" w:eastAsia="Arial" w:hAnsi="Arial" w:cs="Arial"/>
        <w:sz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F97C2" w14:textId="77777777" w:rsidR="00244587" w:rsidRDefault="00987F8C">
    <w:pPr>
      <w:spacing w:after="0"/>
      <w:ind w:right="-8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2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14:paraId="223DE8A9" w14:textId="5E97AB2C" w:rsidR="00244587" w:rsidRPr="00B80524" w:rsidRDefault="00987F8C" w:rsidP="00B80524">
    <w:pPr>
      <w:spacing w:after="0"/>
      <w:ind w:left="120"/>
      <w:jc w:val="center"/>
      <w:rPr>
        <w:rFonts w:ascii="Arial" w:hAnsi="Arial" w:cs="Arial"/>
        <w:sz w:val="14"/>
      </w:rPr>
    </w:pPr>
    <w:r w:rsidRPr="00B80524">
      <w:rPr>
        <w:rFonts w:ascii="Arial" w:eastAsia="Arial" w:hAnsi="Arial" w:cs="Arial"/>
        <w:sz w:val="14"/>
      </w:rPr>
      <w:t xml:space="preserve"> </w:t>
    </w:r>
    <w:r w:rsidR="00B80524" w:rsidRPr="00B80524">
      <w:rPr>
        <w:rFonts w:ascii="Arial" w:eastAsia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B4408" w14:textId="49B3B08A" w:rsidR="008546FA" w:rsidRDefault="008546FA" w:rsidP="008546FA">
    <w:pPr>
      <w:pStyle w:val="Footer"/>
      <w:rPr>
        <w:rFonts w:ascii="Arial" w:hAnsi="Arial" w:cs="Arial"/>
        <w:sz w:val="18"/>
      </w:rPr>
    </w:pPr>
    <w:r w:rsidRPr="008546FA">
      <w:rPr>
        <w:rFonts w:ascii="Arial" w:hAnsi="Arial" w:cs="Arial"/>
        <w:sz w:val="18"/>
      </w:rPr>
      <w:t>*Name amended under Legislation Act, s 60</w:t>
    </w:r>
  </w:p>
  <w:p w14:paraId="0D888D68" w14:textId="78292C5C" w:rsidR="008546FA" w:rsidRPr="00B80524" w:rsidRDefault="00B80524" w:rsidP="00B80524">
    <w:pPr>
      <w:pStyle w:val="Footer"/>
      <w:spacing w:before="120"/>
      <w:jc w:val="center"/>
      <w:rPr>
        <w:rFonts w:ascii="Arial" w:hAnsi="Arial" w:cs="Arial"/>
        <w:sz w:val="14"/>
        <w:szCs w:val="18"/>
      </w:rPr>
    </w:pPr>
    <w:r w:rsidRPr="00B80524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9FDD7" w14:textId="746CCAC8" w:rsidR="003330CD" w:rsidRPr="005204C4" w:rsidRDefault="003330CD" w:rsidP="005204C4">
    <w:pPr>
      <w:pStyle w:val="Footer"/>
      <w:tabs>
        <w:tab w:val="clear" w:pos="4513"/>
        <w:tab w:val="clear" w:pos="9026"/>
        <w:tab w:val="center" w:pos="4153"/>
        <w:tab w:val="right" w:pos="8306"/>
      </w:tabs>
      <w:jc w:val="right"/>
      <w:rPr>
        <w:rFonts w:ascii="Arial (W1)" w:eastAsia="Times New Roman" w:hAnsi="Arial (W1)" w:cs="Arial (W1)"/>
        <w:color w:val="auto"/>
        <w:sz w:val="20"/>
        <w:szCs w:val="20"/>
        <w:lang w:eastAsia="en-US"/>
      </w:rPr>
    </w:pPr>
    <w:r w:rsidRPr="005204C4">
      <w:rPr>
        <w:rFonts w:ascii="Arial (W1)" w:eastAsia="Times New Roman" w:hAnsi="Arial (W1)" w:cs="Arial (W1)"/>
        <w:color w:val="auto"/>
        <w:sz w:val="20"/>
        <w:szCs w:val="20"/>
        <w:lang w:eastAsia="en-US"/>
      </w:rPr>
      <w:fldChar w:fldCharType="begin"/>
    </w:r>
    <w:r w:rsidRPr="005204C4">
      <w:rPr>
        <w:rFonts w:ascii="Arial (W1)" w:eastAsia="Times New Roman" w:hAnsi="Arial (W1)" w:cs="Arial (W1)"/>
        <w:color w:val="auto"/>
        <w:sz w:val="20"/>
        <w:szCs w:val="20"/>
        <w:lang w:eastAsia="en-US"/>
      </w:rPr>
      <w:instrText xml:space="preserve"> PAGE   \* MERGEFORMAT </w:instrText>
    </w:r>
    <w:r w:rsidRPr="005204C4">
      <w:rPr>
        <w:rFonts w:ascii="Arial (W1)" w:eastAsia="Times New Roman" w:hAnsi="Arial (W1)" w:cs="Arial (W1)"/>
        <w:color w:val="auto"/>
        <w:sz w:val="20"/>
        <w:szCs w:val="20"/>
        <w:lang w:eastAsia="en-US"/>
      </w:rPr>
      <w:fldChar w:fldCharType="separate"/>
    </w:r>
    <w:r w:rsidRPr="005204C4">
      <w:rPr>
        <w:rFonts w:ascii="Arial (W1)" w:eastAsia="Times New Roman" w:hAnsi="Arial (W1)" w:cs="Arial (W1)"/>
        <w:color w:val="auto"/>
        <w:sz w:val="20"/>
        <w:szCs w:val="20"/>
        <w:lang w:eastAsia="en-US"/>
      </w:rPr>
      <w:t>2</w:t>
    </w:r>
    <w:r w:rsidRPr="005204C4">
      <w:rPr>
        <w:rFonts w:ascii="Arial (W1)" w:eastAsia="Times New Roman" w:hAnsi="Arial (W1)" w:cs="Arial (W1)"/>
        <w:color w:val="auto"/>
        <w:sz w:val="20"/>
        <w:szCs w:val="20"/>
        <w:lang w:eastAsia="en-US"/>
      </w:rPr>
      <w:fldChar w:fldCharType="end"/>
    </w:r>
  </w:p>
  <w:p w14:paraId="73CBFEB0" w14:textId="57E8974F" w:rsidR="003330CD" w:rsidRPr="00B80524" w:rsidRDefault="00B80524" w:rsidP="00B80524">
    <w:pPr>
      <w:spacing w:after="0"/>
      <w:ind w:left="120"/>
      <w:jc w:val="center"/>
      <w:rPr>
        <w:rFonts w:ascii="Arial" w:hAnsi="Arial" w:cs="Arial"/>
        <w:sz w:val="14"/>
        <w:szCs w:val="14"/>
      </w:rPr>
    </w:pPr>
    <w:r w:rsidRPr="00B80524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(W1)" w:eastAsia="Times New Roman" w:hAnsi="Arial (W1)" w:cs="Arial (W1)"/>
        <w:color w:val="auto"/>
        <w:sz w:val="20"/>
        <w:szCs w:val="20"/>
        <w:lang w:eastAsia="en-US"/>
      </w:rPr>
      <w:id w:val="872038173"/>
      <w:docPartObj>
        <w:docPartGallery w:val="Page Numbers (Bottom of Page)"/>
        <w:docPartUnique/>
      </w:docPartObj>
    </w:sdtPr>
    <w:sdtEndPr/>
    <w:sdtContent>
      <w:p w14:paraId="14F32CAF" w14:textId="77777777" w:rsidR="00816B67" w:rsidRPr="005204C4" w:rsidRDefault="00816B67" w:rsidP="005204C4">
        <w:pPr>
          <w:pStyle w:val="Footer"/>
          <w:tabs>
            <w:tab w:val="clear" w:pos="4513"/>
            <w:tab w:val="clear" w:pos="9026"/>
            <w:tab w:val="center" w:pos="4153"/>
            <w:tab w:val="right" w:pos="8306"/>
          </w:tabs>
          <w:jc w:val="right"/>
          <w:rPr>
            <w:rFonts w:ascii="Arial (W1)" w:eastAsia="Times New Roman" w:hAnsi="Arial (W1)" w:cs="Arial (W1)"/>
            <w:color w:val="auto"/>
            <w:sz w:val="20"/>
            <w:szCs w:val="20"/>
            <w:lang w:eastAsia="en-US"/>
          </w:rPr>
        </w:pPr>
        <w:r w:rsidRPr="005204C4">
          <w:rPr>
            <w:rFonts w:ascii="Arial (W1)" w:eastAsia="Times New Roman" w:hAnsi="Arial (W1)" w:cs="Arial (W1)"/>
            <w:color w:val="auto"/>
            <w:sz w:val="20"/>
            <w:szCs w:val="20"/>
            <w:lang w:eastAsia="en-US"/>
          </w:rPr>
          <w:fldChar w:fldCharType="begin"/>
        </w:r>
        <w:r w:rsidRPr="005204C4">
          <w:rPr>
            <w:rFonts w:ascii="Arial (W1)" w:eastAsia="Times New Roman" w:hAnsi="Arial (W1)" w:cs="Arial (W1)"/>
            <w:color w:val="auto"/>
            <w:sz w:val="20"/>
            <w:szCs w:val="20"/>
            <w:lang w:eastAsia="en-US"/>
          </w:rPr>
          <w:instrText xml:space="preserve"> PAGE   \* MERGEFORMAT </w:instrText>
        </w:r>
        <w:r w:rsidRPr="005204C4">
          <w:rPr>
            <w:rFonts w:ascii="Arial (W1)" w:eastAsia="Times New Roman" w:hAnsi="Arial (W1)" w:cs="Arial (W1)"/>
            <w:color w:val="auto"/>
            <w:sz w:val="20"/>
            <w:szCs w:val="20"/>
            <w:lang w:eastAsia="en-US"/>
          </w:rPr>
          <w:fldChar w:fldCharType="separate"/>
        </w:r>
        <w:r w:rsidRPr="005204C4">
          <w:rPr>
            <w:rFonts w:ascii="Arial (W1)" w:eastAsia="Times New Roman" w:hAnsi="Arial (W1)" w:cs="Arial (W1)"/>
            <w:color w:val="auto"/>
            <w:sz w:val="20"/>
            <w:szCs w:val="20"/>
            <w:lang w:eastAsia="en-US"/>
          </w:rPr>
          <w:t>2</w:t>
        </w:r>
        <w:r w:rsidRPr="005204C4">
          <w:rPr>
            <w:rFonts w:ascii="Arial (W1)" w:eastAsia="Times New Roman" w:hAnsi="Arial (W1)" w:cs="Arial (W1)"/>
            <w:color w:val="auto"/>
            <w:sz w:val="20"/>
            <w:szCs w:val="20"/>
            <w:lang w:eastAsia="en-US"/>
          </w:rPr>
          <w:fldChar w:fldCharType="end"/>
        </w:r>
      </w:p>
    </w:sdtContent>
  </w:sdt>
  <w:p w14:paraId="36489151" w14:textId="7B8EAA98" w:rsidR="005024D5" w:rsidRPr="00B80524" w:rsidRDefault="00B80524" w:rsidP="00B80524">
    <w:pPr>
      <w:spacing w:after="0"/>
      <w:jc w:val="center"/>
      <w:rPr>
        <w:rFonts w:ascii="Arial" w:hAnsi="Arial" w:cs="Arial"/>
        <w:sz w:val="14"/>
        <w:szCs w:val="14"/>
      </w:rPr>
    </w:pPr>
    <w:r w:rsidRPr="00B80524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D795" w14:textId="77777777" w:rsidR="003D6343" w:rsidRDefault="00987F8C">
      <w:pPr>
        <w:spacing w:after="0" w:line="240" w:lineRule="auto"/>
      </w:pPr>
      <w:r>
        <w:separator/>
      </w:r>
    </w:p>
  </w:footnote>
  <w:footnote w:type="continuationSeparator" w:id="0">
    <w:p w14:paraId="4C66C581" w14:textId="77777777" w:rsidR="003D6343" w:rsidRDefault="00987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8C1C1" w14:textId="77777777" w:rsidR="00244587" w:rsidRDefault="00987F8C">
    <w:pPr>
      <w:spacing w:after="0" w:line="279" w:lineRule="auto"/>
      <w:ind w:left="355" w:hanging="253"/>
    </w:pPr>
    <w:r>
      <w:rPr>
        <w:b/>
      </w:rPr>
      <w:t>Application of a delegation must be in consideration of policies, procedures or guidelines Refer to the legislation for the complete details of the legislative provision outlined</w:t>
    </w:r>
    <w:r>
      <w:rPr>
        <w:rFonts w:ascii="Arial" w:eastAsia="Arial" w:hAnsi="Arial" w:cs="Arial"/>
        <w:b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DCC2" w14:textId="77777777" w:rsidR="00244587" w:rsidRDefault="00987F8C">
    <w:pPr>
      <w:spacing w:after="0" w:line="279" w:lineRule="auto"/>
      <w:ind w:left="355" w:hanging="253"/>
    </w:pPr>
    <w:r>
      <w:rPr>
        <w:b/>
      </w:rPr>
      <w:t>Application of a delegation must be in consideration of policies, procedures or guidelines Refer to the legislation for the complete details of the legislative provision outlined</w:t>
    </w:r>
    <w:r>
      <w:rPr>
        <w:rFonts w:ascii="Arial" w:eastAsia="Arial" w:hAnsi="Arial" w:cs="Arial"/>
        <w:b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CCFF1" w14:textId="77777777" w:rsidR="008546FA" w:rsidRDefault="008546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517A" w14:textId="77777777" w:rsidR="00F36685" w:rsidRPr="00F36685" w:rsidRDefault="00F36685" w:rsidP="00F36685">
    <w:pPr>
      <w:overflowPunct w:val="0"/>
      <w:autoSpaceDE w:val="0"/>
      <w:autoSpaceDN w:val="0"/>
      <w:adjustRightInd w:val="0"/>
      <w:spacing w:after="0" w:line="240" w:lineRule="auto"/>
      <w:ind w:right="-7"/>
      <w:jc w:val="center"/>
      <w:textAlignment w:val="baseline"/>
      <w:rPr>
        <w:rFonts w:eastAsia="Times New Roman" w:cs="Arial"/>
        <w:b/>
        <w:color w:val="auto"/>
        <w:szCs w:val="24"/>
        <w:lang w:eastAsia="en-US"/>
      </w:rPr>
    </w:pPr>
    <w:r w:rsidRPr="00F36685">
      <w:rPr>
        <w:rFonts w:eastAsia="Times New Roman" w:cs="Arial"/>
        <w:b/>
        <w:color w:val="auto"/>
        <w:szCs w:val="24"/>
        <w:lang w:eastAsia="en-US"/>
      </w:rPr>
      <w:t>Application of a delegation must be in consideration of policies, procedures or guidelines</w:t>
    </w:r>
  </w:p>
  <w:p w14:paraId="4793DC8A" w14:textId="7D3B83BD" w:rsidR="003330CD" w:rsidRPr="00F36685" w:rsidRDefault="00F36685" w:rsidP="00F36685">
    <w:pPr>
      <w:spacing w:after="0" w:line="240" w:lineRule="auto"/>
      <w:jc w:val="center"/>
      <w:rPr>
        <w:rFonts w:ascii="Arial (W1)" w:eastAsia="Times New Roman" w:hAnsi="Arial (W1)" w:cs="Arial (W1)"/>
        <w:b/>
        <w:color w:val="auto"/>
        <w:sz w:val="24"/>
        <w:szCs w:val="24"/>
        <w:lang w:eastAsia="en-US"/>
      </w:rPr>
    </w:pPr>
    <w:r w:rsidRPr="00F36685">
      <w:rPr>
        <w:rFonts w:eastAsia="Times New Roman" w:cs="Arial"/>
        <w:b/>
        <w:color w:val="auto"/>
        <w:szCs w:val="24"/>
        <w:lang w:eastAsia="en-US"/>
      </w:rPr>
      <w:t>Refer to the legislation for the complete details of the legislative provision outlined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1C76" w14:textId="77777777" w:rsidR="003330CD" w:rsidRPr="003330CD" w:rsidRDefault="003330CD" w:rsidP="003330CD">
    <w:pPr>
      <w:overflowPunct w:val="0"/>
      <w:autoSpaceDE w:val="0"/>
      <w:autoSpaceDN w:val="0"/>
      <w:adjustRightInd w:val="0"/>
      <w:spacing w:after="0" w:line="240" w:lineRule="auto"/>
      <w:ind w:right="-7"/>
      <w:jc w:val="center"/>
      <w:textAlignment w:val="baseline"/>
      <w:rPr>
        <w:rFonts w:eastAsia="Times New Roman" w:cs="Arial"/>
        <w:b/>
        <w:color w:val="auto"/>
        <w:szCs w:val="24"/>
        <w:lang w:eastAsia="en-US"/>
      </w:rPr>
    </w:pPr>
    <w:bookmarkStart w:id="2" w:name="_Hlk7616543"/>
    <w:bookmarkStart w:id="3" w:name="_Hlk15898177"/>
    <w:bookmarkStart w:id="4" w:name="_Hlk15898178"/>
    <w:r w:rsidRPr="003330CD">
      <w:rPr>
        <w:rFonts w:eastAsia="Times New Roman" w:cs="Arial"/>
        <w:b/>
        <w:color w:val="auto"/>
        <w:szCs w:val="24"/>
        <w:lang w:eastAsia="en-US"/>
      </w:rPr>
      <w:t>Application of a delegation must be in consideration of policies, procedures or guidelines</w:t>
    </w:r>
  </w:p>
  <w:p w14:paraId="058F0AE1" w14:textId="67E28AB8" w:rsidR="005024D5" w:rsidRPr="003330CD" w:rsidRDefault="003330CD" w:rsidP="003330CD">
    <w:pPr>
      <w:spacing w:after="0" w:line="240" w:lineRule="auto"/>
      <w:jc w:val="center"/>
      <w:rPr>
        <w:rFonts w:ascii="Arial (W1)" w:eastAsia="Times New Roman" w:hAnsi="Arial (W1)" w:cs="Arial (W1)"/>
        <w:b/>
        <w:color w:val="auto"/>
        <w:sz w:val="24"/>
        <w:szCs w:val="24"/>
        <w:lang w:eastAsia="en-US"/>
      </w:rPr>
    </w:pPr>
    <w:r w:rsidRPr="003330CD">
      <w:rPr>
        <w:rFonts w:eastAsia="Times New Roman" w:cs="Arial"/>
        <w:b/>
        <w:color w:val="auto"/>
        <w:szCs w:val="24"/>
        <w:lang w:eastAsia="en-US"/>
      </w:rPr>
      <w:t>Refer to the legislation for the complete details of the legislative provision outlined</w:t>
    </w:r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6F1"/>
    <w:multiLevelType w:val="hybridMultilevel"/>
    <w:tmpl w:val="D4880C80"/>
    <w:lvl w:ilvl="0" w:tplc="C6C4D23A">
      <w:start w:val="3"/>
      <w:numFmt w:val="lowerLetter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80DFE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40C8C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8592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FA30E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D8578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427A1C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0A1E5A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DED91C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DD1A80"/>
    <w:multiLevelType w:val="hybridMultilevel"/>
    <w:tmpl w:val="975635AE"/>
    <w:lvl w:ilvl="0" w:tplc="C5DC0D9E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461F4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0A2698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E48216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EA3BF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7C1CCC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1C379E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EAB00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9CBF9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8B3B0A"/>
    <w:multiLevelType w:val="hybridMultilevel"/>
    <w:tmpl w:val="5DB42EDC"/>
    <w:lvl w:ilvl="0" w:tplc="3DBA9664">
      <w:start w:val="1"/>
      <w:numFmt w:val="lowerLetter"/>
      <w:lvlText w:val="(%1)"/>
      <w:lvlJc w:val="left"/>
      <w:pPr>
        <w:ind w:left="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A08F0">
      <w:start w:val="1"/>
      <w:numFmt w:val="lowerLetter"/>
      <w:lvlText w:val="%2"/>
      <w:lvlJc w:val="left"/>
      <w:pPr>
        <w:ind w:left="1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651D2">
      <w:start w:val="1"/>
      <w:numFmt w:val="lowerRoman"/>
      <w:lvlText w:val="%3"/>
      <w:lvlJc w:val="left"/>
      <w:pPr>
        <w:ind w:left="1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BA73AE">
      <w:start w:val="1"/>
      <w:numFmt w:val="decimal"/>
      <w:lvlText w:val="%4"/>
      <w:lvlJc w:val="left"/>
      <w:pPr>
        <w:ind w:left="2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6AEB08">
      <w:start w:val="1"/>
      <w:numFmt w:val="lowerLetter"/>
      <w:lvlText w:val="%5"/>
      <w:lvlJc w:val="left"/>
      <w:pPr>
        <w:ind w:left="3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F8C362">
      <w:start w:val="1"/>
      <w:numFmt w:val="lowerRoman"/>
      <w:lvlText w:val="%6"/>
      <w:lvlJc w:val="left"/>
      <w:pPr>
        <w:ind w:left="4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0ED4FC">
      <w:start w:val="1"/>
      <w:numFmt w:val="decimal"/>
      <w:lvlText w:val="%7"/>
      <w:lvlJc w:val="left"/>
      <w:pPr>
        <w:ind w:left="4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66DEB4">
      <w:start w:val="1"/>
      <w:numFmt w:val="lowerLetter"/>
      <w:lvlText w:val="%8"/>
      <w:lvlJc w:val="left"/>
      <w:pPr>
        <w:ind w:left="5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2EF92C">
      <w:start w:val="1"/>
      <w:numFmt w:val="lowerRoman"/>
      <w:lvlText w:val="%9"/>
      <w:lvlJc w:val="left"/>
      <w:pPr>
        <w:ind w:left="6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B105C9"/>
    <w:multiLevelType w:val="hybridMultilevel"/>
    <w:tmpl w:val="4112A784"/>
    <w:lvl w:ilvl="0" w:tplc="ECAC392A">
      <w:start w:val="1"/>
      <w:numFmt w:val="decimal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AA5B9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9CC4F6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984B9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DC3C9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4C58D4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0B1C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0E30F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08877E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0724698">
    <w:abstractNumId w:val="3"/>
  </w:num>
  <w:num w:numId="2" w16cid:durableId="106705145">
    <w:abstractNumId w:val="1"/>
  </w:num>
  <w:num w:numId="3" w16cid:durableId="902449471">
    <w:abstractNumId w:val="0"/>
  </w:num>
  <w:num w:numId="4" w16cid:durableId="995644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587"/>
    <w:rsid w:val="00013C2F"/>
    <w:rsid w:val="000F772E"/>
    <w:rsid w:val="002115C4"/>
    <w:rsid w:val="00244587"/>
    <w:rsid w:val="00252E47"/>
    <w:rsid w:val="003330CD"/>
    <w:rsid w:val="003931DD"/>
    <w:rsid w:val="003D6343"/>
    <w:rsid w:val="004D7F00"/>
    <w:rsid w:val="005024D5"/>
    <w:rsid w:val="005204C4"/>
    <w:rsid w:val="006153AF"/>
    <w:rsid w:val="006D461D"/>
    <w:rsid w:val="007B03C1"/>
    <w:rsid w:val="007B245F"/>
    <w:rsid w:val="00816B67"/>
    <w:rsid w:val="008546FA"/>
    <w:rsid w:val="0087245C"/>
    <w:rsid w:val="00987F8C"/>
    <w:rsid w:val="009C7F73"/>
    <w:rsid w:val="00A771B8"/>
    <w:rsid w:val="00B80524"/>
    <w:rsid w:val="00C873A4"/>
    <w:rsid w:val="00E74D1D"/>
    <w:rsid w:val="00EE01A9"/>
    <w:rsid w:val="00F36685"/>
    <w:rsid w:val="00F7766E"/>
    <w:rsid w:val="00FA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48F2FD4"/>
  <w15:docId w15:val="{C1D9AD53-FEB4-459C-A092-1631D43E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4"/>
      <w:ind w:left="10" w:right="4204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2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4D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02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4D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1225</Words>
  <Characters>7663</Characters>
  <Application>Microsoft Office Word</Application>
  <DocSecurity>0</DocSecurity>
  <Lines>510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Delegations Court Procedures Act 2004</vt:lpstr>
    </vt:vector>
  </TitlesOfParts>
  <Company>ACT Government</Company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Delegations Court Procedures Act 2004</dc:title>
  <dc:subject>Instrument of Delegation</dc:subject>
  <dc:creator>ACT Government</dc:creator>
  <cp:keywords>2</cp:keywords>
  <cp:lastModifiedBy>Moxon, KarenL</cp:lastModifiedBy>
  <cp:revision>5</cp:revision>
  <dcterms:created xsi:type="dcterms:W3CDTF">2022-10-10T02:42:00Z</dcterms:created>
  <dcterms:modified xsi:type="dcterms:W3CDTF">2022-10-10T04:03:00Z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9847989</vt:lpwstr>
  </property>
  <property fmtid="{D5CDD505-2E9C-101B-9397-08002B2CF9AE}" pid="4" name="JMSREQUIREDCHECKIN">
    <vt:lpwstr/>
  </property>
</Properties>
</file>