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021A" w14:textId="77777777" w:rsidR="003500DB" w:rsidRPr="003320AB" w:rsidRDefault="003500DB" w:rsidP="003500DB">
      <w:pPr>
        <w:spacing w:before="120" w:after="0" w:line="240" w:lineRule="auto"/>
        <w:rPr>
          <w:rFonts w:ascii="Arial" w:eastAsia="Times New Roman" w:hAnsi="Arial" w:cs="Arial"/>
          <w:sz w:val="24"/>
          <w:szCs w:val="20"/>
        </w:rPr>
      </w:pPr>
      <w:bookmarkStart w:id="0" w:name="_Toc44738651"/>
      <w:smartTag w:uri="urn:schemas-microsoft-com:office:smarttags" w:element="State">
        <w:smartTag w:uri="urn:schemas-microsoft-com:office:smarttags" w:element="place">
          <w:r w:rsidRPr="003320AB">
            <w:rPr>
              <w:rFonts w:ascii="Arial" w:eastAsia="Times New Roman" w:hAnsi="Arial" w:cs="Arial"/>
              <w:sz w:val="24"/>
              <w:szCs w:val="20"/>
            </w:rPr>
            <w:t>Australian Capital Territory</w:t>
          </w:r>
        </w:smartTag>
      </w:smartTag>
    </w:p>
    <w:p w14:paraId="5FC276D0" w14:textId="77777777" w:rsidR="003500DB" w:rsidRPr="00AD71FE" w:rsidRDefault="003500DB" w:rsidP="003500DB">
      <w:pPr>
        <w:pStyle w:val="Billname"/>
        <w:spacing w:before="700"/>
        <w:ind w:right="-52"/>
      </w:pPr>
      <w:r w:rsidRPr="003320AB">
        <w:t>Crimes (Sentence Administration)</w:t>
      </w:r>
      <w:r w:rsidRPr="00004A13">
        <w:t xml:space="preserve"> </w:t>
      </w:r>
      <w:r>
        <w:t>G</w:t>
      </w:r>
      <w:r w:rsidRPr="00004A13">
        <w:t xml:space="preserve">ood </w:t>
      </w:r>
      <w:r>
        <w:t>B</w:t>
      </w:r>
      <w:r w:rsidRPr="00004A13">
        <w:t xml:space="preserve">ehaviour </w:t>
      </w:r>
      <w:r>
        <w:t>O</w:t>
      </w:r>
      <w:r w:rsidRPr="00004A13">
        <w:t>rder</w:t>
      </w:r>
      <w:r>
        <w:t xml:space="preserve"> Breach</w:t>
      </w:r>
      <w:r w:rsidRPr="00004A13">
        <w:t xml:space="preserve"> </w:t>
      </w:r>
      <w:r>
        <w:t>Guideline 2023</w:t>
      </w:r>
    </w:p>
    <w:p w14:paraId="4254F276" w14:textId="77777777" w:rsidR="003500DB" w:rsidRPr="003320AB" w:rsidRDefault="003500DB" w:rsidP="003500DB">
      <w:pPr>
        <w:spacing w:before="340" w:after="0" w:line="240" w:lineRule="auto"/>
        <w:rPr>
          <w:rFonts w:ascii="Arial" w:eastAsia="Times New Roman" w:hAnsi="Arial" w:cs="Arial"/>
          <w:b/>
          <w:bCs/>
          <w:sz w:val="24"/>
          <w:szCs w:val="20"/>
        </w:rPr>
      </w:pPr>
      <w:r w:rsidRPr="003320AB">
        <w:rPr>
          <w:rFonts w:ascii="Arial" w:eastAsia="Times New Roman" w:hAnsi="Arial" w:cs="Arial"/>
          <w:b/>
          <w:bCs/>
          <w:sz w:val="24"/>
          <w:szCs w:val="20"/>
        </w:rPr>
        <w:t>Notifiable instrument NI202</w:t>
      </w:r>
      <w:r>
        <w:rPr>
          <w:rFonts w:ascii="Arial" w:eastAsia="Times New Roman" w:hAnsi="Arial" w:cs="Arial"/>
          <w:b/>
          <w:bCs/>
          <w:sz w:val="24"/>
          <w:szCs w:val="20"/>
        </w:rPr>
        <w:t>3</w:t>
      </w:r>
      <w:r w:rsidRPr="003320AB">
        <w:rPr>
          <w:rFonts w:ascii="Arial" w:eastAsia="Times New Roman" w:hAnsi="Arial" w:cs="Arial"/>
          <w:b/>
          <w:bCs/>
          <w:sz w:val="24"/>
          <w:szCs w:val="20"/>
        </w:rPr>
        <w:t>–</w:t>
      </w:r>
      <w:r>
        <w:rPr>
          <w:rFonts w:ascii="Arial" w:eastAsia="Times New Roman" w:hAnsi="Arial" w:cs="Arial"/>
          <w:b/>
          <w:bCs/>
          <w:sz w:val="24"/>
          <w:szCs w:val="20"/>
        </w:rPr>
        <w:t>619</w:t>
      </w:r>
    </w:p>
    <w:p w14:paraId="4FE67E18" w14:textId="77777777" w:rsidR="003500DB" w:rsidRPr="003320AB" w:rsidRDefault="003500DB" w:rsidP="003500DB">
      <w:pPr>
        <w:pStyle w:val="madeunder"/>
        <w:spacing w:before="300" w:after="0"/>
      </w:pPr>
      <w:r w:rsidRPr="003320AB">
        <w:t xml:space="preserve">made under the  </w:t>
      </w:r>
    </w:p>
    <w:p w14:paraId="588047C4" w14:textId="77777777" w:rsidR="003500DB" w:rsidRPr="00AD71FE" w:rsidRDefault="003500DB" w:rsidP="003500DB">
      <w:pPr>
        <w:pStyle w:val="CoverActName"/>
        <w:spacing w:before="320" w:after="0"/>
        <w:rPr>
          <w:rFonts w:cs="Arial"/>
          <w:sz w:val="20"/>
        </w:rPr>
      </w:pPr>
      <w:r w:rsidRPr="003320AB">
        <w:rPr>
          <w:rFonts w:cs="Arial"/>
          <w:sz w:val="20"/>
        </w:rPr>
        <w:t>Crimes (Sentence Administration) Act 2005, s</w:t>
      </w:r>
      <w:r>
        <w:rPr>
          <w:rFonts w:cs="Arial"/>
          <w:sz w:val="20"/>
        </w:rPr>
        <w:t xml:space="preserve"> 102 (</w:t>
      </w:r>
      <w:r w:rsidRPr="00004A13">
        <w:rPr>
          <w:rFonts w:cs="Arial"/>
          <w:sz w:val="20"/>
        </w:rPr>
        <w:t>Good behaviour—breach of good behaviour obligation</w:t>
      </w:r>
      <w:r>
        <w:rPr>
          <w:rFonts w:cs="Arial"/>
          <w:sz w:val="20"/>
        </w:rPr>
        <w:t>)</w:t>
      </w:r>
    </w:p>
    <w:p w14:paraId="4C4E1D5E" w14:textId="77777777" w:rsidR="003500DB" w:rsidRPr="003320AB" w:rsidRDefault="003500DB" w:rsidP="003500DB">
      <w:pPr>
        <w:spacing w:before="60" w:after="0" w:line="240" w:lineRule="auto"/>
        <w:rPr>
          <w:rFonts w:ascii="Times New Roman" w:eastAsia="Times New Roman" w:hAnsi="Times New Roman"/>
          <w:sz w:val="24"/>
          <w:szCs w:val="24"/>
        </w:rPr>
      </w:pPr>
    </w:p>
    <w:p w14:paraId="6BC97FF4" w14:textId="77777777" w:rsidR="003500DB" w:rsidRPr="003320AB" w:rsidRDefault="003500DB" w:rsidP="003500DB">
      <w:pPr>
        <w:pBdr>
          <w:top w:val="single" w:sz="12" w:space="1" w:color="auto"/>
        </w:pBdr>
        <w:spacing w:after="0" w:line="240" w:lineRule="auto"/>
        <w:jc w:val="both"/>
        <w:rPr>
          <w:rFonts w:ascii="Times New Roman" w:eastAsia="Times New Roman" w:hAnsi="Times New Roman"/>
          <w:sz w:val="24"/>
          <w:szCs w:val="24"/>
        </w:rPr>
      </w:pPr>
    </w:p>
    <w:p w14:paraId="2C3EA78E" w14:textId="77777777" w:rsidR="003500DB" w:rsidRPr="003320AB" w:rsidRDefault="003500DB" w:rsidP="003500DB">
      <w:pPr>
        <w:spacing w:before="60" w:after="60" w:line="240" w:lineRule="auto"/>
        <w:ind w:left="720" w:hanging="720"/>
        <w:rPr>
          <w:rFonts w:ascii="Arial" w:eastAsia="Times New Roman" w:hAnsi="Arial" w:cs="Arial"/>
          <w:b/>
          <w:bCs/>
          <w:sz w:val="24"/>
          <w:szCs w:val="20"/>
        </w:rPr>
      </w:pPr>
      <w:r w:rsidRPr="003320AB">
        <w:rPr>
          <w:rFonts w:ascii="Arial" w:eastAsia="Times New Roman" w:hAnsi="Arial" w:cs="Arial"/>
          <w:b/>
          <w:bCs/>
          <w:sz w:val="24"/>
          <w:szCs w:val="20"/>
        </w:rPr>
        <w:t>1</w:t>
      </w:r>
      <w:r w:rsidRPr="003320AB">
        <w:rPr>
          <w:rFonts w:ascii="Arial" w:eastAsia="Times New Roman" w:hAnsi="Arial" w:cs="Arial"/>
          <w:b/>
          <w:bCs/>
          <w:sz w:val="24"/>
          <w:szCs w:val="20"/>
        </w:rPr>
        <w:tab/>
        <w:t>Name of instrument</w:t>
      </w:r>
    </w:p>
    <w:p w14:paraId="7AAECC6C" w14:textId="77777777" w:rsidR="003500DB" w:rsidRPr="003320AB" w:rsidRDefault="003500DB" w:rsidP="003500DB">
      <w:pPr>
        <w:spacing w:before="140" w:after="0" w:line="240" w:lineRule="auto"/>
        <w:ind w:left="720"/>
        <w:rPr>
          <w:rFonts w:ascii="Times New Roman" w:eastAsia="Times New Roman" w:hAnsi="Times New Roman"/>
          <w:sz w:val="24"/>
          <w:szCs w:val="20"/>
        </w:rPr>
      </w:pPr>
      <w:r w:rsidRPr="003320AB">
        <w:rPr>
          <w:rFonts w:ascii="Times New Roman" w:eastAsia="Times New Roman" w:hAnsi="Times New Roman"/>
          <w:sz w:val="24"/>
          <w:szCs w:val="20"/>
        </w:rPr>
        <w:t xml:space="preserve">This instrument is the </w:t>
      </w:r>
      <w:r w:rsidRPr="001F6CD7">
        <w:rPr>
          <w:rFonts w:ascii="Times New Roman" w:eastAsia="Times New Roman" w:hAnsi="Times New Roman"/>
          <w:bCs/>
          <w:i/>
          <w:iCs/>
          <w:sz w:val="24"/>
          <w:szCs w:val="20"/>
        </w:rPr>
        <w:t xml:space="preserve">Crimes (Sentence Administration) </w:t>
      </w:r>
      <w:r w:rsidRPr="00004A13">
        <w:rPr>
          <w:rFonts w:ascii="Times New Roman" w:eastAsia="Times New Roman" w:hAnsi="Times New Roman"/>
          <w:bCs/>
          <w:i/>
          <w:iCs/>
          <w:sz w:val="24"/>
          <w:szCs w:val="20"/>
        </w:rPr>
        <w:t>Good Behaviour Order</w:t>
      </w:r>
      <w:r>
        <w:rPr>
          <w:rFonts w:ascii="Times New Roman" w:eastAsia="Times New Roman" w:hAnsi="Times New Roman"/>
          <w:bCs/>
          <w:i/>
          <w:iCs/>
          <w:sz w:val="24"/>
          <w:szCs w:val="20"/>
        </w:rPr>
        <w:t xml:space="preserve"> Breach</w:t>
      </w:r>
      <w:r w:rsidRPr="00004A13">
        <w:rPr>
          <w:rFonts w:ascii="Times New Roman" w:eastAsia="Times New Roman" w:hAnsi="Times New Roman"/>
          <w:bCs/>
          <w:i/>
          <w:iCs/>
          <w:sz w:val="24"/>
          <w:szCs w:val="20"/>
        </w:rPr>
        <w:t xml:space="preserve"> </w:t>
      </w:r>
      <w:r>
        <w:rPr>
          <w:rFonts w:ascii="Times New Roman" w:eastAsia="Times New Roman" w:hAnsi="Times New Roman"/>
          <w:bCs/>
          <w:i/>
          <w:iCs/>
          <w:sz w:val="24"/>
          <w:szCs w:val="20"/>
        </w:rPr>
        <w:t>Guideline</w:t>
      </w:r>
      <w:r w:rsidRPr="00004A13">
        <w:rPr>
          <w:rFonts w:ascii="Times New Roman" w:eastAsia="Times New Roman" w:hAnsi="Times New Roman"/>
          <w:bCs/>
          <w:i/>
          <w:iCs/>
          <w:sz w:val="24"/>
          <w:szCs w:val="20"/>
        </w:rPr>
        <w:t xml:space="preserve"> </w:t>
      </w:r>
      <w:r w:rsidRPr="001F6CD7">
        <w:rPr>
          <w:rFonts w:ascii="Times New Roman" w:eastAsia="Times New Roman" w:hAnsi="Times New Roman"/>
          <w:bCs/>
          <w:i/>
          <w:iCs/>
          <w:sz w:val="24"/>
          <w:szCs w:val="20"/>
        </w:rPr>
        <w:t>2023</w:t>
      </w:r>
      <w:r w:rsidRPr="003320AB">
        <w:rPr>
          <w:rFonts w:ascii="Times New Roman" w:eastAsia="Times New Roman" w:hAnsi="Times New Roman"/>
          <w:sz w:val="24"/>
          <w:szCs w:val="20"/>
        </w:rPr>
        <w:t>.</w:t>
      </w:r>
    </w:p>
    <w:p w14:paraId="1EE54346" w14:textId="77777777" w:rsidR="003500DB" w:rsidRPr="003320AB" w:rsidRDefault="003500DB" w:rsidP="003500DB">
      <w:pPr>
        <w:spacing w:before="300" w:after="0" w:line="240" w:lineRule="auto"/>
        <w:ind w:left="720" w:hanging="720"/>
        <w:rPr>
          <w:rFonts w:ascii="Arial" w:eastAsia="Times New Roman" w:hAnsi="Arial" w:cs="Arial"/>
          <w:b/>
          <w:bCs/>
          <w:sz w:val="24"/>
          <w:szCs w:val="20"/>
        </w:rPr>
      </w:pPr>
      <w:r w:rsidRPr="003320AB">
        <w:rPr>
          <w:rFonts w:ascii="Arial" w:eastAsia="Times New Roman" w:hAnsi="Arial" w:cs="Arial"/>
          <w:b/>
          <w:bCs/>
          <w:sz w:val="24"/>
          <w:szCs w:val="20"/>
        </w:rPr>
        <w:t>2</w:t>
      </w:r>
      <w:r w:rsidRPr="003320AB">
        <w:rPr>
          <w:rFonts w:ascii="Arial" w:eastAsia="Times New Roman" w:hAnsi="Arial" w:cs="Arial"/>
          <w:b/>
          <w:bCs/>
          <w:sz w:val="24"/>
          <w:szCs w:val="20"/>
        </w:rPr>
        <w:tab/>
        <w:t>Commencement</w:t>
      </w:r>
    </w:p>
    <w:p w14:paraId="5C52879B" w14:textId="77777777" w:rsidR="003500DB" w:rsidRPr="003320AB" w:rsidRDefault="003500DB" w:rsidP="003500DB">
      <w:pPr>
        <w:spacing w:before="140" w:after="0" w:line="240" w:lineRule="auto"/>
        <w:ind w:left="720"/>
        <w:rPr>
          <w:rFonts w:ascii="Times New Roman" w:eastAsia="Times New Roman" w:hAnsi="Times New Roman"/>
          <w:sz w:val="24"/>
          <w:szCs w:val="20"/>
        </w:rPr>
      </w:pPr>
      <w:r w:rsidRPr="003320AB">
        <w:rPr>
          <w:rFonts w:ascii="Times New Roman" w:eastAsia="Times New Roman" w:hAnsi="Times New Roman"/>
          <w:sz w:val="24"/>
          <w:szCs w:val="20"/>
        </w:rPr>
        <w:t>This instrument commences on the day after its notification day.</w:t>
      </w:r>
    </w:p>
    <w:p w14:paraId="65292178" w14:textId="77777777" w:rsidR="003500DB" w:rsidRPr="003320AB" w:rsidRDefault="003500DB" w:rsidP="003500DB">
      <w:pPr>
        <w:spacing w:before="300" w:after="0" w:line="240" w:lineRule="auto"/>
        <w:ind w:left="720" w:hanging="720"/>
        <w:rPr>
          <w:rFonts w:ascii="Arial" w:eastAsia="Times New Roman" w:hAnsi="Arial" w:cs="Arial"/>
          <w:b/>
          <w:bCs/>
          <w:sz w:val="24"/>
          <w:szCs w:val="20"/>
        </w:rPr>
      </w:pPr>
      <w:r w:rsidRPr="003320AB">
        <w:rPr>
          <w:rFonts w:ascii="Arial" w:eastAsia="Times New Roman" w:hAnsi="Arial" w:cs="Arial"/>
          <w:b/>
          <w:bCs/>
          <w:sz w:val="24"/>
          <w:szCs w:val="20"/>
        </w:rPr>
        <w:t>3</w:t>
      </w:r>
      <w:r w:rsidRPr="003320AB">
        <w:rPr>
          <w:rFonts w:ascii="Arial" w:eastAsia="Times New Roman" w:hAnsi="Arial" w:cs="Arial"/>
          <w:b/>
          <w:bCs/>
          <w:sz w:val="24"/>
          <w:szCs w:val="20"/>
        </w:rPr>
        <w:tab/>
      </w:r>
      <w:r>
        <w:rPr>
          <w:rFonts w:ascii="Arial" w:eastAsia="Times New Roman" w:hAnsi="Arial" w:cs="Arial"/>
          <w:b/>
          <w:bCs/>
          <w:sz w:val="24"/>
          <w:szCs w:val="20"/>
        </w:rPr>
        <w:t>Policy</w:t>
      </w:r>
    </w:p>
    <w:p w14:paraId="75F5E277" w14:textId="77777777" w:rsidR="003500DB" w:rsidRDefault="003500DB" w:rsidP="003500DB">
      <w:pPr>
        <w:spacing w:before="140" w:after="0" w:line="240" w:lineRule="auto"/>
        <w:ind w:left="720"/>
        <w:rPr>
          <w:rFonts w:ascii="Times New Roman" w:eastAsia="Times New Roman" w:hAnsi="Times New Roman"/>
          <w:sz w:val="24"/>
          <w:szCs w:val="20"/>
        </w:rPr>
      </w:pPr>
      <w:r>
        <w:rPr>
          <w:rFonts w:ascii="Times New Roman" w:eastAsia="Times New Roman" w:hAnsi="Times New Roman"/>
          <w:sz w:val="24"/>
          <w:szCs w:val="20"/>
        </w:rPr>
        <w:t xml:space="preserve">I make the attached </w:t>
      </w:r>
      <w:r w:rsidRPr="00004A13">
        <w:rPr>
          <w:rFonts w:ascii="Times New Roman" w:eastAsia="Times New Roman" w:hAnsi="Times New Roman"/>
          <w:bCs/>
          <w:i/>
          <w:iCs/>
          <w:sz w:val="24"/>
          <w:szCs w:val="20"/>
        </w:rPr>
        <w:t>Good Behaviour Order</w:t>
      </w:r>
      <w:r>
        <w:rPr>
          <w:rFonts w:ascii="Times New Roman" w:eastAsia="Times New Roman" w:hAnsi="Times New Roman"/>
          <w:bCs/>
          <w:i/>
          <w:iCs/>
          <w:sz w:val="24"/>
          <w:szCs w:val="20"/>
        </w:rPr>
        <w:t xml:space="preserve"> Breach</w:t>
      </w:r>
      <w:r w:rsidRPr="00004A13">
        <w:rPr>
          <w:rFonts w:ascii="Times New Roman" w:eastAsia="Times New Roman" w:hAnsi="Times New Roman"/>
          <w:bCs/>
          <w:i/>
          <w:iCs/>
          <w:sz w:val="24"/>
          <w:szCs w:val="20"/>
        </w:rPr>
        <w:t xml:space="preserve"> </w:t>
      </w:r>
      <w:r>
        <w:rPr>
          <w:rFonts w:ascii="Times New Roman" w:eastAsia="Times New Roman" w:hAnsi="Times New Roman"/>
          <w:bCs/>
          <w:i/>
          <w:iCs/>
          <w:sz w:val="24"/>
          <w:szCs w:val="20"/>
        </w:rPr>
        <w:t>Guideline</w:t>
      </w:r>
      <w:r>
        <w:rPr>
          <w:rFonts w:ascii="Times New Roman" w:eastAsia="Times New Roman" w:hAnsi="Times New Roman"/>
          <w:sz w:val="24"/>
          <w:szCs w:val="20"/>
        </w:rPr>
        <w:t>.</w:t>
      </w:r>
    </w:p>
    <w:bookmarkEnd w:id="0"/>
    <w:p w14:paraId="74FDE251" w14:textId="77777777" w:rsidR="003500DB" w:rsidRDefault="003500DB" w:rsidP="003500DB">
      <w:pPr>
        <w:widowControl w:val="0"/>
        <w:tabs>
          <w:tab w:val="left" w:pos="90"/>
        </w:tabs>
        <w:autoSpaceDE w:val="0"/>
        <w:autoSpaceDN w:val="0"/>
        <w:adjustRightInd w:val="0"/>
        <w:spacing w:before="801" w:after="0" w:line="240" w:lineRule="auto"/>
        <w:rPr>
          <w:rFonts w:ascii="Times New Roman" w:eastAsia="Times New Roman" w:hAnsi="Times New Roman"/>
          <w:color w:val="000000"/>
          <w:sz w:val="24"/>
          <w:szCs w:val="24"/>
          <w:lang w:eastAsia="en-AU"/>
        </w:rPr>
      </w:pPr>
    </w:p>
    <w:p w14:paraId="4AE03DA1" w14:textId="77777777" w:rsidR="003500DB" w:rsidRPr="003320AB" w:rsidRDefault="003500DB" w:rsidP="003500DB">
      <w:pPr>
        <w:widowControl w:val="0"/>
        <w:tabs>
          <w:tab w:val="left" w:pos="90"/>
        </w:tabs>
        <w:autoSpaceDE w:val="0"/>
        <w:autoSpaceDN w:val="0"/>
        <w:adjustRightInd w:val="0"/>
        <w:spacing w:before="801"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Jennifer McNeill</w:t>
      </w:r>
    </w:p>
    <w:p w14:paraId="17A91B3D" w14:textId="77777777" w:rsidR="003500DB" w:rsidRDefault="003500DB" w:rsidP="003500DB">
      <w:pPr>
        <w:widowControl w:val="0"/>
        <w:tabs>
          <w:tab w:val="left" w:pos="90"/>
        </w:tabs>
        <w:autoSpaceDE w:val="0"/>
        <w:autoSpaceDN w:val="0"/>
        <w:adjustRightInd w:val="0"/>
        <w:spacing w:before="10"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Acting Director-General</w:t>
      </w:r>
    </w:p>
    <w:p w14:paraId="4D86AD27" w14:textId="77777777" w:rsidR="003500DB" w:rsidRDefault="003500DB" w:rsidP="003500DB">
      <w:pPr>
        <w:widowControl w:val="0"/>
        <w:tabs>
          <w:tab w:val="left" w:pos="90"/>
        </w:tabs>
        <w:autoSpaceDE w:val="0"/>
        <w:autoSpaceDN w:val="0"/>
        <w:adjustRightInd w:val="0"/>
        <w:spacing w:before="10"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28 September </w:t>
      </w:r>
      <w:r w:rsidRPr="003320AB">
        <w:rPr>
          <w:rFonts w:ascii="Times New Roman" w:eastAsia="Times New Roman" w:hAnsi="Times New Roman"/>
          <w:color w:val="000000"/>
          <w:sz w:val="24"/>
          <w:szCs w:val="24"/>
          <w:lang w:eastAsia="en-AU"/>
        </w:rPr>
        <w:t>202</w:t>
      </w:r>
      <w:r>
        <w:rPr>
          <w:rFonts w:ascii="Times New Roman" w:eastAsia="Times New Roman" w:hAnsi="Times New Roman"/>
          <w:color w:val="000000"/>
          <w:sz w:val="24"/>
          <w:szCs w:val="24"/>
          <w:lang w:eastAsia="en-AU"/>
        </w:rPr>
        <w:t>3</w:t>
      </w:r>
    </w:p>
    <w:p w14:paraId="42ADA1A3" w14:textId="77777777" w:rsidR="003500DB" w:rsidRDefault="003500DB" w:rsidP="003500DB">
      <w:pPr>
        <w:widowControl w:val="0"/>
        <w:tabs>
          <w:tab w:val="left" w:pos="90"/>
        </w:tabs>
        <w:autoSpaceDE w:val="0"/>
        <w:autoSpaceDN w:val="0"/>
        <w:adjustRightInd w:val="0"/>
        <w:spacing w:before="10" w:after="0" w:line="240" w:lineRule="auto"/>
        <w:rPr>
          <w:rFonts w:ascii="Times New Roman" w:eastAsia="Times New Roman" w:hAnsi="Times New Roman"/>
          <w:color w:val="000000"/>
          <w:sz w:val="24"/>
          <w:szCs w:val="24"/>
          <w:lang w:eastAsia="en-AU"/>
        </w:rPr>
      </w:pPr>
    </w:p>
    <w:p w14:paraId="29936D29" w14:textId="77777777" w:rsidR="003500DB" w:rsidRDefault="003500DB" w:rsidP="003500DB">
      <w:pPr>
        <w:widowControl w:val="0"/>
        <w:tabs>
          <w:tab w:val="left" w:pos="90"/>
        </w:tabs>
        <w:autoSpaceDE w:val="0"/>
        <w:autoSpaceDN w:val="0"/>
        <w:adjustRightInd w:val="0"/>
        <w:spacing w:before="10" w:after="0" w:line="240" w:lineRule="auto"/>
        <w:rPr>
          <w:rFonts w:ascii="Times New Roman" w:eastAsia="Times New Roman" w:hAnsi="Times New Roman"/>
          <w:color w:val="000000"/>
          <w:sz w:val="24"/>
          <w:szCs w:val="24"/>
          <w:lang w:eastAsia="en-AU"/>
        </w:rPr>
      </w:pPr>
    </w:p>
    <w:p w14:paraId="0D0EF1BF" w14:textId="77777777" w:rsidR="003500DB" w:rsidRPr="00AD71FE" w:rsidRDefault="003500DB" w:rsidP="003500DB">
      <w:pPr>
        <w:widowControl w:val="0"/>
        <w:tabs>
          <w:tab w:val="left" w:pos="90"/>
        </w:tabs>
        <w:autoSpaceDE w:val="0"/>
        <w:autoSpaceDN w:val="0"/>
        <w:adjustRightInd w:val="0"/>
        <w:spacing w:before="10" w:after="0" w:line="240" w:lineRule="auto"/>
        <w:rPr>
          <w:rFonts w:ascii="Times New Roman" w:eastAsia="Times New Roman" w:hAnsi="Times New Roman"/>
          <w:color w:val="000000"/>
          <w:sz w:val="24"/>
          <w:szCs w:val="24"/>
          <w:lang w:eastAsia="en-AU"/>
        </w:rPr>
      </w:pPr>
    </w:p>
    <w:p w14:paraId="260B96C8" w14:textId="77777777" w:rsidR="003500DB" w:rsidRDefault="003500DB">
      <w:pPr>
        <w:sectPr w:rsidR="003500DB" w:rsidSect="003500DB">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20" w:gutter="0"/>
          <w:cols w:space="708"/>
          <w:titlePg/>
          <w:docGrid w:linePitch="360"/>
        </w:sectPr>
      </w:pPr>
    </w:p>
    <w:tbl>
      <w:tblPr>
        <w:tblStyle w:val="TableGrid"/>
        <w:tblW w:w="0" w:type="auto"/>
        <w:tblLook w:val="04A0" w:firstRow="1" w:lastRow="0" w:firstColumn="1" w:lastColumn="0" w:noHBand="0" w:noVBand="1"/>
      </w:tblPr>
      <w:tblGrid>
        <w:gridCol w:w="3022"/>
        <w:gridCol w:w="5994"/>
      </w:tblGrid>
      <w:tr w:rsidR="007B3718" w:rsidRPr="00586F66" w14:paraId="3F363F6A" w14:textId="77777777" w:rsidTr="003500DB">
        <w:tc>
          <w:tcPr>
            <w:tcW w:w="3022" w:type="dxa"/>
            <w:shd w:val="clear" w:color="auto" w:fill="95B3D7" w:themeFill="accent1" w:themeFillTint="99"/>
          </w:tcPr>
          <w:p w14:paraId="4E8142B6" w14:textId="64A9CF7D" w:rsidR="007B3718" w:rsidRPr="00202B3A" w:rsidRDefault="002951E7" w:rsidP="004D1932">
            <w:pPr>
              <w:spacing w:before="120" w:after="120"/>
              <w:rPr>
                <w:rFonts w:cs="Arial"/>
                <w:b/>
              </w:rPr>
            </w:pPr>
            <w:r>
              <w:rPr>
                <w:rFonts w:cs="Arial"/>
                <w:b/>
              </w:rPr>
              <w:lastRenderedPageBreak/>
              <w:t>GUIDELINE</w:t>
            </w:r>
          </w:p>
        </w:tc>
        <w:tc>
          <w:tcPr>
            <w:tcW w:w="5994" w:type="dxa"/>
            <w:shd w:val="clear" w:color="auto" w:fill="95B3D7" w:themeFill="accent1" w:themeFillTint="99"/>
          </w:tcPr>
          <w:p w14:paraId="4FE92B7D" w14:textId="576BA351" w:rsidR="007B3718" w:rsidRPr="00202B3A" w:rsidRDefault="00943C80" w:rsidP="004740A6">
            <w:pPr>
              <w:spacing w:before="120" w:after="120"/>
              <w:rPr>
                <w:rFonts w:cs="Arial"/>
                <w:b/>
              </w:rPr>
            </w:pPr>
            <w:r>
              <w:rPr>
                <w:rFonts w:cs="Arial"/>
                <w:b/>
              </w:rPr>
              <w:t xml:space="preserve">Good Behaviour Order </w:t>
            </w:r>
            <w:r w:rsidR="00634821">
              <w:rPr>
                <w:rFonts w:cs="Arial"/>
                <w:b/>
              </w:rPr>
              <w:t>Breach</w:t>
            </w:r>
            <w:r>
              <w:rPr>
                <w:rFonts w:cs="Arial"/>
                <w:b/>
              </w:rPr>
              <w:t xml:space="preserve"> </w:t>
            </w:r>
            <w:r w:rsidR="00B52186">
              <w:rPr>
                <w:rFonts w:cs="Arial"/>
                <w:b/>
              </w:rPr>
              <w:t>Guideline</w:t>
            </w:r>
          </w:p>
        </w:tc>
      </w:tr>
      <w:tr w:rsidR="003A3CF7" w:rsidRPr="00586F66" w14:paraId="6738EF0F" w14:textId="77777777" w:rsidTr="003500DB">
        <w:tc>
          <w:tcPr>
            <w:tcW w:w="3022" w:type="dxa"/>
          </w:tcPr>
          <w:p w14:paraId="1F2B99A8" w14:textId="26646313" w:rsidR="003A3CF7" w:rsidRPr="00586F66" w:rsidRDefault="002951E7" w:rsidP="004D1932">
            <w:pPr>
              <w:spacing w:before="120" w:after="120"/>
              <w:rPr>
                <w:rFonts w:cs="Arial"/>
                <w:b/>
              </w:rPr>
            </w:pPr>
            <w:r>
              <w:rPr>
                <w:rFonts w:cs="Arial"/>
                <w:b/>
              </w:rPr>
              <w:t>GUIDELINE</w:t>
            </w:r>
            <w:r w:rsidR="00B84A5B">
              <w:rPr>
                <w:rFonts w:cs="Arial"/>
                <w:b/>
              </w:rPr>
              <w:t xml:space="preserve"> NO.</w:t>
            </w:r>
          </w:p>
        </w:tc>
        <w:tc>
          <w:tcPr>
            <w:tcW w:w="5994" w:type="dxa"/>
          </w:tcPr>
          <w:p w14:paraId="66B274D5" w14:textId="55ED4EF2" w:rsidR="003A3CF7" w:rsidRPr="00586F66" w:rsidRDefault="002774BF" w:rsidP="00CF03FA">
            <w:pPr>
              <w:spacing w:before="120" w:after="120"/>
              <w:rPr>
                <w:rFonts w:cs="Arial"/>
                <w:b/>
              </w:rPr>
            </w:pPr>
            <w:r>
              <w:rPr>
                <w:rFonts w:cs="Arial"/>
                <w:b/>
              </w:rPr>
              <w:t>C36.1</w:t>
            </w:r>
          </w:p>
        </w:tc>
      </w:tr>
      <w:tr w:rsidR="00510017" w:rsidRPr="00586F66" w14:paraId="2AE5F983" w14:textId="77777777" w:rsidTr="003500DB">
        <w:tc>
          <w:tcPr>
            <w:tcW w:w="3022" w:type="dxa"/>
          </w:tcPr>
          <w:p w14:paraId="0E3810EE" w14:textId="77777777" w:rsidR="00510017" w:rsidRPr="00586F66" w:rsidRDefault="00586F66" w:rsidP="00510017">
            <w:pPr>
              <w:spacing w:before="120" w:after="120"/>
              <w:rPr>
                <w:rFonts w:cs="Arial"/>
                <w:b/>
              </w:rPr>
            </w:pPr>
            <w:r>
              <w:rPr>
                <w:rFonts w:cs="Arial"/>
                <w:b/>
              </w:rPr>
              <w:t>SCOPE</w:t>
            </w:r>
          </w:p>
        </w:tc>
        <w:tc>
          <w:tcPr>
            <w:tcW w:w="5994" w:type="dxa"/>
            <w:shd w:val="clear" w:color="auto" w:fill="auto"/>
          </w:tcPr>
          <w:p w14:paraId="17EE4551" w14:textId="15851010" w:rsidR="00510017" w:rsidRPr="00FF23D8" w:rsidRDefault="00634821" w:rsidP="00132DBB">
            <w:pPr>
              <w:spacing w:before="120" w:after="120"/>
              <w:rPr>
                <w:rFonts w:cs="Arial"/>
                <w:b/>
                <w:highlight w:val="lightGray"/>
              </w:rPr>
            </w:pPr>
            <w:r>
              <w:rPr>
                <w:rFonts w:cs="Arial"/>
                <w:b/>
              </w:rPr>
              <w:t xml:space="preserve">Community </w:t>
            </w:r>
            <w:r w:rsidR="00D46A38">
              <w:rPr>
                <w:rFonts w:cs="Arial"/>
                <w:b/>
              </w:rPr>
              <w:t>Operations</w:t>
            </w:r>
          </w:p>
        </w:tc>
      </w:tr>
    </w:tbl>
    <w:p w14:paraId="53A1DC33" w14:textId="3D2CF83F" w:rsidR="008C1D7D" w:rsidRDefault="00E62FBC" w:rsidP="006268DA">
      <w:pPr>
        <w:pStyle w:val="Heading11"/>
      </w:pPr>
      <w:r w:rsidRPr="00586F66">
        <w:t>PURPOSE</w:t>
      </w:r>
    </w:p>
    <w:p w14:paraId="0389608E" w14:textId="23F80C2D" w:rsidR="00CA5293" w:rsidRDefault="00CA5293" w:rsidP="006268DA">
      <w:pPr>
        <w:pStyle w:val="Normaltext"/>
        <w:rPr>
          <w:i/>
          <w:iCs/>
        </w:rPr>
      </w:pPr>
      <w:r>
        <w:t>To provide instruction to</w:t>
      </w:r>
      <w:r w:rsidR="00522D99">
        <w:t xml:space="preserve"> </w:t>
      </w:r>
      <w:r w:rsidR="00634821">
        <w:t>a Community Corrections Officer (CCO)</w:t>
      </w:r>
      <w:r w:rsidR="00D46A38">
        <w:t xml:space="preserve"> or Case Manager (CM)</w:t>
      </w:r>
      <w:r w:rsidR="00634821">
        <w:t xml:space="preserve"> if they believe on reasonable grounds that an offender has breached any of their Good Behaviour Order obligations as per s102 of the </w:t>
      </w:r>
      <w:r w:rsidR="00634821" w:rsidRPr="00C82B1C">
        <w:rPr>
          <w:i/>
          <w:iCs/>
          <w:u w:val="single"/>
        </w:rPr>
        <w:t>Crimes (Sentence Administration) Act 2005</w:t>
      </w:r>
      <w:r w:rsidR="002951E7" w:rsidRPr="0037745C">
        <w:rPr>
          <w:i/>
          <w:iCs/>
        </w:rPr>
        <w:t>.</w:t>
      </w:r>
    </w:p>
    <w:p w14:paraId="05A0B3A5" w14:textId="23DF0702" w:rsidR="00A30F3D" w:rsidRDefault="002951E7" w:rsidP="006268DA">
      <w:pPr>
        <w:pStyle w:val="Normaltext"/>
        <w:rPr>
          <w:bCs/>
        </w:rPr>
      </w:pPr>
      <w:r>
        <w:rPr>
          <w:bCs/>
        </w:rPr>
        <w:t xml:space="preserve">In accordance with s102 of the </w:t>
      </w:r>
      <w:r w:rsidRPr="00C82B1C">
        <w:rPr>
          <w:i/>
          <w:iCs/>
          <w:u w:val="single"/>
        </w:rPr>
        <w:t>Crimes (Sentence Administration) Act 200</w:t>
      </w:r>
      <w:r>
        <w:rPr>
          <w:i/>
          <w:iCs/>
          <w:u w:val="single"/>
        </w:rPr>
        <w:t>5</w:t>
      </w:r>
      <w:r w:rsidRPr="0037745C">
        <w:rPr>
          <w:i/>
          <w:iCs/>
        </w:rPr>
        <w:t xml:space="preserve"> </w:t>
      </w:r>
      <w:r w:rsidRPr="0037745C">
        <w:t>this</w:t>
      </w:r>
      <w:r w:rsidRPr="007C5C3D">
        <w:rPr>
          <w:bCs/>
        </w:rPr>
        <w:t xml:space="preserve"> guideline </w:t>
      </w:r>
      <w:r>
        <w:rPr>
          <w:bCs/>
        </w:rPr>
        <w:t>sets out:</w:t>
      </w:r>
    </w:p>
    <w:p w14:paraId="0C3E6D54" w14:textId="3031F29B" w:rsidR="002951E7" w:rsidRDefault="002951E7" w:rsidP="002951E7">
      <w:pPr>
        <w:pStyle w:val="Normaltext"/>
        <w:numPr>
          <w:ilvl w:val="0"/>
          <w:numId w:val="28"/>
        </w:numPr>
        <w:rPr>
          <w:bCs/>
        </w:rPr>
      </w:pPr>
      <w:r>
        <w:rPr>
          <w:bCs/>
        </w:rPr>
        <w:t>The matters a CCO or CM must consider before warning an offen</w:t>
      </w:r>
      <w:r w:rsidR="00002456">
        <w:rPr>
          <w:bCs/>
        </w:rPr>
        <w:t>der before warning an offender (sections 3</w:t>
      </w:r>
      <w:r w:rsidR="00B52186">
        <w:rPr>
          <w:bCs/>
        </w:rPr>
        <w:t xml:space="preserve"> and 4)</w:t>
      </w:r>
      <w:r w:rsidR="00002456">
        <w:rPr>
          <w:bCs/>
        </w:rPr>
        <w:t>;</w:t>
      </w:r>
    </w:p>
    <w:p w14:paraId="0B6C2B04" w14:textId="3ECC37AF" w:rsidR="00002456" w:rsidRDefault="00002456" w:rsidP="002951E7">
      <w:pPr>
        <w:pStyle w:val="Normaltext"/>
        <w:numPr>
          <w:ilvl w:val="0"/>
          <w:numId w:val="28"/>
        </w:numPr>
        <w:rPr>
          <w:bCs/>
        </w:rPr>
      </w:pPr>
      <w:r>
        <w:rPr>
          <w:bCs/>
        </w:rPr>
        <w:t>Procedures about how and when a CCO or CM may warn an offender (sections 1</w:t>
      </w:r>
      <w:r w:rsidR="00B52186">
        <w:rPr>
          <w:bCs/>
        </w:rPr>
        <w:t>, 4 and 6)</w:t>
      </w:r>
      <w:r>
        <w:rPr>
          <w:bCs/>
        </w:rPr>
        <w:t>; and</w:t>
      </w:r>
    </w:p>
    <w:p w14:paraId="6DBE9967" w14:textId="6C93BED3" w:rsidR="00002456" w:rsidRDefault="00002456" w:rsidP="002951E7">
      <w:pPr>
        <w:pStyle w:val="Normaltext"/>
        <w:numPr>
          <w:ilvl w:val="0"/>
          <w:numId w:val="28"/>
        </w:numPr>
        <w:rPr>
          <w:bCs/>
        </w:rPr>
      </w:pPr>
      <w:r>
        <w:rPr>
          <w:bCs/>
        </w:rPr>
        <w:t>The circumstances in which a CCO or CM must report a reportable breach to the sentencing court (section</w:t>
      </w:r>
      <w:r w:rsidR="00B52186">
        <w:rPr>
          <w:bCs/>
        </w:rPr>
        <w:t>s</w:t>
      </w:r>
      <w:r>
        <w:rPr>
          <w:bCs/>
        </w:rPr>
        <w:t xml:space="preserve"> 2</w:t>
      </w:r>
      <w:r w:rsidR="00B52186">
        <w:rPr>
          <w:bCs/>
        </w:rPr>
        <w:t xml:space="preserve"> and 5).</w:t>
      </w:r>
      <w:r>
        <w:rPr>
          <w:bCs/>
        </w:rPr>
        <w:t xml:space="preserve"> </w:t>
      </w:r>
    </w:p>
    <w:p w14:paraId="7B0C9651" w14:textId="1F539B53" w:rsidR="00B52186" w:rsidRPr="007C5C3D" w:rsidRDefault="00B52186" w:rsidP="00B52186">
      <w:pPr>
        <w:pStyle w:val="Normaltext"/>
        <w:rPr>
          <w:bCs/>
        </w:rPr>
      </w:pPr>
      <w:r>
        <w:rPr>
          <w:bCs/>
        </w:rPr>
        <w:t xml:space="preserve">The Breaches of Good Behaviour Orders Policy is to be read in conjunction with this guideline and provides </w:t>
      </w:r>
      <w:r w:rsidR="00721895">
        <w:rPr>
          <w:bCs/>
        </w:rPr>
        <w:t xml:space="preserve">the overarching principles and context to support this guideline.  </w:t>
      </w:r>
      <w:r>
        <w:rPr>
          <w:bCs/>
        </w:rPr>
        <w:t xml:space="preserve"> </w:t>
      </w:r>
    </w:p>
    <w:p w14:paraId="4849DAC3" w14:textId="77777777" w:rsidR="00152D5E" w:rsidRPr="00586F66" w:rsidRDefault="004D1932" w:rsidP="006268DA">
      <w:pPr>
        <w:pStyle w:val="Heading11"/>
      </w:pPr>
      <w:r>
        <w:t>PROCEDURE</w:t>
      </w:r>
      <w:r w:rsidR="007B3718" w:rsidRPr="00586F66">
        <w:t>S</w:t>
      </w:r>
    </w:p>
    <w:p w14:paraId="4E3AAB30" w14:textId="3A23D005" w:rsidR="004404BE" w:rsidRDefault="003A29DA" w:rsidP="00573738">
      <w:pPr>
        <w:pStyle w:val="SectionHeading"/>
        <w:numPr>
          <w:ilvl w:val="0"/>
          <w:numId w:val="1"/>
        </w:numPr>
        <w:ind w:left="567" w:hanging="567"/>
      </w:pPr>
      <w:r>
        <w:t>Initial responses to non-compliance</w:t>
      </w:r>
    </w:p>
    <w:p w14:paraId="10832C07" w14:textId="77777777" w:rsidR="003A29DA" w:rsidRDefault="003A29DA" w:rsidP="00573738">
      <w:pPr>
        <w:pStyle w:val="Indenttext1"/>
        <w:numPr>
          <w:ilvl w:val="1"/>
          <w:numId w:val="1"/>
        </w:numPr>
        <w:ind w:left="567" w:hanging="567"/>
      </w:pPr>
      <w:r w:rsidRPr="0085426A">
        <w:t xml:space="preserve">Each instance of non-compliance </w:t>
      </w:r>
      <w:r>
        <w:t xml:space="preserve">by an offender </w:t>
      </w:r>
      <w:r w:rsidRPr="0085426A">
        <w:t xml:space="preserve">must be </w:t>
      </w:r>
      <w:r>
        <w:t>considered as a potential breach of good behaviour obligations, and only then can an assessment be made to decide whether discretion may be exercised to warn the offender.</w:t>
      </w:r>
    </w:p>
    <w:p w14:paraId="08280C2A" w14:textId="56B3944F" w:rsidR="00E16987" w:rsidRDefault="003A29DA" w:rsidP="00573738">
      <w:pPr>
        <w:pStyle w:val="Indenttext1"/>
        <w:numPr>
          <w:ilvl w:val="1"/>
          <w:numId w:val="1"/>
        </w:numPr>
        <w:ind w:left="567" w:hanging="567"/>
      </w:pPr>
      <w:r w:rsidRPr="00904B8E">
        <w:t>Following any instance of non-compliance, the CCO</w:t>
      </w:r>
      <w:r w:rsidR="00D46A38">
        <w:t>/CM</w:t>
      </w:r>
      <w:r w:rsidRPr="00904B8E">
        <w:t xml:space="preserve"> must attempt to contact the offender within 48 hours or two (2) business days to discuss and establish the reason/s for the non-compliance.</w:t>
      </w:r>
    </w:p>
    <w:p w14:paraId="43659D66" w14:textId="543E50F9" w:rsidR="00E16987" w:rsidRDefault="003A29DA" w:rsidP="00573738">
      <w:pPr>
        <w:pStyle w:val="Indenttext1"/>
        <w:numPr>
          <w:ilvl w:val="1"/>
          <w:numId w:val="1"/>
        </w:numPr>
        <w:ind w:left="567" w:hanging="567"/>
      </w:pPr>
      <w:r w:rsidRPr="00904B8E">
        <w:t>The CCO</w:t>
      </w:r>
      <w:r w:rsidR="00D46A38">
        <w:t>/CM</w:t>
      </w:r>
      <w:r w:rsidRPr="00904B8E">
        <w:t xml:space="preserve"> must consider all possible and appropriate methods of establishing contact with the offender, including the use of identified support persons. For example, a text message may be sent to the offender, particularly where it is uncommon for that person to answer phone calls.</w:t>
      </w:r>
    </w:p>
    <w:p w14:paraId="723D43A6" w14:textId="5A0E0255" w:rsidR="00E16987" w:rsidRDefault="003A29DA" w:rsidP="00573738">
      <w:pPr>
        <w:pStyle w:val="Indenttext1"/>
        <w:numPr>
          <w:ilvl w:val="1"/>
          <w:numId w:val="1"/>
        </w:numPr>
        <w:ind w:left="567" w:hanging="567"/>
      </w:pPr>
      <w:r w:rsidRPr="00904B8E">
        <w:t>Where phone or other attempts at contact has been unsuccessful, the CCO</w:t>
      </w:r>
      <w:r w:rsidR="00D46A38">
        <w:t>/CM</w:t>
      </w:r>
      <w:r w:rsidRPr="00904B8E">
        <w:t xml:space="preserve"> will send an SMS message and an express post letter to the offender directing them to report for supervision with this Service, noting a date and time within a one (1) week timeframe.</w:t>
      </w:r>
    </w:p>
    <w:p w14:paraId="3D3B204B" w14:textId="328D72A7" w:rsidR="003A29DA" w:rsidRPr="001F6496" w:rsidRDefault="00E16987" w:rsidP="003500DB">
      <w:pPr>
        <w:pStyle w:val="Indenttext1"/>
        <w:keepNext/>
        <w:numPr>
          <w:ilvl w:val="1"/>
          <w:numId w:val="1"/>
        </w:numPr>
        <w:ind w:left="567" w:hanging="567"/>
      </w:pPr>
      <w:r>
        <w:lastRenderedPageBreak/>
        <w:t>F</w:t>
      </w:r>
      <w:r w:rsidR="003A29DA" w:rsidRPr="00904B8E">
        <w:t>or high-risk offenders, particularly those who may represent</w:t>
      </w:r>
      <w:r w:rsidR="003A29DA" w:rsidRPr="009E777D">
        <w:t xml:space="preserve"> a physical risk to the safety of victims or the broader community, the CCO</w:t>
      </w:r>
      <w:r w:rsidR="00D46A38">
        <w:t>/CM</w:t>
      </w:r>
      <w:r w:rsidR="003A29DA" w:rsidRPr="009E777D">
        <w:t xml:space="preserve"> </w:t>
      </w:r>
      <w:r w:rsidR="00A45911">
        <w:t>must</w:t>
      </w:r>
      <w:r w:rsidR="003A29DA" w:rsidRPr="009E777D">
        <w:t xml:space="preserve"> consider a more urgent response.</w:t>
      </w:r>
    </w:p>
    <w:p w14:paraId="2FB44FC0" w14:textId="2E39F487" w:rsidR="00EE72AD" w:rsidRPr="00345DF5" w:rsidRDefault="003A29DA" w:rsidP="00573738">
      <w:pPr>
        <w:pStyle w:val="Indenttext1"/>
        <w:numPr>
          <w:ilvl w:val="1"/>
          <w:numId w:val="1"/>
        </w:numPr>
        <w:ind w:left="567" w:hanging="567"/>
      </w:pPr>
      <w:r>
        <w:t>Following any instance of non-compliance where the offender is under good behaviour obligations for any offence, the CCO</w:t>
      </w:r>
      <w:r w:rsidR="00D46A38">
        <w:t>/CM</w:t>
      </w:r>
      <w:r>
        <w:t xml:space="preserve"> must consider any information provided to them by another justice agency when exercising their obligations under this procedure </w:t>
      </w:r>
      <w:r w:rsidRPr="00345DF5">
        <w:t>at section</w:t>
      </w:r>
      <w:r w:rsidR="00345DF5">
        <w:t>s</w:t>
      </w:r>
      <w:r w:rsidRPr="00345DF5">
        <w:t xml:space="preserve"> </w:t>
      </w:r>
      <w:r w:rsidR="00345DF5" w:rsidRPr="00345DF5">
        <w:t>2</w:t>
      </w:r>
      <w:r w:rsidRPr="00345DF5">
        <w:t xml:space="preserve"> and</w:t>
      </w:r>
      <w:r w:rsidR="002F4244">
        <w:t> </w:t>
      </w:r>
      <w:r w:rsidR="00345DF5" w:rsidRPr="00345DF5">
        <w:t>3</w:t>
      </w:r>
      <w:r w:rsidRPr="00345DF5">
        <w:t>.</w:t>
      </w:r>
    </w:p>
    <w:p w14:paraId="6A989F6A" w14:textId="77777777" w:rsidR="007C5C3D" w:rsidRDefault="003A29DA" w:rsidP="007C5C3D">
      <w:pPr>
        <w:pStyle w:val="Indenttext1"/>
        <w:numPr>
          <w:ilvl w:val="1"/>
          <w:numId w:val="1"/>
        </w:numPr>
        <w:ind w:left="567" w:hanging="567"/>
      </w:pPr>
      <w:r>
        <w:t>Following any instance of non-compliance where the offender is under good behaviour obligations arising from an offence(s) against the person, the CCO</w:t>
      </w:r>
      <w:r w:rsidR="00D46A38">
        <w:t>/CM</w:t>
      </w:r>
      <w:r>
        <w:t xml:space="preserve"> must contact the ACT Victims Register Unit to confirm whether there is a registered victim of the offender. If there is a registered victim of the offender, the CCO</w:t>
      </w:r>
      <w:r w:rsidR="00D46A38">
        <w:t>/CM</w:t>
      </w:r>
      <w:r>
        <w:t xml:space="preserve"> must consider any information provided to them when exercising their obligations under this procedure </w:t>
      </w:r>
      <w:r w:rsidRPr="00345DF5">
        <w:t>at section</w:t>
      </w:r>
      <w:r w:rsidR="00345DF5">
        <w:t>s</w:t>
      </w:r>
      <w:r w:rsidRPr="00345DF5">
        <w:t xml:space="preserve"> </w:t>
      </w:r>
      <w:r w:rsidR="00345DF5" w:rsidRPr="00345DF5">
        <w:t>2</w:t>
      </w:r>
      <w:r w:rsidRPr="00345DF5">
        <w:t xml:space="preserve"> and </w:t>
      </w:r>
      <w:r w:rsidR="00345DF5" w:rsidRPr="00345DF5">
        <w:t>3</w:t>
      </w:r>
      <w:r w:rsidRPr="00345DF5">
        <w:t>.</w:t>
      </w:r>
    </w:p>
    <w:p w14:paraId="3E9806B8" w14:textId="77777777" w:rsidR="007C5C3D" w:rsidRDefault="007C5C3D" w:rsidP="007C5C3D">
      <w:pPr>
        <w:pStyle w:val="Indenttext1"/>
        <w:numPr>
          <w:ilvl w:val="0"/>
          <w:numId w:val="0"/>
        </w:numPr>
        <w:ind w:left="567"/>
      </w:pPr>
    </w:p>
    <w:p w14:paraId="041E93BB" w14:textId="7C28A6E8" w:rsidR="005F5687" w:rsidRPr="007C5C3D" w:rsidRDefault="00EE72AD" w:rsidP="00E11FBA">
      <w:pPr>
        <w:pStyle w:val="Indenttext1"/>
        <w:numPr>
          <w:ilvl w:val="0"/>
          <w:numId w:val="1"/>
        </w:numPr>
        <w:ind w:left="567" w:hanging="567"/>
        <w:rPr>
          <w:b/>
          <w:bCs/>
        </w:rPr>
      </w:pPr>
      <w:r w:rsidRPr="007C5C3D">
        <w:rPr>
          <w:b/>
          <w:bCs/>
        </w:rPr>
        <w:t>Exclusionary criteria – when discretion cannot be exercised</w:t>
      </w:r>
    </w:p>
    <w:p w14:paraId="510B92E7" w14:textId="3BEC4359" w:rsidR="005F5687" w:rsidRDefault="005F5687" w:rsidP="00573738">
      <w:pPr>
        <w:pStyle w:val="SectionHeading"/>
        <w:numPr>
          <w:ilvl w:val="1"/>
          <w:numId w:val="1"/>
        </w:numPr>
        <w:ind w:left="567" w:hanging="567"/>
        <w:rPr>
          <w:b w:val="0"/>
          <w:bCs w:val="0"/>
        </w:rPr>
      </w:pPr>
      <w:r w:rsidRPr="005F5687">
        <w:rPr>
          <w:b w:val="0"/>
          <w:bCs w:val="0"/>
        </w:rPr>
        <w:t>A CCO</w:t>
      </w:r>
      <w:r w:rsidR="00D46A38">
        <w:rPr>
          <w:b w:val="0"/>
          <w:bCs w:val="0"/>
        </w:rPr>
        <w:t>/CM</w:t>
      </w:r>
      <w:r w:rsidRPr="005F5687">
        <w:rPr>
          <w:b w:val="0"/>
          <w:bCs w:val="0"/>
        </w:rPr>
        <w:t xml:space="preserve"> must notify the sentencing Court if they believe on reasonable grounds that an offender has breached their good behaviour obligation(s), except in those circumstances where discretion may be applied to warn the offender.</w:t>
      </w:r>
    </w:p>
    <w:p w14:paraId="6F5F2BEC" w14:textId="113EFC03" w:rsidR="007A074E" w:rsidRPr="008023EA" w:rsidRDefault="005F5687" w:rsidP="00573738">
      <w:pPr>
        <w:pStyle w:val="SectionHeading"/>
        <w:numPr>
          <w:ilvl w:val="1"/>
          <w:numId w:val="1"/>
        </w:numPr>
        <w:ind w:left="567" w:hanging="567"/>
        <w:rPr>
          <w:b w:val="0"/>
          <w:bCs w:val="0"/>
        </w:rPr>
      </w:pPr>
      <w:r w:rsidRPr="008023EA">
        <w:rPr>
          <w:b w:val="0"/>
          <w:bCs w:val="0"/>
        </w:rPr>
        <w:t>A CCO</w:t>
      </w:r>
      <w:r w:rsidR="00D46A38">
        <w:rPr>
          <w:b w:val="0"/>
          <w:bCs w:val="0"/>
        </w:rPr>
        <w:t>/CM</w:t>
      </w:r>
      <w:r w:rsidRPr="008023EA">
        <w:rPr>
          <w:b w:val="0"/>
          <w:bCs w:val="0"/>
        </w:rPr>
        <w:t xml:space="preserve"> </w:t>
      </w:r>
      <w:r w:rsidRPr="008023EA">
        <w:rPr>
          <w:b w:val="0"/>
          <w:bCs w:val="0"/>
          <w:u w:val="single"/>
        </w:rPr>
        <w:t>cannot</w:t>
      </w:r>
      <w:r w:rsidRPr="008023EA">
        <w:rPr>
          <w:b w:val="0"/>
          <w:bCs w:val="0"/>
        </w:rPr>
        <w:t xml:space="preserve"> exercise discretion to issue a warning to an offender for a reportable breach where an offender satisfies </w:t>
      </w:r>
      <w:r w:rsidRPr="008023EA">
        <w:rPr>
          <w:b w:val="0"/>
          <w:bCs w:val="0"/>
          <w:u w:val="single"/>
        </w:rPr>
        <w:t>any</w:t>
      </w:r>
      <w:r w:rsidRPr="008023EA">
        <w:rPr>
          <w:b w:val="0"/>
          <w:bCs w:val="0"/>
        </w:rPr>
        <w:t xml:space="preserve"> of the </w:t>
      </w:r>
      <w:r w:rsidR="007A074E" w:rsidRPr="008023EA">
        <w:rPr>
          <w:b w:val="0"/>
          <w:bCs w:val="0"/>
        </w:rPr>
        <w:t xml:space="preserve">following </w:t>
      </w:r>
      <w:r w:rsidRPr="008023EA">
        <w:rPr>
          <w:b w:val="0"/>
          <w:bCs w:val="0"/>
        </w:rPr>
        <w:t>criteria</w:t>
      </w:r>
      <w:r w:rsidR="007A074E" w:rsidRPr="008023EA">
        <w:rPr>
          <w:b w:val="0"/>
          <w:bCs w:val="0"/>
        </w:rPr>
        <w:t>:</w:t>
      </w:r>
    </w:p>
    <w:p w14:paraId="783FE29A" w14:textId="0652CE95" w:rsidR="009326FC" w:rsidRDefault="009326FC" w:rsidP="00573738">
      <w:pPr>
        <w:pStyle w:val="ListParagraph"/>
        <w:numPr>
          <w:ilvl w:val="3"/>
          <w:numId w:val="15"/>
        </w:numPr>
        <w:spacing w:before="60" w:after="0"/>
        <w:contextualSpacing w:val="0"/>
      </w:pPr>
      <w:r w:rsidRPr="00904B8E">
        <w:t xml:space="preserve">has been charged with another offence </w:t>
      </w:r>
    </w:p>
    <w:p w14:paraId="01514D6B" w14:textId="513C97A3" w:rsidR="009326FC" w:rsidRDefault="009326FC" w:rsidP="00573738">
      <w:pPr>
        <w:pStyle w:val="ListParagraph"/>
        <w:numPr>
          <w:ilvl w:val="3"/>
          <w:numId w:val="15"/>
        </w:numPr>
        <w:spacing w:before="60" w:after="0"/>
        <w:contextualSpacing w:val="0"/>
      </w:pPr>
      <w:r w:rsidRPr="00904B8E">
        <w:t>has already been issued with two (2) discretionary warnings or has been reported to the sentencing court for any reportable breaches within the</w:t>
      </w:r>
      <w:r>
        <w:t xml:space="preserve"> past eight (8) weeks of the current non-compliance</w:t>
      </w:r>
    </w:p>
    <w:p w14:paraId="4DD66803" w14:textId="75C1E9E6" w:rsidR="009326FC" w:rsidRDefault="009326FC" w:rsidP="00573738">
      <w:pPr>
        <w:pStyle w:val="ListParagraph"/>
        <w:numPr>
          <w:ilvl w:val="3"/>
          <w:numId w:val="15"/>
        </w:numPr>
        <w:spacing w:before="60" w:after="0"/>
        <w:contextualSpacing w:val="0"/>
      </w:pPr>
      <w:r>
        <w:t>has already been issued with one (1) breach warning within the first eight (8) weeks of the commencement of their Good Behaviour Order</w:t>
      </w:r>
    </w:p>
    <w:p w14:paraId="0C1D88B3" w14:textId="2AEC614D" w:rsidR="009326FC" w:rsidRDefault="009326FC" w:rsidP="00573738">
      <w:pPr>
        <w:pStyle w:val="ListParagraph"/>
        <w:numPr>
          <w:ilvl w:val="3"/>
          <w:numId w:val="15"/>
        </w:numPr>
        <w:spacing w:before="60" w:after="0"/>
        <w:contextualSpacing w:val="0"/>
      </w:pPr>
      <w:r>
        <w:t>is unable to be contacted after five (5) working days</w:t>
      </w:r>
    </w:p>
    <w:p w14:paraId="28DAD01B" w14:textId="71DAEC00" w:rsidR="009326FC" w:rsidRPr="009326FC" w:rsidRDefault="009326FC" w:rsidP="00573738">
      <w:pPr>
        <w:pStyle w:val="ListParagraph"/>
        <w:numPr>
          <w:ilvl w:val="3"/>
          <w:numId w:val="15"/>
        </w:numPr>
        <w:spacing w:before="60" w:after="0"/>
        <w:contextualSpacing w:val="0"/>
      </w:pPr>
      <w:r>
        <w:t>refuses to acknowledge the reported non-compliance, including declining to sign breach warning documentation.</w:t>
      </w:r>
    </w:p>
    <w:p w14:paraId="53185833" w14:textId="37F5B788" w:rsidR="005F5687" w:rsidRPr="00C869EA" w:rsidRDefault="008023EA" w:rsidP="00573738">
      <w:pPr>
        <w:pStyle w:val="SectionHeading"/>
        <w:numPr>
          <w:ilvl w:val="0"/>
          <w:numId w:val="0"/>
        </w:numPr>
        <w:ind w:left="567" w:hanging="567"/>
        <w:rPr>
          <w:b w:val="0"/>
          <w:bCs w:val="0"/>
        </w:rPr>
      </w:pPr>
      <w:r>
        <w:rPr>
          <w:b w:val="0"/>
          <w:bCs w:val="0"/>
        </w:rPr>
        <w:t>2.3</w:t>
      </w:r>
      <w:r>
        <w:rPr>
          <w:b w:val="0"/>
          <w:bCs w:val="0"/>
        </w:rPr>
        <w:tab/>
      </w:r>
      <w:r w:rsidR="00C869EA">
        <w:rPr>
          <w:b w:val="0"/>
          <w:bCs w:val="0"/>
        </w:rPr>
        <w:t>For</w:t>
      </w:r>
      <w:r w:rsidR="005F5687" w:rsidRPr="00C869EA">
        <w:rPr>
          <w:b w:val="0"/>
          <w:bCs w:val="0"/>
        </w:rPr>
        <w:t xml:space="preserve"> an offender under good behaviour obligations arising from a </w:t>
      </w:r>
      <w:r w:rsidR="002F4244">
        <w:rPr>
          <w:b w:val="0"/>
          <w:bCs w:val="0"/>
        </w:rPr>
        <w:t>Domestic Family Violence (</w:t>
      </w:r>
      <w:r w:rsidR="005F5687" w:rsidRPr="00C869EA">
        <w:rPr>
          <w:b w:val="0"/>
          <w:bCs w:val="0"/>
        </w:rPr>
        <w:t>DFV</w:t>
      </w:r>
      <w:r w:rsidR="002F4244">
        <w:rPr>
          <w:b w:val="0"/>
          <w:bCs w:val="0"/>
        </w:rPr>
        <w:t>)</w:t>
      </w:r>
      <w:r w:rsidR="005F5687" w:rsidRPr="00C869EA">
        <w:rPr>
          <w:b w:val="0"/>
          <w:bCs w:val="0"/>
        </w:rPr>
        <w:t xml:space="preserve"> or </w:t>
      </w:r>
      <w:r w:rsidR="002F4244">
        <w:rPr>
          <w:b w:val="0"/>
          <w:bCs w:val="0"/>
        </w:rPr>
        <w:t>Sexual Violence</w:t>
      </w:r>
      <w:r w:rsidR="00C82B1C">
        <w:rPr>
          <w:b w:val="0"/>
          <w:bCs w:val="0"/>
        </w:rPr>
        <w:t xml:space="preserve"> (SV</w:t>
      </w:r>
      <w:r w:rsidR="002F4244">
        <w:rPr>
          <w:b w:val="0"/>
          <w:bCs w:val="0"/>
        </w:rPr>
        <w:t>)</w:t>
      </w:r>
      <w:r w:rsidR="005F5687" w:rsidRPr="00C869EA">
        <w:rPr>
          <w:b w:val="0"/>
          <w:bCs w:val="0"/>
        </w:rPr>
        <w:t xml:space="preserve"> offence, a CCO</w:t>
      </w:r>
      <w:r w:rsidR="00D46A38">
        <w:rPr>
          <w:b w:val="0"/>
          <w:bCs w:val="0"/>
        </w:rPr>
        <w:t>/CM</w:t>
      </w:r>
      <w:r w:rsidR="005F5687" w:rsidRPr="00C869EA">
        <w:rPr>
          <w:b w:val="0"/>
          <w:bCs w:val="0"/>
        </w:rPr>
        <w:t xml:space="preserve"> </w:t>
      </w:r>
      <w:r w:rsidR="005F5687" w:rsidRPr="008023EA">
        <w:rPr>
          <w:u w:val="single"/>
        </w:rPr>
        <w:t>cannot</w:t>
      </w:r>
      <w:r w:rsidR="005F5687" w:rsidRPr="00C869EA">
        <w:rPr>
          <w:b w:val="0"/>
          <w:bCs w:val="0"/>
        </w:rPr>
        <w:t xml:space="preserve"> exercise discretion to issue a warning to </w:t>
      </w:r>
      <w:r w:rsidR="00C869EA">
        <w:rPr>
          <w:b w:val="0"/>
          <w:bCs w:val="0"/>
        </w:rPr>
        <w:t>them</w:t>
      </w:r>
      <w:r w:rsidR="005F5687" w:rsidRPr="00C869EA">
        <w:rPr>
          <w:b w:val="0"/>
          <w:bCs w:val="0"/>
        </w:rPr>
        <w:t xml:space="preserve"> where the offender</w:t>
      </w:r>
      <w:r w:rsidR="00A45911">
        <w:rPr>
          <w:b w:val="0"/>
          <w:bCs w:val="0"/>
        </w:rPr>
        <w:t xml:space="preserve"> </w:t>
      </w:r>
      <w:r w:rsidR="005F5687" w:rsidRPr="00C869EA">
        <w:rPr>
          <w:b w:val="0"/>
          <w:bCs w:val="0"/>
        </w:rPr>
        <w:t>has, for an obligation requiring engagement with a behaviour change program or similar, accumulated three (3) absences from that program.</w:t>
      </w:r>
    </w:p>
    <w:p w14:paraId="6F95A36A" w14:textId="77777777" w:rsidR="007A074E" w:rsidRPr="006D4A33" w:rsidRDefault="007A074E" w:rsidP="007A074E">
      <w:pPr>
        <w:pStyle w:val="SectionHeading"/>
        <w:numPr>
          <w:ilvl w:val="0"/>
          <w:numId w:val="0"/>
        </w:numPr>
        <w:ind w:left="426" w:hanging="426"/>
        <w:rPr>
          <w:b w:val="0"/>
          <w:bCs w:val="0"/>
        </w:rPr>
      </w:pPr>
    </w:p>
    <w:p w14:paraId="648807B2" w14:textId="61214E19" w:rsidR="006D4A33" w:rsidRDefault="006D4A33" w:rsidP="00573738">
      <w:pPr>
        <w:pStyle w:val="SectionHeading"/>
        <w:numPr>
          <w:ilvl w:val="0"/>
          <w:numId w:val="1"/>
        </w:numPr>
        <w:ind w:left="567" w:hanging="567"/>
      </w:pPr>
      <w:r>
        <w:t>Factors to consider in assessing non-compliance and the use of warning discretion</w:t>
      </w:r>
    </w:p>
    <w:p w14:paraId="28DCAFA6" w14:textId="7C884345" w:rsidR="006D4A33" w:rsidRDefault="006D4A33" w:rsidP="00573738">
      <w:pPr>
        <w:pStyle w:val="ListParagraph"/>
        <w:numPr>
          <w:ilvl w:val="1"/>
          <w:numId w:val="1"/>
        </w:numPr>
        <w:ind w:left="567" w:hanging="573"/>
        <w:rPr>
          <w:rFonts w:cs="Arial"/>
        </w:rPr>
      </w:pPr>
      <w:r w:rsidRPr="006D4A33">
        <w:rPr>
          <w:rFonts w:cs="Arial"/>
        </w:rPr>
        <w:t xml:space="preserve">If the exclusionary criteria at </w:t>
      </w:r>
      <w:r w:rsidRPr="00C869EA">
        <w:rPr>
          <w:rFonts w:cs="Arial"/>
        </w:rPr>
        <w:t xml:space="preserve">section </w:t>
      </w:r>
      <w:r w:rsidR="00C869EA" w:rsidRPr="00C869EA">
        <w:rPr>
          <w:rFonts w:cs="Arial"/>
        </w:rPr>
        <w:t>2</w:t>
      </w:r>
      <w:r w:rsidRPr="006D4A33">
        <w:rPr>
          <w:rFonts w:cs="Arial"/>
        </w:rPr>
        <w:t xml:space="preserve"> do not apply to an offender’s reportable breach, a CCO</w:t>
      </w:r>
      <w:r w:rsidR="00D46A38">
        <w:rPr>
          <w:rFonts w:cs="Arial"/>
        </w:rPr>
        <w:t>/CM</w:t>
      </w:r>
      <w:r w:rsidRPr="006D4A33">
        <w:rPr>
          <w:rFonts w:cs="Arial"/>
        </w:rPr>
        <w:t xml:space="preserve"> may consider whether to exercise a discretion to warn the offender about that breach in accordance with the </w:t>
      </w:r>
      <w:r w:rsidRPr="00C869EA">
        <w:rPr>
          <w:rFonts w:cs="Arial"/>
          <w:i/>
          <w:iCs/>
          <w:u w:val="single"/>
        </w:rPr>
        <w:t>Crimes (Sentenc</w:t>
      </w:r>
      <w:r w:rsidR="00161EDF">
        <w:rPr>
          <w:rFonts w:cs="Arial"/>
          <w:i/>
          <w:iCs/>
          <w:u w:val="single"/>
        </w:rPr>
        <w:t>e</w:t>
      </w:r>
      <w:r w:rsidRPr="00C869EA">
        <w:rPr>
          <w:rFonts w:cs="Arial"/>
          <w:i/>
          <w:iCs/>
          <w:u w:val="single"/>
        </w:rPr>
        <w:t xml:space="preserve"> Administration) Act 2005</w:t>
      </w:r>
      <w:r w:rsidRPr="00573738">
        <w:rPr>
          <w:rFonts w:cs="Arial"/>
          <w:i/>
          <w:iCs/>
        </w:rPr>
        <w:t>.</w:t>
      </w:r>
    </w:p>
    <w:p w14:paraId="7DD390A9" w14:textId="69A5FED6" w:rsidR="00EF27A8" w:rsidRPr="00EF27A8" w:rsidRDefault="00C869EA" w:rsidP="00573738">
      <w:pPr>
        <w:pStyle w:val="ListParagraph"/>
        <w:numPr>
          <w:ilvl w:val="1"/>
          <w:numId w:val="1"/>
        </w:numPr>
        <w:ind w:left="567" w:hanging="573"/>
        <w:rPr>
          <w:rFonts w:cs="Arial"/>
        </w:rPr>
      </w:pPr>
      <w:r>
        <w:rPr>
          <w:rFonts w:eastAsia="Times New Roman" w:cs="Times New Roman"/>
          <w:color w:val="000000" w:themeColor="text1"/>
        </w:rPr>
        <w:t xml:space="preserve">When considering </w:t>
      </w:r>
      <w:r w:rsidR="00EF27A8" w:rsidRPr="00EF27A8">
        <w:rPr>
          <w:rFonts w:eastAsia="Times New Roman" w:cs="Times New Roman"/>
          <w:color w:val="000000" w:themeColor="text1"/>
        </w:rPr>
        <w:t xml:space="preserve">non-compliance of good behaviour obligations (including </w:t>
      </w:r>
      <w:r>
        <w:rPr>
          <w:rFonts w:eastAsia="Times New Roman" w:cs="Times New Roman"/>
          <w:color w:val="000000" w:themeColor="text1"/>
        </w:rPr>
        <w:t xml:space="preserve">of </w:t>
      </w:r>
      <w:r w:rsidR="00EF27A8" w:rsidRPr="00EF27A8">
        <w:rPr>
          <w:rFonts w:eastAsia="Times New Roman" w:cs="Times New Roman"/>
          <w:color w:val="000000" w:themeColor="text1"/>
        </w:rPr>
        <w:t>a Community Service Work (CSW) condition), CCOs</w:t>
      </w:r>
      <w:r w:rsidR="00D46A38">
        <w:rPr>
          <w:rFonts w:eastAsia="Times New Roman" w:cs="Times New Roman"/>
          <w:color w:val="000000" w:themeColor="text1"/>
        </w:rPr>
        <w:t>/CMs</w:t>
      </w:r>
      <w:r w:rsidR="00EF27A8" w:rsidRPr="00EF27A8">
        <w:rPr>
          <w:rFonts w:eastAsia="Times New Roman" w:cs="Times New Roman"/>
          <w:color w:val="000000" w:themeColor="text1"/>
        </w:rPr>
        <w:t xml:space="preserve"> must consider </w:t>
      </w:r>
      <w:r>
        <w:rPr>
          <w:rFonts w:eastAsia="Times New Roman" w:cs="Times New Roman"/>
          <w:color w:val="000000" w:themeColor="text1"/>
        </w:rPr>
        <w:t>the following criteria</w:t>
      </w:r>
      <w:r w:rsidR="00EF27A8" w:rsidRPr="00EF27A8">
        <w:rPr>
          <w:rFonts w:eastAsia="Times New Roman" w:cs="Times New Roman"/>
          <w:color w:val="000000" w:themeColor="text1"/>
        </w:rPr>
        <w:t xml:space="preserve"> in determining whether to exercise discretion to provide a warning to offenders. These factors include</w:t>
      </w:r>
      <w:r w:rsidR="00C82B1C">
        <w:rPr>
          <w:rFonts w:eastAsia="Times New Roman" w:cs="Times New Roman"/>
          <w:color w:val="000000" w:themeColor="text1"/>
        </w:rPr>
        <w:t>:</w:t>
      </w:r>
      <w:r w:rsidR="00EF27A8" w:rsidRPr="00EF27A8">
        <w:rPr>
          <w:rFonts w:eastAsia="Times New Roman" w:cs="Times New Roman"/>
          <w:color w:val="000000" w:themeColor="text1"/>
        </w:rPr>
        <w:t xml:space="preserve"> </w:t>
      </w:r>
    </w:p>
    <w:p w14:paraId="3861A685" w14:textId="54639A47" w:rsidR="00EF27A8" w:rsidRPr="009261FB" w:rsidRDefault="00EF27A8" w:rsidP="00573738">
      <w:pPr>
        <w:pStyle w:val="ListParagraph"/>
        <w:numPr>
          <w:ilvl w:val="3"/>
          <w:numId w:val="23"/>
        </w:numPr>
        <w:spacing w:before="60" w:after="0"/>
        <w:contextualSpacing w:val="0"/>
      </w:pPr>
      <w:r w:rsidRPr="00FD74C3">
        <w:rPr>
          <w:b/>
          <w:bCs/>
        </w:rPr>
        <w:t>Exclusion criteria</w:t>
      </w:r>
      <w:r w:rsidRPr="00FD74C3">
        <w:t xml:space="preserve">: </w:t>
      </w:r>
      <w:r w:rsidR="002F4244">
        <w:t xml:space="preserve">discretion cannot be exercised when </w:t>
      </w:r>
      <w:r w:rsidRPr="00FD74C3">
        <w:t xml:space="preserve">the </w:t>
      </w:r>
      <w:r w:rsidRPr="009261FB">
        <w:t xml:space="preserve">exclusion criteria outlined at section </w:t>
      </w:r>
      <w:r w:rsidR="00C869EA" w:rsidRPr="009261FB">
        <w:t>2</w:t>
      </w:r>
      <w:r w:rsidR="007101C2">
        <w:t xml:space="preserve"> are satisfied</w:t>
      </w:r>
    </w:p>
    <w:p w14:paraId="153E1CC1" w14:textId="5C562E05" w:rsidR="00EF27A8" w:rsidRPr="00FD74C3" w:rsidRDefault="00EF27A8" w:rsidP="00573738">
      <w:pPr>
        <w:pStyle w:val="ListParagraph"/>
        <w:numPr>
          <w:ilvl w:val="3"/>
          <w:numId w:val="23"/>
        </w:numPr>
        <w:spacing w:before="60" w:after="0"/>
        <w:contextualSpacing w:val="0"/>
      </w:pPr>
      <w:r w:rsidRPr="00FD74C3">
        <w:rPr>
          <w:b/>
          <w:bCs/>
        </w:rPr>
        <w:lastRenderedPageBreak/>
        <w:t>Forensic history</w:t>
      </w:r>
      <w:r w:rsidRPr="00FD74C3">
        <w:t xml:space="preserve">: the offender’s forensic history and nature and circumstances of their current offences. </w:t>
      </w:r>
      <w:r w:rsidR="009261FB" w:rsidRPr="00FD74C3">
        <w:t>D</w:t>
      </w:r>
      <w:r w:rsidRPr="00FD74C3">
        <w:t xml:space="preserve">iscretion might not be applied for an offender with a long history of </w:t>
      </w:r>
      <w:r w:rsidRPr="00C82B1C">
        <w:rPr>
          <w:b/>
          <w:bCs/>
        </w:rPr>
        <w:t>violence</w:t>
      </w:r>
      <w:r w:rsidRPr="00FD74C3">
        <w:t xml:space="preserve">-related criminal offences and other reported harmful behaviours, including DFV and </w:t>
      </w:r>
      <w:r w:rsidR="00C82B1C">
        <w:t>SV</w:t>
      </w:r>
      <w:r w:rsidRPr="00FD74C3">
        <w:t>. Conversely, discretion might be reasonably applied for a person with a long history of relatively minor offences</w:t>
      </w:r>
    </w:p>
    <w:p w14:paraId="07200A8B" w14:textId="77777777" w:rsidR="00573738" w:rsidRDefault="00EF27A8" w:rsidP="00573738">
      <w:pPr>
        <w:pStyle w:val="ListParagraph"/>
        <w:numPr>
          <w:ilvl w:val="3"/>
          <w:numId w:val="23"/>
        </w:numPr>
        <w:spacing w:before="60" w:after="0"/>
        <w:contextualSpacing w:val="0"/>
      </w:pPr>
      <w:r w:rsidRPr="00FD74C3">
        <w:rPr>
          <w:b/>
          <w:bCs/>
        </w:rPr>
        <w:t>Risk-level</w:t>
      </w:r>
      <w:r w:rsidRPr="00FD74C3">
        <w:t>: including the</w:t>
      </w:r>
      <w:r w:rsidR="009261FB" w:rsidRPr="00FD74C3">
        <w:t xml:space="preserve"> offender’s</w:t>
      </w:r>
      <w:r w:rsidRPr="00FD74C3">
        <w:t xml:space="preserve"> general risk of re-offending behaviour as identified in the Level of Service Inventory-Revised </w:t>
      </w:r>
      <w:r w:rsidR="007101C2">
        <w:t>(</w:t>
      </w:r>
      <w:r w:rsidRPr="00FD74C3">
        <w:t>LSI-R</w:t>
      </w:r>
      <w:r w:rsidR="00C82B1C">
        <w:t>)</w:t>
      </w:r>
      <w:r w:rsidRPr="00FD74C3">
        <w:t xml:space="preserve">, </w:t>
      </w:r>
      <w:r w:rsidR="009261FB" w:rsidRPr="00FD74C3">
        <w:t>and</w:t>
      </w:r>
      <w:r w:rsidRPr="00FD74C3">
        <w:t xml:space="preserve"> any other available offence-specific </w:t>
      </w:r>
      <w:r w:rsidRPr="00C82B1C">
        <w:rPr>
          <w:b/>
          <w:bCs/>
        </w:rPr>
        <w:t>risk</w:t>
      </w:r>
      <w:r w:rsidRPr="00FD74C3">
        <w:t xml:space="preserve"> assessments (e.g., Static-99R for sexual offending). </w:t>
      </w:r>
      <w:r w:rsidR="009261FB" w:rsidRPr="00FD74C3">
        <w:t>D</w:t>
      </w:r>
      <w:r w:rsidRPr="00FD74C3">
        <w:t>iscretion might not be applied in cases for an offender who is assessed as high risk for general or specific offending behaviour, particularly those offences which have greater likelihood to cause physical and/or psychological harm to others</w:t>
      </w:r>
    </w:p>
    <w:p w14:paraId="11FBE0A9" w14:textId="7FAC1149" w:rsidR="00EF27A8" w:rsidRPr="00FD74C3" w:rsidRDefault="00EF27A8" w:rsidP="00573738">
      <w:pPr>
        <w:pStyle w:val="ListParagraph"/>
        <w:numPr>
          <w:ilvl w:val="3"/>
          <w:numId w:val="23"/>
        </w:numPr>
        <w:spacing w:before="60" w:after="0"/>
        <w:contextualSpacing w:val="0"/>
      </w:pPr>
      <w:r w:rsidRPr="00573738">
        <w:rPr>
          <w:b/>
          <w:bCs/>
        </w:rPr>
        <w:t>Victim safety</w:t>
      </w:r>
      <w:r w:rsidRPr="00FD74C3">
        <w:t xml:space="preserve">: of current or previous victims, particularly the likelihood that any victim of the offender and/or the victim’s family or other associates, will be subject to violence or harassment by the offender. </w:t>
      </w:r>
      <w:r w:rsidR="009261FB" w:rsidRPr="00FD74C3">
        <w:t>D</w:t>
      </w:r>
      <w:r w:rsidRPr="00FD74C3">
        <w:t xml:space="preserve">iscretion might not be applied in cases for an offender who have current or previous offences relating to DFV or </w:t>
      </w:r>
      <w:r w:rsidR="00C82B1C">
        <w:t>SV</w:t>
      </w:r>
    </w:p>
    <w:p w14:paraId="06E67C3B" w14:textId="4DDE3249" w:rsidR="00EF27A8" w:rsidRPr="00FD74C3" w:rsidRDefault="00EF27A8" w:rsidP="00573738">
      <w:pPr>
        <w:pStyle w:val="ListParagraph"/>
        <w:numPr>
          <w:ilvl w:val="3"/>
          <w:numId w:val="23"/>
        </w:numPr>
        <w:spacing w:before="60" w:after="0"/>
        <w:contextualSpacing w:val="0"/>
      </w:pPr>
      <w:r w:rsidRPr="00FD74C3">
        <w:rPr>
          <w:b/>
          <w:bCs/>
        </w:rPr>
        <w:t>Compliance history under the order</w:t>
      </w:r>
      <w:r w:rsidRPr="00FD74C3">
        <w:t xml:space="preserve">: the offender’s history and general pattern of compliance. A much higher threshold for discretion must be applied in cases for an offender who has only recently commenced supervision and has not established any clear pattern of compliance or for an offender who has established a poor pattern of previous compliance. </w:t>
      </w:r>
      <w:r w:rsidR="009261FB" w:rsidRPr="00FD74C3">
        <w:t>I</w:t>
      </w:r>
      <w:r w:rsidRPr="00FD74C3">
        <w:t>f an offender has attended CSW consistently as directed and then fails to attend on one occasion, this may weigh in favour of exercising discretion. Conversely, non-compliance of an obligation is more likely to be reported as a breach for an offender who fails to attend for CSW days with a history of poor attendance</w:t>
      </w:r>
    </w:p>
    <w:p w14:paraId="533885D3" w14:textId="527598F5" w:rsidR="00EF27A8" w:rsidRPr="00FD74C3" w:rsidRDefault="00EF27A8" w:rsidP="00573738">
      <w:pPr>
        <w:pStyle w:val="ListParagraph"/>
        <w:numPr>
          <w:ilvl w:val="3"/>
          <w:numId w:val="23"/>
        </w:numPr>
        <w:spacing w:before="60" w:after="0"/>
        <w:contextualSpacing w:val="0"/>
      </w:pPr>
      <w:r w:rsidRPr="00FD74C3">
        <w:rPr>
          <w:b/>
          <w:bCs/>
        </w:rPr>
        <w:t>Previous discretionary actions taken</w:t>
      </w:r>
      <w:r w:rsidRPr="00FD74C3">
        <w:t xml:space="preserve">: in relation to any prior non-compliance under the order. </w:t>
      </w:r>
      <w:r w:rsidR="009261FB" w:rsidRPr="00FD74C3">
        <w:t>D</w:t>
      </w:r>
      <w:r w:rsidRPr="00FD74C3">
        <w:t xml:space="preserve">iscretion might not be used for an offender where discretionary measures have already been exercised in regard to previous non-compliance. This is particularly relevant in the DFV and </w:t>
      </w:r>
      <w:r w:rsidR="00C82B1C">
        <w:t>SV</w:t>
      </w:r>
      <w:r w:rsidRPr="00FD74C3">
        <w:t xml:space="preserve"> context, where repeated patterns of ‘minor’ non-compliance, may represent a significant risk indicator for ongoing violence against victims</w:t>
      </w:r>
    </w:p>
    <w:p w14:paraId="3A72D7CE" w14:textId="6BA299B6" w:rsidR="00EF27A8" w:rsidRPr="00FD74C3" w:rsidRDefault="00EF27A8" w:rsidP="00573738">
      <w:pPr>
        <w:pStyle w:val="ListParagraph"/>
        <w:numPr>
          <w:ilvl w:val="3"/>
          <w:numId w:val="23"/>
        </w:numPr>
        <w:spacing w:before="60" w:after="0"/>
        <w:contextualSpacing w:val="0"/>
      </w:pPr>
      <w:r w:rsidRPr="00FD74C3">
        <w:rPr>
          <w:b/>
          <w:bCs/>
        </w:rPr>
        <w:t>Offender behaviour patterns</w:t>
      </w:r>
      <w:r w:rsidRPr="00FD74C3">
        <w:t xml:space="preserve">: what this kind of behaviour has meant for the offender in the past (i.e., if the behaviour might lead to more serious offending or an escalation of risk), and if applicable, what this behaviour has meant for victim and/or community safety. </w:t>
      </w:r>
      <w:r w:rsidR="009261FB" w:rsidRPr="00FD74C3">
        <w:t>A</w:t>
      </w:r>
      <w:r w:rsidRPr="00FD74C3">
        <w:t xml:space="preserve"> much higher threshold for discretion must be applied in cases for an offender who records a positive test result for drug use where their drug use has been identified as a significant criminogenic risk factor in their previous offending behaviour</w:t>
      </w:r>
    </w:p>
    <w:p w14:paraId="62CDBFBE" w14:textId="5A72615D" w:rsidR="00EF27A8" w:rsidRPr="00FD74C3" w:rsidRDefault="00EF27A8" w:rsidP="00573738">
      <w:pPr>
        <w:pStyle w:val="ListParagraph"/>
        <w:numPr>
          <w:ilvl w:val="3"/>
          <w:numId w:val="23"/>
        </w:numPr>
        <w:spacing w:before="60" w:after="0"/>
        <w:contextualSpacing w:val="0"/>
      </w:pPr>
      <w:r w:rsidRPr="00FD74C3">
        <w:rPr>
          <w:b/>
          <w:bCs/>
        </w:rPr>
        <w:t>Protective measures</w:t>
      </w:r>
      <w:r w:rsidRPr="00FD74C3">
        <w:t>: what measures could be put in place to manage the offender’s behaviour and promote offender accountability (e.g., interventions and programs; containment strategies such as non-association and place restriction; or alternate contact mechanisms)</w:t>
      </w:r>
    </w:p>
    <w:p w14:paraId="0A41C7EC" w14:textId="30006EA3" w:rsidR="00EF27A8" w:rsidRPr="00FD74C3" w:rsidRDefault="00EF27A8" w:rsidP="003500DB">
      <w:pPr>
        <w:pStyle w:val="ListParagraph"/>
        <w:keepLines/>
        <w:numPr>
          <w:ilvl w:val="3"/>
          <w:numId w:val="23"/>
        </w:numPr>
        <w:spacing w:before="60" w:after="0"/>
        <w:contextualSpacing w:val="0"/>
      </w:pPr>
      <w:r w:rsidRPr="00FD74C3">
        <w:rPr>
          <w:b/>
          <w:bCs/>
        </w:rPr>
        <w:lastRenderedPageBreak/>
        <w:t>Vary conditions</w:t>
      </w:r>
      <w:r w:rsidRPr="00FD74C3">
        <w:t xml:space="preserve">: whether a request to vary a condition may eliminate the need for a breach report (e.g., removing a condition for residential rehabilitation if other appropriate case management strategies can be put into place such as attendance at a day program with increased supervision requirements). This can be done by </w:t>
      </w:r>
      <w:r w:rsidR="00C61BAE" w:rsidRPr="00FD74C3">
        <w:t>applying</w:t>
      </w:r>
      <w:r w:rsidRPr="00FD74C3">
        <w:t xml:space="preserve"> to amend with the sentencing court for consideration</w:t>
      </w:r>
      <w:r w:rsidR="00C61BAE">
        <w:t>.</w:t>
      </w:r>
    </w:p>
    <w:p w14:paraId="189F71CB" w14:textId="1974B53B" w:rsidR="00EF27A8" w:rsidRPr="00FD74C3" w:rsidRDefault="00EF27A8" w:rsidP="00573738">
      <w:pPr>
        <w:pStyle w:val="ListParagraph"/>
        <w:numPr>
          <w:ilvl w:val="3"/>
          <w:numId w:val="23"/>
        </w:numPr>
        <w:spacing w:before="60" w:after="0"/>
        <w:contextualSpacing w:val="0"/>
      </w:pPr>
      <w:r w:rsidRPr="00FD74C3">
        <w:rPr>
          <w:b/>
          <w:bCs/>
        </w:rPr>
        <w:t>Reasonable justification</w:t>
      </w:r>
      <w:r w:rsidRPr="00FD74C3">
        <w:t>: evidence or reasonable justification for non-compliance has been provided and accepted (e.g., medical certificate provided as evidence of ill health)</w:t>
      </w:r>
    </w:p>
    <w:p w14:paraId="37DD300B" w14:textId="21B7E1BE" w:rsidR="00EF27A8" w:rsidRPr="00FD74C3" w:rsidRDefault="00EF27A8" w:rsidP="00573738">
      <w:pPr>
        <w:pStyle w:val="ListParagraph"/>
        <w:numPr>
          <w:ilvl w:val="3"/>
          <w:numId w:val="23"/>
        </w:numPr>
        <w:spacing w:before="60" w:after="0"/>
        <w:contextualSpacing w:val="0"/>
      </w:pPr>
      <w:r w:rsidRPr="00FD74C3">
        <w:rPr>
          <w:b/>
          <w:bCs/>
        </w:rPr>
        <w:t>Reengagement</w:t>
      </w:r>
      <w:r w:rsidRPr="00FD74C3">
        <w:t>: the ability to contact the offender and schedule a further appointment. For example, where an offender fails to attend an appointment, CCOs</w:t>
      </w:r>
      <w:r w:rsidR="00C61BAE">
        <w:t>/CMs</w:t>
      </w:r>
      <w:r w:rsidRPr="00FD74C3">
        <w:t xml:space="preserve"> should make reasonable attempts to contact the offender via phone or mail to direct them to attend a further appointment. However, if no contact information or contact methods are available for the offender or any support persons, and the offender cannot be contacted within the required timeframe, then a breach action must be initiated.</w:t>
      </w:r>
    </w:p>
    <w:p w14:paraId="0D059E41" w14:textId="4A656252" w:rsidR="00EF27A8" w:rsidRPr="00EF27A8" w:rsidRDefault="00EF27A8" w:rsidP="00573738">
      <w:pPr>
        <w:pStyle w:val="ListParagraph"/>
        <w:numPr>
          <w:ilvl w:val="1"/>
          <w:numId w:val="1"/>
        </w:numPr>
        <w:ind w:left="567" w:hanging="567"/>
        <w:rPr>
          <w:rFonts w:cs="Arial"/>
        </w:rPr>
      </w:pPr>
      <w:r w:rsidRPr="00EF27A8">
        <w:rPr>
          <w:rFonts w:cs="Arial"/>
        </w:rPr>
        <w:t xml:space="preserve">In considering the factors at section </w:t>
      </w:r>
      <w:r w:rsidR="00FD74C3">
        <w:rPr>
          <w:rFonts w:cs="Arial"/>
        </w:rPr>
        <w:t>3</w:t>
      </w:r>
      <w:r w:rsidRPr="00EF27A8">
        <w:rPr>
          <w:rFonts w:cs="Arial"/>
        </w:rPr>
        <w:t>.2, a CCO</w:t>
      </w:r>
      <w:r w:rsidR="00C61BAE">
        <w:rPr>
          <w:rFonts w:cs="Arial"/>
        </w:rPr>
        <w:t>/CM</w:t>
      </w:r>
      <w:r w:rsidRPr="00EF27A8">
        <w:rPr>
          <w:rFonts w:cs="Arial"/>
        </w:rPr>
        <w:t xml:space="preserve"> must:</w:t>
      </w:r>
    </w:p>
    <w:p w14:paraId="15A2FA5F" w14:textId="4CCE9FEC" w:rsidR="00EF27A8" w:rsidRPr="00EF27A8" w:rsidRDefault="00EF27A8" w:rsidP="007C7256">
      <w:pPr>
        <w:pStyle w:val="ListParagraph"/>
        <w:numPr>
          <w:ilvl w:val="3"/>
          <w:numId w:val="16"/>
        </w:numPr>
        <w:spacing w:before="60" w:after="0"/>
        <w:contextualSpacing w:val="0"/>
        <w:rPr>
          <w:rFonts w:cs="Arial"/>
        </w:rPr>
      </w:pPr>
      <w:r w:rsidRPr="00EF27A8">
        <w:rPr>
          <w:rFonts w:cs="Arial"/>
        </w:rPr>
        <w:t>contact the ACT Victims Register Unit to confirm whether there is a registered victim of the offender. If there is a registered victim of the offender, the CCO</w:t>
      </w:r>
      <w:r w:rsidR="00C61BAE">
        <w:rPr>
          <w:rFonts w:cs="Arial"/>
        </w:rPr>
        <w:t>/CM</w:t>
      </w:r>
      <w:r w:rsidRPr="00EF27A8">
        <w:rPr>
          <w:rFonts w:cs="Arial"/>
        </w:rPr>
        <w:t xml:space="preserve"> must consider any information provided to them when exercising their obligations as relevant to the factors at section </w:t>
      </w:r>
      <w:r w:rsidR="00FD74C3">
        <w:rPr>
          <w:rFonts w:cs="Arial"/>
        </w:rPr>
        <w:t>3</w:t>
      </w:r>
      <w:r w:rsidRPr="00EF27A8">
        <w:rPr>
          <w:rFonts w:cs="Arial"/>
        </w:rPr>
        <w:t>.2, and</w:t>
      </w:r>
    </w:p>
    <w:p w14:paraId="7903BD32" w14:textId="5A36E9E3" w:rsidR="00EF27A8" w:rsidRPr="00EF27A8" w:rsidRDefault="00EF27A8" w:rsidP="007C7256">
      <w:pPr>
        <w:pStyle w:val="ListParagraph"/>
        <w:numPr>
          <w:ilvl w:val="3"/>
          <w:numId w:val="16"/>
        </w:numPr>
        <w:spacing w:before="60" w:after="0"/>
        <w:contextualSpacing w:val="0"/>
        <w:rPr>
          <w:rFonts w:cs="Arial"/>
        </w:rPr>
      </w:pPr>
      <w:r w:rsidRPr="00EF27A8">
        <w:rPr>
          <w:rFonts w:cs="Arial"/>
        </w:rPr>
        <w:t>consider any other information provided to them by an</w:t>
      </w:r>
      <w:r w:rsidR="00FD74C3">
        <w:rPr>
          <w:rFonts w:cs="Arial"/>
        </w:rPr>
        <w:t>y other</w:t>
      </w:r>
      <w:r w:rsidRPr="00EF27A8">
        <w:rPr>
          <w:rFonts w:cs="Arial"/>
        </w:rPr>
        <w:t xml:space="preserve"> justice agency about the offender as relevant to the factors at section </w:t>
      </w:r>
      <w:r w:rsidR="00FD74C3">
        <w:rPr>
          <w:rFonts w:cs="Arial"/>
        </w:rPr>
        <w:t>3</w:t>
      </w:r>
      <w:r w:rsidRPr="00EF27A8">
        <w:rPr>
          <w:rFonts w:cs="Arial"/>
        </w:rPr>
        <w:t>.2.</w:t>
      </w:r>
    </w:p>
    <w:p w14:paraId="04F7113C" w14:textId="38321973" w:rsidR="005D0306" w:rsidRDefault="00FD74C3" w:rsidP="00573738">
      <w:pPr>
        <w:pStyle w:val="ListParagraph"/>
        <w:numPr>
          <w:ilvl w:val="1"/>
          <w:numId w:val="1"/>
        </w:numPr>
        <w:ind w:left="567" w:hanging="567"/>
        <w:rPr>
          <w:rFonts w:cs="Arial"/>
          <w:b/>
          <w:bCs/>
        </w:rPr>
      </w:pPr>
      <w:r>
        <w:rPr>
          <w:rFonts w:cs="Arial"/>
        </w:rPr>
        <w:t>I</w:t>
      </w:r>
      <w:r w:rsidR="005D0306" w:rsidRPr="005D0306">
        <w:rPr>
          <w:rFonts w:cs="Arial"/>
        </w:rPr>
        <w:t>n relation to good behaviour obligations arising specifically from a DFV or SV offence</w:t>
      </w:r>
      <w:r>
        <w:rPr>
          <w:rFonts w:cs="Arial"/>
        </w:rPr>
        <w:t xml:space="preserve"> i</w:t>
      </w:r>
      <w:r w:rsidRPr="005D0306">
        <w:rPr>
          <w:rFonts w:cs="Arial"/>
        </w:rPr>
        <w:t xml:space="preserve">n addition to the factors at section </w:t>
      </w:r>
      <w:r>
        <w:rPr>
          <w:rFonts w:cs="Arial"/>
        </w:rPr>
        <w:t>3</w:t>
      </w:r>
      <w:r w:rsidRPr="005D0306">
        <w:rPr>
          <w:rFonts w:cs="Arial"/>
        </w:rPr>
        <w:t>.2</w:t>
      </w:r>
      <w:r w:rsidR="005D0306" w:rsidRPr="005D0306">
        <w:rPr>
          <w:rFonts w:cs="Arial"/>
        </w:rPr>
        <w:t>, a CCO</w:t>
      </w:r>
      <w:r w:rsidR="00C61BAE">
        <w:rPr>
          <w:rFonts w:cs="Arial"/>
        </w:rPr>
        <w:t>/CM</w:t>
      </w:r>
      <w:r w:rsidR="005D0306" w:rsidRPr="005D0306">
        <w:rPr>
          <w:rFonts w:cs="Arial"/>
        </w:rPr>
        <w:t xml:space="preserve"> must </w:t>
      </w:r>
      <w:r>
        <w:rPr>
          <w:rFonts w:cs="Arial"/>
        </w:rPr>
        <w:t>also consider</w:t>
      </w:r>
      <w:r w:rsidR="005D0306" w:rsidRPr="005D0306">
        <w:rPr>
          <w:rFonts w:cs="Arial"/>
        </w:rPr>
        <w:t>:</w:t>
      </w:r>
    </w:p>
    <w:p w14:paraId="1D66CD6A" w14:textId="5E4479B0" w:rsidR="005D0306" w:rsidRDefault="005D0306" w:rsidP="007C7256">
      <w:pPr>
        <w:pStyle w:val="ListParagraph"/>
        <w:numPr>
          <w:ilvl w:val="3"/>
          <w:numId w:val="17"/>
        </w:numPr>
        <w:spacing w:before="60" w:after="0"/>
        <w:contextualSpacing w:val="0"/>
        <w:rPr>
          <w:rFonts w:cs="Arial"/>
        </w:rPr>
      </w:pPr>
      <w:r w:rsidRPr="00BA3E87">
        <w:rPr>
          <w:rFonts w:cs="Arial"/>
        </w:rPr>
        <w:t>whether the offender is, or has been, the respondent to a protection order</w:t>
      </w:r>
    </w:p>
    <w:p w14:paraId="4C917BE7" w14:textId="283FD90C" w:rsidR="00A6733D" w:rsidRPr="007C7256" w:rsidRDefault="00A6733D" w:rsidP="007C7256">
      <w:pPr>
        <w:pStyle w:val="ListParagraph"/>
        <w:numPr>
          <w:ilvl w:val="3"/>
          <w:numId w:val="17"/>
        </w:numPr>
        <w:spacing w:before="60" w:after="0"/>
        <w:contextualSpacing w:val="0"/>
        <w:rPr>
          <w:rFonts w:cs="Arial"/>
        </w:rPr>
      </w:pPr>
      <w:r w:rsidRPr="007C7256">
        <w:rPr>
          <w:rFonts w:cs="Arial"/>
        </w:rPr>
        <w:t xml:space="preserve">if the offender has good behaviour obligations to engage in behaviour change programs, </w:t>
      </w:r>
      <w:r w:rsidR="007101C2" w:rsidRPr="007C7256">
        <w:rPr>
          <w:rFonts w:cs="Arial"/>
        </w:rPr>
        <w:t xml:space="preserve">to </w:t>
      </w:r>
      <w:r w:rsidRPr="007C7256">
        <w:rPr>
          <w:rFonts w:cs="Arial"/>
        </w:rPr>
        <w:t>seek and consider information from the relevant behaviour change program about the offender and their level of engagement with the program</w:t>
      </w:r>
    </w:p>
    <w:p w14:paraId="2843CC60" w14:textId="03FD3A52" w:rsidR="00A6733D" w:rsidRPr="007C7256" w:rsidRDefault="00A6733D" w:rsidP="007C7256">
      <w:pPr>
        <w:pStyle w:val="ListParagraph"/>
        <w:numPr>
          <w:ilvl w:val="3"/>
          <w:numId w:val="17"/>
        </w:numPr>
        <w:spacing w:before="60" w:after="0"/>
        <w:contextualSpacing w:val="0"/>
        <w:rPr>
          <w:rFonts w:cs="Arial"/>
        </w:rPr>
      </w:pPr>
      <w:r w:rsidRPr="007C7256">
        <w:rPr>
          <w:rFonts w:cs="Arial"/>
        </w:rPr>
        <w:t>the level of risk to a victim and/or the community that the act of non-compliance might pose in the specific case. For example, one instance of non-attendance in relation to an offender known to be at risk of engaging in DFV may be a significant risk indicator for further violence to a victim</w:t>
      </w:r>
    </w:p>
    <w:p w14:paraId="2F51181A" w14:textId="02FBE549" w:rsidR="00A6733D" w:rsidRPr="007C7256" w:rsidRDefault="00D1200C" w:rsidP="007C7256">
      <w:pPr>
        <w:pStyle w:val="ListParagraph"/>
        <w:numPr>
          <w:ilvl w:val="3"/>
          <w:numId w:val="17"/>
        </w:numPr>
        <w:spacing w:before="60" w:after="0"/>
        <w:contextualSpacing w:val="0"/>
        <w:rPr>
          <w:rFonts w:cs="Arial"/>
        </w:rPr>
      </w:pPr>
      <w:r w:rsidRPr="007C7256">
        <w:rPr>
          <w:rFonts w:cs="Arial"/>
        </w:rPr>
        <w:t xml:space="preserve">if </w:t>
      </w:r>
      <w:r w:rsidR="00A6733D" w:rsidRPr="007C7256">
        <w:rPr>
          <w:rFonts w:cs="Arial"/>
        </w:rPr>
        <w:t xml:space="preserve">information that may indicate an escalation of risk of harm to a victim and/or the community, including information relating to offender behaviour patterns described at section </w:t>
      </w:r>
      <w:r w:rsidRPr="007C7256">
        <w:rPr>
          <w:rFonts w:cs="Arial"/>
        </w:rPr>
        <w:t>3</w:t>
      </w:r>
      <w:r w:rsidR="00A6733D" w:rsidRPr="007C7256">
        <w:rPr>
          <w:rFonts w:cs="Arial"/>
        </w:rPr>
        <w:t>.2(g)</w:t>
      </w:r>
      <w:r w:rsidRPr="007C7256">
        <w:rPr>
          <w:rFonts w:cs="Arial"/>
        </w:rPr>
        <w:t xml:space="preserve"> should hold more importance than usual</w:t>
      </w:r>
    </w:p>
    <w:p w14:paraId="7F366A69" w14:textId="719239F2" w:rsidR="00D305B2" w:rsidRDefault="00A6733D" w:rsidP="007C7256">
      <w:pPr>
        <w:pStyle w:val="ListParagraph"/>
        <w:numPr>
          <w:ilvl w:val="3"/>
          <w:numId w:val="17"/>
        </w:numPr>
        <w:spacing w:before="60" w:after="0"/>
        <w:contextualSpacing w:val="0"/>
        <w:rPr>
          <w:rFonts w:cs="Arial"/>
        </w:rPr>
      </w:pPr>
      <w:r w:rsidRPr="007C7256">
        <w:rPr>
          <w:rFonts w:cs="Arial"/>
        </w:rPr>
        <w:t xml:space="preserve">any other information provided to them by another justice agency about the offender as relevant to the factors at section </w:t>
      </w:r>
      <w:r w:rsidR="00D1200C" w:rsidRPr="007C7256">
        <w:rPr>
          <w:rFonts w:cs="Arial"/>
        </w:rPr>
        <w:t>3</w:t>
      </w:r>
      <w:r w:rsidRPr="007C7256">
        <w:rPr>
          <w:rFonts w:cs="Arial"/>
        </w:rPr>
        <w:t>.2.</w:t>
      </w:r>
    </w:p>
    <w:p w14:paraId="11C5E1BE" w14:textId="77777777" w:rsidR="00B078CC" w:rsidRPr="007C7256" w:rsidRDefault="00B078CC" w:rsidP="00B078CC">
      <w:pPr>
        <w:pStyle w:val="ListParagraph"/>
        <w:spacing w:before="60" w:after="0"/>
        <w:ind w:left="1440"/>
        <w:contextualSpacing w:val="0"/>
        <w:rPr>
          <w:rFonts w:cs="Arial"/>
        </w:rPr>
      </w:pPr>
    </w:p>
    <w:p w14:paraId="432B25A2" w14:textId="214A12CC" w:rsidR="003A29DA" w:rsidRDefault="00A6733D" w:rsidP="005426D4">
      <w:pPr>
        <w:pStyle w:val="SectionHeading"/>
        <w:numPr>
          <w:ilvl w:val="0"/>
          <w:numId w:val="1"/>
        </w:numPr>
        <w:ind w:left="567" w:hanging="567"/>
      </w:pPr>
      <w:r>
        <w:t>Possible courses of action in responding to non-compliance</w:t>
      </w:r>
    </w:p>
    <w:p w14:paraId="19358A4E" w14:textId="1F670057" w:rsidR="00980EDD" w:rsidRDefault="00A6733D" w:rsidP="005426D4">
      <w:pPr>
        <w:pStyle w:val="ListParagraph"/>
        <w:numPr>
          <w:ilvl w:val="1"/>
          <w:numId w:val="1"/>
        </w:numPr>
        <w:spacing w:before="60" w:after="0"/>
        <w:ind w:left="567" w:hanging="567"/>
      </w:pPr>
      <w:r>
        <w:t>If the offender has engaged in conduct which constitute</w:t>
      </w:r>
      <w:r w:rsidR="00980EDD">
        <w:t>s</w:t>
      </w:r>
      <w:r>
        <w:t xml:space="preserve"> an offence, or the offender’s conduct falls within the exclusion criteria at section </w:t>
      </w:r>
      <w:r w:rsidR="007101C2">
        <w:t>2</w:t>
      </w:r>
      <w:r>
        <w:t>, the offender ha</w:t>
      </w:r>
      <w:r w:rsidR="00980EDD">
        <w:t>s</w:t>
      </w:r>
      <w:r>
        <w:t xml:space="preserve"> breached their good behaviour obligations and CCO</w:t>
      </w:r>
      <w:r w:rsidR="00321BAC">
        <w:t>/CM</w:t>
      </w:r>
      <w:r>
        <w:t xml:space="preserve"> discretion cannot be exercised.</w:t>
      </w:r>
    </w:p>
    <w:p w14:paraId="7D7311E0" w14:textId="032A5148" w:rsidR="00A6733D" w:rsidRDefault="00A6733D" w:rsidP="005426D4">
      <w:pPr>
        <w:pStyle w:val="ListParagraph"/>
        <w:numPr>
          <w:ilvl w:val="1"/>
          <w:numId w:val="1"/>
        </w:numPr>
        <w:spacing w:before="60" w:after="0"/>
        <w:ind w:left="567" w:hanging="567"/>
      </w:pPr>
      <w:r>
        <w:lastRenderedPageBreak/>
        <w:t>CCOs</w:t>
      </w:r>
      <w:r w:rsidR="00321BAC">
        <w:t>/CMs</w:t>
      </w:r>
      <w:r>
        <w:t xml:space="preserve"> are required to report such breaches to the sentencing court, if not already brought to its attention (e.g., </w:t>
      </w:r>
      <w:r w:rsidR="00980EDD">
        <w:t xml:space="preserve">a </w:t>
      </w:r>
      <w:r>
        <w:t>CCO</w:t>
      </w:r>
      <w:r w:rsidR="00321BAC">
        <w:t>/CM</w:t>
      </w:r>
      <w:r>
        <w:t xml:space="preserve"> may be advised of an offence committed in another jurisdiction)</w:t>
      </w:r>
      <w:r w:rsidR="00980EDD">
        <w:t>.</w:t>
      </w:r>
    </w:p>
    <w:p w14:paraId="47D09C7A" w14:textId="639344E7" w:rsidR="00A6733D" w:rsidRDefault="00A6733D" w:rsidP="005426D4">
      <w:pPr>
        <w:pStyle w:val="ListParagraph"/>
        <w:numPr>
          <w:ilvl w:val="1"/>
          <w:numId w:val="1"/>
        </w:numPr>
        <w:spacing w:before="60" w:after="0"/>
        <w:ind w:left="567" w:hanging="567"/>
      </w:pPr>
      <w:r>
        <w:t xml:space="preserve">With the exception of those circumstances described above at </w:t>
      </w:r>
      <w:r w:rsidR="00980EDD">
        <w:t>4</w:t>
      </w:r>
      <w:r>
        <w:t>.1, if the CCO</w:t>
      </w:r>
      <w:r w:rsidR="000D402C">
        <w:t>/CM</w:t>
      </w:r>
      <w:r>
        <w:t xml:space="preserve"> believes on reasonable grounds that an offender has breached any of their good behaviour obligations (a ‘reportable breach’), the CCO</w:t>
      </w:r>
      <w:r w:rsidR="00321BAC">
        <w:t>/CM</w:t>
      </w:r>
      <w:r>
        <w:t xml:space="preserve"> may take one of the following actions:</w:t>
      </w:r>
    </w:p>
    <w:p w14:paraId="468C1922" w14:textId="77777777" w:rsidR="005426D4" w:rsidRDefault="00980EDD" w:rsidP="005426D4">
      <w:pPr>
        <w:pStyle w:val="ListParagraph"/>
        <w:numPr>
          <w:ilvl w:val="3"/>
          <w:numId w:val="24"/>
        </w:numPr>
        <w:spacing w:before="60" w:after="0"/>
        <w:contextualSpacing w:val="0"/>
        <w:rPr>
          <w:rFonts w:cs="Arial"/>
        </w:rPr>
      </w:pPr>
      <w:r>
        <w:rPr>
          <w:rFonts w:cs="Arial"/>
        </w:rPr>
        <w:t>r</w:t>
      </w:r>
      <w:r w:rsidR="00A6733D" w:rsidRPr="00A6733D">
        <w:rPr>
          <w:rFonts w:cs="Arial"/>
        </w:rPr>
        <w:t xml:space="preserve">eport the reportable breach to the sentencing court (see requirements under </w:t>
      </w:r>
      <w:r w:rsidR="00345DF5">
        <w:rPr>
          <w:rFonts w:cs="Arial"/>
        </w:rPr>
        <w:t>section 5</w:t>
      </w:r>
      <w:r w:rsidR="00A6733D" w:rsidRPr="00A6733D">
        <w:rPr>
          <w:rFonts w:cs="Arial"/>
        </w:rPr>
        <w:t xml:space="preserve"> below) or</w:t>
      </w:r>
    </w:p>
    <w:p w14:paraId="0FDA29B9" w14:textId="1DB1BC28" w:rsidR="00A6733D" w:rsidRPr="005426D4" w:rsidRDefault="00980EDD" w:rsidP="005426D4">
      <w:pPr>
        <w:pStyle w:val="ListParagraph"/>
        <w:numPr>
          <w:ilvl w:val="3"/>
          <w:numId w:val="24"/>
        </w:numPr>
        <w:spacing w:before="60" w:after="0"/>
        <w:contextualSpacing w:val="0"/>
        <w:rPr>
          <w:rFonts w:cs="Arial"/>
        </w:rPr>
      </w:pPr>
      <w:r w:rsidRPr="005426D4">
        <w:rPr>
          <w:rFonts w:cs="Arial"/>
        </w:rPr>
        <w:t>w</w:t>
      </w:r>
      <w:r w:rsidR="00A6733D" w:rsidRPr="005426D4">
        <w:rPr>
          <w:rFonts w:cs="Arial"/>
        </w:rPr>
        <w:t>arn the offender about the reportable breach, and that further reportable breaches</w:t>
      </w:r>
      <w:r w:rsidR="00A6733D">
        <w:t xml:space="preserve"> may be reported to the sentencing court (see requirements under</w:t>
      </w:r>
      <w:r w:rsidR="00345DF5">
        <w:t xml:space="preserve"> section 6</w:t>
      </w:r>
      <w:r w:rsidR="00A6733D">
        <w:t xml:space="preserve"> below).</w:t>
      </w:r>
    </w:p>
    <w:p w14:paraId="6604A169" w14:textId="7B1A2ED9" w:rsidR="00A6733D" w:rsidRDefault="00C61282" w:rsidP="005426D4">
      <w:pPr>
        <w:pStyle w:val="SectionHeading"/>
        <w:numPr>
          <w:ilvl w:val="1"/>
          <w:numId w:val="1"/>
        </w:numPr>
        <w:spacing w:before="0"/>
        <w:ind w:left="567" w:hanging="567"/>
        <w:rPr>
          <w:b w:val="0"/>
          <w:bCs w:val="0"/>
        </w:rPr>
      </w:pPr>
      <w:r w:rsidRPr="00C61282">
        <w:rPr>
          <w:b w:val="0"/>
          <w:bCs w:val="0"/>
        </w:rPr>
        <w:t>I</w:t>
      </w:r>
      <w:r w:rsidR="00980EDD">
        <w:rPr>
          <w:b w:val="0"/>
          <w:bCs w:val="0"/>
        </w:rPr>
        <w:t>f</w:t>
      </w:r>
      <w:r w:rsidRPr="00C61282">
        <w:rPr>
          <w:b w:val="0"/>
          <w:bCs w:val="0"/>
        </w:rPr>
        <w:t xml:space="preserve"> a CCO</w:t>
      </w:r>
      <w:r w:rsidR="00321BAC">
        <w:rPr>
          <w:b w:val="0"/>
          <w:bCs w:val="0"/>
        </w:rPr>
        <w:t>/CM</w:t>
      </w:r>
      <w:r w:rsidRPr="00C61282">
        <w:rPr>
          <w:b w:val="0"/>
          <w:bCs w:val="0"/>
        </w:rPr>
        <w:t xml:space="preserve"> does not form a reasonable belief that the offender has breached their good behaviour obligations, neither a report to the sentencing court nor a warning for a reportable breach should be made.</w:t>
      </w:r>
      <w:r w:rsidR="00980EDD">
        <w:rPr>
          <w:b w:val="0"/>
          <w:bCs w:val="0"/>
        </w:rPr>
        <w:t xml:space="preserve"> T</w:t>
      </w:r>
      <w:r w:rsidRPr="00C61282">
        <w:rPr>
          <w:b w:val="0"/>
          <w:bCs w:val="0"/>
        </w:rPr>
        <w:t xml:space="preserve">his decision must be documented, including the rationale for the </w:t>
      </w:r>
      <w:r w:rsidR="00980EDD">
        <w:rPr>
          <w:b w:val="0"/>
          <w:bCs w:val="0"/>
        </w:rPr>
        <w:t>decision</w:t>
      </w:r>
      <w:r w:rsidRPr="00C61282">
        <w:rPr>
          <w:b w:val="0"/>
          <w:bCs w:val="0"/>
        </w:rPr>
        <w:t xml:space="preserve">. For example, this may be applied to an offender who does not attend their scheduled supervision session but provides </w:t>
      </w:r>
      <w:r w:rsidR="00980EDD">
        <w:rPr>
          <w:b w:val="0"/>
          <w:bCs w:val="0"/>
        </w:rPr>
        <w:t xml:space="preserve">a </w:t>
      </w:r>
      <w:r w:rsidRPr="00C61282">
        <w:rPr>
          <w:b w:val="0"/>
          <w:bCs w:val="0"/>
        </w:rPr>
        <w:t>medical certificat</w:t>
      </w:r>
      <w:r w:rsidR="00980EDD">
        <w:rPr>
          <w:b w:val="0"/>
          <w:bCs w:val="0"/>
        </w:rPr>
        <w:t>e</w:t>
      </w:r>
      <w:r w:rsidRPr="00C61282">
        <w:rPr>
          <w:b w:val="0"/>
          <w:bCs w:val="0"/>
        </w:rPr>
        <w:t>.</w:t>
      </w:r>
    </w:p>
    <w:p w14:paraId="79D74077" w14:textId="78FBE46A" w:rsidR="00C61282" w:rsidRPr="00C61282" w:rsidRDefault="00980EDD" w:rsidP="005426D4">
      <w:pPr>
        <w:pStyle w:val="ListParagraph"/>
        <w:numPr>
          <w:ilvl w:val="1"/>
          <w:numId w:val="1"/>
        </w:numPr>
        <w:spacing w:after="0"/>
        <w:ind w:left="567" w:hanging="567"/>
        <w:rPr>
          <w:rFonts w:cs="Arial"/>
        </w:rPr>
      </w:pPr>
      <w:r>
        <w:rPr>
          <w:rFonts w:cs="Arial"/>
        </w:rPr>
        <w:t>If</w:t>
      </w:r>
      <w:r w:rsidR="00C61282" w:rsidRPr="00C61282">
        <w:rPr>
          <w:rFonts w:cs="Arial"/>
        </w:rPr>
        <w:t xml:space="preserve"> the CCO</w:t>
      </w:r>
      <w:r w:rsidR="00321BAC">
        <w:rPr>
          <w:rFonts w:cs="Arial"/>
        </w:rPr>
        <w:t>/CM</w:t>
      </w:r>
      <w:r w:rsidR="00C61282" w:rsidRPr="00C61282">
        <w:rPr>
          <w:rFonts w:cs="Arial"/>
        </w:rPr>
        <w:t xml:space="preserve"> </w:t>
      </w:r>
      <w:r>
        <w:rPr>
          <w:rFonts w:cs="Arial"/>
        </w:rPr>
        <w:t xml:space="preserve">wishes to either report a breach to the sentencing court (section 5) or provide a warning to the offender (section 6), they </w:t>
      </w:r>
      <w:r w:rsidR="00C61282" w:rsidRPr="00C61282">
        <w:rPr>
          <w:rFonts w:cs="Arial"/>
        </w:rPr>
        <w:t>must discuss the proposed action and seek approval from their respective Team Leader (TL) before proceeding, and this discussion/decision must be case noted by the CCO</w:t>
      </w:r>
      <w:r w:rsidR="00321BAC">
        <w:rPr>
          <w:rFonts w:cs="Arial"/>
        </w:rPr>
        <w:t>/CM</w:t>
      </w:r>
      <w:r w:rsidR="00C61282" w:rsidRPr="00C61282">
        <w:rPr>
          <w:rFonts w:cs="Arial"/>
        </w:rPr>
        <w:t>.</w:t>
      </w:r>
    </w:p>
    <w:p w14:paraId="33DF14A7" w14:textId="39602CF6" w:rsidR="00C61282" w:rsidRPr="00C61282" w:rsidRDefault="00C61282" w:rsidP="005426D4">
      <w:pPr>
        <w:pStyle w:val="SectionHeading"/>
        <w:numPr>
          <w:ilvl w:val="1"/>
          <w:numId w:val="1"/>
        </w:numPr>
        <w:spacing w:before="0"/>
        <w:ind w:left="567" w:hanging="567"/>
        <w:rPr>
          <w:b w:val="0"/>
          <w:bCs w:val="0"/>
        </w:rPr>
      </w:pPr>
      <w:r w:rsidRPr="00C61282">
        <w:rPr>
          <w:b w:val="0"/>
          <w:bCs w:val="0"/>
        </w:rPr>
        <w:t>Regardless of course of action, CCOs</w:t>
      </w:r>
      <w:r w:rsidR="00321BAC">
        <w:rPr>
          <w:b w:val="0"/>
          <w:bCs w:val="0"/>
        </w:rPr>
        <w:t>/CMs</w:t>
      </w:r>
      <w:r w:rsidRPr="00C61282">
        <w:rPr>
          <w:b w:val="0"/>
          <w:bCs w:val="0"/>
        </w:rPr>
        <w:t xml:space="preserve"> and TLs must have considered potential risks to victims, particularly noting that:</w:t>
      </w:r>
    </w:p>
    <w:p w14:paraId="4576F10C" w14:textId="7E641F1B" w:rsidR="00E26F08" w:rsidRPr="00E26F08" w:rsidRDefault="00C61282" w:rsidP="00E26F08">
      <w:pPr>
        <w:pStyle w:val="ListParagraph"/>
        <w:numPr>
          <w:ilvl w:val="3"/>
          <w:numId w:val="19"/>
        </w:numPr>
        <w:spacing w:before="60" w:after="0"/>
        <w:contextualSpacing w:val="0"/>
        <w:rPr>
          <w:b/>
          <w:bCs/>
        </w:rPr>
      </w:pPr>
      <w:r w:rsidRPr="00C61282">
        <w:t>CCOs</w:t>
      </w:r>
      <w:r w:rsidR="00321BAC">
        <w:t>/CMs</w:t>
      </w:r>
      <w:r w:rsidRPr="00C61282">
        <w:t xml:space="preserve"> </w:t>
      </w:r>
      <w:r w:rsidR="00D305B2">
        <w:t>must</w:t>
      </w:r>
      <w:r w:rsidR="00D305B2" w:rsidRPr="00C61282">
        <w:t xml:space="preserve"> </w:t>
      </w:r>
      <w:r w:rsidRPr="00C61282">
        <w:t xml:space="preserve">not contact victims of DFV and/or </w:t>
      </w:r>
      <w:r w:rsidR="00E26F08">
        <w:t>SV</w:t>
      </w:r>
      <w:r w:rsidRPr="00C61282">
        <w:t xml:space="preserve"> to actively seek views around decisions to report a breach to the sentencing court or provide a warning to the relevant perpetrator </w:t>
      </w:r>
      <w:r w:rsidR="00D305B2">
        <w:t>unless</w:t>
      </w:r>
      <w:r w:rsidR="00D305B2" w:rsidRPr="00C61282">
        <w:t xml:space="preserve"> </w:t>
      </w:r>
      <w:r w:rsidRPr="00C61282">
        <w:t>ACTCS ha</w:t>
      </w:r>
      <w:r w:rsidR="00D305B2">
        <w:t>s</w:t>
      </w:r>
      <w:r w:rsidRPr="00C61282">
        <w:t xml:space="preserve"> prior consent of the victim to do so. This is to mitigate safety risks for victims and minimise potential coercion of victims by perpetrators</w:t>
      </w:r>
      <w:r w:rsidR="00321BAC">
        <w:t>.</w:t>
      </w:r>
    </w:p>
    <w:p w14:paraId="39F34DAB" w14:textId="620A54DB" w:rsidR="00E26F08" w:rsidRPr="00E26F08" w:rsidRDefault="00C61282" w:rsidP="00E26F08">
      <w:pPr>
        <w:pStyle w:val="ListParagraph"/>
        <w:numPr>
          <w:ilvl w:val="3"/>
          <w:numId w:val="19"/>
        </w:numPr>
        <w:spacing w:before="60" w:after="0"/>
        <w:contextualSpacing w:val="0"/>
        <w:rPr>
          <w:b/>
          <w:bCs/>
        </w:rPr>
      </w:pPr>
      <w:r w:rsidRPr="00E26F08">
        <w:t xml:space="preserve">Victims of crime (including DFV and </w:t>
      </w:r>
      <w:r w:rsidR="00E26F08">
        <w:t>SV</w:t>
      </w:r>
      <w:r w:rsidRPr="00E26F08">
        <w:t xml:space="preserve"> victims) can provide information in confidence to CCOs</w:t>
      </w:r>
      <w:r w:rsidR="00321BAC">
        <w:t>/CMs</w:t>
      </w:r>
      <w:r w:rsidRPr="00E26F08">
        <w:t xml:space="preserve"> around non-compliance with good behaviour obligations or any other concerns they may have in relation to an offender</w:t>
      </w:r>
      <w:r w:rsidR="00321BAC">
        <w:t>.</w:t>
      </w:r>
    </w:p>
    <w:p w14:paraId="6467783B" w14:textId="02B6F423" w:rsidR="00D305B2" w:rsidRPr="00E26F08" w:rsidRDefault="00C61282" w:rsidP="00E26F08">
      <w:pPr>
        <w:pStyle w:val="ListParagraph"/>
        <w:numPr>
          <w:ilvl w:val="3"/>
          <w:numId w:val="19"/>
        </w:numPr>
        <w:spacing w:before="60" w:after="0"/>
        <w:contextualSpacing w:val="0"/>
        <w:rPr>
          <w:b/>
          <w:bCs/>
        </w:rPr>
      </w:pPr>
      <w:r w:rsidRPr="00E26F08">
        <w:t>CCOs</w:t>
      </w:r>
      <w:r w:rsidR="00321BAC">
        <w:t>/CMs</w:t>
      </w:r>
      <w:r w:rsidRPr="00E26F08">
        <w:t xml:space="preserve"> must use </w:t>
      </w:r>
      <w:r w:rsidR="00D305B2" w:rsidRPr="00E26F08">
        <w:t xml:space="preserve">all </w:t>
      </w:r>
      <w:r w:rsidRPr="00E26F08">
        <w:t xml:space="preserve">available information to </w:t>
      </w:r>
      <w:r w:rsidR="00D305B2" w:rsidRPr="00E26F08">
        <w:t xml:space="preserve">determine </w:t>
      </w:r>
      <w:r w:rsidRPr="00E26F08">
        <w:t>risks to victims and potential impacts on the broader community. This includes but is not limited to:</w:t>
      </w:r>
    </w:p>
    <w:p w14:paraId="204C126A" w14:textId="63EE7D12" w:rsidR="00D305B2" w:rsidRDefault="00C61282" w:rsidP="007C7256">
      <w:pPr>
        <w:pStyle w:val="SectionHeading"/>
        <w:numPr>
          <w:ilvl w:val="0"/>
          <w:numId w:val="9"/>
        </w:numPr>
        <w:spacing w:line="240" w:lineRule="auto"/>
        <w:ind w:left="1843" w:hanging="425"/>
        <w:rPr>
          <w:b w:val="0"/>
          <w:bCs w:val="0"/>
        </w:rPr>
      </w:pPr>
      <w:r w:rsidRPr="00C61282">
        <w:rPr>
          <w:b w:val="0"/>
          <w:bCs w:val="0"/>
        </w:rPr>
        <w:t>information contained within the offender record management system (i.e., CORIS)</w:t>
      </w:r>
    </w:p>
    <w:p w14:paraId="28C8C059" w14:textId="4F41099C" w:rsidR="00D305B2" w:rsidRDefault="00C61282" w:rsidP="007C7256">
      <w:pPr>
        <w:pStyle w:val="SectionHeading"/>
        <w:numPr>
          <w:ilvl w:val="0"/>
          <w:numId w:val="9"/>
        </w:numPr>
        <w:spacing w:line="240" w:lineRule="auto"/>
        <w:ind w:left="1843" w:hanging="425"/>
        <w:rPr>
          <w:b w:val="0"/>
          <w:bCs w:val="0"/>
        </w:rPr>
      </w:pPr>
      <w:r w:rsidRPr="00C61282">
        <w:rPr>
          <w:b w:val="0"/>
          <w:bCs w:val="0"/>
        </w:rPr>
        <w:t>the Community Operations Victim Liaison Officer</w:t>
      </w:r>
    </w:p>
    <w:p w14:paraId="1E673C37" w14:textId="0D1A78FF" w:rsidR="00D305B2" w:rsidRDefault="00C61282" w:rsidP="007C7256">
      <w:pPr>
        <w:pStyle w:val="SectionHeading"/>
        <w:numPr>
          <w:ilvl w:val="0"/>
          <w:numId w:val="9"/>
        </w:numPr>
        <w:spacing w:line="240" w:lineRule="auto"/>
        <w:ind w:left="1843" w:hanging="425"/>
        <w:rPr>
          <w:b w:val="0"/>
          <w:bCs w:val="0"/>
        </w:rPr>
      </w:pPr>
      <w:r w:rsidRPr="00C61282">
        <w:rPr>
          <w:b w:val="0"/>
          <w:bCs w:val="0"/>
        </w:rPr>
        <w:t>ACT Victims Register</w:t>
      </w:r>
    </w:p>
    <w:p w14:paraId="720214F0" w14:textId="23231A91" w:rsidR="00D305B2" w:rsidRDefault="00B030ED" w:rsidP="007C7256">
      <w:pPr>
        <w:pStyle w:val="SectionHeading"/>
        <w:numPr>
          <w:ilvl w:val="0"/>
          <w:numId w:val="9"/>
        </w:numPr>
        <w:spacing w:line="240" w:lineRule="auto"/>
        <w:ind w:left="1843" w:hanging="425"/>
        <w:rPr>
          <w:b w:val="0"/>
          <w:bCs w:val="0"/>
        </w:rPr>
      </w:pPr>
      <w:r>
        <w:rPr>
          <w:b w:val="0"/>
          <w:bCs w:val="0"/>
        </w:rPr>
        <w:t xml:space="preserve">ACT </w:t>
      </w:r>
      <w:r w:rsidR="00C61282" w:rsidRPr="00C61282">
        <w:rPr>
          <w:b w:val="0"/>
          <w:bCs w:val="0"/>
        </w:rPr>
        <w:t>Family Violence Safety Action Program or</w:t>
      </w:r>
    </w:p>
    <w:p w14:paraId="2EB5163C" w14:textId="2E5146A0" w:rsidR="00C61282" w:rsidRDefault="00C61282" w:rsidP="007C7256">
      <w:pPr>
        <w:pStyle w:val="SectionHeading"/>
        <w:numPr>
          <w:ilvl w:val="0"/>
          <w:numId w:val="9"/>
        </w:numPr>
        <w:spacing w:line="240" w:lineRule="auto"/>
        <w:ind w:left="1843" w:hanging="425"/>
        <w:rPr>
          <w:b w:val="0"/>
          <w:bCs w:val="0"/>
        </w:rPr>
      </w:pPr>
      <w:r w:rsidRPr="00C61282">
        <w:rPr>
          <w:b w:val="0"/>
          <w:bCs w:val="0"/>
        </w:rPr>
        <w:t>use of the ACT DFV Risk Assessment Framework which is a tool available to assist in the assessment of safety in such matters.</w:t>
      </w:r>
    </w:p>
    <w:p w14:paraId="7F0F2B8F" w14:textId="77777777" w:rsidR="00B030ED" w:rsidRPr="00C61282" w:rsidRDefault="00B030ED" w:rsidP="00B030ED">
      <w:pPr>
        <w:pStyle w:val="SectionHeading"/>
        <w:numPr>
          <w:ilvl w:val="0"/>
          <w:numId w:val="0"/>
        </w:numPr>
        <w:spacing w:line="240" w:lineRule="auto"/>
        <w:ind w:left="1843"/>
        <w:rPr>
          <w:b w:val="0"/>
          <w:bCs w:val="0"/>
        </w:rPr>
      </w:pPr>
    </w:p>
    <w:p w14:paraId="368BB148" w14:textId="5578B0AB" w:rsidR="00C61282" w:rsidRDefault="00C61282" w:rsidP="003500DB">
      <w:pPr>
        <w:pStyle w:val="ListParagraph"/>
        <w:keepNext/>
        <w:numPr>
          <w:ilvl w:val="1"/>
          <w:numId w:val="1"/>
        </w:numPr>
        <w:spacing w:after="0"/>
        <w:ind w:left="567" w:hanging="567"/>
        <w:rPr>
          <w:rFonts w:cs="Arial"/>
        </w:rPr>
      </w:pPr>
      <w:r w:rsidRPr="00C61282">
        <w:rPr>
          <w:rFonts w:cs="Arial"/>
        </w:rPr>
        <w:lastRenderedPageBreak/>
        <w:t>Both the CCO</w:t>
      </w:r>
      <w:r w:rsidR="00B030ED">
        <w:rPr>
          <w:rFonts w:cs="Arial"/>
        </w:rPr>
        <w:t>/CM</w:t>
      </w:r>
      <w:r w:rsidRPr="00C61282">
        <w:rPr>
          <w:rFonts w:cs="Arial"/>
        </w:rPr>
        <w:t xml:space="preserve"> and TL must consider the factors as described above at </w:t>
      </w:r>
      <w:r w:rsidR="00D305B2">
        <w:rPr>
          <w:rFonts w:cs="Arial"/>
        </w:rPr>
        <w:t>2</w:t>
      </w:r>
      <w:r w:rsidRPr="00C61282">
        <w:rPr>
          <w:rFonts w:cs="Arial"/>
        </w:rPr>
        <w:t xml:space="preserve">, </w:t>
      </w:r>
      <w:r w:rsidR="00D305B2">
        <w:rPr>
          <w:rFonts w:cs="Arial"/>
        </w:rPr>
        <w:t>3</w:t>
      </w:r>
      <w:r w:rsidRPr="00C61282">
        <w:rPr>
          <w:rFonts w:cs="Arial"/>
        </w:rPr>
        <w:t>.2-</w:t>
      </w:r>
      <w:r w:rsidR="00D305B2">
        <w:rPr>
          <w:rFonts w:cs="Arial"/>
        </w:rPr>
        <w:t>3</w:t>
      </w:r>
      <w:r w:rsidRPr="00C61282">
        <w:rPr>
          <w:rFonts w:cs="Arial"/>
        </w:rPr>
        <w:t xml:space="preserve">.4 and </w:t>
      </w:r>
      <w:r w:rsidR="00D305B2">
        <w:rPr>
          <w:rFonts w:cs="Arial"/>
        </w:rPr>
        <w:t>4</w:t>
      </w:r>
      <w:r w:rsidRPr="00C61282">
        <w:rPr>
          <w:rFonts w:cs="Arial"/>
        </w:rPr>
        <w:t>.</w:t>
      </w:r>
      <w:r w:rsidR="00B7721B">
        <w:rPr>
          <w:rFonts w:cs="Arial"/>
        </w:rPr>
        <w:t>6</w:t>
      </w:r>
      <w:r w:rsidRPr="00C61282">
        <w:rPr>
          <w:rFonts w:cs="Arial"/>
        </w:rPr>
        <w:t xml:space="preserve"> as part of the decision made, as well as the Framework for Decision-making in a High-risk Environment (</w:t>
      </w:r>
      <w:r w:rsidRPr="008023EA">
        <w:rPr>
          <w:rFonts w:cs="Arial"/>
          <w:u w:val="single"/>
        </w:rPr>
        <w:t>Attachment 1</w:t>
      </w:r>
      <w:r w:rsidRPr="00C61282">
        <w:rPr>
          <w:rFonts w:cs="Arial"/>
        </w:rPr>
        <w:t>).</w:t>
      </w:r>
    </w:p>
    <w:p w14:paraId="30FB3CA0" w14:textId="77777777" w:rsidR="00573738" w:rsidRPr="00C61282" w:rsidRDefault="00573738" w:rsidP="003500DB">
      <w:pPr>
        <w:pStyle w:val="ListParagraph"/>
        <w:keepNext/>
        <w:spacing w:after="0"/>
        <w:ind w:left="792"/>
        <w:rPr>
          <w:rFonts w:cs="Arial"/>
        </w:rPr>
      </w:pPr>
    </w:p>
    <w:p w14:paraId="180CA487" w14:textId="4A059E9A" w:rsidR="00CE196C" w:rsidRDefault="00CE196C" w:rsidP="005426D4">
      <w:pPr>
        <w:pStyle w:val="SectionHeading"/>
        <w:numPr>
          <w:ilvl w:val="0"/>
          <w:numId w:val="1"/>
        </w:numPr>
        <w:ind w:left="567" w:hanging="567"/>
      </w:pPr>
      <w:r>
        <w:t xml:space="preserve">Reporting a breach to the sentencing </w:t>
      </w:r>
      <w:r w:rsidR="0033506E">
        <w:t>c</w:t>
      </w:r>
      <w:r>
        <w:t>ourt</w:t>
      </w:r>
    </w:p>
    <w:p w14:paraId="05303960" w14:textId="209035AD" w:rsidR="00930D8D" w:rsidRPr="00930D8D" w:rsidRDefault="00930D8D" w:rsidP="005426D4">
      <w:pPr>
        <w:pStyle w:val="ListParagraph"/>
        <w:numPr>
          <w:ilvl w:val="1"/>
          <w:numId w:val="1"/>
        </w:numPr>
        <w:spacing w:after="0"/>
        <w:ind w:left="567" w:hanging="567"/>
        <w:rPr>
          <w:rFonts w:cs="Arial"/>
        </w:rPr>
      </w:pPr>
      <w:r w:rsidRPr="00930D8D">
        <w:rPr>
          <w:rFonts w:cs="Arial"/>
        </w:rPr>
        <w:t xml:space="preserve">Following the decision to report </w:t>
      </w:r>
      <w:r w:rsidR="0033506E">
        <w:rPr>
          <w:rFonts w:cs="Arial"/>
        </w:rPr>
        <w:t>a</w:t>
      </w:r>
      <w:r w:rsidR="0033506E" w:rsidRPr="00930D8D">
        <w:rPr>
          <w:rFonts w:cs="Arial"/>
        </w:rPr>
        <w:t xml:space="preserve"> </w:t>
      </w:r>
      <w:r w:rsidR="0033506E">
        <w:rPr>
          <w:rFonts w:cs="Arial"/>
        </w:rPr>
        <w:t>b</w:t>
      </w:r>
      <w:r w:rsidRPr="00930D8D">
        <w:rPr>
          <w:rFonts w:cs="Arial"/>
        </w:rPr>
        <w:t xml:space="preserve">reach to the </w:t>
      </w:r>
      <w:r w:rsidR="0033506E">
        <w:rPr>
          <w:rFonts w:cs="Arial"/>
        </w:rPr>
        <w:t>c</w:t>
      </w:r>
      <w:r w:rsidRPr="00930D8D">
        <w:rPr>
          <w:rFonts w:cs="Arial"/>
        </w:rPr>
        <w:t>ourt, the CCO</w:t>
      </w:r>
      <w:r w:rsidR="00B030ED">
        <w:rPr>
          <w:rFonts w:cs="Arial"/>
        </w:rPr>
        <w:t>/CM</w:t>
      </w:r>
      <w:r w:rsidRPr="00930D8D">
        <w:rPr>
          <w:rFonts w:cs="Arial"/>
        </w:rPr>
        <w:t xml:space="preserve"> must prepare a</w:t>
      </w:r>
      <w:r w:rsidR="00B030ED">
        <w:rPr>
          <w:rFonts w:cs="Arial"/>
        </w:rPr>
        <w:t xml:space="preserve">n </w:t>
      </w:r>
      <w:bookmarkStart w:id="1" w:name="_Hlk146180040"/>
      <w:r w:rsidR="00B030ED">
        <w:rPr>
          <w:rFonts w:cs="Arial"/>
        </w:rPr>
        <w:t>‘Alleged</w:t>
      </w:r>
      <w:r w:rsidRPr="00930D8D">
        <w:rPr>
          <w:rFonts w:cs="Arial"/>
        </w:rPr>
        <w:t xml:space="preserve"> Breach </w:t>
      </w:r>
      <w:r w:rsidR="00B030ED">
        <w:rPr>
          <w:rFonts w:cs="Arial"/>
        </w:rPr>
        <w:t xml:space="preserve">of Good Behaviour Order’ </w:t>
      </w:r>
      <w:bookmarkEnd w:id="1"/>
      <w:r w:rsidR="002F6370">
        <w:rPr>
          <w:rFonts w:cs="Arial"/>
        </w:rPr>
        <w:t xml:space="preserve">(Breach) </w:t>
      </w:r>
      <w:r w:rsidR="0033506E">
        <w:rPr>
          <w:rFonts w:cs="Arial"/>
        </w:rPr>
        <w:t>r</w:t>
      </w:r>
      <w:r w:rsidRPr="00930D8D">
        <w:rPr>
          <w:rFonts w:cs="Arial"/>
        </w:rPr>
        <w:t xml:space="preserve">eport using the specific </w:t>
      </w:r>
      <w:r w:rsidRPr="0033506E">
        <w:rPr>
          <w:rFonts w:cs="Arial"/>
          <w:i/>
          <w:iCs/>
          <w:u w:val="single"/>
        </w:rPr>
        <w:t>Good Behaviour Order Breach Reporting Template</w:t>
      </w:r>
      <w:r w:rsidRPr="00930D8D">
        <w:rPr>
          <w:rFonts w:cs="Arial"/>
        </w:rPr>
        <w:t xml:space="preserve"> as found in the offender record management system (i.e., CORIS).</w:t>
      </w:r>
    </w:p>
    <w:p w14:paraId="0DC6BA21" w14:textId="158D2F82" w:rsidR="0033506E" w:rsidRDefault="00930D8D" w:rsidP="005426D4">
      <w:pPr>
        <w:pStyle w:val="ListParagraph"/>
        <w:numPr>
          <w:ilvl w:val="1"/>
          <w:numId w:val="1"/>
        </w:numPr>
        <w:spacing w:after="0"/>
        <w:ind w:left="567" w:hanging="567"/>
        <w:rPr>
          <w:rFonts w:cs="Arial"/>
        </w:rPr>
      </w:pPr>
      <w:r w:rsidRPr="00930D8D">
        <w:rPr>
          <w:rFonts w:cs="Arial"/>
        </w:rPr>
        <w:t>As per s102 (</w:t>
      </w:r>
      <w:r w:rsidR="001155EB">
        <w:rPr>
          <w:rFonts w:cs="Arial"/>
        </w:rPr>
        <w:t>4</w:t>
      </w:r>
      <w:r w:rsidRPr="00930D8D">
        <w:rPr>
          <w:rFonts w:cs="Arial"/>
        </w:rPr>
        <w:t xml:space="preserve">) of the </w:t>
      </w:r>
      <w:r w:rsidRPr="00C86F53">
        <w:rPr>
          <w:rFonts w:cs="Arial"/>
          <w:i/>
          <w:iCs/>
          <w:u w:val="single"/>
        </w:rPr>
        <w:t>C</w:t>
      </w:r>
      <w:r w:rsidR="00161EDF">
        <w:rPr>
          <w:rFonts w:cs="Arial"/>
          <w:i/>
          <w:iCs/>
          <w:u w:val="single"/>
        </w:rPr>
        <w:t>rime</w:t>
      </w:r>
      <w:r w:rsidRPr="00C86F53">
        <w:rPr>
          <w:rFonts w:cs="Arial"/>
          <w:i/>
          <w:iCs/>
          <w:u w:val="single"/>
        </w:rPr>
        <w:t>s (Sentence Administration) Act 2005</w:t>
      </w:r>
      <w:r w:rsidRPr="00930D8D">
        <w:rPr>
          <w:rFonts w:cs="Arial"/>
        </w:rPr>
        <w:t xml:space="preserve"> a report to the sentencing court must</w:t>
      </w:r>
      <w:r w:rsidR="0033506E">
        <w:rPr>
          <w:rFonts w:cs="Arial"/>
        </w:rPr>
        <w:t>:</w:t>
      </w:r>
    </w:p>
    <w:p w14:paraId="09CA88A1" w14:textId="3A72F0E4" w:rsidR="0033506E" w:rsidRPr="005426D4" w:rsidRDefault="00930D8D" w:rsidP="005426D4">
      <w:pPr>
        <w:pStyle w:val="ListParagraph"/>
        <w:numPr>
          <w:ilvl w:val="3"/>
          <w:numId w:val="25"/>
        </w:numPr>
        <w:spacing w:before="60" w:after="0"/>
        <w:contextualSpacing w:val="0"/>
      </w:pPr>
      <w:r w:rsidRPr="005426D4">
        <w:t>be recorded in writing and</w:t>
      </w:r>
    </w:p>
    <w:p w14:paraId="73AFE2CB" w14:textId="5B6838D0" w:rsidR="0033506E" w:rsidRPr="005426D4" w:rsidRDefault="00930D8D" w:rsidP="005426D4">
      <w:pPr>
        <w:pStyle w:val="ListParagraph"/>
        <w:numPr>
          <w:ilvl w:val="3"/>
          <w:numId w:val="25"/>
        </w:numPr>
        <w:spacing w:before="60" w:after="0"/>
        <w:contextualSpacing w:val="0"/>
      </w:pPr>
      <w:r w:rsidRPr="005426D4">
        <w:t>include the grounds for believing there has been a breach and</w:t>
      </w:r>
      <w:r w:rsidR="008023EA" w:rsidRPr="005426D4">
        <w:t xml:space="preserve"> in addition</w:t>
      </w:r>
    </w:p>
    <w:p w14:paraId="6646D215" w14:textId="39F6063E" w:rsidR="00B030ED" w:rsidRPr="00B030ED" w:rsidRDefault="00930D8D" w:rsidP="00B030ED">
      <w:pPr>
        <w:pStyle w:val="ListParagraph"/>
        <w:numPr>
          <w:ilvl w:val="3"/>
          <w:numId w:val="25"/>
        </w:numPr>
        <w:spacing w:before="60" w:after="0"/>
        <w:contextualSpacing w:val="0"/>
        <w:rPr>
          <w:rFonts w:cs="Arial"/>
        </w:rPr>
      </w:pPr>
      <w:r w:rsidRPr="005426D4">
        <w:t>include a summary of any reportable breach for which the offender has previously</w:t>
      </w:r>
      <w:r w:rsidRPr="0033506E">
        <w:rPr>
          <w:rFonts w:cs="Arial"/>
        </w:rPr>
        <w:t xml:space="preserve"> been warned and an explanation of why the warning was given</w:t>
      </w:r>
      <w:r w:rsidR="0033506E">
        <w:rPr>
          <w:rFonts w:cs="Arial"/>
        </w:rPr>
        <w:t>.</w:t>
      </w:r>
    </w:p>
    <w:p w14:paraId="231240B9" w14:textId="537D4926" w:rsidR="00930D8D" w:rsidRPr="00930D8D" w:rsidRDefault="00930D8D" w:rsidP="005426D4">
      <w:pPr>
        <w:pStyle w:val="SectionHeading"/>
        <w:numPr>
          <w:ilvl w:val="1"/>
          <w:numId w:val="1"/>
        </w:numPr>
        <w:spacing w:before="0"/>
        <w:ind w:left="567" w:hanging="567"/>
        <w:rPr>
          <w:b w:val="0"/>
          <w:bCs w:val="0"/>
        </w:rPr>
      </w:pPr>
      <w:r w:rsidRPr="00930D8D">
        <w:rPr>
          <w:b w:val="0"/>
          <w:bCs w:val="0"/>
        </w:rPr>
        <w:t>CCOs</w:t>
      </w:r>
      <w:r w:rsidR="00B030ED">
        <w:rPr>
          <w:b w:val="0"/>
          <w:bCs w:val="0"/>
        </w:rPr>
        <w:t>/CMs</w:t>
      </w:r>
      <w:r w:rsidRPr="00930D8D">
        <w:rPr>
          <w:b w:val="0"/>
          <w:bCs w:val="0"/>
        </w:rPr>
        <w:t xml:space="preserve"> should also refer to the </w:t>
      </w:r>
      <w:r w:rsidRPr="00C86F53">
        <w:rPr>
          <w:b w:val="0"/>
          <w:bCs w:val="0"/>
          <w:i/>
          <w:iCs/>
          <w:u w:val="single"/>
        </w:rPr>
        <w:t>Good Behaviour Order Community Instruction</w:t>
      </w:r>
      <w:r w:rsidRPr="00930D8D">
        <w:rPr>
          <w:b w:val="0"/>
          <w:bCs w:val="0"/>
        </w:rPr>
        <w:t xml:space="preserve"> which outlines the details required to be provided in the</w:t>
      </w:r>
      <w:r w:rsidR="002F6370">
        <w:rPr>
          <w:b w:val="0"/>
          <w:bCs w:val="0"/>
        </w:rPr>
        <w:t xml:space="preserve"> Breach</w:t>
      </w:r>
      <w:r w:rsidR="00B030ED" w:rsidRPr="00B030ED">
        <w:rPr>
          <w:b w:val="0"/>
          <w:bCs w:val="0"/>
        </w:rPr>
        <w:t xml:space="preserve"> </w:t>
      </w:r>
      <w:r w:rsidRPr="00930D8D">
        <w:rPr>
          <w:b w:val="0"/>
          <w:bCs w:val="0"/>
        </w:rPr>
        <w:t>report.</w:t>
      </w:r>
    </w:p>
    <w:p w14:paraId="0E49CC02" w14:textId="77777777" w:rsidR="00930D8D" w:rsidRPr="00930D8D" w:rsidRDefault="00930D8D" w:rsidP="005426D4">
      <w:pPr>
        <w:pStyle w:val="SectionHeading"/>
        <w:numPr>
          <w:ilvl w:val="1"/>
          <w:numId w:val="1"/>
        </w:numPr>
        <w:ind w:left="567" w:hanging="567"/>
        <w:rPr>
          <w:b w:val="0"/>
          <w:bCs w:val="0"/>
        </w:rPr>
      </w:pPr>
      <w:r w:rsidRPr="00930D8D">
        <w:rPr>
          <w:b w:val="0"/>
          <w:bCs w:val="0"/>
        </w:rPr>
        <w:t>Breach reports must be accurate and prepared chronologically, outlining all instances of non-compliance, directions given, any reasonable adjustments made to support compliance and any attempts to address the non-compliance with the offender, including past warnings that may have been exercised and the reasons why a warning was given.</w:t>
      </w:r>
    </w:p>
    <w:p w14:paraId="40241130" w14:textId="02667E8A" w:rsidR="00930D8D" w:rsidRPr="00930D8D" w:rsidRDefault="00930D8D" w:rsidP="005426D4">
      <w:pPr>
        <w:pStyle w:val="SectionHeading"/>
        <w:numPr>
          <w:ilvl w:val="1"/>
          <w:numId w:val="1"/>
        </w:numPr>
        <w:ind w:left="567" w:hanging="567"/>
        <w:rPr>
          <w:b w:val="0"/>
          <w:bCs w:val="0"/>
        </w:rPr>
      </w:pPr>
      <w:r w:rsidRPr="00930D8D">
        <w:rPr>
          <w:b w:val="0"/>
          <w:bCs w:val="0"/>
        </w:rPr>
        <w:t xml:space="preserve">Breach reports may also include a recommendation to the </w:t>
      </w:r>
      <w:r w:rsidR="0033506E">
        <w:rPr>
          <w:b w:val="0"/>
          <w:bCs w:val="0"/>
        </w:rPr>
        <w:t>c</w:t>
      </w:r>
      <w:r w:rsidRPr="00930D8D">
        <w:rPr>
          <w:b w:val="0"/>
          <w:bCs w:val="0"/>
        </w:rPr>
        <w:t>ourt regarding the outcome the CCO</w:t>
      </w:r>
      <w:r w:rsidR="002F6370">
        <w:rPr>
          <w:b w:val="0"/>
          <w:bCs w:val="0"/>
        </w:rPr>
        <w:t>/CM</w:t>
      </w:r>
      <w:r w:rsidRPr="00930D8D">
        <w:rPr>
          <w:b w:val="0"/>
          <w:bCs w:val="0"/>
        </w:rPr>
        <w:t xml:space="preserve"> is seeking (e.g., a formal warning, extending the order length,</w:t>
      </w:r>
      <w:r w:rsidR="00E26F08">
        <w:rPr>
          <w:b w:val="0"/>
          <w:bCs w:val="0"/>
        </w:rPr>
        <w:t xml:space="preserve"> </w:t>
      </w:r>
      <w:r w:rsidRPr="00930D8D">
        <w:rPr>
          <w:b w:val="0"/>
          <w:bCs w:val="0"/>
        </w:rPr>
        <w:t>removing/altering/adding an order condition, etc).</w:t>
      </w:r>
    </w:p>
    <w:p w14:paraId="42B43B93" w14:textId="6A869D97" w:rsidR="00930D8D" w:rsidRPr="00930D8D" w:rsidRDefault="00930D8D" w:rsidP="005426D4">
      <w:pPr>
        <w:pStyle w:val="SectionHeading"/>
        <w:numPr>
          <w:ilvl w:val="1"/>
          <w:numId w:val="1"/>
        </w:numPr>
        <w:ind w:left="567" w:hanging="567"/>
        <w:rPr>
          <w:b w:val="0"/>
          <w:bCs w:val="0"/>
        </w:rPr>
      </w:pPr>
      <w:r w:rsidRPr="00930D8D">
        <w:rPr>
          <w:b w:val="0"/>
          <w:bCs w:val="0"/>
        </w:rPr>
        <w:t xml:space="preserve">All </w:t>
      </w:r>
      <w:r w:rsidR="0033506E">
        <w:rPr>
          <w:b w:val="0"/>
          <w:bCs w:val="0"/>
        </w:rPr>
        <w:t>B</w:t>
      </w:r>
      <w:r w:rsidRPr="00930D8D">
        <w:rPr>
          <w:b w:val="0"/>
          <w:bCs w:val="0"/>
        </w:rPr>
        <w:t>reach reports must be reviewed and approved by a T</w:t>
      </w:r>
      <w:r w:rsidR="0033506E">
        <w:rPr>
          <w:b w:val="0"/>
          <w:bCs w:val="0"/>
        </w:rPr>
        <w:t>L</w:t>
      </w:r>
      <w:r w:rsidRPr="00930D8D">
        <w:rPr>
          <w:b w:val="0"/>
          <w:bCs w:val="0"/>
        </w:rPr>
        <w:t xml:space="preserve"> before submission to the sentencing court.</w:t>
      </w:r>
    </w:p>
    <w:p w14:paraId="175E47C7" w14:textId="77777777" w:rsidR="00930D8D" w:rsidRPr="00930D8D" w:rsidRDefault="00930D8D" w:rsidP="005426D4">
      <w:pPr>
        <w:pStyle w:val="SectionHeading"/>
        <w:numPr>
          <w:ilvl w:val="1"/>
          <w:numId w:val="1"/>
        </w:numPr>
        <w:ind w:left="567" w:hanging="567"/>
        <w:rPr>
          <w:b w:val="0"/>
          <w:bCs w:val="0"/>
        </w:rPr>
      </w:pPr>
      <w:r w:rsidRPr="00930D8D">
        <w:rPr>
          <w:b w:val="0"/>
          <w:bCs w:val="0"/>
        </w:rPr>
        <w:t>Breach reports must be submitted to the sentencing court within two (2) business days of the determination to report the breach.</w:t>
      </w:r>
    </w:p>
    <w:p w14:paraId="16F45AD0" w14:textId="3B2D7A63" w:rsidR="00930D8D" w:rsidRPr="00930D8D" w:rsidRDefault="00930D8D" w:rsidP="005426D4">
      <w:pPr>
        <w:pStyle w:val="SectionHeading"/>
        <w:numPr>
          <w:ilvl w:val="1"/>
          <w:numId w:val="1"/>
        </w:numPr>
        <w:ind w:left="567" w:hanging="567"/>
        <w:rPr>
          <w:b w:val="0"/>
          <w:bCs w:val="0"/>
        </w:rPr>
      </w:pPr>
      <w:r w:rsidRPr="00930D8D">
        <w:rPr>
          <w:b w:val="0"/>
          <w:bCs w:val="0"/>
        </w:rPr>
        <w:t>CCOs</w:t>
      </w:r>
      <w:r w:rsidR="002F6370">
        <w:rPr>
          <w:b w:val="0"/>
          <w:bCs w:val="0"/>
        </w:rPr>
        <w:t>/CMs</w:t>
      </w:r>
      <w:r w:rsidRPr="00930D8D">
        <w:rPr>
          <w:b w:val="0"/>
          <w:bCs w:val="0"/>
        </w:rPr>
        <w:t xml:space="preserve"> may be required to appear before the sentencing court in relation to an alleged breach report.</w:t>
      </w:r>
    </w:p>
    <w:p w14:paraId="374C95E9" w14:textId="4958ACC1" w:rsidR="00930D8D" w:rsidRPr="00930D8D" w:rsidRDefault="00930D8D" w:rsidP="005426D4">
      <w:pPr>
        <w:pStyle w:val="SectionHeading"/>
        <w:numPr>
          <w:ilvl w:val="1"/>
          <w:numId w:val="1"/>
        </w:numPr>
        <w:ind w:left="567" w:hanging="567"/>
        <w:rPr>
          <w:b w:val="0"/>
          <w:bCs w:val="0"/>
        </w:rPr>
      </w:pPr>
      <w:r w:rsidRPr="00930D8D">
        <w:rPr>
          <w:b w:val="0"/>
          <w:bCs w:val="0"/>
        </w:rPr>
        <w:t>The Court Duty Officer for Community Operations will also appear on days where breach matters are heard to provide any additional information since the breach report was submitted.</w:t>
      </w:r>
    </w:p>
    <w:p w14:paraId="101FD5E7" w14:textId="37CB0D3F" w:rsidR="00930D8D" w:rsidRDefault="00930D8D" w:rsidP="005426D4">
      <w:pPr>
        <w:pStyle w:val="SectionHeading"/>
        <w:numPr>
          <w:ilvl w:val="1"/>
          <w:numId w:val="13"/>
        </w:numPr>
        <w:tabs>
          <w:tab w:val="left" w:pos="851"/>
        </w:tabs>
        <w:ind w:left="567" w:hanging="567"/>
        <w:rPr>
          <w:b w:val="0"/>
          <w:bCs w:val="0"/>
        </w:rPr>
      </w:pPr>
      <w:r w:rsidRPr="00930D8D">
        <w:rPr>
          <w:b w:val="0"/>
          <w:bCs w:val="0"/>
        </w:rPr>
        <w:t>It is the responsibility of the Court to determine if the reported breach has occurred and decide the appropriate action.</w:t>
      </w:r>
    </w:p>
    <w:p w14:paraId="3FE86411" w14:textId="77777777" w:rsidR="00C86F53" w:rsidRPr="00930D8D" w:rsidRDefault="00C86F53" w:rsidP="00C86F53">
      <w:pPr>
        <w:pStyle w:val="SectionHeading"/>
        <w:numPr>
          <w:ilvl w:val="0"/>
          <w:numId w:val="0"/>
        </w:numPr>
        <w:ind w:left="360"/>
        <w:rPr>
          <w:b w:val="0"/>
          <w:bCs w:val="0"/>
        </w:rPr>
      </w:pPr>
    </w:p>
    <w:p w14:paraId="75EC8734" w14:textId="08DD5D77" w:rsidR="00CE196C" w:rsidRDefault="00930D8D" w:rsidP="005426D4">
      <w:pPr>
        <w:pStyle w:val="SectionHeading"/>
        <w:numPr>
          <w:ilvl w:val="0"/>
          <w:numId w:val="1"/>
        </w:numPr>
        <w:ind w:left="567" w:hanging="567"/>
      </w:pPr>
      <w:r>
        <w:t>Providing a warning to an offender</w:t>
      </w:r>
    </w:p>
    <w:p w14:paraId="6B8C6FB6" w14:textId="2A95057A" w:rsidR="0029239C" w:rsidRPr="0029239C" w:rsidRDefault="0029239C" w:rsidP="005426D4">
      <w:pPr>
        <w:pStyle w:val="SectionHeading"/>
        <w:numPr>
          <w:ilvl w:val="1"/>
          <w:numId w:val="1"/>
        </w:numPr>
        <w:ind w:left="567" w:hanging="567"/>
        <w:rPr>
          <w:b w:val="0"/>
          <w:bCs w:val="0"/>
        </w:rPr>
      </w:pPr>
      <w:r w:rsidRPr="0029239C">
        <w:rPr>
          <w:b w:val="0"/>
          <w:bCs w:val="0"/>
        </w:rPr>
        <w:t xml:space="preserve">Only after consideration has been given to this guideline, particularly </w:t>
      </w:r>
      <w:r w:rsidR="00C86F53" w:rsidRPr="00C86F53">
        <w:rPr>
          <w:b w:val="0"/>
          <w:bCs w:val="0"/>
        </w:rPr>
        <w:t>2, 3.2-3.4</w:t>
      </w:r>
      <w:r w:rsidR="00B7721B">
        <w:rPr>
          <w:b w:val="0"/>
          <w:bCs w:val="0"/>
        </w:rPr>
        <w:t>, 4.6 and</w:t>
      </w:r>
      <w:r w:rsidRPr="0029239C">
        <w:rPr>
          <w:b w:val="0"/>
          <w:bCs w:val="0"/>
        </w:rPr>
        <w:t xml:space="preserve"> </w:t>
      </w:r>
      <w:r w:rsidR="00C86F53">
        <w:rPr>
          <w:b w:val="0"/>
          <w:bCs w:val="0"/>
        </w:rPr>
        <w:t>4</w:t>
      </w:r>
      <w:r w:rsidRPr="0029239C">
        <w:rPr>
          <w:b w:val="0"/>
          <w:bCs w:val="0"/>
        </w:rPr>
        <w:t>.</w:t>
      </w:r>
      <w:r w:rsidR="00B7721B">
        <w:rPr>
          <w:b w:val="0"/>
          <w:bCs w:val="0"/>
        </w:rPr>
        <w:t>7</w:t>
      </w:r>
      <w:r w:rsidRPr="0029239C">
        <w:rPr>
          <w:b w:val="0"/>
          <w:bCs w:val="0"/>
        </w:rPr>
        <w:t>, should a CCO</w:t>
      </w:r>
      <w:r w:rsidR="002F6370">
        <w:rPr>
          <w:b w:val="0"/>
          <w:bCs w:val="0"/>
        </w:rPr>
        <w:t>/CM</w:t>
      </w:r>
      <w:r w:rsidRPr="0029239C">
        <w:rPr>
          <w:b w:val="0"/>
          <w:bCs w:val="0"/>
        </w:rPr>
        <w:t xml:space="preserve"> and TL consider providing a warning to an offender for a reportable breach of their good behaviour obligations, rather than reporting the breach to the sentencing court.</w:t>
      </w:r>
    </w:p>
    <w:p w14:paraId="1CB77BAF" w14:textId="77FBEEF9" w:rsidR="00C86F53" w:rsidRDefault="0029239C" w:rsidP="005426D4">
      <w:pPr>
        <w:pStyle w:val="SectionHeading"/>
        <w:numPr>
          <w:ilvl w:val="1"/>
          <w:numId w:val="1"/>
        </w:numPr>
        <w:ind w:left="567" w:hanging="567"/>
        <w:rPr>
          <w:b w:val="0"/>
          <w:bCs w:val="0"/>
        </w:rPr>
      </w:pPr>
      <w:r w:rsidRPr="0029239C">
        <w:rPr>
          <w:b w:val="0"/>
          <w:bCs w:val="0"/>
        </w:rPr>
        <w:t>As per s102 (</w:t>
      </w:r>
      <w:r w:rsidR="001155EB">
        <w:rPr>
          <w:b w:val="0"/>
          <w:bCs w:val="0"/>
        </w:rPr>
        <w:t>3</w:t>
      </w:r>
      <w:r w:rsidRPr="0029239C">
        <w:rPr>
          <w:b w:val="0"/>
          <w:bCs w:val="0"/>
        </w:rPr>
        <w:t xml:space="preserve">) of the </w:t>
      </w:r>
      <w:r w:rsidRPr="00C86F53">
        <w:rPr>
          <w:b w:val="0"/>
          <w:bCs w:val="0"/>
          <w:i/>
          <w:iCs/>
          <w:u w:val="single"/>
        </w:rPr>
        <w:t>C</w:t>
      </w:r>
      <w:r w:rsidR="00161EDF">
        <w:rPr>
          <w:b w:val="0"/>
          <w:bCs w:val="0"/>
          <w:i/>
          <w:iCs/>
          <w:u w:val="single"/>
        </w:rPr>
        <w:t>rimes</w:t>
      </w:r>
      <w:r w:rsidRPr="00C86F53">
        <w:rPr>
          <w:b w:val="0"/>
          <w:bCs w:val="0"/>
          <w:i/>
          <w:iCs/>
          <w:u w:val="single"/>
        </w:rPr>
        <w:t xml:space="preserve"> (Sentence Administration) Act 2005</w:t>
      </w:r>
      <w:r w:rsidRPr="0029239C">
        <w:rPr>
          <w:b w:val="0"/>
          <w:bCs w:val="0"/>
        </w:rPr>
        <w:t xml:space="preserve">, </w:t>
      </w:r>
      <w:r w:rsidRPr="00C86F53">
        <w:rPr>
          <w:b w:val="0"/>
          <w:bCs w:val="0"/>
        </w:rPr>
        <w:t>other than for a reportable breach the conduct of which could constitute an offence, the corrections officer</w:t>
      </w:r>
      <w:r w:rsidR="00C86F53">
        <w:rPr>
          <w:b w:val="0"/>
          <w:bCs w:val="0"/>
        </w:rPr>
        <w:t>:</w:t>
      </w:r>
    </w:p>
    <w:p w14:paraId="44F2412D" w14:textId="77777777" w:rsidR="005426D4" w:rsidRPr="005426D4" w:rsidRDefault="0029239C" w:rsidP="003500DB">
      <w:pPr>
        <w:pStyle w:val="ListParagraph"/>
        <w:keepNext/>
        <w:numPr>
          <w:ilvl w:val="3"/>
          <w:numId w:val="26"/>
        </w:numPr>
        <w:spacing w:before="60" w:after="0"/>
        <w:contextualSpacing w:val="0"/>
        <w:rPr>
          <w:b/>
          <w:bCs/>
        </w:rPr>
      </w:pPr>
      <w:r w:rsidRPr="00C86F53">
        <w:lastRenderedPageBreak/>
        <w:t>need not report the reportable breach to the sentencing court and</w:t>
      </w:r>
    </w:p>
    <w:p w14:paraId="5EE263BF" w14:textId="7077F4AB" w:rsidR="0029239C" w:rsidRPr="005426D4" w:rsidRDefault="0029239C" w:rsidP="005426D4">
      <w:pPr>
        <w:pStyle w:val="ListParagraph"/>
        <w:numPr>
          <w:ilvl w:val="3"/>
          <w:numId w:val="26"/>
        </w:numPr>
        <w:spacing w:before="60" w:after="0"/>
        <w:contextualSpacing w:val="0"/>
        <w:rPr>
          <w:b/>
          <w:bCs/>
        </w:rPr>
      </w:pPr>
      <w:r w:rsidRPr="005426D4">
        <w:t>may instead warn the offender about the reportable breach, and that further reportable breaches may be reported to the sentencing court.</w:t>
      </w:r>
    </w:p>
    <w:p w14:paraId="2E198B6D" w14:textId="64E3774E" w:rsidR="0029239C" w:rsidRPr="0029239C" w:rsidRDefault="0029239C" w:rsidP="005426D4">
      <w:pPr>
        <w:pStyle w:val="SectionHeading"/>
        <w:numPr>
          <w:ilvl w:val="1"/>
          <w:numId w:val="1"/>
        </w:numPr>
        <w:ind w:left="567" w:hanging="567"/>
        <w:rPr>
          <w:b w:val="0"/>
          <w:bCs w:val="0"/>
        </w:rPr>
      </w:pPr>
      <w:r w:rsidRPr="0029239C">
        <w:rPr>
          <w:b w:val="0"/>
          <w:bCs w:val="0"/>
        </w:rPr>
        <w:t>Following the decision to provide a warning to the offender for a reportable breach, the CCO</w:t>
      </w:r>
      <w:r w:rsidR="002F6370">
        <w:rPr>
          <w:b w:val="0"/>
          <w:bCs w:val="0"/>
        </w:rPr>
        <w:t>/CM</w:t>
      </w:r>
      <w:r w:rsidRPr="0029239C">
        <w:rPr>
          <w:b w:val="0"/>
          <w:bCs w:val="0"/>
        </w:rPr>
        <w:t xml:space="preserve"> must prepare a Breach Warning report using the specific </w:t>
      </w:r>
      <w:r w:rsidRPr="00C86F53">
        <w:rPr>
          <w:b w:val="0"/>
          <w:bCs w:val="0"/>
          <w:i/>
          <w:iCs/>
          <w:u w:val="single"/>
        </w:rPr>
        <w:t>Good Behaviour Order Breach Warning Template</w:t>
      </w:r>
      <w:r w:rsidRPr="0029239C">
        <w:rPr>
          <w:b w:val="0"/>
          <w:bCs w:val="0"/>
        </w:rPr>
        <w:t xml:space="preserve"> as found in the offender record management system (i.e., CORIS).</w:t>
      </w:r>
    </w:p>
    <w:p w14:paraId="31393074" w14:textId="3AD3C781" w:rsidR="00C86F53" w:rsidRDefault="0029239C" w:rsidP="005426D4">
      <w:pPr>
        <w:pStyle w:val="SectionHeading"/>
        <w:numPr>
          <w:ilvl w:val="1"/>
          <w:numId w:val="1"/>
        </w:numPr>
        <w:ind w:left="567" w:hanging="567"/>
        <w:rPr>
          <w:b w:val="0"/>
          <w:bCs w:val="0"/>
        </w:rPr>
      </w:pPr>
      <w:r w:rsidRPr="0029239C">
        <w:rPr>
          <w:b w:val="0"/>
          <w:bCs w:val="0"/>
        </w:rPr>
        <w:t>As per s102 (</w:t>
      </w:r>
      <w:r w:rsidR="001155EB">
        <w:rPr>
          <w:b w:val="0"/>
          <w:bCs w:val="0"/>
        </w:rPr>
        <w:t>4</w:t>
      </w:r>
      <w:r w:rsidRPr="0029239C">
        <w:rPr>
          <w:b w:val="0"/>
          <w:bCs w:val="0"/>
        </w:rPr>
        <w:t xml:space="preserve">) of the </w:t>
      </w:r>
      <w:r w:rsidRPr="00C86F53">
        <w:rPr>
          <w:b w:val="0"/>
          <w:bCs w:val="0"/>
          <w:i/>
          <w:iCs/>
          <w:u w:val="single"/>
        </w:rPr>
        <w:t>C</w:t>
      </w:r>
      <w:r w:rsidR="00161EDF">
        <w:rPr>
          <w:b w:val="0"/>
          <w:bCs w:val="0"/>
          <w:i/>
          <w:iCs/>
          <w:u w:val="single"/>
        </w:rPr>
        <w:t>rimes</w:t>
      </w:r>
      <w:r w:rsidRPr="00C86F53">
        <w:rPr>
          <w:b w:val="0"/>
          <w:bCs w:val="0"/>
          <w:i/>
          <w:iCs/>
          <w:u w:val="single"/>
        </w:rPr>
        <w:t xml:space="preserve"> (Sentence Administration) Act 2005</w:t>
      </w:r>
      <w:r w:rsidRPr="0029239C">
        <w:rPr>
          <w:b w:val="0"/>
          <w:bCs w:val="0"/>
        </w:rPr>
        <w:t xml:space="preserve"> this warning must</w:t>
      </w:r>
      <w:r w:rsidR="00C86F53">
        <w:rPr>
          <w:b w:val="0"/>
          <w:bCs w:val="0"/>
        </w:rPr>
        <w:t>:</w:t>
      </w:r>
    </w:p>
    <w:p w14:paraId="5F333EC3" w14:textId="4220864E" w:rsidR="00C86F53" w:rsidRPr="001F499B" w:rsidRDefault="0029239C" w:rsidP="001F499B">
      <w:pPr>
        <w:pStyle w:val="ListParagraph"/>
        <w:numPr>
          <w:ilvl w:val="3"/>
          <w:numId w:val="27"/>
        </w:numPr>
        <w:spacing w:before="60" w:after="0"/>
        <w:contextualSpacing w:val="0"/>
      </w:pPr>
      <w:r w:rsidRPr="008023EA">
        <w:t>be recorded in writing and</w:t>
      </w:r>
    </w:p>
    <w:p w14:paraId="387FEBD4" w14:textId="0B85F9C3" w:rsidR="00C86F53" w:rsidRPr="001F499B" w:rsidRDefault="0029239C" w:rsidP="001F499B">
      <w:pPr>
        <w:pStyle w:val="ListParagraph"/>
        <w:numPr>
          <w:ilvl w:val="3"/>
          <w:numId w:val="27"/>
        </w:numPr>
        <w:spacing w:before="60" w:after="0"/>
        <w:contextualSpacing w:val="0"/>
      </w:pPr>
      <w:r w:rsidRPr="00C86F53">
        <w:t>include the grounds for believing there has been a breach and</w:t>
      </w:r>
    </w:p>
    <w:p w14:paraId="2506A3CD" w14:textId="33DF6A35" w:rsidR="0029239C" w:rsidRPr="00C86F53" w:rsidRDefault="0029239C" w:rsidP="001F499B">
      <w:pPr>
        <w:pStyle w:val="ListParagraph"/>
        <w:numPr>
          <w:ilvl w:val="3"/>
          <w:numId w:val="27"/>
        </w:numPr>
        <w:spacing w:before="60" w:after="0"/>
        <w:contextualSpacing w:val="0"/>
        <w:rPr>
          <w:b/>
          <w:bCs/>
        </w:rPr>
      </w:pPr>
      <w:r w:rsidRPr="00C86F53">
        <w:t xml:space="preserve">comply with </w:t>
      </w:r>
      <w:r w:rsidR="008F2A03">
        <w:t xml:space="preserve">this </w:t>
      </w:r>
      <w:r w:rsidR="00B52186">
        <w:t>guideline</w:t>
      </w:r>
      <w:r w:rsidRPr="00C86F53">
        <w:t>.</w:t>
      </w:r>
    </w:p>
    <w:p w14:paraId="0AC6A2BA" w14:textId="203BF22F" w:rsidR="0029239C" w:rsidRPr="0029239C" w:rsidRDefault="0029239C" w:rsidP="005426D4">
      <w:pPr>
        <w:pStyle w:val="SectionHeading"/>
        <w:numPr>
          <w:ilvl w:val="1"/>
          <w:numId w:val="1"/>
        </w:numPr>
        <w:ind w:left="567" w:hanging="567"/>
        <w:rPr>
          <w:b w:val="0"/>
          <w:bCs w:val="0"/>
        </w:rPr>
      </w:pPr>
      <w:r w:rsidRPr="0029239C">
        <w:rPr>
          <w:b w:val="0"/>
          <w:bCs w:val="0"/>
        </w:rPr>
        <w:t>CCOs</w:t>
      </w:r>
      <w:r w:rsidR="002F6370">
        <w:rPr>
          <w:b w:val="0"/>
          <w:bCs w:val="0"/>
        </w:rPr>
        <w:t>/CMs</w:t>
      </w:r>
      <w:r w:rsidRPr="0029239C">
        <w:rPr>
          <w:b w:val="0"/>
          <w:bCs w:val="0"/>
        </w:rPr>
        <w:t xml:space="preserve"> should also refer to the </w:t>
      </w:r>
      <w:r w:rsidRPr="00C86F53">
        <w:rPr>
          <w:b w:val="0"/>
          <w:bCs w:val="0"/>
          <w:i/>
          <w:iCs/>
          <w:u w:val="single"/>
        </w:rPr>
        <w:t>Good Behaviour Order Community Instruction</w:t>
      </w:r>
      <w:r w:rsidRPr="0029239C">
        <w:rPr>
          <w:b w:val="0"/>
          <w:bCs w:val="0"/>
        </w:rPr>
        <w:t xml:space="preserve"> which outlines the details required to be provided in the Breach Warning report.</w:t>
      </w:r>
    </w:p>
    <w:p w14:paraId="015D7657" w14:textId="77777777" w:rsidR="0029239C" w:rsidRPr="0029239C" w:rsidRDefault="0029239C" w:rsidP="005426D4">
      <w:pPr>
        <w:pStyle w:val="SectionHeading"/>
        <w:numPr>
          <w:ilvl w:val="1"/>
          <w:numId w:val="1"/>
        </w:numPr>
        <w:ind w:left="567" w:hanging="567"/>
        <w:rPr>
          <w:b w:val="0"/>
          <w:bCs w:val="0"/>
        </w:rPr>
      </w:pPr>
      <w:r w:rsidRPr="0029239C">
        <w:rPr>
          <w:b w:val="0"/>
          <w:bCs w:val="0"/>
        </w:rPr>
        <w:t>Breach Warning reports must be accurate and prepared chronologically, outlining the non-compliance, directions given, any reasonable adjustments made to support compliance and any attempts to address the non-compliance with the offender, the reasons why a warning was given and reference to any past warnings that may have been exercised.</w:t>
      </w:r>
    </w:p>
    <w:p w14:paraId="7991A6FE" w14:textId="504C7E50" w:rsidR="0029239C" w:rsidRPr="0029239C" w:rsidRDefault="0029239C" w:rsidP="005426D4">
      <w:pPr>
        <w:pStyle w:val="SectionHeading"/>
        <w:numPr>
          <w:ilvl w:val="1"/>
          <w:numId w:val="1"/>
        </w:numPr>
        <w:ind w:left="567" w:hanging="567"/>
        <w:rPr>
          <w:b w:val="0"/>
          <w:bCs w:val="0"/>
        </w:rPr>
      </w:pPr>
      <w:r w:rsidRPr="0029239C">
        <w:rPr>
          <w:b w:val="0"/>
          <w:bCs w:val="0"/>
        </w:rPr>
        <w:t>All Breach Warning reports must be reviewed and approved by a T</w:t>
      </w:r>
      <w:r w:rsidR="00C86F53">
        <w:rPr>
          <w:b w:val="0"/>
          <w:bCs w:val="0"/>
        </w:rPr>
        <w:t>L</w:t>
      </w:r>
      <w:r w:rsidRPr="0029239C">
        <w:rPr>
          <w:b w:val="0"/>
          <w:bCs w:val="0"/>
        </w:rPr>
        <w:t xml:space="preserve"> before being provided to the offender.</w:t>
      </w:r>
    </w:p>
    <w:p w14:paraId="782E875E" w14:textId="2BF9A57A" w:rsidR="00C86F53" w:rsidRDefault="0029239C" w:rsidP="005426D4">
      <w:pPr>
        <w:pStyle w:val="SectionHeading"/>
        <w:numPr>
          <w:ilvl w:val="1"/>
          <w:numId w:val="1"/>
        </w:numPr>
        <w:ind w:left="567" w:hanging="567"/>
        <w:rPr>
          <w:b w:val="0"/>
          <w:bCs w:val="0"/>
        </w:rPr>
      </w:pPr>
      <w:r w:rsidRPr="0029239C">
        <w:rPr>
          <w:b w:val="0"/>
          <w:bCs w:val="0"/>
        </w:rPr>
        <w:t xml:space="preserve">Breach Warnings must be provided verbally and in writing to the offender and, at the offender’s request, to any known support persons as soon as possible following the </w:t>
      </w:r>
      <w:r w:rsidR="00C86F53">
        <w:rPr>
          <w:b w:val="0"/>
          <w:bCs w:val="0"/>
        </w:rPr>
        <w:t>decision</w:t>
      </w:r>
      <w:r w:rsidR="00C86F53" w:rsidRPr="0029239C">
        <w:rPr>
          <w:b w:val="0"/>
          <w:bCs w:val="0"/>
        </w:rPr>
        <w:t xml:space="preserve"> </w:t>
      </w:r>
      <w:r w:rsidRPr="0029239C">
        <w:rPr>
          <w:b w:val="0"/>
          <w:bCs w:val="0"/>
        </w:rPr>
        <w:t>to provide a warning.</w:t>
      </w:r>
    </w:p>
    <w:p w14:paraId="63C051BD" w14:textId="53321F7D" w:rsidR="0029239C" w:rsidRPr="0029239C" w:rsidRDefault="00C86F53" w:rsidP="005426D4">
      <w:pPr>
        <w:pStyle w:val="SectionHeading"/>
        <w:numPr>
          <w:ilvl w:val="1"/>
          <w:numId w:val="1"/>
        </w:numPr>
        <w:ind w:left="567" w:hanging="567"/>
        <w:rPr>
          <w:b w:val="0"/>
          <w:bCs w:val="0"/>
        </w:rPr>
      </w:pPr>
      <w:r>
        <w:rPr>
          <w:b w:val="0"/>
          <w:bCs w:val="0"/>
        </w:rPr>
        <w:t>The</w:t>
      </w:r>
      <w:r w:rsidR="0029239C" w:rsidRPr="0029239C">
        <w:rPr>
          <w:b w:val="0"/>
          <w:bCs w:val="0"/>
        </w:rPr>
        <w:t xml:space="preserve"> CCO</w:t>
      </w:r>
      <w:r w:rsidR="002F6370">
        <w:rPr>
          <w:b w:val="0"/>
          <w:bCs w:val="0"/>
        </w:rPr>
        <w:t>/CM</w:t>
      </w:r>
      <w:r w:rsidR="0029239C" w:rsidRPr="0029239C">
        <w:rPr>
          <w:b w:val="0"/>
          <w:bCs w:val="0"/>
        </w:rPr>
        <w:t xml:space="preserve"> must not give an offender information obtained by, or in relation to, a victim of the offender</w:t>
      </w:r>
      <w:r w:rsidR="00407CE2">
        <w:rPr>
          <w:b w:val="0"/>
          <w:bCs w:val="0"/>
        </w:rPr>
        <w:t xml:space="preserve"> as a part of the Breach Warning</w:t>
      </w:r>
      <w:r w:rsidR="0029239C" w:rsidRPr="0029239C">
        <w:rPr>
          <w:b w:val="0"/>
          <w:bCs w:val="0"/>
        </w:rPr>
        <w:t>.</w:t>
      </w:r>
    </w:p>
    <w:p w14:paraId="640CA197" w14:textId="1BEF5BAA" w:rsidR="0029239C" w:rsidRPr="0029239C" w:rsidRDefault="0029239C" w:rsidP="005426D4">
      <w:pPr>
        <w:pStyle w:val="SectionHeading"/>
        <w:numPr>
          <w:ilvl w:val="1"/>
          <w:numId w:val="1"/>
        </w:numPr>
        <w:tabs>
          <w:tab w:val="left" w:pos="851"/>
        </w:tabs>
        <w:ind w:left="567" w:hanging="567"/>
        <w:rPr>
          <w:b w:val="0"/>
          <w:bCs w:val="0"/>
        </w:rPr>
      </w:pPr>
      <w:r w:rsidRPr="0029239C">
        <w:rPr>
          <w:b w:val="0"/>
          <w:bCs w:val="0"/>
        </w:rPr>
        <w:t>Both the verbal and written Breach Warning report must advise the offender that further reportable breaches may be reported to the sentencing court.</w:t>
      </w:r>
    </w:p>
    <w:p w14:paraId="53A00734" w14:textId="204F71A3" w:rsidR="0029239C" w:rsidRDefault="0029239C" w:rsidP="005426D4">
      <w:pPr>
        <w:pStyle w:val="SectionHeading"/>
        <w:numPr>
          <w:ilvl w:val="1"/>
          <w:numId w:val="1"/>
        </w:numPr>
        <w:tabs>
          <w:tab w:val="left" w:pos="851"/>
        </w:tabs>
        <w:ind w:left="567" w:hanging="567"/>
        <w:rPr>
          <w:b w:val="0"/>
          <w:bCs w:val="0"/>
        </w:rPr>
      </w:pPr>
      <w:r w:rsidRPr="0029239C">
        <w:rPr>
          <w:b w:val="0"/>
          <w:bCs w:val="0"/>
        </w:rPr>
        <w:t xml:space="preserve">The offender must verbally agree and sign the Breach Warning report to </w:t>
      </w:r>
      <w:r w:rsidR="00407CE2" w:rsidRPr="00000904">
        <w:rPr>
          <w:b w:val="0"/>
          <w:bCs w:val="0"/>
        </w:rPr>
        <w:t>provide</w:t>
      </w:r>
      <w:r w:rsidR="00407CE2">
        <w:rPr>
          <w:b w:val="0"/>
          <w:bCs w:val="0"/>
        </w:rPr>
        <w:t xml:space="preserve"> </w:t>
      </w:r>
      <w:r w:rsidRPr="0029239C">
        <w:rPr>
          <w:b w:val="0"/>
          <w:bCs w:val="0"/>
        </w:rPr>
        <w:t>evidence that the offender has agreed the circumstances of the non-compliance as described and accepted responsibility for this non-compliance. If the offender refuses to verbally agree and/or sign the Breach Warning report, a Breach Report will be submitted to the sentencing court to determine if the Breach has occurred.</w:t>
      </w:r>
    </w:p>
    <w:p w14:paraId="22C74BE4" w14:textId="77777777" w:rsidR="00407CE2" w:rsidRPr="0029239C" w:rsidRDefault="00407CE2" w:rsidP="00407CE2">
      <w:pPr>
        <w:pStyle w:val="SectionHeading"/>
        <w:numPr>
          <w:ilvl w:val="0"/>
          <w:numId w:val="0"/>
        </w:numPr>
        <w:ind w:left="360"/>
        <w:rPr>
          <w:b w:val="0"/>
          <w:bCs w:val="0"/>
        </w:rPr>
      </w:pPr>
    </w:p>
    <w:p w14:paraId="2F575527" w14:textId="32B50A4E" w:rsidR="00930D8D" w:rsidRDefault="0029239C" w:rsidP="005426D4">
      <w:pPr>
        <w:pStyle w:val="SectionHeading"/>
        <w:numPr>
          <w:ilvl w:val="0"/>
          <w:numId w:val="1"/>
        </w:numPr>
        <w:ind w:left="567" w:hanging="567"/>
      </w:pPr>
      <w:r>
        <w:t>Quality assurance</w:t>
      </w:r>
    </w:p>
    <w:p w14:paraId="66592BA6" w14:textId="29A6599C" w:rsidR="0029239C" w:rsidRDefault="008F2A03" w:rsidP="005426D4">
      <w:pPr>
        <w:pStyle w:val="SectionHeading"/>
        <w:numPr>
          <w:ilvl w:val="1"/>
          <w:numId w:val="1"/>
        </w:numPr>
        <w:ind w:left="567" w:hanging="567"/>
        <w:rPr>
          <w:b w:val="0"/>
          <w:bCs w:val="0"/>
        </w:rPr>
      </w:pPr>
      <w:r>
        <w:rPr>
          <w:b w:val="0"/>
          <w:bCs w:val="0"/>
        </w:rPr>
        <w:t xml:space="preserve">TLs </w:t>
      </w:r>
      <w:r w:rsidR="0029239C" w:rsidRPr="0029239C">
        <w:rPr>
          <w:b w:val="0"/>
          <w:bCs w:val="0"/>
        </w:rPr>
        <w:t>are responsible for reviewing CCO</w:t>
      </w:r>
      <w:r w:rsidR="002F6370">
        <w:rPr>
          <w:b w:val="0"/>
          <w:bCs w:val="0"/>
        </w:rPr>
        <w:t>/CM</w:t>
      </w:r>
      <w:r w:rsidR="0029239C" w:rsidRPr="0029239C">
        <w:rPr>
          <w:b w:val="0"/>
          <w:bCs w:val="0"/>
        </w:rPr>
        <w:t xml:space="preserve"> caseloads at least every </w:t>
      </w:r>
      <w:r w:rsidR="003716DF">
        <w:rPr>
          <w:b w:val="0"/>
          <w:bCs w:val="0"/>
        </w:rPr>
        <w:t>two (</w:t>
      </w:r>
      <w:r w:rsidR="0029239C" w:rsidRPr="0029239C">
        <w:rPr>
          <w:b w:val="0"/>
          <w:bCs w:val="0"/>
        </w:rPr>
        <w:t>2</w:t>
      </w:r>
      <w:r w:rsidR="003716DF">
        <w:rPr>
          <w:b w:val="0"/>
          <w:bCs w:val="0"/>
        </w:rPr>
        <w:t>)</w:t>
      </w:r>
      <w:r w:rsidR="0029239C" w:rsidRPr="0029239C">
        <w:rPr>
          <w:b w:val="0"/>
          <w:bCs w:val="0"/>
        </w:rPr>
        <w:t xml:space="preserve"> months for quality assurance purposes to help ensure this </w:t>
      </w:r>
      <w:r w:rsidR="006A72B6">
        <w:rPr>
          <w:b w:val="0"/>
          <w:bCs w:val="0"/>
        </w:rPr>
        <w:t>guideline</w:t>
      </w:r>
      <w:r w:rsidR="003716DF">
        <w:rPr>
          <w:b w:val="0"/>
          <w:bCs w:val="0"/>
        </w:rPr>
        <w:t xml:space="preserve"> </w:t>
      </w:r>
      <w:r w:rsidR="0029239C" w:rsidRPr="0029239C">
        <w:rPr>
          <w:b w:val="0"/>
          <w:bCs w:val="0"/>
        </w:rPr>
        <w:t>is applied appropriately. This could include the TL taking further action (e.g., issuing a warning, submitting breach) as considered appropriate based on the outcome of their review.</w:t>
      </w:r>
    </w:p>
    <w:p w14:paraId="657F01CF" w14:textId="77777777" w:rsidR="003716DF" w:rsidRPr="0029239C" w:rsidRDefault="003716DF" w:rsidP="003716DF">
      <w:pPr>
        <w:pStyle w:val="SectionHeading"/>
        <w:numPr>
          <w:ilvl w:val="0"/>
          <w:numId w:val="0"/>
        </w:numPr>
        <w:ind w:left="360"/>
        <w:rPr>
          <w:b w:val="0"/>
          <w:bCs w:val="0"/>
        </w:rPr>
      </w:pPr>
    </w:p>
    <w:p w14:paraId="2F95C317" w14:textId="3189DFFC" w:rsidR="0029239C" w:rsidRDefault="0029239C" w:rsidP="005426D4">
      <w:pPr>
        <w:pStyle w:val="SectionHeading"/>
        <w:numPr>
          <w:ilvl w:val="0"/>
          <w:numId w:val="1"/>
        </w:numPr>
        <w:ind w:left="567" w:hanging="567"/>
      </w:pPr>
      <w:r>
        <w:t>Case studies</w:t>
      </w:r>
    </w:p>
    <w:p w14:paraId="269624F8" w14:textId="53234650" w:rsidR="0029239C" w:rsidRPr="004F6D75"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sz w:val="22"/>
          <w:szCs w:val="22"/>
        </w:rPr>
      </w:pPr>
      <w:bookmarkStart w:id="2" w:name="_Toc129470461"/>
      <w:bookmarkStart w:id="3" w:name="_Toc142403482"/>
      <w:r w:rsidRPr="004F6D75">
        <w:rPr>
          <w:sz w:val="22"/>
          <w:szCs w:val="22"/>
        </w:rPr>
        <w:lastRenderedPageBreak/>
        <w:t>Case Study 1: Failure to attend scheduled appointment</w:t>
      </w:r>
      <w:bookmarkEnd w:id="2"/>
      <w:bookmarkEnd w:id="3"/>
    </w:p>
    <w:p w14:paraId="6914F431" w14:textId="65ACCFB4" w:rsidR="0029239C" w:rsidRPr="004F6D75"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4" w:name="_Toc129470303"/>
      <w:bookmarkStart w:id="5" w:name="_Toc129470462"/>
      <w:bookmarkStart w:id="6" w:name="_Toc142403483"/>
      <w:r w:rsidRPr="004F6D75">
        <w:rPr>
          <w:b w:val="0"/>
          <w:bCs/>
          <w:sz w:val="22"/>
          <w:szCs w:val="22"/>
        </w:rPr>
        <w:t xml:space="preserve">An offender fails to report for </w:t>
      </w:r>
      <w:r w:rsidR="008F2A03">
        <w:rPr>
          <w:b w:val="0"/>
          <w:bCs/>
          <w:sz w:val="22"/>
          <w:szCs w:val="22"/>
        </w:rPr>
        <w:t>their</w:t>
      </w:r>
      <w:r w:rsidRPr="004F6D75">
        <w:rPr>
          <w:b w:val="0"/>
          <w:bCs/>
          <w:sz w:val="22"/>
          <w:szCs w:val="22"/>
        </w:rPr>
        <w:t xml:space="preserve"> scheduled appointment</w:t>
      </w:r>
      <w:r>
        <w:rPr>
          <w:b w:val="0"/>
          <w:bCs/>
          <w:sz w:val="22"/>
          <w:szCs w:val="22"/>
        </w:rPr>
        <w:t xml:space="preserve"> which could be considered a breach of </w:t>
      </w:r>
      <w:r w:rsidR="008F2A03">
        <w:rPr>
          <w:b w:val="0"/>
          <w:bCs/>
          <w:sz w:val="22"/>
          <w:szCs w:val="22"/>
        </w:rPr>
        <w:t>their</w:t>
      </w:r>
      <w:r>
        <w:rPr>
          <w:b w:val="0"/>
          <w:bCs/>
          <w:sz w:val="22"/>
          <w:szCs w:val="22"/>
        </w:rPr>
        <w:t xml:space="preserve"> good behaviour obligations</w:t>
      </w:r>
      <w:r w:rsidRPr="004F6D75">
        <w:rPr>
          <w:b w:val="0"/>
          <w:bCs/>
          <w:sz w:val="22"/>
          <w:szCs w:val="22"/>
        </w:rPr>
        <w:t xml:space="preserve">. The CCO decides </w:t>
      </w:r>
      <w:r>
        <w:rPr>
          <w:b w:val="0"/>
          <w:bCs/>
          <w:sz w:val="22"/>
          <w:szCs w:val="22"/>
        </w:rPr>
        <w:t>to</w:t>
      </w:r>
      <w:r w:rsidRPr="004F6D75">
        <w:rPr>
          <w:b w:val="0"/>
          <w:bCs/>
          <w:sz w:val="22"/>
          <w:szCs w:val="22"/>
        </w:rPr>
        <w:t xml:space="preserve"> call the offender and </w:t>
      </w:r>
      <w:r>
        <w:rPr>
          <w:b w:val="0"/>
          <w:bCs/>
          <w:sz w:val="22"/>
          <w:szCs w:val="22"/>
        </w:rPr>
        <w:t>advise them they have missed the appointment and the need to attend the following day</w:t>
      </w:r>
      <w:r w:rsidRPr="004F6D75">
        <w:rPr>
          <w:b w:val="0"/>
          <w:bCs/>
          <w:sz w:val="22"/>
          <w:szCs w:val="22"/>
        </w:rPr>
        <w:t xml:space="preserve">. The CCO does this because although the offender is poor at keeping specific appointments due to </w:t>
      </w:r>
      <w:r w:rsidR="008F2A03">
        <w:rPr>
          <w:b w:val="0"/>
          <w:bCs/>
          <w:sz w:val="22"/>
          <w:szCs w:val="22"/>
        </w:rPr>
        <w:t>their</w:t>
      </w:r>
      <w:r w:rsidRPr="004F6D75">
        <w:rPr>
          <w:b w:val="0"/>
          <w:bCs/>
          <w:sz w:val="22"/>
          <w:szCs w:val="22"/>
        </w:rPr>
        <w:t xml:space="preserve"> level of disorganisation, they are otherwise reliable in reporting regularly. The CCO expects they will turn up within a day or two and deliberately scheduled the appointment early in the week in anticipation of this. The</w:t>
      </w:r>
      <w:r>
        <w:rPr>
          <w:b w:val="0"/>
          <w:bCs/>
          <w:sz w:val="22"/>
          <w:szCs w:val="22"/>
        </w:rPr>
        <w:t xml:space="preserve"> CCO is aware</w:t>
      </w:r>
      <w:r w:rsidRPr="004F6D75">
        <w:rPr>
          <w:b w:val="0"/>
          <w:bCs/>
          <w:sz w:val="22"/>
          <w:szCs w:val="22"/>
        </w:rPr>
        <w:t xml:space="preserve"> that for this offender</w:t>
      </w:r>
      <w:r>
        <w:rPr>
          <w:b w:val="0"/>
          <w:bCs/>
          <w:sz w:val="22"/>
          <w:szCs w:val="22"/>
        </w:rPr>
        <w:t>,</w:t>
      </w:r>
      <w:r w:rsidRPr="004F6D75">
        <w:rPr>
          <w:b w:val="0"/>
          <w:bCs/>
          <w:sz w:val="22"/>
          <w:szCs w:val="22"/>
        </w:rPr>
        <w:t xml:space="preserve"> the main goals of supervision </w:t>
      </w:r>
      <w:r>
        <w:rPr>
          <w:b w:val="0"/>
          <w:bCs/>
          <w:sz w:val="22"/>
          <w:szCs w:val="22"/>
        </w:rPr>
        <w:t xml:space="preserve">(e.g., addressing substance misuse, supporting to find more suitable accommodation) </w:t>
      </w:r>
      <w:r w:rsidRPr="004F6D75">
        <w:rPr>
          <w:b w:val="0"/>
          <w:bCs/>
          <w:sz w:val="22"/>
          <w:szCs w:val="22"/>
        </w:rPr>
        <w:t>will be</w:t>
      </w:r>
      <w:r>
        <w:rPr>
          <w:b w:val="0"/>
          <w:bCs/>
          <w:sz w:val="22"/>
          <w:szCs w:val="22"/>
        </w:rPr>
        <w:t xml:space="preserve"> impacted</w:t>
      </w:r>
      <w:r w:rsidRPr="004F6D75">
        <w:rPr>
          <w:b w:val="0"/>
          <w:bCs/>
          <w:sz w:val="22"/>
          <w:szCs w:val="22"/>
        </w:rPr>
        <w:t xml:space="preserve"> if they focus excessively on </w:t>
      </w:r>
      <w:r>
        <w:rPr>
          <w:b w:val="0"/>
          <w:bCs/>
          <w:sz w:val="22"/>
          <w:szCs w:val="22"/>
        </w:rPr>
        <w:t xml:space="preserve">exact </w:t>
      </w:r>
      <w:r w:rsidRPr="004F6D75">
        <w:rPr>
          <w:b w:val="0"/>
          <w:bCs/>
          <w:sz w:val="22"/>
          <w:szCs w:val="22"/>
        </w:rPr>
        <w:t>reporting times</w:t>
      </w:r>
      <w:r>
        <w:rPr>
          <w:b w:val="0"/>
          <w:bCs/>
          <w:sz w:val="22"/>
          <w:szCs w:val="22"/>
        </w:rPr>
        <w:t xml:space="preserve"> and has made reasonable adjustments around this</w:t>
      </w:r>
      <w:r w:rsidRPr="004F6D75">
        <w:rPr>
          <w:b w:val="0"/>
          <w:bCs/>
          <w:sz w:val="22"/>
          <w:szCs w:val="22"/>
        </w:rPr>
        <w:t xml:space="preserve">. </w:t>
      </w:r>
      <w:r>
        <w:rPr>
          <w:b w:val="0"/>
          <w:bCs/>
          <w:sz w:val="22"/>
          <w:szCs w:val="22"/>
        </w:rPr>
        <w:t>Furthermore, the offender’s criminal history has been characterised by burglary and drug-related offences with no history of violent behaviour. Hence, the CCO forms the reasonable belief that discretion around this non-compliance is appropriate and in consultation with their TL, decides to take no further action in regard to this observed non-compliance</w:t>
      </w:r>
      <w:r w:rsidR="003716DF">
        <w:rPr>
          <w:b w:val="0"/>
          <w:bCs/>
          <w:sz w:val="22"/>
          <w:szCs w:val="22"/>
        </w:rPr>
        <w:t xml:space="preserve"> except to document the decision</w:t>
      </w:r>
      <w:r>
        <w:rPr>
          <w:b w:val="0"/>
          <w:bCs/>
          <w:sz w:val="22"/>
          <w:szCs w:val="22"/>
        </w:rPr>
        <w:t>.</w:t>
      </w:r>
      <w:bookmarkEnd w:id="4"/>
      <w:bookmarkEnd w:id="5"/>
      <w:bookmarkEnd w:id="6"/>
    </w:p>
    <w:p w14:paraId="116299CC" w14:textId="5EC7F9A9" w:rsidR="0029239C" w:rsidRDefault="0029239C" w:rsidP="0029239C">
      <w:pPr>
        <w:pStyle w:val="SectionHeading"/>
        <w:numPr>
          <w:ilvl w:val="0"/>
          <w:numId w:val="0"/>
        </w:numPr>
        <w:ind w:left="360" w:hanging="360"/>
      </w:pPr>
    </w:p>
    <w:p w14:paraId="2E13D4C4" w14:textId="269437EB" w:rsidR="0029239C" w:rsidRPr="004F6D75"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sz w:val="22"/>
          <w:szCs w:val="22"/>
        </w:rPr>
      </w:pPr>
      <w:bookmarkStart w:id="7" w:name="_Toc129470463"/>
      <w:bookmarkStart w:id="8" w:name="_Toc142403484"/>
      <w:r w:rsidRPr="004F6D75">
        <w:rPr>
          <w:sz w:val="22"/>
          <w:szCs w:val="22"/>
        </w:rPr>
        <w:t xml:space="preserve">Case Study </w:t>
      </w:r>
      <w:r>
        <w:rPr>
          <w:sz w:val="22"/>
          <w:szCs w:val="22"/>
        </w:rPr>
        <w:t>2</w:t>
      </w:r>
      <w:r w:rsidRPr="004F6D75">
        <w:rPr>
          <w:sz w:val="22"/>
          <w:szCs w:val="22"/>
        </w:rPr>
        <w:t xml:space="preserve">: </w:t>
      </w:r>
      <w:r>
        <w:rPr>
          <w:sz w:val="22"/>
          <w:szCs w:val="22"/>
        </w:rPr>
        <w:t>Detection of alcohol in drug-test</w:t>
      </w:r>
      <w:bookmarkEnd w:id="7"/>
      <w:bookmarkEnd w:id="8"/>
    </w:p>
    <w:p w14:paraId="49D63D0B" w14:textId="673DF9FC" w:rsidR="0029239C"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9" w:name="_Toc129470305"/>
      <w:bookmarkStart w:id="10" w:name="_Toc129470464"/>
      <w:bookmarkStart w:id="11" w:name="_Toc142403485"/>
      <w:r w:rsidRPr="004F6D75">
        <w:rPr>
          <w:b w:val="0"/>
          <w:bCs/>
          <w:sz w:val="22"/>
          <w:szCs w:val="22"/>
        </w:rPr>
        <w:t xml:space="preserve">An offender </w:t>
      </w:r>
      <w:r>
        <w:rPr>
          <w:b w:val="0"/>
          <w:bCs/>
          <w:sz w:val="22"/>
          <w:szCs w:val="22"/>
        </w:rPr>
        <w:t xml:space="preserve">has a specific condition in </w:t>
      </w:r>
      <w:r w:rsidR="00834907">
        <w:rPr>
          <w:b w:val="0"/>
          <w:bCs/>
          <w:sz w:val="22"/>
          <w:szCs w:val="22"/>
        </w:rPr>
        <w:t xml:space="preserve">their </w:t>
      </w:r>
      <w:bookmarkStart w:id="12" w:name="_Hlk146180267"/>
      <w:r>
        <w:rPr>
          <w:b w:val="0"/>
          <w:bCs/>
          <w:sz w:val="22"/>
          <w:szCs w:val="22"/>
        </w:rPr>
        <w:t xml:space="preserve">Good Behaviour Order </w:t>
      </w:r>
      <w:bookmarkEnd w:id="12"/>
      <w:r>
        <w:rPr>
          <w:b w:val="0"/>
          <w:bCs/>
          <w:sz w:val="22"/>
          <w:szCs w:val="22"/>
        </w:rPr>
        <w:t xml:space="preserve">not to consume alcohol or illicit substances. The </w:t>
      </w:r>
      <w:r w:rsidRPr="004F6D75">
        <w:rPr>
          <w:b w:val="0"/>
          <w:bCs/>
          <w:sz w:val="22"/>
          <w:szCs w:val="22"/>
        </w:rPr>
        <w:t xml:space="preserve">offender </w:t>
      </w:r>
      <w:r>
        <w:rPr>
          <w:b w:val="0"/>
          <w:bCs/>
          <w:sz w:val="22"/>
          <w:szCs w:val="22"/>
        </w:rPr>
        <w:t xml:space="preserve">attends </w:t>
      </w:r>
      <w:r w:rsidR="00834907">
        <w:rPr>
          <w:b w:val="0"/>
          <w:bCs/>
          <w:sz w:val="22"/>
          <w:szCs w:val="22"/>
        </w:rPr>
        <w:t xml:space="preserve">their </w:t>
      </w:r>
      <w:r>
        <w:rPr>
          <w:b w:val="0"/>
          <w:bCs/>
          <w:sz w:val="22"/>
          <w:szCs w:val="22"/>
        </w:rPr>
        <w:t xml:space="preserve">scheduled supervision appointment and is then given a random drug-test which a confirmatory laboratory test later reveals is positive for alcohol. </w:t>
      </w:r>
      <w:r w:rsidR="005171A6">
        <w:rPr>
          <w:b w:val="0"/>
          <w:bCs/>
          <w:sz w:val="22"/>
          <w:szCs w:val="22"/>
        </w:rPr>
        <w:t>T</w:t>
      </w:r>
      <w:r>
        <w:rPr>
          <w:b w:val="0"/>
          <w:bCs/>
          <w:sz w:val="22"/>
          <w:szCs w:val="22"/>
        </w:rPr>
        <w:t>he C</w:t>
      </w:r>
      <w:r w:rsidR="002F6370">
        <w:rPr>
          <w:b w:val="0"/>
          <w:bCs/>
          <w:sz w:val="22"/>
          <w:szCs w:val="22"/>
        </w:rPr>
        <w:t>M</w:t>
      </w:r>
      <w:r>
        <w:rPr>
          <w:b w:val="0"/>
          <w:bCs/>
          <w:sz w:val="22"/>
          <w:szCs w:val="22"/>
        </w:rPr>
        <w:t xml:space="preserve"> form</w:t>
      </w:r>
      <w:r w:rsidR="005171A6">
        <w:rPr>
          <w:b w:val="0"/>
          <w:bCs/>
          <w:sz w:val="22"/>
          <w:szCs w:val="22"/>
        </w:rPr>
        <w:t>s</w:t>
      </w:r>
      <w:r>
        <w:rPr>
          <w:b w:val="0"/>
          <w:bCs/>
          <w:sz w:val="22"/>
          <w:szCs w:val="22"/>
        </w:rPr>
        <w:t xml:space="preserve"> the reasonable belief that the offender has breached </w:t>
      </w:r>
      <w:r w:rsidR="00834907">
        <w:rPr>
          <w:b w:val="0"/>
          <w:bCs/>
          <w:sz w:val="22"/>
          <w:szCs w:val="22"/>
        </w:rPr>
        <w:t xml:space="preserve">their </w:t>
      </w:r>
      <w:r>
        <w:rPr>
          <w:b w:val="0"/>
          <w:bCs/>
          <w:sz w:val="22"/>
          <w:szCs w:val="22"/>
        </w:rPr>
        <w:t xml:space="preserve">good behaviour obligations, </w:t>
      </w:r>
      <w:r w:rsidR="005171A6">
        <w:rPr>
          <w:b w:val="0"/>
          <w:bCs/>
          <w:sz w:val="22"/>
          <w:szCs w:val="22"/>
        </w:rPr>
        <w:t>because</w:t>
      </w:r>
      <w:r>
        <w:rPr>
          <w:b w:val="0"/>
          <w:bCs/>
          <w:sz w:val="22"/>
          <w:szCs w:val="22"/>
        </w:rPr>
        <w:t xml:space="preserve"> </w:t>
      </w:r>
      <w:r w:rsidR="00834907">
        <w:rPr>
          <w:b w:val="0"/>
          <w:bCs/>
          <w:sz w:val="22"/>
          <w:szCs w:val="22"/>
        </w:rPr>
        <w:t xml:space="preserve">they </w:t>
      </w:r>
      <w:r>
        <w:rPr>
          <w:b w:val="0"/>
          <w:bCs/>
          <w:sz w:val="22"/>
          <w:szCs w:val="22"/>
        </w:rPr>
        <w:t>ha</w:t>
      </w:r>
      <w:r w:rsidR="00834907">
        <w:rPr>
          <w:b w:val="0"/>
          <w:bCs/>
          <w:sz w:val="22"/>
          <w:szCs w:val="22"/>
        </w:rPr>
        <w:t>ve</w:t>
      </w:r>
      <w:r>
        <w:rPr>
          <w:b w:val="0"/>
          <w:bCs/>
          <w:sz w:val="22"/>
          <w:szCs w:val="22"/>
        </w:rPr>
        <w:t xml:space="preserve"> violated the condition that </w:t>
      </w:r>
      <w:r w:rsidR="00834907">
        <w:rPr>
          <w:b w:val="0"/>
          <w:bCs/>
          <w:sz w:val="22"/>
          <w:szCs w:val="22"/>
        </w:rPr>
        <w:t xml:space="preserve">they </w:t>
      </w:r>
      <w:r>
        <w:rPr>
          <w:b w:val="0"/>
          <w:bCs/>
          <w:sz w:val="22"/>
          <w:szCs w:val="22"/>
        </w:rPr>
        <w:t>not consume alcohol or illicit drugs.</w:t>
      </w:r>
      <w:bookmarkEnd w:id="9"/>
      <w:bookmarkEnd w:id="10"/>
      <w:bookmarkEnd w:id="11"/>
    </w:p>
    <w:p w14:paraId="3AF0A0AB" w14:textId="33C63D7C" w:rsidR="0029239C"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13" w:name="_Toc129470306"/>
      <w:bookmarkStart w:id="14" w:name="_Toc129470465"/>
      <w:bookmarkStart w:id="15" w:name="_Toc142403486"/>
      <w:r>
        <w:rPr>
          <w:b w:val="0"/>
          <w:bCs/>
          <w:sz w:val="22"/>
          <w:szCs w:val="22"/>
        </w:rPr>
        <w:t>The C</w:t>
      </w:r>
      <w:r w:rsidR="002F6370">
        <w:rPr>
          <w:b w:val="0"/>
          <w:bCs/>
          <w:sz w:val="22"/>
          <w:szCs w:val="22"/>
        </w:rPr>
        <w:t>M</w:t>
      </w:r>
      <w:r>
        <w:rPr>
          <w:b w:val="0"/>
          <w:bCs/>
          <w:sz w:val="22"/>
          <w:szCs w:val="22"/>
        </w:rPr>
        <w:t xml:space="preserve"> calls the offender to discuss the positive drug-test. The offender states </w:t>
      </w:r>
      <w:r w:rsidR="00834907">
        <w:rPr>
          <w:b w:val="0"/>
          <w:bCs/>
          <w:sz w:val="22"/>
          <w:szCs w:val="22"/>
        </w:rPr>
        <w:t xml:space="preserve">they </w:t>
      </w:r>
      <w:r>
        <w:rPr>
          <w:b w:val="0"/>
          <w:bCs/>
          <w:sz w:val="22"/>
          <w:szCs w:val="22"/>
        </w:rPr>
        <w:t xml:space="preserve">‘slipped up’ recently as </w:t>
      </w:r>
      <w:r w:rsidR="00834907">
        <w:rPr>
          <w:b w:val="0"/>
          <w:bCs/>
          <w:sz w:val="22"/>
          <w:szCs w:val="22"/>
        </w:rPr>
        <w:t xml:space="preserve">they </w:t>
      </w:r>
      <w:r>
        <w:rPr>
          <w:b w:val="0"/>
          <w:bCs/>
          <w:sz w:val="22"/>
          <w:szCs w:val="22"/>
        </w:rPr>
        <w:t>w</w:t>
      </w:r>
      <w:r w:rsidR="00834907">
        <w:rPr>
          <w:b w:val="0"/>
          <w:bCs/>
          <w:sz w:val="22"/>
          <w:szCs w:val="22"/>
        </w:rPr>
        <w:t>ere</w:t>
      </w:r>
      <w:r>
        <w:rPr>
          <w:b w:val="0"/>
          <w:bCs/>
          <w:sz w:val="22"/>
          <w:szCs w:val="22"/>
        </w:rPr>
        <w:t xml:space="preserve"> feeling stressed from work and highlights that </w:t>
      </w:r>
      <w:r w:rsidR="00834907">
        <w:rPr>
          <w:b w:val="0"/>
          <w:bCs/>
          <w:sz w:val="22"/>
          <w:szCs w:val="22"/>
        </w:rPr>
        <w:t xml:space="preserve">they </w:t>
      </w:r>
      <w:r>
        <w:rPr>
          <w:b w:val="0"/>
          <w:bCs/>
          <w:sz w:val="22"/>
          <w:szCs w:val="22"/>
        </w:rPr>
        <w:t>ha</w:t>
      </w:r>
      <w:r w:rsidR="00834907">
        <w:rPr>
          <w:b w:val="0"/>
          <w:bCs/>
          <w:sz w:val="22"/>
          <w:szCs w:val="22"/>
        </w:rPr>
        <w:t>ve</w:t>
      </w:r>
      <w:r>
        <w:rPr>
          <w:b w:val="0"/>
          <w:bCs/>
          <w:sz w:val="22"/>
          <w:szCs w:val="22"/>
        </w:rPr>
        <w:t xml:space="preserve"> minimised </w:t>
      </w:r>
      <w:r w:rsidR="00834907">
        <w:rPr>
          <w:b w:val="0"/>
          <w:bCs/>
          <w:sz w:val="22"/>
          <w:szCs w:val="22"/>
        </w:rPr>
        <w:t xml:space="preserve">their </w:t>
      </w:r>
      <w:r>
        <w:rPr>
          <w:b w:val="0"/>
          <w:bCs/>
          <w:sz w:val="22"/>
          <w:szCs w:val="22"/>
        </w:rPr>
        <w:t>other drug use, including amphetamines</w:t>
      </w:r>
      <w:r w:rsidR="00161EDF">
        <w:rPr>
          <w:b w:val="0"/>
          <w:bCs/>
          <w:sz w:val="22"/>
          <w:szCs w:val="22"/>
        </w:rPr>
        <w:t>,</w:t>
      </w:r>
      <w:r>
        <w:rPr>
          <w:b w:val="0"/>
          <w:bCs/>
          <w:sz w:val="22"/>
          <w:szCs w:val="22"/>
        </w:rPr>
        <w:t xml:space="preserve"> and asks for consideration of discretion this context.</w:t>
      </w:r>
      <w:bookmarkEnd w:id="13"/>
      <w:bookmarkEnd w:id="14"/>
      <w:bookmarkEnd w:id="15"/>
    </w:p>
    <w:p w14:paraId="3C509983" w14:textId="1F033B9A" w:rsidR="0029239C"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16" w:name="_Toc142403487"/>
      <w:bookmarkStart w:id="17" w:name="_Toc129470307"/>
      <w:bookmarkStart w:id="18" w:name="_Toc129470466"/>
      <w:r>
        <w:rPr>
          <w:b w:val="0"/>
          <w:bCs/>
          <w:sz w:val="22"/>
          <w:szCs w:val="22"/>
        </w:rPr>
        <w:t>The C</w:t>
      </w:r>
      <w:r w:rsidR="002F6370">
        <w:rPr>
          <w:b w:val="0"/>
          <w:bCs/>
          <w:sz w:val="22"/>
          <w:szCs w:val="22"/>
        </w:rPr>
        <w:t>M</w:t>
      </w:r>
      <w:r>
        <w:rPr>
          <w:b w:val="0"/>
          <w:bCs/>
          <w:sz w:val="22"/>
          <w:szCs w:val="22"/>
        </w:rPr>
        <w:t xml:space="preserve"> also notes that the offender’s </w:t>
      </w:r>
      <w:r w:rsidR="002F6370" w:rsidRPr="002F6370">
        <w:rPr>
          <w:b w:val="0"/>
          <w:bCs/>
          <w:sz w:val="22"/>
          <w:szCs w:val="22"/>
        </w:rPr>
        <w:t xml:space="preserve">Good Behaviour Order </w:t>
      </w:r>
      <w:r>
        <w:rPr>
          <w:b w:val="0"/>
          <w:bCs/>
          <w:sz w:val="22"/>
          <w:szCs w:val="22"/>
        </w:rPr>
        <w:t xml:space="preserve">relates to driving under the influence and although </w:t>
      </w:r>
      <w:r w:rsidR="00834907">
        <w:rPr>
          <w:b w:val="0"/>
          <w:bCs/>
          <w:sz w:val="22"/>
          <w:szCs w:val="22"/>
        </w:rPr>
        <w:t xml:space="preserve">their </w:t>
      </w:r>
      <w:r>
        <w:rPr>
          <w:b w:val="0"/>
          <w:bCs/>
          <w:sz w:val="22"/>
          <w:szCs w:val="22"/>
        </w:rPr>
        <w:t xml:space="preserve">licence was suspended, </w:t>
      </w:r>
      <w:r w:rsidR="00834907">
        <w:rPr>
          <w:b w:val="0"/>
          <w:bCs/>
          <w:sz w:val="22"/>
          <w:szCs w:val="22"/>
        </w:rPr>
        <w:t xml:space="preserve">they </w:t>
      </w:r>
      <w:r>
        <w:rPr>
          <w:b w:val="0"/>
          <w:bCs/>
          <w:sz w:val="22"/>
          <w:szCs w:val="22"/>
        </w:rPr>
        <w:t>still ha</w:t>
      </w:r>
      <w:r w:rsidR="00161EDF">
        <w:rPr>
          <w:b w:val="0"/>
          <w:bCs/>
          <w:sz w:val="22"/>
          <w:szCs w:val="22"/>
        </w:rPr>
        <w:t>ve</w:t>
      </w:r>
      <w:r>
        <w:rPr>
          <w:b w:val="0"/>
          <w:bCs/>
          <w:sz w:val="22"/>
          <w:szCs w:val="22"/>
        </w:rPr>
        <w:t xml:space="preserve"> access to </w:t>
      </w:r>
      <w:r w:rsidR="00834907">
        <w:rPr>
          <w:b w:val="0"/>
          <w:bCs/>
          <w:sz w:val="22"/>
          <w:szCs w:val="22"/>
        </w:rPr>
        <w:t xml:space="preserve">their </w:t>
      </w:r>
      <w:r>
        <w:rPr>
          <w:b w:val="0"/>
          <w:bCs/>
          <w:sz w:val="22"/>
          <w:szCs w:val="22"/>
        </w:rPr>
        <w:t xml:space="preserve">motor </w:t>
      </w:r>
      <w:r>
        <w:rPr>
          <w:b w:val="0"/>
          <w:bCs/>
          <w:sz w:val="22"/>
          <w:szCs w:val="22"/>
        </w:rPr>
        <w:lastRenderedPageBreak/>
        <w:t xml:space="preserve">vehicle. The offender also has a history of domestic violence against </w:t>
      </w:r>
      <w:r w:rsidR="00834907">
        <w:rPr>
          <w:b w:val="0"/>
          <w:bCs/>
          <w:sz w:val="22"/>
          <w:szCs w:val="22"/>
        </w:rPr>
        <w:t xml:space="preserve">their </w:t>
      </w:r>
      <w:r>
        <w:rPr>
          <w:b w:val="0"/>
          <w:bCs/>
          <w:sz w:val="22"/>
          <w:szCs w:val="22"/>
        </w:rPr>
        <w:t xml:space="preserve">partner with whom </w:t>
      </w:r>
      <w:r w:rsidR="00834907">
        <w:rPr>
          <w:b w:val="0"/>
          <w:bCs/>
          <w:sz w:val="22"/>
          <w:szCs w:val="22"/>
        </w:rPr>
        <w:t xml:space="preserve">they </w:t>
      </w:r>
      <w:r>
        <w:rPr>
          <w:b w:val="0"/>
          <w:bCs/>
          <w:sz w:val="22"/>
          <w:szCs w:val="22"/>
        </w:rPr>
        <w:t>still live.</w:t>
      </w:r>
      <w:bookmarkEnd w:id="16"/>
    </w:p>
    <w:p w14:paraId="7B1E04D0" w14:textId="04637B57" w:rsidR="0029239C"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19" w:name="_Toc142403488"/>
      <w:r>
        <w:rPr>
          <w:b w:val="0"/>
          <w:bCs/>
          <w:sz w:val="22"/>
          <w:szCs w:val="22"/>
        </w:rPr>
        <w:t>Whilst the C</w:t>
      </w:r>
      <w:r w:rsidR="002F6370">
        <w:rPr>
          <w:b w:val="0"/>
          <w:bCs/>
          <w:sz w:val="22"/>
          <w:szCs w:val="22"/>
        </w:rPr>
        <w:t>M</w:t>
      </w:r>
      <w:r>
        <w:rPr>
          <w:b w:val="0"/>
          <w:bCs/>
          <w:sz w:val="22"/>
          <w:szCs w:val="22"/>
        </w:rPr>
        <w:t xml:space="preserve"> acknowledges that the offender has made significant gains in regard to minimising </w:t>
      </w:r>
      <w:r w:rsidR="00834907">
        <w:rPr>
          <w:b w:val="0"/>
          <w:bCs/>
          <w:sz w:val="22"/>
          <w:szCs w:val="22"/>
        </w:rPr>
        <w:t xml:space="preserve">their </w:t>
      </w:r>
      <w:r>
        <w:rPr>
          <w:b w:val="0"/>
          <w:bCs/>
          <w:sz w:val="22"/>
          <w:szCs w:val="22"/>
        </w:rPr>
        <w:t>substance use, the C</w:t>
      </w:r>
      <w:r w:rsidR="002F6370">
        <w:rPr>
          <w:b w:val="0"/>
          <w:bCs/>
          <w:sz w:val="22"/>
          <w:szCs w:val="22"/>
        </w:rPr>
        <w:t>M</w:t>
      </w:r>
      <w:r>
        <w:rPr>
          <w:b w:val="0"/>
          <w:bCs/>
          <w:sz w:val="22"/>
          <w:szCs w:val="22"/>
        </w:rPr>
        <w:t xml:space="preserve"> is also concerned that alcohol and drug use is a significant risk factor for re-offending, including DFV.</w:t>
      </w:r>
      <w:bookmarkEnd w:id="19"/>
    </w:p>
    <w:p w14:paraId="49AB91AE" w14:textId="59F957E5" w:rsidR="0029239C" w:rsidRPr="004F6D75"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20" w:name="_Toc142403489"/>
      <w:r>
        <w:rPr>
          <w:b w:val="0"/>
          <w:bCs/>
          <w:sz w:val="22"/>
          <w:szCs w:val="22"/>
        </w:rPr>
        <w:t>The offender’s partner has also previously identified that alcohol use has been a risk factor for further escalation in violence.</w:t>
      </w:r>
      <w:r w:rsidR="005171A6">
        <w:rPr>
          <w:b w:val="0"/>
          <w:bCs/>
          <w:sz w:val="22"/>
          <w:szCs w:val="22"/>
        </w:rPr>
        <w:t xml:space="preserve"> T</w:t>
      </w:r>
      <w:r>
        <w:rPr>
          <w:b w:val="0"/>
          <w:bCs/>
          <w:sz w:val="22"/>
          <w:szCs w:val="22"/>
        </w:rPr>
        <w:t>he C</w:t>
      </w:r>
      <w:r w:rsidR="002F6370">
        <w:rPr>
          <w:b w:val="0"/>
          <w:bCs/>
          <w:sz w:val="22"/>
          <w:szCs w:val="22"/>
        </w:rPr>
        <w:t>M</w:t>
      </w:r>
      <w:r>
        <w:rPr>
          <w:b w:val="0"/>
          <w:bCs/>
          <w:sz w:val="22"/>
          <w:szCs w:val="22"/>
        </w:rPr>
        <w:t xml:space="preserve"> forms the reasonable belief that the offender has breached the conditions of their order and in consultation with their TL, decides to submit a breach report to the sentencing court.</w:t>
      </w:r>
      <w:bookmarkEnd w:id="17"/>
      <w:bookmarkEnd w:id="18"/>
      <w:r>
        <w:rPr>
          <w:b w:val="0"/>
          <w:bCs/>
          <w:sz w:val="22"/>
          <w:szCs w:val="22"/>
        </w:rPr>
        <w:t xml:space="preserve"> In the interim the C</w:t>
      </w:r>
      <w:r w:rsidR="002F6370">
        <w:rPr>
          <w:b w:val="0"/>
          <w:bCs/>
          <w:sz w:val="22"/>
          <w:szCs w:val="22"/>
        </w:rPr>
        <w:t>M</w:t>
      </w:r>
      <w:r>
        <w:rPr>
          <w:b w:val="0"/>
          <w:bCs/>
          <w:sz w:val="22"/>
          <w:szCs w:val="22"/>
        </w:rPr>
        <w:t xml:space="preserve"> also works with the offender to get further support around </w:t>
      </w:r>
      <w:r w:rsidR="00834907">
        <w:rPr>
          <w:b w:val="0"/>
          <w:bCs/>
          <w:sz w:val="22"/>
          <w:szCs w:val="22"/>
        </w:rPr>
        <w:t xml:space="preserve">their </w:t>
      </w:r>
      <w:r>
        <w:rPr>
          <w:b w:val="0"/>
          <w:bCs/>
          <w:sz w:val="22"/>
          <w:szCs w:val="22"/>
        </w:rPr>
        <w:t>alcohol use. The C</w:t>
      </w:r>
      <w:r w:rsidR="002F6370">
        <w:rPr>
          <w:b w:val="0"/>
          <w:bCs/>
          <w:sz w:val="22"/>
          <w:szCs w:val="22"/>
        </w:rPr>
        <w:t>M</w:t>
      </w:r>
      <w:r>
        <w:rPr>
          <w:b w:val="0"/>
          <w:bCs/>
          <w:sz w:val="22"/>
          <w:szCs w:val="22"/>
        </w:rPr>
        <w:t xml:space="preserve"> speaks to the Community Operations Victim Liaison Officer to liaise with the offender’s partner and supporting agencies to ensure appropriate safety planning is in place.</w:t>
      </w:r>
      <w:bookmarkEnd w:id="20"/>
    </w:p>
    <w:p w14:paraId="734B62A2" w14:textId="4AA75E37" w:rsidR="0029239C" w:rsidRDefault="0029239C" w:rsidP="0029239C">
      <w:pPr>
        <w:pStyle w:val="SectionHeading"/>
        <w:numPr>
          <w:ilvl w:val="0"/>
          <w:numId w:val="0"/>
        </w:numPr>
        <w:ind w:left="360" w:hanging="360"/>
      </w:pPr>
    </w:p>
    <w:p w14:paraId="24C1FF53" w14:textId="388E6158" w:rsidR="0029239C" w:rsidRPr="004F6D75"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sz w:val="22"/>
          <w:szCs w:val="22"/>
        </w:rPr>
      </w:pPr>
      <w:bookmarkStart w:id="21" w:name="_Toc142403490"/>
      <w:r w:rsidRPr="004F6D75">
        <w:rPr>
          <w:sz w:val="22"/>
          <w:szCs w:val="22"/>
        </w:rPr>
        <w:t xml:space="preserve">Case Study </w:t>
      </w:r>
      <w:r>
        <w:rPr>
          <w:sz w:val="22"/>
          <w:szCs w:val="22"/>
        </w:rPr>
        <w:t>3</w:t>
      </w:r>
      <w:r w:rsidRPr="004F6D75">
        <w:rPr>
          <w:sz w:val="22"/>
          <w:szCs w:val="22"/>
        </w:rPr>
        <w:t xml:space="preserve">: </w:t>
      </w:r>
      <w:r>
        <w:rPr>
          <w:sz w:val="22"/>
          <w:szCs w:val="22"/>
        </w:rPr>
        <w:t>Failure to attend office appointments.</w:t>
      </w:r>
      <w:bookmarkEnd w:id="21"/>
    </w:p>
    <w:p w14:paraId="416CC761" w14:textId="0B4D54B7" w:rsidR="0029239C" w:rsidRPr="00F71F71" w:rsidRDefault="0029239C" w:rsidP="0029239C">
      <w:pPr>
        <w:pStyle w:val="Heading1"/>
        <w:numPr>
          <w:ilvl w:val="0"/>
          <w:numId w:val="0"/>
        </w:numPr>
        <w:pBdr>
          <w:top w:val="single" w:sz="4" w:space="1" w:color="auto"/>
          <w:left w:val="single" w:sz="4" w:space="4" w:color="auto"/>
          <w:bottom w:val="single" w:sz="4" w:space="1" w:color="auto"/>
          <w:right w:val="single" w:sz="4" w:space="4" w:color="auto"/>
        </w:pBdr>
        <w:tabs>
          <w:tab w:val="left" w:pos="1418"/>
        </w:tabs>
        <w:ind w:left="794"/>
        <w:rPr>
          <w:b w:val="0"/>
          <w:bCs/>
          <w:sz w:val="22"/>
          <w:szCs w:val="22"/>
        </w:rPr>
      </w:pPr>
      <w:bookmarkStart w:id="22" w:name="_Toc142403491"/>
      <w:r w:rsidRPr="00121C5E">
        <w:rPr>
          <w:b w:val="0"/>
          <w:bCs/>
          <w:sz w:val="22"/>
          <w:szCs w:val="22"/>
        </w:rPr>
        <w:t>An Aboriginal offender is a single father of young children. He struggles financially on parenting payments</w:t>
      </w:r>
      <w:r>
        <w:rPr>
          <w:b w:val="0"/>
          <w:bCs/>
          <w:sz w:val="22"/>
          <w:szCs w:val="22"/>
        </w:rPr>
        <w:t xml:space="preserve"> and has minimal</w:t>
      </w:r>
      <w:r w:rsidRPr="00121C5E">
        <w:rPr>
          <w:b w:val="0"/>
          <w:bCs/>
          <w:sz w:val="22"/>
          <w:szCs w:val="22"/>
        </w:rPr>
        <w:t xml:space="preserve"> assets. His mother is frail and lives interstate, and he does not have other family support. He does not own a car, can</w:t>
      </w:r>
      <w:r w:rsidR="005171A6">
        <w:rPr>
          <w:b w:val="0"/>
          <w:bCs/>
          <w:sz w:val="22"/>
          <w:szCs w:val="22"/>
        </w:rPr>
        <w:t>not</w:t>
      </w:r>
      <w:r w:rsidRPr="00121C5E">
        <w:rPr>
          <w:b w:val="0"/>
          <w:bCs/>
          <w:sz w:val="22"/>
          <w:szCs w:val="22"/>
        </w:rPr>
        <w:t xml:space="preserve"> drive and lives in an area of the ACT with minimal public transport. He was placed on a suspended sentence with a Good Behaviour Order. He has previously asked for phone or house drop-in appointments to accommodate his care requirements as well as his lack of transportation.</w:t>
      </w:r>
      <w:r w:rsidR="005171A6">
        <w:rPr>
          <w:b w:val="0"/>
          <w:bCs/>
          <w:sz w:val="22"/>
          <w:szCs w:val="22"/>
        </w:rPr>
        <w:t xml:space="preserve"> H</w:t>
      </w:r>
      <w:r w:rsidRPr="00121C5E">
        <w:rPr>
          <w:b w:val="0"/>
          <w:bCs/>
          <w:sz w:val="22"/>
          <w:szCs w:val="22"/>
        </w:rPr>
        <w:t xml:space="preserve">e has previously been breached for failure to report in person to </w:t>
      </w:r>
      <w:r w:rsidR="008F2A03">
        <w:rPr>
          <w:b w:val="0"/>
          <w:bCs/>
          <w:sz w:val="22"/>
          <w:szCs w:val="22"/>
        </w:rPr>
        <w:t xml:space="preserve">the </w:t>
      </w:r>
      <w:r w:rsidRPr="00121C5E">
        <w:rPr>
          <w:b w:val="0"/>
          <w:bCs/>
          <w:sz w:val="22"/>
          <w:szCs w:val="22"/>
        </w:rPr>
        <w:t xml:space="preserve">Community Operations office. The CCO is reluctant to see the offender at home due to safety concerns relating to previous behaviour and offences. The CCO discusses the case with the Cultural Engagement Officer who suggests that the offender may be suitable for an alternative </w:t>
      </w:r>
      <w:r>
        <w:rPr>
          <w:b w:val="0"/>
          <w:bCs/>
          <w:sz w:val="22"/>
          <w:szCs w:val="22"/>
        </w:rPr>
        <w:t xml:space="preserve">(and culturally supported) </w:t>
      </w:r>
      <w:r w:rsidRPr="00121C5E">
        <w:rPr>
          <w:b w:val="0"/>
          <w:bCs/>
          <w:sz w:val="22"/>
          <w:szCs w:val="22"/>
        </w:rPr>
        <w:t>reporting site and organises transport to the alternative reporting site through an Aboriginal organisation.</w:t>
      </w:r>
      <w:r>
        <w:rPr>
          <w:b w:val="0"/>
          <w:bCs/>
          <w:sz w:val="22"/>
          <w:szCs w:val="22"/>
        </w:rPr>
        <w:t xml:space="preserve"> The offender attend</w:t>
      </w:r>
      <w:r w:rsidR="005171A6">
        <w:rPr>
          <w:b w:val="0"/>
          <w:bCs/>
          <w:sz w:val="22"/>
          <w:szCs w:val="22"/>
        </w:rPr>
        <w:t>s</w:t>
      </w:r>
      <w:r>
        <w:rPr>
          <w:b w:val="0"/>
          <w:bCs/>
          <w:sz w:val="22"/>
          <w:szCs w:val="22"/>
        </w:rPr>
        <w:t xml:space="preserve"> the alternative reporting site with the transport services and other supports in place.</w:t>
      </w:r>
      <w:bookmarkEnd w:id="22"/>
    </w:p>
    <w:p w14:paraId="0ADF0974" w14:textId="77777777" w:rsidR="0029239C" w:rsidRDefault="0029239C" w:rsidP="0029239C">
      <w:pPr>
        <w:pStyle w:val="SectionHeading"/>
        <w:numPr>
          <w:ilvl w:val="0"/>
          <w:numId w:val="0"/>
        </w:numPr>
        <w:ind w:left="360" w:hanging="360"/>
      </w:pPr>
    </w:p>
    <w:p w14:paraId="44B4AB4D" w14:textId="7E2CAB62" w:rsidR="00CF03FA" w:rsidRDefault="007B3718" w:rsidP="006268DA">
      <w:pPr>
        <w:pStyle w:val="Heading11"/>
      </w:pPr>
      <w:r w:rsidRPr="00F81FF3">
        <w:t>RELATED DOCUMENTS</w:t>
      </w:r>
    </w:p>
    <w:p w14:paraId="133AC4A2" w14:textId="77777777" w:rsidR="0029239C" w:rsidRPr="006C20AA" w:rsidRDefault="0029239C" w:rsidP="007C7256">
      <w:pPr>
        <w:pStyle w:val="ListParagraph"/>
        <w:numPr>
          <w:ilvl w:val="1"/>
          <w:numId w:val="8"/>
        </w:numPr>
        <w:spacing w:after="0"/>
        <w:ind w:left="1276" w:hanging="425"/>
      </w:pPr>
      <w:r w:rsidRPr="00ED4B3B">
        <w:t>Crimes (Sentence Administration) Act 2005</w:t>
      </w:r>
    </w:p>
    <w:p w14:paraId="50964089" w14:textId="77777777" w:rsidR="0029239C" w:rsidRDefault="0029239C" w:rsidP="007C7256">
      <w:pPr>
        <w:pStyle w:val="ListParagraph"/>
        <w:numPr>
          <w:ilvl w:val="1"/>
          <w:numId w:val="8"/>
        </w:numPr>
        <w:spacing w:after="0"/>
        <w:ind w:left="1276" w:hanging="425"/>
      </w:pPr>
      <w:r w:rsidRPr="00C55E74">
        <w:t>Crimes (Sentenc</w:t>
      </w:r>
      <w:r>
        <w:t>ing</w:t>
      </w:r>
      <w:r w:rsidRPr="00C55E74">
        <w:t>) Act 2005</w:t>
      </w:r>
    </w:p>
    <w:p w14:paraId="293959F3" w14:textId="6DC87EB9" w:rsidR="001F499B" w:rsidRDefault="001F499B" w:rsidP="003500DB">
      <w:pPr>
        <w:pStyle w:val="ListParagraph"/>
        <w:keepNext/>
        <w:numPr>
          <w:ilvl w:val="1"/>
          <w:numId w:val="8"/>
        </w:numPr>
        <w:spacing w:after="0"/>
        <w:ind w:left="1276" w:hanging="425"/>
      </w:pPr>
      <w:r w:rsidRPr="001F499B">
        <w:lastRenderedPageBreak/>
        <w:t xml:space="preserve">Breaches </w:t>
      </w:r>
      <w:r>
        <w:t>o</w:t>
      </w:r>
      <w:r w:rsidRPr="001F499B">
        <w:t xml:space="preserve">f Good Behaviour Orders </w:t>
      </w:r>
      <w:r w:rsidR="00B52186">
        <w:t>Policy</w:t>
      </w:r>
    </w:p>
    <w:p w14:paraId="2F369EC3" w14:textId="30618BB5" w:rsidR="0029239C" w:rsidRDefault="0029239C" w:rsidP="007C7256">
      <w:pPr>
        <w:pStyle w:val="ListParagraph"/>
        <w:numPr>
          <w:ilvl w:val="1"/>
          <w:numId w:val="8"/>
        </w:numPr>
        <w:spacing w:after="0"/>
        <w:ind w:left="1276" w:hanging="425"/>
      </w:pPr>
      <w:r>
        <w:t>Case Note Policy</w:t>
      </w:r>
    </w:p>
    <w:p w14:paraId="5D757442" w14:textId="77777777" w:rsidR="0029239C" w:rsidRDefault="0029239C" w:rsidP="007C7256">
      <w:pPr>
        <w:pStyle w:val="ListParagraph"/>
        <w:numPr>
          <w:ilvl w:val="1"/>
          <w:numId w:val="8"/>
        </w:numPr>
        <w:spacing w:after="0"/>
        <w:ind w:left="1276" w:hanging="425"/>
      </w:pPr>
      <w:r w:rsidRPr="00ED4B3B">
        <w:t>Human Rights Act 2004</w:t>
      </w:r>
    </w:p>
    <w:p w14:paraId="7DF9E482" w14:textId="77777777" w:rsidR="0029239C" w:rsidRPr="00614007" w:rsidRDefault="0029239C" w:rsidP="007C7256">
      <w:pPr>
        <w:pStyle w:val="ListParagraph"/>
        <w:numPr>
          <w:ilvl w:val="1"/>
          <w:numId w:val="8"/>
        </w:numPr>
        <w:spacing w:after="0"/>
        <w:ind w:left="1276" w:hanging="425"/>
      </w:pPr>
      <w:r w:rsidRPr="00614007">
        <w:rPr>
          <w:rFonts w:cs="Arial"/>
          <w:bCs/>
        </w:rPr>
        <w:t>Good Behaviour Order Breach Warning Template 2023</w:t>
      </w:r>
    </w:p>
    <w:p w14:paraId="76C05BF0" w14:textId="77777777" w:rsidR="0029239C" w:rsidRPr="00614007" w:rsidRDefault="0029239C" w:rsidP="007C7256">
      <w:pPr>
        <w:pStyle w:val="ListParagraph"/>
        <w:numPr>
          <w:ilvl w:val="1"/>
          <w:numId w:val="8"/>
        </w:numPr>
        <w:spacing w:after="0"/>
        <w:ind w:left="1276" w:hanging="425"/>
      </w:pPr>
      <w:r w:rsidRPr="00614007">
        <w:rPr>
          <w:rFonts w:cs="Arial"/>
          <w:bCs/>
        </w:rPr>
        <w:t>Good Behaviour Order Breach Reporting Template 2023</w:t>
      </w:r>
    </w:p>
    <w:p w14:paraId="7FCA861A" w14:textId="67935EF7" w:rsidR="007D6976" w:rsidRDefault="007D6976" w:rsidP="007D6976">
      <w:pPr>
        <w:pStyle w:val="ListParagraph"/>
        <w:ind w:left="567"/>
        <w:rPr>
          <w:rFonts w:cs="Arial"/>
        </w:rPr>
      </w:pPr>
    </w:p>
    <w:p w14:paraId="1BAF0B4A" w14:textId="011ACB3A" w:rsidR="00943C80" w:rsidRDefault="00943C80" w:rsidP="007D6976">
      <w:pPr>
        <w:pStyle w:val="ListParagraph"/>
        <w:ind w:left="567"/>
        <w:rPr>
          <w:rFonts w:cs="Arial"/>
        </w:rPr>
      </w:pPr>
    </w:p>
    <w:p w14:paraId="7BF31C33" w14:textId="77777777" w:rsidR="00C97747" w:rsidRDefault="00C97747" w:rsidP="007D6976">
      <w:pPr>
        <w:pStyle w:val="ListParagraph"/>
        <w:ind w:left="567"/>
        <w:rPr>
          <w:rFonts w:cs="Arial"/>
        </w:rPr>
      </w:pPr>
    </w:p>
    <w:p w14:paraId="7DC0929E" w14:textId="77777777" w:rsidR="00943C80" w:rsidRPr="00520A8D" w:rsidRDefault="00943C80" w:rsidP="00520A8D">
      <w:pPr>
        <w:rPr>
          <w:rFonts w:cs="Arial"/>
        </w:rPr>
      </w:pPr>
    </w:p>
    <w:p w14:paraId="5187C628" w14:textId="6191B263" w:rsidR="00B84A5B" w:rsidRDefault="007C5C3D" w:rsidP="00E4484A">
      <w:pPr>
        <w:pStyle w:val="NoSpacing"/>
        <w:spacing w:line="276" w:lineRule="auto"/>
      </w:pPr>
      <w:r>
        <w:t>Narelle Pamplin</w:t>
      </w:r>
    </w:p>
    <w:p w14:paraId="781104C7" w14:textId="2430D8A4" w:rsidR="00943C80" w:rsidRPr="00C33122" w:rsidRDefault="00C33122" w:rsidP="00E4484A">
      <w:pPr>
        <w:pStyle w:val="NoSpacing"/>
        <w:spacing w:line="276" w:lineRule="auto"/>
      </w:pPr>
      <w:r>
        <w:rPr>
          <w:rFonts w:ascii="Calibri" w:hAnsi="Calibri"/>
        </w:rPr>
        <w:t>A/g</w:t>
      </w:r>
      <w:r w:rsidRPr="00C33122">
        <w:rPr>
          <w:rFonts w:ascii="Calibri" w:hAnsi="Calibri"/>
        </w:rPr>
        <w:t xml:space="preserve"> Commissioner</w:t>
      </w:r>
    </w:p>
    <w:p w14:paraId="60C9BA74" w14:textId="0639B0F1" w:rsidR="00925989" w:rsidRPr="00C33122" w:rsidRDefault="00202B3A" w:rsidP="00E4484A">
      <w:pPr>
        <w:pStyle w:val="NoSpacing"/>
        <w:spacing w:line="276" w:lineRule="auto"/>
      </w:pPr>
      <w:r w:rsidRPr="00C33122">
        <w:t>ACT Corrective Services</w:t>
      </w:r>
    </w:p>
    <w:p w14:paraId="3602F0BF" w14:textId="6F0C2F4A" w:rsidR="00925989" w:rsidRDefault="00D81D9F" w:rsidP="00E4484A">
      <w:pPr>
        <w:pStyle w:val="NoSpacing"/>
        <w:spacing w:line="276" w:lineRule="auto"/>
      </w:pPr>
      <w:r>
        <w:t xml:space="preserve">28 </w:t>
      </w:r>
      <w:r w:rsidR="00CC5BE5">
        <w:t>September</w:t>
      </w:r>
      <w:r w:rsidR="00F33976">
        <w:t xml:space="preserve"> 202</w:t>
      </w:r>
      <w:r w:rsidR="00943C80">
        <w:t>3</w:t>
      </w:r>
    </w:p>
    <w:p w14:paraId="2A0443DD" w14:textId="388DD035" w:rsidR="00943C80" w:rsidRDefault="00943C80" w:rsidP="00E4484A">
      <w:pPr>
        <w:pStyle w:val="NoSpacing"/>
        <w:spacing w:line="276" w:lineRule="auto"/>
      </w:pPr>
    </w:p>
    <w:p w14:paraId="3379540D" w14:textId="509A458C" w:rsidR="00C97747" w:rsidRDefault="00C97747" w:rsidP="00E4484A">
      <w:pPr>
        <w:pStyle w:val="NoSpacing"/>
        <w:spacing w:line="276" w:lineRule="auto"/>
      </w:pPr>
    </w:p>
    <w:p w14:paraId="496AE8FF" w14:textId="25795003" w:rsidR="00C97747" w:rsidRDefault="00C97747" w:rsidP="00E4484A">
      <w:pPr>
        <w:pStyle w:val="NoSpacing"/>
        <w:spacing w:line="276" w:lineRule="auto"/>
      </w:pPr>
    </w:p>
    <w:p w14:paraId="39FF409B" w14:textId="77777777" w:rsidR="00C97747" w:rsidRDefault="00C97747" w:rsidP="00E4484A">
      <w:pPr>
        <w:pStyle w:val="NoSpacing"/>
        <w:spacing w:line="276" w:lineRule="auto"/>
      </w:pPr>
    </w:p>
    <w:p w14:paraId="21E4D0D5" w14:textId="77777777"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5E011D" w:rsidRPr="00586F66" w14:paraId="62A4F45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6F6B1E00" w:rsidR="005E011D" w:rsidRPr="00A81503" w:rsidRDefault="003B3C46" w:rsidP="000C15FB">
            <w:pPr>
              <w:pStyle w:val="TableText"/>
              <w:rPr>
                <w:rFonts w:ascii="Calibri" w:hAnsi="Calibri"/>
                <w:i/>
                <w:iCs/>
                <w:sz w:val="20"/>
                <w:szCs w:val="20"/>
              </w:rPr>
            </w:pPr>
            <w:r w:rsidRPr="003B3C46">
              <w:rPr>
                <w:rFonts w:ascii="Calibri" w:hAnsi="Calibri"/>
                <w:i/>
                <w:iCs/>
                <w:sz w:val="20"/>
                <w:szCs w:val="20"/>
              </w:rPr>
              <w:t xml:space="preserve">Crimes (Sentence Administration) </w:t>
            </w:r>
            <w:r>
              <w:rPr>
                <w:rFonts w:ascii="Calibri" w:hAnsi="Calibri"/>
                <w:i/>
                <w:iCs/>
                <w:sz w:val="20"/>
                <w:szCs w:val="20"/>
              </w:rPr>
              <w:t>(</w:t>
            </w:r>
            <w:r w:rsidR="00943C80" w:rsidRPr="00943C80">
              <w:rPr>
                <w:rFonts w:ascii="Calibri" w:hAnsi="Calibri"/>
                <w:i/>
                <w:iCs/>
                <w:sz w:val="20"/>
                <w:szCs w:val="20"/>
              </w:rPr>
              <w:t>Good Behaviour Order Breach</w:t>
            </w:r>
            <w:r>
              <w:rPr>
                <w:rFonts w:ascii="Calibri" w:hAnsi="Calibri"/>
                <w:i/>
                <w:iCs/>
                <w:sz w:val="20"/>
                <w:szCs w:val="20"/>
              </w:rPr>
              <w:t>)</w:t>
            </w:r>
            <w:r w:rsidR="007D6976">
              <w:rPr>
                <w:rFonts w:ascii="Calibri" w:hAnsi="Calibri"/>
                <w:i/>
                <w:iCs/>
                <w:sz w:val="20"/>
                <w:szCs w:val="20"/>
              </w:rPr>
              <w:t xml:space="preserve"> </w:t>
            </w:r>
            <w:r w:rsidR="007C5C3D">
              <w:rPr>
                <w:rFonts w:ascii="Calibri" w:hAnsi="Calibri"/>
                <w:i/>
                <w:iCs/>
                <w:sz w:val="20"/>
                <w:szCs w:val="20"/>
              </w:rPr>
              <w:t>Guideline</w:t>
            </w:r>
            <w:r w:rsidR="00895F9F" w:rsidRPr="00A81503">
              <w:rPr>
                <w:rFonts w:ascii="Calibri" w:hAnsi="Calibri"/>
                <w:i/>
                <w:iCs/>
                <w:sz w:val="20"/>
                <w:szCs w:val="20"/>
              </w:rPr>
              <w:t xml:space="preserve"> </w:t>
            </w:r>
            <w:r w:rsidR="00C629AB" w:rsidRPr="00A81503">
              <w:rPr>
                <w:rFonts w:ascii="Calibri" w:hAnsi="Calibri"/>
                <w:i/>
                <w:iCs/>
                <w:sz w:val="20"/>
                <w:szCs w:val="20"/>
              </w:rPr>
              <w:t>202</w:t>
            </w:r>
            <w:r w:rsidR="00943C80">
              <w:rPr>
                <w:rFonts w:ascii="Calibri" w:hAnsi="Calibri"/>
                <w:i/>
                <w:iCs/>
                <w:sz w:val="20"/>
                <w:szCs w:val="20"/>
              </w:rPr>
              <w:t>3</w:t>
            </w:r>
          </w:p>
        </w:tc>
      </w:tr>
      <w:tr w:rsidR="005E011D" w:rsidRPr="00586F66" w14:paraId="2D66ECDB"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0019B139" w:rsidR="005E011D" w:rsidRPr="00586F66" w:rsidRDefault="00884AE1" w:rsidP="004135BE">
            <w:pPr>
              <w:pStyle w:val="TableText"/>
              <w:rPr>
                <w:rFonts w:ascii="Calibri" w:hAnsi="Calibri"/>
                <w:sz w:val="20"/>
                <w:szCs w:val="20"/>
              </w:rPr>
            </w:pPr>
            <w:r w:rsidRPr="00C33122">
              <w:rPr>
                <w:rFonts w:ascii="Calibri" w:hAnsi="Calibri"/>
                <w:sz w:val="20"/>
                <w:szCs w:val="20"/>
              </w:rPr>
              <w:t xml:space="preserve">Assistant Commissioner, </w:t>
            </w:r>
            <w:r>
              <w:rPr>
                <w:rFonts w:ascii="Calibri" w:hAnsi="Calibri"/>
                <w:sz w:val="20"/>
                <w:szCs w:val="20"/>
              </w:rPr>
              <w:t xml:space="preserve">Service Improvement and </w:t>
            </w:r>
            <w:r w:rsidRPr="00C33122">
              <w:rPr>
                <w:rFonts w:ascii="Calibri" w:hAnsi="Calibri"/>
                <w:sz w:val="20"/>
                <w:szCs w:val="20"/>
              </w:rPr>
              <w:t xml:space="preserve">Community </w:t>
            </w:r>
            <w:r w:rsidR="000D402C">
              <w:rPr>
                <w:rFonts w:ascii="Calibri" w:hAnsi="Calibri"/>
                <w:sz w:val="20"/>
                <w:szCs w:val="20"/>
              </w:rPr>
              <w:t>Operations</w:t>
            </w:r>
            <w:r w:rsidR="005E011D" w:rsidRPr="00586F66">
              <w:rPr>
                <w:rFonts w:ascii="Calibri" w:hAnsi="Calibri"/>
                <w:sz w:val="20"/>
                <w:szCs w:val="20"/>
              </w:rPr>
              <w:t>, ACT Corrective Services</w:t>
            </w:r>
          </w:p>
        </w:tc>
      </w:tr>
      <w:tr w:rsidR="005E011D" w:rsidRPr="00586F66" w14:paraId="2A82A395"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77777777" w:rsidR="005E011D" w:rsidRPr="00586F66" w:rsidRDefault="00F85168" w:rsidP="000C15FB">
            <w:pPr>
              <w:pStyle w:val="TableText"/>
              <w:rPr>
                <w:rFonts w:ascii="Calibri" w:hAnsi="Calibri"/>
                <w:sz w:val="20"/>
                <w:szCs w:val="20"/>
              </w:rPr>
            </w:pPr>
            <w:r>
              <w:rPr>
                <w:rFonts w:ascii="Calibri" w:hAnsi="Calibri"/>
                <w:sz w:val="20"/>
                <w:szCs w:val="20"/>
              </w:rPr>
              <w:t>3</w:t>
            </w:r>
            <w:r w:rsidR="005E011D" w:rsidRPr="00586F66">
              <w:rPr>
                <w:rFonts w:ascii="Calibri" w:hAnsi="Calibri"/>
                <w:sz w:val="20"/>
                <w:szCs w:val="20"/>
              </w:rPr>
              <w:t xml:space="preserve"> years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CF03FA" w:rsidRPr="00586F66" w14:paraId="52B0205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31465353" w:rsidR="00CF03FA" w:rsidRPr="00586F66" w:rsidRDefault="008023EA" w:rsidP="007B3718">
            <w:pPr>
              <w:pStyle w:val="TableText"/>
              <w:rPr>
                <w:rFonts w:ascii="Calibri" w:hAnsi="Calibri"/>
                <w:sz w:val="20"/>
                <w:szCs w:val="20"/>
              </w:rPr>
            </w:pPr>
            <w:r>
              <w:rPr>
                <w:rFonts w:ascii="Calibri" w:hAnsi="Calibri"/>
                <w:sz w:val="20"/>
                <w:szCs w:val="20"/>
              </w:rPr>
              <w:t>Senior Director, Community Operations</w:t>
            </w:r>
          </w:p>
        </w:tc>
      </w:tr>
      <w:tr w:rsidR="007B3718" w:rsidRPr="00586F66" w14:paraId="7A48392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3F77CCD4"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37745C">
              <w:rPr>
                <w:rFonts w:asciiTheme="minorHAnsi" w:hAnsiTheme="minorHAnsi"/>
                <w:sz w:val="20"/>
                <w:szCs w:val="20"/>
              </w:rPr>
              <w:t>guideline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ED0F79">
              <w:rPr>
                <w:rFonts w:asciiTheme="minorHAnsi" w:hAnsiTheme="minorHAnsi"/>
                <w:i/>
                <w:iCs/>
                <w:sz w:val="20"/>
                <w:szCs w:val="20"/>
              </w:rPr>
              <w:t>0</w:t>
            </w:r>
          </w:p>
        </w:tc>
      </w:tr>
      <w:tr w:rsidR="005E011D" w:rsidRPr="00586F66" w14:paraId="27FE4371" w14:textId="77777777" w:rsidTr="00840B46">
        <w:trPr>
          <w:cantSplit/>
        </w:trPr>
        <w:tc>
          <w:tcPr>
            <w:tcW w:w="5000" w:type="pct"/>
            <w:gridSpan w:val="2"/>
            <w:tcBorders>
              <w:top w:val="nil"/>
              <w:left w:val="nil"/>
              <w:bottom w:val="nil"/>
              <w:right w:val="nil"/>
            </w:tcBorders>
            <w:tcMar>
              <w:top w:w="57" w:type="dxa"/>
              <w:left w:w="108" w:type="dxa"/>
              <w:bottom w:w="57" w:type="dxa"/>
              <w:right w:w="108" w:type="dxa"/>
            </w:tcMar>
            <w:hideMark/>
          </w:tcPr>
          <w:p w14:paraId="320FEBDB" w14:textId="77777777" w:rsidR="005E011D" w:rsidRDefault="005E011D" w:rsidP="0041603D">
            <w:pPr>
              <w:pStyle w:val="BodyText"/>
              <w:spacing w:after="0"/>
              <w:rPr>
                <w:sz w:val="20"/>
                <w:szCs w:val="20"/>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88"/>
              <w:gridCol w:w="2113"/>
              <w:gridCol w:w="2397"/>
              <w:gridCol w:w="1658"/>
            </w:tblGrid>
            <w:tr w:rsidR="00EF4141" w:rsidRPr="00B11C0C" w14:paraId="26B7955B" w14:textId="77777777" w:rsidTr="00EF4141">
              <w:trPr>
                <w:trHeight w:val="395"/>
              </w:trPr>
              <w:tc>
                <w:tcPr>
                  <w:tcW w:w="0" w:type="auto"/>
                  <w:gridSpan w:val="4"/>
                  <w:shd w:val="clear" w:color="auto" w:fill="F2F2F2" w:themeFill="background1" w:themeFillShade="F2"/>
                </w:tcPr>
                <w:p w14:paraId="27D80EAC"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EF4141" w:rsidRPr="00B11C0C" w14:paraId="1D44FEC6" w14:textId="77777777" w:rsidTr="00EF4141">
              <w:trPr>
                <w:trHeight w:val="395"/>
              </w:trPr>
              <w:tc>
                <w:tcPr>
                  <w:tcW w:w="0" w:type="auto"/>
                </w:tcPr>
                <w:p w14:paraId="6BE998BA" w14:textId="3BC46D3B"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Version no.</w:t>
                  </w:r>
                </w:p>
              </w:tc>
              <w:tc>
                <w:tcPr>
                  <w:tcW w:w="0" w:type="auto"/>
                </w:tcPr>
                <w:p w14:paraId="7B94FB26" w14:textId="799F4C38"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Date</w:t>
                  </w:r>
                </w:p>
              </w:tc>
              <w:tc>
                <w:tcPr>
                  <w:tcW w:w="0" w:type="auto"/>
                </w:tcPr>
                <w:p w14:paraId="1D73CA15"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7E1C430B"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EF4141" w:rsidRPr="00B11C0C" w14:paraId="78C62208" w14:textId="77777777" w:rsidTr="00EF4141">
              <w:trPr>
                <w:trHeight w:val="395"/>
              </w:trPr>
              <w:tc>
                <w:tcPr>
                  <w:tcW w:w="0" w:type="auto"/>
                </w:tcPr>
                <w:p w14:paraId="7AEEBC7B" w14:textId="77777777" w:rsidR="00EF4141" w:rsidRPr="00B11C0C" w:rsidRDefault="00EF4141" w:rsidP="00EF4141">
                  <w:pPr>
                    <w:spacing w:line="360" w:lineRule="auto"/>
                    <w:outlineLvl w:val="1"/>
                    <w:rPr>
                      <w:rFonts w:eastAsia="Calibri" w:cs="Times New Roman"/>
                      <w:sz w:val="20"/>
                      <w:szCs w:val="24"/>
                    </w:rPr>
                  </w:pPr>
                  <w:r w:rsidRPr="00B11C0C">
                    <w:rPr>
                      <w:rFonts w:eastAsia="Calibri" w:cs="Times New Roman"/>
                      <w:sz w:val="20"/>
                      <w:szCs w:val="24"/>
                    </w:rPr>
                    <w:t>V1</w:t>
                  </w:r>
                </w:p>
              </w:tc>
              <w:tc>
                <w:tcPr>
                  <w:tcW w:w="0" w:type="auto"/>
                </w:tcPr>
                <w:p w14:paraId="33C1B09F" w14:textId="71F760CE" w:rsidR="00EF4141" w:rsidRPr="00B11C0C" w:rsidRDefault="008F2A03" w:rsidP="00EF4141">
                  <w:pPr>
                    <w:spacing w:line="360" w:lineRule="auto"/>
                    <w:outlineLvl w:val="1"/>
                    <w:rPr>
                      <w:rFonts w:eastAsia="Calibri" w:cs="Times New Roman"/>
                      <w:sz w:val="20"/>
                      <w:szCs w:val="24"/>
                    </w:rPr>
                  </w:pPr>
                  <w:r>
                    <w:rPr>
                      <w:rFonts w:eastAsia="Calibri" w:cs="Times New Roman"/>
                      <w:sz w:val="20"/>
                      <w:szCs w:val="24"/>
                    </w:rPr>
                    <w:t xml:space="preserve">August </w:t>
                  </w:r>
                  <w:r w:rsidR="009E4E29">
                    <w:rPr>
                      <w:rFonts w:eastAsia="Calibri" w:cs="Times New Roman"/>
                      <w:sz w:val="20"/>
                      <w:szCs w:val="24"/>
                    </w:rPr>
                    <w:t>2</w:t>
                  </w:r>
                  <w:r w:rsidR="00943C80">
                    <w:rPr>
                      <w:rFonts w:eastAsia="Calibri" w:cs="Times New Roman"/>
                      <w:sz w:val="20"/>
                      <w:szCs w:val="24"/>
                    </w:rPr>
                    <w:t>3</w:t>
                  </w:r>
                </w:p>
              </w:tc>
              <w:tc>
                <w:tcPr>
                  <w:tcW w:w="0" w:type="auto"/>
                </w:tcPr>
                <w:p w14:paraId="28A19A02" w14:textId="77777777" w:rsidR="00EF4141" w:rsidRPr="00B11C0C" w:rsidRDefault="00EF4141" w:rsidP="00EF4141">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14:paraId="5A9DF4D3" w14:textId="6FFFEC3C" w:rsidR="00EF4141" w:rsidRPr="00B11C0C" w:rsidRDefault="00C33122" w:rsidP="00EF4141">
                  <w:pPr>
                    <w:spacing w:line="360" w:lineRule="auto"/>
                    <w:outlineLvl w:val="1"/>
                    <w:rPr>
                      <w:rFonts w:eastAsia="Calibri" w:cs="Times New Roman"/>
                      <w:sz w:val="20"/>
                      <w:szCs w:val="24"/>
                    </w:rPr>
                  </w:pPr>
                  <w:r>
                    <w:rPr>
                      <w:rFonts w:eastAsia="Calibri" w:cs="Times New Roman"/>
                      <w:sz w:val="20"/>
                      <w:szCs w:val="24"/>
                    </w:rPr>
                    <w:t>B Aloisi</w:t>
                  </w:r>
                </w:p>
              </w:tc>
            </w:tr>
          </w:tbl>
          <w:p w14:paraId="087913EE" w14:textId="1B33ECCB" w:rsidR="00EF4141" w:rsidRPr="00586F66" w:rsidRDefault="00EF4141" w:rsidP="0041603D">
            <w:pPr>
              <w:pStyle w:val="BodyText"/>
              <w:spacing w:after="0"/>
              <w:rPr>
                <w:sz w:val="20"/>
                <w:szCs w:val="20"/>
              </w:rPr>
            </w:pPr>
          </w:p>
        </w:tc>
      </w:tr>
    </w:tbl>
    <w:p w14:paraId="76ED977F" w14:textId="148D93E5" w:rsidR="00B7721B" w:rsidRDefault="00B7721B" w:rsidP="005E011D">
      <w:pPr>
        <w:rPr>
          <w:rFonts w:ascii="Arial" w:hAnsi="Arial" w:cs="Arial"/>
          <w:sz w:val="16"/>
          <w:szCs w:val="16"/>
        </w:rPr>
      </w:pPr>
    </w:p>
    <w:p w14:paraId="006B946D" w14:textId="77777777" w:rsidR="00B7721B" w:rsidRPr="00FB75A2" w:rsidRDefault="00B7721B" w:rsidP="008023EA">
      <w:pPr>
        <w:pStyle w:val="Heading1"/>
        <w:numPr>
          <w:ilvl w:val="0"/>
          <w:numId w:val="0"/>
        </w:numPr>
        <w:spacing w:line="276" w:lineRule="auto"/>
        <w:ind w:left="794" w:hanging="794"/>
      </w:pPr>
      <w:r>
        <w:rPr>
          <w:rFonts w:ascii="Arial" w:hAnsi="Arial"/>
          <w:sz w:val="16"/>
          <w:szCs w:val="16"/>
        </w:rPr>
        <w:br w:type="column"/>
      </w:r>
      <w:bookmarkStart w:id="23" w:name="_Toc142403493"/>
      <w:r>
        <w:lastRenderedPageBreak/>
        <w:t>ATTACHMENT 1: Decision-Making Framework</w:t>
      </w:r>
      <w:bookmarkEnd w:id="23"/>
    </w:p>
    <w:p w14:paraId="3A29BCD1" w14:textId="77777777" w:rsidR="00B7721B" w:rsidRDefault="00B7721B" w:rsidP="00B7721B">
      <w:pPr>
        <w:pStyle w:val="NoSpacing"/>
        <w:spacing w:line="276" w:lineRule="auto"/>
        <w:rPr>
          <w:b/>
          <w:bCs/>
          <w:sz w:val="24"/>
          <w:szCs w:val="24"/>
        </w:rPr>
      </w:pPr>
    </w:p>
    <w:p w14:paraId="6E3D5FA3" w14:textId="3A49ADE1" w:rsidR="00B7721B" w:rsidRPr="00A47529" w:rsidRDefault="00B7721B" w:rsidP="00B7721B">
      <w:pPr>
        <w:pStyle w:val="NoSpacing"/>
        <w:spacing w:line="276" w:lineRule="auto"/>
        <w:rPr>
          <w:b/>
          <w:bCs/>
          <w:sz w:val="24"/>
          <w:szCs w:val="24"/>
        </w:rPr>
      </w:pPr>
      <w:r>
        <w:rPr>
          <w:b/>
          <w:bCs/>
          <w:sz w:val="24"/>
          <w:szCs w:val="24"/>
        </w:rPr>
        <w:t xml:space="preserve">Table 1.  Framework for </w:t>
      </w:r>
      <w:r w:rsidR="008F2A03">
        <w:rPr>
          <w:b/>
          <w:bCs/>
          <w:sz w:val="24"/>
          <w:szCs w:val="24"/>
        </w:rPr>
        <w:t>d</w:t>
      </w:r>
      <w:r>
        <w:rPr>
          <w:b/>
          <w:bCs/>
          <w:sz w:val="24"/>
          <w:szCs w:val="24"/>
        </w:rPr>
        <w:t>ecision-making (replicated from Corrective Services NSW Community Corrections Officer Handbook)</w:t>
      </w:r>
    </w:p>
    <w:p w14:paraId="438AE0FB" w14:textId="77777777" w:rsidR="00B7721B" w:rsidRPr="00006060" w:rsidRDefault="00B7721B" w:rsidP="00B7721B">
      <w:pPr>
        <w:pStyle w:val="NoSpacing"/>
        <w:spacing w:line="276" w:lineRule="auto"/>
      </w:pPr>
    </w:p>
    <w:p w14:paraId="41E5E542" w14:textId="3D1D579C" w:rsidR="00B7721B" w:rsidRDefault="00B7721B" w:rsidP="00B7721B">
      <w:pPr>
        <w:spacing w:line="240" w:lineRule="auto"/>
        <w:rPr>
          <w:b/>
          <w:sz w:val="24"/>
          <w:szCs w:val="24"/>
        </w:rPr>
      </w:pPr>
      <w:r>
        <w:rPr>
          <w:noProof/>
        </w:rPr>
        <w:drawing>
          <wp:inline distT="0" distB="0" distL="0" distR="0" wp14:anchorId="26C665D0" wp14:editId="243CA53F">
            <wp:extent cx="5731510" cy="51644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5164455"/>
                    </a:xfrm>
                    <a:prstGeom prst="rect">
                      <a:avLst/>
                    </a:prstGeom>
                  </pic:spPr>
                </pic:pic>
              </a:graphicData>
            </a:graphic>
          </wp:inline>
        </w:drawing>
      </w:r>
    </w:p>
    <w:p w14:paraId="57C3FB53" w14:textId="7D4CBD7D" w:rsidR="005E011D" w:rsidRPr="00943C80" w:rsidRDefault="005E011D" w:rsidP="00B7721B">
      <w:pPr>
        <w:rPr>
          <w:rFonts w:ascii="Arial" w:hAnsi="Arial" w:cs="Arial"/>
          <w:sz w:val="16"/>
          <w:szCs w:val="16"/>
        </w:rPr>
      </w:pPr>
    </w:p>
    <w:sectPr w:rsidR="005E011D" w:rsidRPr="00943C80" w:rsidSect="003500DB">
      <w:headerReference w:type="first" r:id="rId15"/>
      <w:footerReference w:type="first" r:id="rId16"/>
      <w:pgSz w:w="11906" w:h="16838" w:code="9"/>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BABE" w14:textId="77777777" w:rsidR="00867C16" w:rsidRDefault="00867C16" w:rsidP="00152D5E">
      <w:pPr>
        <w:spacing w:after="0" w:line="240" w:lineRule="auto"/>
      </w:pPr>
      <w:r>
        <w:separator/>
      </w:r>
    </w:p>
  </w:endnote>
  <w:endnote w:type="continuationSeparator" w:id="0">
    <w:p w14:paraId="6D14D3A5" w14:textId="77777777" w:rsidR="00867C16" w:rsidRDefault="00867C16"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B9B4" w14:textId="77777777" w:rsidR="00EA4019" w:rsidRDefault="00EA4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44609626"/>
      <w:docPartObj>
        <w:docPartGallery w:val="Page Numbers (Bottom of Page)"/>
        <w:docPartUnique/>
      </w:docPartObj>
    </w:sdtPr>
    <w:sdtEndPr>
      <w:rPr>
        <w:sz w:val="20"/>
        <w:szCs w:val="20"/>
      </w:rPr>
    </w:sdtEndPr>
    <w:sdtContent>
      <w:sdt>
        <w:sdtPr>
          <w:rPr>
            <w:rFonts w:ascii="Calibri" w:hAnsi="Calibri"/>
          </w:rPr>
          <w:id w:val="565050523"/>
          <w:docPartObj>
            <w:docPartGallery w:val="Page Numbers (Top of Page)"/>
            <w:docPartUnique/>
          </w:docPartObj>
        </w:sdtPr>
        <w:sdtEndPr>
          <w:rPr>
            <w:sz w:val="20"/>
            <w:szCs w:val="20"/>
          </w:rPr>
        </w:sdtEndPr>
        <w:sdtContent>
          <w:p w14:paraId="7CE0D445" w14:textId="7CAD9ABC" w:rsidR="004B64FC" w:rsidRPr="00CA573D"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p w14:paraId="12CFE970" w14:textId="77777777" w:rsidR="00EA4019" w:rsidRDefault="00EA4019" w:rsidP="00CA573D">
            <w:pPr>
              <w:pStyle w:val="Footer"/>
              <w:jc w:val="center"/>
              <w:rPr>
                <w:rFonts w:ascii="Calibri" w:hAnsi="Calibri"/>
                <w:sz w:val="20"/>
                <w:szCs w:val="20"/>
              </w:rPr>
            </w:pPr>
          </w:p>
        </w:sdtContent>
      </w:sdt>
    </w:sdtContent>
  </w:sdt>
  <w:p w14:paraId="4184CD10" w14:textId="4D3B1879" w:rsidR="00FB2C79" w:rsidRPr="00EA4019" w:rsidRDefault="00EA4019" w:rsidP="00EA4019">
    <w:pPr>
      <w:pStyle w:val="Footer"/>
      <w:jc w:val="center"/>
      <w:rPr>
        <w:rFonts w:ascii="Arial" w:hAnsi="Arial" w:cs="Arial"/>
        <w:sz w:val="14"/>
        <w:szCs w:val="20"/>
      </w:rPr>
    </w:pPr>
    <w:r w:rsidRPr="00EA4019">
      <w:rPr>
        <w:rFonts w:ascii="Arial" w:hAnsi="Arial" w:cs="Arial"/>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73E" w14:textId="52D3209A" w:rsidR="00EA4019" w:rsidRPr="00EA4019" w:rsidRDefault="00EA4019" w:rsidP="00EA4019">
    <w:pPr>
      <w:pStyle w:val="Footer"/>
      <w:jc w:val="center"/>
      <w:rPr>
        <w:rFonts w:ascii="Arial" w:hAnsi="Arial" w:cs="Arial"/>
        <w:sz w:val="14"/>
      </w:rPr>
    </w:pPr>
    <w:r w:rsidRPr="00EA401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E56A" w14:textId="18A9119C" w:rsidR="003500DB" w:rsidRPr="00EA4019" w:rsidRDefault="00EA4019" w:rsidP="00EA4019">
    <w:pPr>
      <w:pStyle w:val="Footer"/>
      <w:jc w:val="center"/>
      <w:rPr>
        <w:rFonts w:ascii="Arial" w:hAnsi="Arial" w:cs="Arial"/>
        <w:sz w:val="14"/>
      </w:rPr>
    </w:pPr>
    <w:r w:rsidRPr="00EA401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109" w14:textId="77777777" w:rsidR="00867C16" w:rsidRDefault="00867C16" w:rsidP="00152D5E">
      <w:pPr>
        <w:spacing w:after="0" w:line="240" w:lineRule="auto"/>
      </w:pPr>
      <w:r>
        <w:separator/>
      </w:r>
    </w:p>
  </w:footnote>
  <w:footnote w:type="continuationSeparator" w:id="0">
    <w:p w14:paraId="7D3C3365" w14:textId="77777777" w:rsidR="00867C16" w:rsidRDefault="00867C16"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CC31" w14:textId="77777777" w:rsidR="00EA4019" w:rsidRDefault="00EA4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0C59" w14:textId="77777777" w:rsidR="00EA4019" w:rsidRDefault="00EA4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C907" w14:textId="77777777" w:rsidR="00EA4019" w:rsidRDefault="00EA4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321" w14:textId="77777777" w:rsidR="003500DB" w:rsidRDefault="003500DB">
    <w:pPr>
      <w:pStyle w:val="Header"/>
      <w:rPr>
        <w:b/>
        <w:bCs/>
        <w:color w:val="808080"/>
        <w:spacing w:val="24"/>
        <w:sz w:val="20"/>
        <w:szCs w:val="20"/>
      </w:rPr>
    </w:pPr>
    <w:r w:rsidRPr="00D94114">
      <w:rPr>
        <w:noProof/>
        <w:lang w:eastAsia="en-AU"/>
      </w:rPr>
      <w:drawing>
        <wp:inline distT="0" distB="0" distL="0" distR="0" wp14:anchorId="14473952" wp14:editId="0B6EAD19">
          <wp:extent cx="2190750" cy="676275"/>
          <wp:effectExtent l="19050" t="0" r="0" b="0"/>
          <wp:docPr id="5" name="Picture 5"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60115719" w14:textId="77777777" w:rsidR="003500DB" w:rsidRDefault="0035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AC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E9638C"/>
    <w:multiLevelType w:val="hybridMultilevel"/>
    <w:tmpl w:val="2C1A543E"/>
    <w:lvl w:ilvl="0" w:tplc="EA1260E2">
      <w:start w:val="1"/>
      <w:numFmt w:val="lowerLetter"/>
      <w:pStyle w:val="Indenttext2"/>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73A7099"/>
    <w:multiLevelType w:val="hybridMultilevel"/>
    <w:tmpl w:val="0114D098"/>
    <w:lvl w:ilvl="0" w:tplc="F9AAB23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 w15:restartNumberingAfterBreak="0">
    <w:nsid w:val="07545935"/>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5E3990"/>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14191"/>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294218"/>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1C33776E"/>
    <w:multiLevelType w:val="multilevel"/>
    <w:tmpl w:val="13004E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6578D3"/>
    <w:multiLevelType w:val="hybridMultilevel"/>
    <w:tmpl w:val="231C468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C1E90"/>
    <w:multiLevelType w:val="hybridMultilevel"/>
    <w:tmpl w:val="3F2C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6D4096"/>
    <w:multiLevelType w:val="multilevel"/>
    <w:tmpl w:val="13004E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FF5047"/>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741975"/>
    <w:multiLevelType w:val="multilevel"/>
    <w:tmpl w:val="A7F8794C"/>
    <w:lvl w:ilvl="0">
      <w:start w:val="5"/>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9B7037"/>
    <w:multiLevelType w:val="hybridMultilevel"/>
    <w:tmpl w:val="DC542CB6"/>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93761"/>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D15819"/>
    <w:multiLevelType w:val="multilevel"/>
    <w:tmpl w:val="13004E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66318"/>
    <w:multiLevelType w:val="hybridMultilevel"/>
    <w:tmpl w:val="C266640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9731C3"/>
    <w:multiLevelType w:val="hybridMultilevel"/>
    <w:tmpl w:val="86CCB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351F02"/>
    <w:multiLevelType w:val="hybridMultilevel"/>
    <w:tmpl w:val="7E4222D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9BD22E1"/>
    <w:multiLevelType w:val="hybridMultilevel"/>
    <w:tmpl w:val="AC1E7E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1B6ADF"/>
    <w:multiLevelType w:val="multilevel"/>
    <w:tmpl w:val="13004E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0D0F18"/>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7F24A4"/>
    <w:multiLevelType w:val="multilevel"/>
    <w:tmpl w:val="EFE848EA"/>
    <w:lvl w:ilvl="0">
      <w:start w:val="1"/>
      <w:numFmt w:val="decimal"/>
      <w:pStyle w:val="SectionHeading"/>
      <w:lvlText w:val="%1."/>
      <w:lvlJc w:val="left"/>
      <w:pPr>
        <w:ind w:left="360" w:hanging="360"/>
      </w:pPr>
      <w:rPr>
        <w:b/>
        <w:bCs/>
      </w:rPr>
    </w:lvl>
    <w:lvl w:ilvl="1">
      <w:start w:val="1"/>
      <w:numFmt w:val="decimal"/>
      <w:pStyle w:val="Indenttext1"/>
      <w:lvlText w:val="%1.%2."/>
      <w:lvlJc w:val="left"/>
      <w:pPr>
        <w:ind w:left="43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0A3E56"/>
    <w:multiLevelType w:val="multilevel"/>
    <w:tmpl w:val="390E4D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12595A"/>
    <w:multiLevelType w:val="hybridMultilevel"/>
    <w:tmpl w:val="9800E2CA"/>
    <w:lvl w:ilvl="0" w:tplc="0C090001">
      <w:start w:val="1"/>
      <w:numFmt w:val="bullet"/>
      <w:lvlText w:val=""/>
      <w:lvlJc w:val="left"/>
      <w:pPr>
        <w:ind w:left="2329" w:hanging="360"/>
      </w:pPr>
      <w:rPr>
        <w:rFonts w:ascii="Symbol" w:hAnsi="Symbol" w:hint="default"/>
      </w:rPr>
    </w:lvl>
    <w:lvl w:ilvl="1" w:tplc="16C49C04">
      <w:numFmt w:val="bullet"/>
      <w:lvlText w:val="—"/>
      <w:lvlJc w:val="left"/>
      <w:pPr>
        <w:ind w:left="3049" w:hanging="360"/>
      </w:pPr>
      <w:rPr>
        <w:rFonts w:ascii="Calibri" w:eastAsiaTheme="minorHAnsi" w:hAnsi="Calibri" w:cs="Calibri" w:hint="default"/>
      </w:rPr>
    </w:lvl>
    <w:lvl w:ilvl="2" w:tplc="0C090005" w:tentative="1">
      <w:start w:val="1"/>
      <w:numFmt w:val="bullet"/>
      <w:lvlText w:val=""/>
      <w:lvlJc w:val="left"/>
      <w:pPr>
        <w:ind w:left="3769" w:hanging="360"/>
      </w:pPr>
      <w:rPr>
        <w:rFonts w:ascii="Wingdings" w:hAnsi="Wingdings" w:hint="default"/>
      </w:rPr>
    </w:lvl>
    <w:lvl w:ilvl="3" w:tplc="0C090001" w:tentative="1">
      <w:start w:val="1"/>
      <w:numFmt w:val="bullet"/>
      <w:lvlText w:val=""/>
      <w:lvlJc w:val="left"/>
      <w:pPr>
        <w:ind w:left="4489" w:hanging="360"/>
      </w:pPr>
      <w:rPr>
        <w:rFonts w:ascii="Symbol" w:hAnsi="Symbol" w:hint="default"/>
      </w:rPr>
    </w:lvl>
    <w:lvl w:ilvl="4" w:tplc="0C090003" w:tentative="1">
      <w:start w:val="1"/>
      <w:numFmt w:val="bullet"/>
      <w:lvlText w:val="o"/>
      <w:lvlJc w:val="left"/>
      <w:pPr>
        <w:ind w:left="5209" w:hanging="360"/>
      </w:pPr>
      <w:rPr>
        <w:rFonts w:ascii="Courier New" w:hAnsi="Courier New" w:cs="Courier New" w:hint="default"/>
      </w:rPr>
    </w:lvl>
    <w:lvl w:ilvl="5" w:tplc="0C090005" w:tentative="1">
      <w:start w:val="1"/>
      <w:numFmt w:val="bullet"/>
      <w:lvlText w:val=""/>
      <w:lvlJc w:val="left"/>
      <w:pPr>
        <w:ind w:left="5929" w:hanging="360"/>
      </w:pPr>
      <w:rPr>
        <w:rFonts w:ascii="Wingdings" w:hAnsi="Wingdings" w:hint="default"/>
      </w:rPr>
    </w:lvl>
    <w:lvl w:ilvl="6" w:tplc="0C090001" w:tentative="1">
      <w:start w:val="1"/>
      <w:numFmt w:val="bullet"/>
      <w:lvlText w:val=""/>
      <w:lvlJc w:val="left"/>
      <w:pPr>
        <w:ind w:left="6649" w:hanging="360"/>
      </w:pPr>
      <w:rPr>
        <w:rFonts w:ascii="Symbol" w:hAnsi="Symbol" w:hint="default"/>
      </w:rPr>
    </w:lvl>
    <w:lvl w:ilvl="7" w:tplc="0C090003" w:tentative="1">
      <w:start w:val="1"/>
      <w:numFmt w:val="bullet"/>
      <w:lvlText w:val="o"/>
      <w:lvlJc w:val="left"/>
      <w:pPr>
        <w:ind w:left="7369" w:hanging="360"/>
      </w:pPr>
      <w:rPr>
        <w:rFonts w:ascii="Courier New" w:hAnsi="Courier New" w:cs="Courier New" w:hint="default"/>
      </w:rPr>
    </w:lvl>
    <w:lvl w:ilvl="8" w:tplc="0C090005" w:tentative="1">
      <w:start w:val="1"/>
      <w:numFmt w:val="bullet"/>
      <w:lvlText w:val=""/>
      <w:lvlJc w:val="left"/>
      <w:pPr>
        <w:ind w:left="8089" w:hanging="360"/>
      </w:pPr>
      <w:rPr>
        <w:rFonts w:ascii="Wingdings" w:hAnsi="Wingdings" w:hint="default"/>
      </w:rPr>
    </w:lvl>
  </w:abstractNum>
  <w:abstractNum w:abstractNumId="26" w15:restartNumberingAfterBreak="0">
    <w:nsid w:val="6C9F6573"/>
    <w:multiLevelType w:val="hybridMultilevel"/>
    <w:tmpl w:val="833CF8B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B512A53"/>
    <w:multiLevelType w:val="multilevel"/>
    <w:tmpl w:val="9FAAEB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7692199">
    <w:abstractNumId w:val="27"/>
  </w:num>
  <w:num w:numId="2" w16cid:durableId="262029396">
    <w:abstractNumId w:val="1"/>
  </w:num>
  <w:num w:numId="3" w16cid:durableId="808790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505560">
    <w:abstractNumId w:val="14"/>
  </w:num>
  <w:num w:numId="5" w16cid:durableId="2023773241">
    <w:abstractNumId w:val="23"/>
  </w:num>
  <w:num w:numId="6" w16cid:durableId="293873756">
    <w:abstractNumId w:val="0"/>
  </w:num>
  <w:num w:numId="7" w16cid:durableId="1824855978">
    <w:abstractNumId w:val="2"/>
  </w:num>
  <w:num w:numId="8" w16cid:durableId="1325814865">
    <w:abstractNumId w:val="9"/>
  </w:num>
  <w:num w:numId="9" w16cid:durableId="1375500501">
    <w:abstractNumId w:val="25"/>
  </w:num>
  <w:num w:numId="10" w16cid:durableId="1984965039">
    <w:abstractNumId w:val="19"/>
  </w:num>
  <w:num w:numId="11" w16cid:durableId="430010474">
    <w:abstractNumId w:val="26"/>
  </w:num>
  <w:num w:numId="12" w16cid:durableId="1814910752">
    <w:abstractNumId w:val="17"/>
  </w:num>
  <w:num w:numId="13" w16cid:durableId="1645619863">
    <w:abstractNumId w:val="13"/>
  </w:num>
  <w:num w:numId="14" w16cid:durableId="2136871683">
    <w:abstractNumId w:val="3"/>
  </w:num>
  <w:num w:numId="15" w16cid:durableId="1097747380">
    <w:abstractNumId w:val="22"/>
  </w:num>
  <w:num w:numId="16" w16cid:durableId="959454455">
    <w:abstractNumId w:val="15"/>
  </w:num>
  <w:num w:numId="17" w16cid:durableId="1318147512">
    <w:abstractNumId w:val="6"/>
  </w:num>
  <w:num w:numId="18" w16cid:durableId="179245116">
    <w:abstractNumId w:val="12"/>
  </w:num>
  <w:num w:numId="19" w16cid:durableId="1313752530">
    <w:abstractNumId w:val="21"/>
  </w:num>
  <w:num w:numId="20" w16cid:durableId="2048019629">
    <w:abstractNumId w:val="4"/>
  </w:num>
  <w:num w:numId="21" w16cid:durableId="81226461">
    <w:abstractNumId w:val="23"/>
  </w:num>
  <w:num w:numId="22" w16cid:durableId="669329498">
    <w:abstractNumId w:val="23"/>
  </w:num>
  <w:num w:numId="23" w16cid:durableId="605311733">
    <w:abstractNumId w:val="24"/>
  </w:num>
  <w:num w:numId="24" w16cid:durableId="482698186">
    <w:abstractNumId w:val="5"/>
  </w:num>
  <w:num w:numId="25" w16cid:durableId="108941191">
    <w:abstractNumId w:val="8"/>
  </w:num>
  <w:num w:numId="26" w16cid:durableId="58482500">
    <w:abstractNumId w:val="16"/>
  </w:num>
  <w:num w:numId="27" w16cid:durableId="1937472871">
    <w:abstractNumId w:val="11"/>
  </w:num>
  <w:num w:numId="28" w16cid:durableId="848325340">
    <w:abstractNumId w:val="20"/>
  </w:num>
  <w:num w:numId="29" w16cid:durableId="1248225599">
    <w:abstractNumId w:val="23"/>
  </w:num>
  <w:num w:numId="30" w16cid:durableId="1022898436">
    <w:abstractNumId w:val="18"/>
  </w:num>
  <w:num w:numId="31" w16cid:durableId="31256705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4"/>
    <w:rsid w:val="00000904"/>
    <w:rsid w:val="00002456"/>
    <w:rsid w:val="000100D2"/>
    <w:rsid w:val="00012A69"/>
    <w:rsid w:val="00033447"/>
    <w:rsid w:val="0004172A"/>
    <w:rsid w:val="000458C7"/>
    <w:rsid w:val="00071198"/>
    <w:rsid w:val="000B7E7B"/>
    <w:rsid w:val="000C15FB"/>
    <w:rsid w:val="000C7B6F"/>
    <w:rsid w:val="000D402C"/>
    <w:rsid w:val="000F21C2"/>
    <w:rsid w:val="0010638B"/>
    <w:rsid w:val="001127C2"/>
    <w:rsid w:val="001155EB"/>
    <w:rsid w:val="00115ACD"/>
    <w:rsid w:val="001230CE"/>
    <w:rsid w:val="001245AA"/>
    <w:rsid w:val="00132DBB"/>
    <w:rsid w:val="00140DA4"/>
    <w:rsid w:val="00141BD0"/>
    <w:rsid w:val="00141E42"/>
    <w:rsid w:val="001504B0"/>
    <w:rsid w:val="00152066"/>
    <w:rsid w:val="00152D5E"/>
    <w:rsid w:val="00161EDF"/>
    <w:rsid w:val="00162B50"/>
    <w:rsid w:val="001764CE"/>
    <w:rsid w:val="001853B3"/>
    <w:rsid w:val="001A50E7"/>
    <w:rsid w:val="001A677B"/>
    <w:rsid w:val="001B6520"/>
    <w:rsid w:val="001E0DC9"/>
    <w:rsid w:val="001F499B"/>
    <w:rsid w:val="00202B3A"/>
    <w:rsid w:val="0021108E"/>
    <w:rsid w:val="00215BD6"/>
    <w:rsid w:val="00221FA3"/>
    <w:rsid w:val="00224981"/>
    <w:rsid w:val="00252E13"/>
    <w:rsid w:val="00272CE7"/>
    <w:rsid w:val="002774BF"/>
    <w:rsid w:val="002826FB"/>
    <w:rsid w:val="00283EE0"/>
    <w:rsid w:val="00287266"/>
    <w:rsid w:val="0029029C"/>
    <w:rsid w:val="0029239C"/>
    <w:rsid w:val="002951E7"/>
    <w:rsid w:val="002A2DE1"/>
    <w:rsid w:val="002A59E1"/>
    <w:rsid w:val="002B3CE1"/>
    <w:rsid w:val="002C7846"/>
    <w:rsid w:val="002D1603"/>
    <w:rsid w:val="002E31A9"/>
    <w:rsid w:val="002F4244"/>
    <w:rsid w:val="002F6370"/>
    <w:rsid w:val="002F6E5A"/>
    <w:rsid w:val="00302352"/>
    <w:rsid w:val="00302B09"/>
    <w:rsid w:val="0031239E"/>
    <w:rsid w:val="00314A6D"/>
    <w:rsid w:val="00321BAC"/>
    <w:rsid w:val="00327284"/>
    <w:rsid w:val="0033506E"/>
    <w:rsid w:val="00335431"/>
    <w:rsid w:val="00340868"/>
    <w:rsid w:val="003449F8"/>
    <w:rsid w:val="00345311"/>
    <w:rsid w:val="00345DF5"/>
    <w:rsid w:val="003500DB"/>
    <w:rsid w:val="003517F3"/>
    <w:rsid w:val="00353E50"/>
    <w:rsid w:val="003716DF"/>
    <w:rsid w:val="0037745C"/>
    <w:rsid w:val="003845D9"/>
    <w:rsid w:val="00390390"/>
    <w:rsid w:val="003964A5"/>
    <w:rsid w:val="00397232"/>
    <w:rsid w:val="003A29DA"/>
    <w:rsid w:val="003A2E5D"/>
    <w:rsid w:val="003A3CF7"/>
    <w:rsid w:val="003A6D9E"/>
    <w:rsid w:val="003A7DC3"/>
    <w:rsid w:val="003B0384"/>
    <w:rsid w:val="003B2F7D"/>
    <w:rsid w:val="003B3C46"/>
    <w:rsid w:val="003C4C1C"/>
    <w:rsid w:val="003C5E5F"/>
    <w:rsid w:val="003C6EB2"/>
    <w:rsid w:val="003F5C7D"/>
    <w:rsid w:val="00402430"/>
    <w:rsid w:val="00405E0B"/>
    <w:rsid w:val="00407CE2"/>
    <w:rsid w:val="00407EE1"/>
    <w:rsid w:val="004135BE"/>
    <w:rsid w:val="0041603D"/>
    <w:rsid w:val="004175E0"/>
    <w:rsid w:val="00425558"/>
    <w:rsid w:val="004404BE"/>
    <w:rsid w:val="00461C8B"/>
    <w:rsid w:val="0046695A"/>
    <w:rsid w:val="00471864"/>
    <w:rsid w:val="004740A6"/>
    <w:rsid w:val="00484860"/>
    <w:rsid w:val="004930C9"/>
    <w:rsid w:val="004A0BDE"/>
    <w:rsid w:val="004A0E69"/>
    <w:rsid w:val="004B121B"/>
    <w:rsid w:val="004B2F47"/>
    <w:rsid w:val="004B64FC"/>
    <w:rsid w:val="004C28FE"/>
    <w:rsid w:val="004D108E"/>
    <w:rsid w:val="004D1932"/>
    <w:rsid w:val="004E2B2A"/>
    <w:rsid w:val="00500EAE"/>
    <w:rsid w:val="005020AB"/>
    <w:rsid w:val="00510017"/>
    <w:rsid w:val="00510235"/>
    <w:rsid w:val="005167F7"/>
    <w:rsid w:val="00516FDD"/>
    <w:rsid w:val="005171A6"/>
    <w:rsid w:val="00520A8D"/>
    <w:rsid w:val="00522D99"/>
    <w:rsid w:val="00532730"/>
    <w:rsid w:val="005359F3"/>
    <w:rsid w:val="00537C32"/>
    <w:rsid w:val="005426D4"/>
    <w:rsid w:val="005506B4"/>
    <w:rsid w:val="00552D95"/>
    <w:rsid w:val="00562826"/>
    <w:rsid w:val="00563752"/>
    <w:rsid w:val="0057029F"/>
    <w:rsid w:val="00573738"/>
    <w:rsid w:val="00582DD2"/>
    <w:rsid w:val="00586F66"/>
    <w:rsid w:val="005A4376"/>
    <w:rsid w:val="005A6F4E"/>
    <w:rsid w:val="005A794E"/>
    <w:rsid w:val="005C4C28"/>
    <w:rsid w:val="005C66A8"/>
    <w:rsid w:val="005D0306"/>
    <w:rsid w:val="005D2BB7"/>
    <w:rsid w:val="005D504A"/>
    <w:rsid w:val="005E011D"/>
    <w:rsid w:val="005E33B4"/>
    <w:rsid w:val="005F51C6"/>
    <w:rsid w:val="005F5687"/>
    <w:rsid w:val="005F70A8"/>
    <w:rsid w:val="00610DF9"/>
    <w:rsid w:val="00615102"/>
    <w:rsid w:val="00620BBF"/>
    <w:rsid w:val="00622D3C"/>
    <w:rsid w:val="006268DA"/>
    <w:rsid w:val="00634821"/>
    <w:rsid w:val="00634849"/>
    <w:rsid w:val="00641860"/>
    <w:rsid w:val="0067063B"/>
    <w:rsid w:val="006711CF"/>
    <w:rsid w:val="00685F05"/>
    <w:rsid w:val="00686CE7"/>
    <w:rsid w:val="006A5E20"/>
    <w:rsid w:val="006A72B6"/>
    <w:rsid w:val="006C1579"/>
    <w:rsid w:val="006D4A33"/>
    <w:rsid w:val="006F301F"/>
    <w:rsid w:val="006F3F09"/>
    <w:rsid w:val="006F6F46"/>
    <w:rsid w:val="00707A71"/>
    <w:rsid w:val="007101C2"/>
    <w:rsid w:val="007104EA"/>
    <w:rsid w:val="007122C1"/>
    <w:rsid w:val="00721895"/>
    <w:rsid w:val="00725E8F"/>
    <w:rsid w:val="0073253B"/>
    <w:rsid w:val="00737195"/>
    <w:rsid w:val="00737D4C"/>
    <w:rsid w:val="00741C56"/>
    <w:rsid w:val="0076023F"/>
    <w:rsid w:val="00767337"/>
    <w:rsid w:val="00780A2D"/>
    <w:rsid w:val="00782A7B"/>
    <w:rsid w:val="00783EF0"/>
    <w:rsid w:val="00791154"/>
    <w:rsid w:val="0079770F"/>
    <w:rsid w:val="007A074E"/>
    <w:rsid w:val="007A4B84"/>
    <w:rsid w:val="007A55E0"/>
    <w:rsid w:val="007B2D71"/>
    <w:rsid w:val="007B3718"/>
    <w:rsid w:val="007B5C20"/>
    <w:rsid w:val="007C4FCB"/>
    <w:rsid w:val="007C5C3D"/>
    <w:rsid w:val="007C7256"/>
    <w:rsid w:val="007D1D59"/>
    <w:rsid w:val="007D6976"/>
    <w:rsid w:val="007D6F72"/>
    <w:rsid w:val="007E7ADC"/>
    <w:rsid w:val="008023EA"/>
    <w:rsid w:val="008027A9"/>
    <w:rsid w:val="00803CCC"/>
    <w:rsid w:val="00804E3A"/>
    <w:rsid w:val="00820911"/>
    <w:rsid w:val="00820C1B"/>
    <w:rsid w:val="00822096"/>
    <w:rsid w:val="0082259A"/>
    <w:rsid w:val="00834907"/>
    <w:rsid w:val="00840B46"/>
    <w:rsid w:val="008440A2"/>
    <w:rsid w:val="008501F8"/>
    <w:rsid w:val="00851352"/>
    <w:rsid w:val="00853BE2"/>
    <w:rsid w:val="00856433"/>
    <w:rsid w:val="00865278"/>
    <w:rsid w:val="00867C16"/>
    <w:rsid w:val="00881556"/>
    <w:rsid w:val="00882AB2"/>
    <w:rsid w:val="00883B30"/>
    <w:rsid w:val="00884AE1"/>
    <w:rsid w:val="00887315"/>
    <w:rsid w:val="00892211"/>
    <w:rsid w:val="00894895"/>
    <w:rsid w:val="00895845"/>
    <w:rsid w:val="00895F9F"/>
    <w:rsid w:val="008A2CFA"/>
    <w:rsid w:val="008A36D1"/>
    <w:rsid w:val="008B3ABC"/>
    <w:rsid w:val="008C07D5"/>
    <w:rsid w:val="008C1D7D"/>
    <w:rsid w:val="008D7964"/>
    <w:rsid w:val="008E2F14"/>
    <w:rsid w:val="008E7151"/>
    <w:rsid w:val="008F18E1"/>
    <w:rsid w:val="008F2A03"/>
    <w:rsid w:val="00900F6A"/>
    <w:rsid w:val="009040AE"/>
    <w:rsid w:val="009227D3"/>
    <w:rsid w:val="00925989"/>
    <w:rsid w:val="009261FB"/>
    <w:rsid w:val="00930D8D"/>
    <w:rsid w:val="009326FC"/>
    <w:rsid w:val="00936397"/>
    <w:rsid w:val="00943C80"/>
    <w:rsid w:val="00947E61"/>
    <w:rsid w:val="00951D8F"/>
    <w:rsid w:val="0095393D"/>
    <w:rsid w:val="009545D4"/>
    <w:rsid w:val="00963282"/>
    <w:rsid w:val="00970387"/>
    <w:rsid w:val="00974E7D"/>
    <w:rsid w:val="00980EDD"/>
    <w:rsid w:val="009839B3"/>
    <w:rsid w:val="009A1FBC"/>
    <w:rsid w:val="009B765D"/>
    <w:rsid w:val="009C50FE"/>
    <w:rsid w:val="009C60E4"/>
    <w:rsid w:val="009E4E29"/>
    <w:rsid w:val="00A042B5"/>
    <w:rsid w:val="00A14F8C"/>
    <w:rsid w:val="00A30F3D"/>
    <w:rsid w:val="00A373D9"/>
    <w:rsid w:val="00A4017C"/>
    <w:rsid w:val="00A45911"/>
    <w:rsid w:val="00A6733D"/>
    <w:rsid w:val="00A81503"/>
    <w:rsid w:val="00A83F24"/>
    <w:rsid w:val="00A93ED3"/>
    <w:rsid w:val="00A95B39"/>
    <w:rsid w:val="00AB0381"/>
    <w:rsid w:val="00AB4372"/>
    <w:rsid w:val="00AC0BF3"/>
    <w:rsid w:val="00AC365D"/>
    <w:rsid w:val="00B00C75"/>
    <w:rsid w:val="00B030ED"/>
    <w:rsid w:val="00B0453C"/>
    <w:rsid w:val="00B078CC"/>
    <w:rsid w:val="00B13060"/>
    <w:rsid w:val="00B14115"/>
    <w:rsid w:val="00B17EA3"/>
    <w:rsid w:val="00B41869"/>
    <w:rsid w:val="00B41A8F"/>
    <w:rsid w:val="00B52186"/>
    <w:rsid w:val="00B5255E"/>
    <w:rsid w:val="00B73389"/>
    <w:rsid w:val="00B7721B"/>
    <w:rsid w:val="00B83FE7"/>
    <w:rsid w:val="00B84A5B"/>
    <w:rsid w:val="00B90283"/>
    <w:rsid w:val="00BA3A18"/>
    <w:rsid w:val="00BA3E87"/>
    <w:rsid w:val="00BD0E7C"/>
    <w:rsid w:val="00BD7AAD"/>
    <w:rsid w:val="00BF5695"/>
    <w:rsid w:val="00C067A2"/>
    <w:rsid w:val="00C20E16"/>
    <w:rsid w:val="00C20E72"/>
    <w:rsid w:val="00C33122"/>
    <w:rsid w:val="00C402F7"/>
    <w:rsid w:val="00C40A3A"/>
    <w:rsid w:val="00C446AD"/>
    <w:rsid w:val="00C4585B"/>
    <w:rsid w:val="00C46EA3"/>
    <w:rsid w:val="00C61282"/>
    <w:rsid w:val="00C618E2"/>
    <w:rsid w:val="00C61BAE"/>
    <w:rsid w:val="00C629AB"/>
    <w:rsid w:val="00C64BD0"/>
    <w:rsid w:val="00C81049"/>
    <w:rsid w:val="00C82283"/>
    <w:rsid w:val="00C82B1C"/>
    <w:rsid w:val="00C84375"/>
    <w:rsid w:val="00C84F2C"/>
    <w:rsid w:val="00C869EA"/>
    <w:rsid w:val="00C86F53"/>
    <w:rsid w:val="00C9322B"/>
    <w:rsid w:val="00C95B2E"/>
    <w:rsid w:val="00C97747"/>
    <w:rsid w:val="00CA16DE"/>
    <w:rsid w:val="00CA5293"/>
    <w:rsid w:val="00CA573D"/>
    <w:rsid w:val="00CA6FE9"/>
    <w:rsid w:val="00CC5BE5"/>
    <w:rsid w:val="00CD0771"/>
    <w:rsid w:val="00CD0D17"/>
    <w:rsid w:val="00CD35DF"/>
    <w:rsid w:val="00CD581E"/>
    <w:rsid w:val="00CE129E"/>
    <w:rsid w:val="00CE196C"/>
    <w:rsid w:val="00CF03FA"/>
    <w:rsid w:val="00CF3FF5"/>
    <w:rsid w:val="00D060AE"/>
    <w:rsid w:val="00D07C57"/>
    <w:rsid w:val="00D1200C"/>
    <w:rsid w:val="00D124A1"/>
    <w:rsid w:val="00D16BFE"/>
    <w:rsid w:val="00D305B2"/>
    <w:rsid w:val="00D4683E"/>
    <w:rsid w:val="00D46A38"/>
    <w:rsid w:val="00D5452A"/>
    <w:rsid w:val="00D6123C"/>
    <w:rsid w:val="00D81D9F"/>
    <w:rsid w:val="00D94114"/>
    <w:rsid w:val="00D9493E"/>
    <w:rsid w:val="00D95E71"/>
    <w:rsid w:val="00DB6273"/>
    <w:rsid w:val="00DC4D38"/>
    <w:rsid w:val="00DF496E"/>
    <w:rsid w:val="00E01795"/>
    <w:rsid w:val="00E05ADD"/>
    <w:rsid w:val="00E14FAF"/>
    <w:rsid w:val="00E152FC"/>
    <w:rsid w:val="00E16987"/>
    <w:rsid w:val="00E17860"/>
    <w:rsid w:val="00E17BC8"/>
    <w:rsid w:val="00E23FB7"/>
    <w:rsid w:val="00E26F08"/>
    <w:rsid w:val="00E3576D"/>
    <w:rsid w:val="00E4484A"/>
    <w:rsid w:val="00E51219"/>
    <w:rsid w:val="00E62838"/>
    <w:rsid w:val="00E62FBC"/>
    <w:rsid w:val="00E74C35"/>
    <w:rsid w:val="00E76F61"/>
    <w:rsid w:val="00E855CB"/>
    <w:rsid w:val="00E9504E"/>
    <w:rsid w:val="00EA4019"/>
    <w:rsid w:val="00EB09A1"/>
    <w:rsid w:val="00EB7FD8"/>
    <w:rsid w:val="00EC08D9"/>
    <w:rsid w:val="00ED0F79"/>
    <w:rsid w:val="00EE72AD"/>
    <w:rsid w:val="00EF27A8"/>
    <w:rsid w:val="00EF4141"/>
    <w:rsid w:val="00F14697"/>
    <w:rsid w:val="00F33843"/>
    <w:rsid w:val="00F33976"/>
    <w:rsid w:val="00F35DEF"/>
    <w:rsid w:val="00F47FCC"/>
    <w:rsid w:val="00F622EA"/>
    <w:rsid w:val="00F64FF8"/>
    <w:rsid w:val="00F744B4"/>
    <w:rsid w:val="00F81FF3"/>
    <w:rsid w:val="00F85168"/>
    <w:rsid w:val="00FB2C79"/>
    <w:rsid w:val="00FB6330"/>
    <w:rsid w:val="00FC5257"/>
    <w:rsid w:val="00FD22D4"/>
    <w:rsid w:val="00FD74C3"/>
    <w:rsid w:val="00FF0408"/>
    <w:rsid w:val="00FF23D8"/>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9A24DFD"/>
  <w15:docId w15:val="{781D2A9C-C1AA-4882-B408-11A166C6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uiPriority w:val="9"/>
    <w:qFormat/>
    <w:rsid w:val="003517F3"/>
    <w:pPr>
      <w:keepNext/>
      <w:numPr>
        <w:numId w:val="3"/>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uiPriority w:val="9"/>
    <w:unhideWhenUsed/>
    <w:qFormat/>
    <w:rsid w:val="003517F3"/>
    <w:pPr>
      <w:keepNext/>
      <w:numPr>
        <w:ilvl w:val="2"/>
        <w:numId w:val="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iPriority w:val="9"/>
    <w:unhideWhenUsed/>
    <w:qFormat/>
    <w:rsid w:val="003517F3"/>
    <w:pPr>
      <w:keepNext/>
      <w:numPr>
        <w:ilvl w:val="3"/>
        <w:numId w:val="3"/>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1 Recommendation"/>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uiPriority w:val="9"/>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uiPriority w:val="9"/>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uiPriority w:val="9"/>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5"/>
      </w:numPr>
      <w:spacing w:before="60" w:after="0"/>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268DA"/>
    <w:pPr>
      <w:numPr>
        <w:ilvl w:val="1"/>
        <w:numId w:val="5"/>
      </w:numPr>
      <w:spacing w:before="60" w:after="0"/>
      <w:contextualSpacing w:val="0"/>
    </w:pPr>
    <w:rPr>
      <w:rFonts w:cs="Arial"/>
    </w:rPr>
  </w:style>
  <w:style w:type="character" w:customStyle="1" w:styleId="ListParagraphChar">
    <w:name w:val="List Paragraph Char"/>
    <w:aliases w:val="List Paragraph1 Char,Recommendation Char,List Paragraph11 Char,1 Recommendation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2"/>
      </w:numPr>
      <w:spacing w:before="60" w:after="0"/>
      <w:contextualSpacing w:val="0"/>
    </w:pPr>
    <w:rPr>
      <w:rFonts w:cs="Arial"/>
    </w:rPr>
  </w:style>
  <w:style w:type="character" w:customStyle="1" w:styleId="Indenttext1Char">
    <w:name w:val="Indent text 1 Char"/>
    <w:basedOn w:val="ListParagraphChar"/>
    <w:link w:val="Indenttext1"/>
    <w:rsid w:val="006268DA"/>
    <w:rPr>
      <w:rFonts w:cs="Arial"/>
    </w:rPr>
  </w:style>
  <w:style w:type="paragraph" w:customStyle="1" w:styleId="RelatedDocuments">
    <w:name w:val="Related Documents"/>
    <w:basedOn w:val="ListParagraph"/>
    <w:link w:val="RelatedDocumentsChar"/>
    <w:qFormat/>
    <w:rsid w:val="007D6976"/>
    <w:pPr>
      <w:numPr>
        <w:numId w:val="4"/>
      </w:numPr>
      <w:ind w:left="567" w:hanging="567"/>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E16987"/>
    <w:pPr>
      <w:spacing w:after="0" w:line="240" w:lineRule="auto"/>
    </w:pPr>
  </w:style>
  <w:style w:type="paragraph" w:customStyle="1" w:styleId="Billname">
    <w:name w:val="Billname"/>
    <w:basedOn w:val="Normal"/>
    <w:rsid w:val="003500DB"/>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madeunder">
    <w:name w:val="made under"/>
    <w:basedOn w:val="Normal"/>
    <w:rsid w:val="003500DB"/>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3500DB"/>
    <w:pPr>
      <w:tabs>
        <w:tab w:val="left" w:pos="2600"/>
      </w:tabs>
      <w:spacing w:before="200" w:after="60" w:line="240" w:lineRule="auto"/>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3939</Words>
  <Characters>21277</Characters>
  <Application>Microsoft Office Word</Application>
  <DocSecurity>0</DocSecurity>
  <Lines>415</Lines>
  <Paragraphs>168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 Tim</dc:creator>
  <cp:keywords/>
  <dc:description/>
  <cp:lastModifiedBy>PCODCS</cp:lastModifiedBy>
  <cp:revision>4</cp:revision>
  <cp:lastPrinted>2023-09-20T23:22:00Z</cp:lastPrinted>
  <dcterms:created xsi:type="dcterms:W3CDTF">2023-09-29T06:32:00Z</dcterms:created>
  <dcterms:modified xsi:type="dcterms:W3CDTF">2023-09-29T06:32:00Z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2023-08-18T05:34:39Z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05388aa0-99c2-4de4-8478-dcc20f2ba917</vt:lpwstr>
  </property>
  <property fmtid="{D5CDD505-2E9C-101B-9397-08002B2CF9AE}" pid="8" name="MSIP_Label_690d47f2-2d0a-4515-b8de-e13c18f23c62_ContentBits">
    <vt:lpwstr>1</vt:lpwstr>
  </property>
</Properties>
</file>