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C4A73" w14:textId="77777777" w:rsidR="000B6B95" w:rsidRPr="000B6B95" w:rsidRDefault="000B6B95" w:rsidP="000B6B95">
      <w:pPr>
        <w:spacing w:before="120" w:after="0" w:line="240" w:lineRule="auto"/>
        <w:rPr>
          <w:rFonts w:ascii="Arial" w:eastAsia="Times New Roman" w:hAnsi="Arial" w:cs="Arial"/>
          <w:sz w:val="24"/>
          <w:szCs w:val="20"/>
        </w:rPr>
      </w:pPr>
      <w:bookmarkStart w:id="0" w:name="_Toc44738651"/>
      <w:r w:rsidRPr="000B6B95">
        <w:rPr>
          <w:rFonts w:ascii="Arial" w:eastAsia="Times New Roman" w:hAnsi="Arial" w:cs="Arial"/>
          <w:sz w:val="24"/>
          <w:szCs w:val="20"/>
        </w:rPr>
        <w:t>Australian Capital Territory</w:t>
      </w:r>
    </w:p>
    <w:p w14:paraId="1EC10242" w14:textId="77777777" w:rsidR="000B6B95" w:rsidRPr="000B6B95" w:rsidRDefault="000B6B95" w:rsidP="000B6B95">
      <w:pPr>
        <w:tabs>
          <w:tab w:val="left" w:pos="2400"/>
          <w:tab w:val="left" w:pos="2880"/>
        </w:tabs>
        <w:spacing w:before="700" w:after="100" w:line="240" w:lineRule="auto"/>
        <w:ind w:right="-907"/>
        <w:rPr>
          <w:rFonts w:ascii="Arial" w:eastAsia="Times New Roman" w:hAnsi="Arial" w:cs="Times New Roman"/>
          <w:b/>
          <w:sz w:val="40"/>
          <w:szCs w:val="20"/>
        </w:rPr>
      </w:pPr>
      <w:r w:rsidRPr="000B6B95">
        <w:rPr>
          <w:rFonts w:ascii="Arial" w:eastAsia="Times New Roman" w:hAnsi="Arial" w:cs="Times New Roman"/>
          <w:b/>
          <w:sz w:val="40"/>
          <w:szCs w:val="20"/>
        </w:rPr>
        <w:t>Freedom of Information (Volume 4 - Considering the public interest) Guidelines 2023</w:t>
      </w:r>
    </w:p>
    <w:p w14:paraId="6D8067B4" w14:textId="77777777" w:rsidR="000B6B95" w:rsidRPr="000B6B95" w:rsidRDefault="000B6B95" w:rsidP="000B6B95">
      <w:pPr>
        <w:spacing w:before="340" w:after="0" w:line="240" w:lineRule="auto"/>
        <w:rPr>
          <w:rFonts w:ascii="Arial" w:eastAsia="Times New Roman" w:hAnsi="Arial" w:cs="Arial"/>
          <w:b/>
          <w:bCs/>
          <w:sz w:val="24"/>
          <w:szCs w:val="20"/>
        </w:rPr>
      </w:pPr>
      <w:r w:rsidRPr="000B6B95">
        <w:rPr>
          <w:rFonts w:ascii="Arial" w:eastAsia="Times New Roman" w:hAnsi="Arial" w:cs="Arial"/>
          <w:b/>
          <w:bCs/>
          <w:sz w:val="24"/>
          <w:szCs w:val="20"/>
        </w:rPr>
        <w:t>Notifiable instrument NI2023-751</w:t>
      </w:r>
    </w:p>
    <w:p w14:paraId="72175A66" w14:textId="77777777" w:rsidR="000B6B95" w:rsidRPr="000B6B95" w:rsidRDefault="000B6B95" w:rsidP="000B6B95">
      <w:pPr>
        <w:spacing w:before="300" w:after="0" w:line="240" w:lineRule="auto"/>
        <w:jc w:val="both"/>
        <w:rPr>
          <w:rFonts w:ascii="Times New Roman" w:eastAsia="Times New Roman" w:hAnsi="Times New Roman" w:cs="Times New Roman"/>
          <w:sz w:val="24"/>
          <w:szCs w:val="20"/>
        </w:rPr>
      </w:pPr>
      <w:r w:rsidRPr="000B6B95">
        <w:rPr>
          <w:rFonts w:ascii="Times New Roman" w:eastAsia="Times New Roman" w:hAnsi="Times New Roman" w:cs="Times New Roman"/>
          <w:sz w:val="24"/>
          <w:szCs w:val="20"/>
        </w:rPr>
        <w:t xml:space="preserve">made under the  </w:t>
      </w:r>
    </w:p>
    <w:p w14:paraId="04F3FE8F" w14:textId="77777777" w:rsidR="000B6B95" w:rsidRPr="000B6B95" w:rsidRDefault="000B6B95" w:rsidP="000B6B95">
      <w:pPr>
        <w:tabs>
          <w:tab w:val="left" w:pos="2600"/>
        </w:tabs>
        <w:spacing w:before="320" w:after="0" w:line="240" w:lineRule="auto"/>
        <w:jc w:val="both"/>
        <w:rPr>
          <w:rFonts w:ascii="Arial" w:eastAsia="Times New Roman" w:hAnsi="Arial" w:cs="Times New Roman"/>
          <w:b/>
          <w:sz w:val="20"/>
          <w:szCs w:val="20"/>
        </w:rPr>
      </w:pPr>
      <w:r w:rsidRPr="000B6B95">
        <w:rPr>
          <w:rFonts w:ascii="Arial" w:eastAsia="Times New Roman" w:hAnsi="Arial" w:cs="Times New Roman"/>
          <w:b/>
          <w:i/>
          <w:iCs/>
          <w:sz w:val="20"/>
          <w:szCs w:val="20"/>
        </w:rPr>
        <w:t>Freedom of Information Act 2016</w:t>
      </w:r>
      <w:r w:rsidRPr="000B6B95">
        <w:rPr>
          <w:rFonts w:ascii="Arial" w:eastAsia="Times New Roman" w:hAnsi="Arial" w:cs="Times New Roman"/>
          <w:b/>
          <w:sz w:val="20"/>
          <w:szCs w:val="20"/>
        </w:rPr>
        <w:t>, s 66 (Guidelines for Act)</w:t>
      </w:r>
    </w:p>
    <w:p w14:paraId="1F795F09" w14:textId="77777777" w:rsidR="000B6B95" w:rsidRPr="000B6B95" w:rsidRDefault="000B6B95" w:rsidP="000B6B95">
      <w:pPr>
        <w:spacing w:before="60" w:after="0" w:line="240" w:lineRule="auto"/>
        <w:jc w:val="both"/>
        <w:rPr>
          <w:rFonts w:ascii="Times New Roman" w:eastAsia="Times New Roman" w:hAnsi="Times New Roman" w:cs="Times New Roman"/>
          <w:sz w:val="24"/>
          <w:szCs w:val="20"/>
        </w:rPr>
      </w:pPr>
    </w:p>
    <w:p w14:paraId="0E3FA0C2" w14:textId="77777777" w:rsidR="000B6B95" w:rsidRPr="000B6B95" w:rsidRDefault="000B6B95" w:rsidP="000B6B95">
      <w:pPr>
        <w:pBdr>
          <w:top w:val="single" w:sz="12" w:space="1" w:color="auto"/>
        </w:pBdr>
        <w:spacing w:after="0" w:line="240" w:lineRule="auto"/>
        <w:jc w:val="both"/>
        <w:rPr>
          <w:rFonts w:ascii="Times New Roman" w:eastAsia="Times New Roman" w:hAnsi="Times New Roman" w:cs="Times New Roman"/>
          <w:sz w:val="24"/>
          <w:szCs w:val="20"/>
        </w:rPr>
      </w:pPr>
    </w:p>
    <w:p w14:paraId="3A06E6B4" w14:textId="77777777" w:rsidR="000B6B95" w:rsidRPr="000B6B95" w:rsidRDefault="000B6B95" w:rsidP="000B6B95">
      <w:pPr>
        <w:spacing w:before="60" w:after="60" w:line="240" w:lineRule="auto"/>
        <w:ind w:left="720" w:hanging="720"/>
        <w:rPr>
          <w:rFonts w:ascii="Arial" w:eastAsia="Times New Roman" w:hAnsi="Arial" w:cs="Arial"/>
          <w:b/>
          <w:bCs/>
          <w:sz w:val="24"/>
          <w:szCs w:val="20"/>
        </w:rPr>
      </w:pPr>
      <w:r w:rsidRPr="000B6B95">
        <w:rPr>
          <w:rFonts w:ascii="Arial" w:eastAsia="Times New Roman" w:hAnsi="Arial" w:cs="Arial"/>
          <w:b/>
          <w:bCs/>
          <w:sz w:val="24"/>
          <w:szCs w:val="20"/>
        </w:rPr>
        <w:t>1</w:t>
      </w:r>
      <w:r w:rsidRPr="000B6B95">
        <w:rPr>
          <w:rFonts w:ascii="Arial" w:eastAsia="Times New Roman" w:hAnsi="Arial" w:cs="Arial"/>
          <w:b/>
          <w:bCs/>
          <w:sz w:val="24"/>
          <w:szCs w:val="20"/>
        </w:rPr>
        <w:tab/>
        <w:t>Name of instrument</w:t>
      </w:r>
    </w:p>
    <w:p w14:paraId="35CD5205" w14:textId="77777777" w:rsidR="000B6B95" w:rsidRPr="000B6B95" w:rsidRDefault="000B6B95" w:rsidP="000B6B95">
      <w:pPr>
        <w:spacing w:before="140" w:after="0" w:line="240" w:lineRule="auto"/>
        <w:ind w:left="720"/>
        <w:rPr>
          <w:rFonts w:ascii="Times New Roman" w:eastAsia="Times New Roman" w:hAnsi="Times New Roman" w:cs="Times New Roman"/>
          <w:i/>
          <w:iCs/>
          <w:sz w:val="24"/>
          <w:szCs w:val="20"/>
        </w:rPr>
      </w:pPr>
      <w:r w:rsidRPr="000B6B95">
        <w:rPr>
          <w:rFonts w:ascii="Times New Roman" w:eastAsia="Times New Roman" w:hAnsi="Times New Roman" w:cs="Times New Roman"/>
          <w:sz w:val="24"/>
          <w:szCs w:val="20"/>
        </w:rPr>
        <w:t xml:space="preserve">This instrument is the </w:t>
      </w:r>
      <w:r w:rsidRPr="000B6B95">
        <w:rPr>
          <w:rFonts w:ascii="Times New Roman" w:eastAsia="Times New Roman" w:hAnsi="Times New Roman" w:cs="Times New Roman"/>
          <w:i/>
          <w:iCs/>
          <w:sz w:val="24"/>
          <w:szCs w:val="20"/>
        </w:rPr>
        <w:t>Freedom of Information (Volume 4 - Considering the public interest) Guidelines 2023.</w:t>
      </w:r>
    </w:p>
    <w:p w14:paraId="20D0605C" w14:textId="77777777" w:rsidR="000B6B95" w:rsidRPr="000B6B95" w:rsidRDefault="000B6B95" w:rsidP="000B6B95">
      <w:pPr>
        <w:spacing w:before="300" w:after="0" w:line="240" w:lineRule="auto"/>
        <w:ind w:left="720" w:hanging="720"/>
        <w:rPr>
          <w:rFonts w:ascii="Arial" w:eastAsia="Times New Roman" w:hAnsi="Arial" w:cs="Arial"/>
          <w:b/>
          <w:bCs/>
          <w:sz w:val="24"/>
          <w:szCs w:val="20"/>
        </w:rPr>
      </w:pPr>
      <w:r w:rsidRPr="000B6B95">
        <w:rPr>
          <w:rFonts w:ascii="Arial" w:eastAsia="Times New Roman" w:hAnsi="Arial" w:cs="Arial"/>
          <w:b/>
          <w:bCs/>
          <w:sz w:val="24"/>
          <w:szCs w:val="20"/>
        </w:rPr>
        <w:t>2</w:t>
      </w:r>
      <w:r w:rsidRPr="000B6B95">
        <w:rPr>
          <w:rFonts w:ascii="Arial" w:eastAsia="Times New Roman" w:hAnsi="Arial" w:cs="Arial"/>
          <w:b/>
          <w:bCs/>
          <w:sz w:val="24"/>
          <w:szCs w:val="20"/>
        </w:rPr>
        <w:tab/>
        <w:t xml:space="preserve">Commencement </w:t>
      </w:r>
    </w:p>
    <w:p w14:paraId="750D7B64" w14:textId="77777777" w:rsidR="000B6B95" w:rsidRPr="000B6B95" w:rsidRDefault="000B6B95" w:rsidP="000B6B95">
      <w:pPr>
        <w:spacing w:before="140" w:after="0" w:line="240" w:lineRule="auto"/>
        <w:ind w:left="720"/>
        <w:rPr>
          <w:rFonts w:ascii="Times New Roman" w:eastAsia="Times New Roman" w:hAnsi="Times New Roman" w:cs="Times New Roman"/>
          <w:sz w:val="24"/>
          <w:szCs w:val="20"/>
        </w:rPr>
      </w:pPr>
      <w:r w:rsidRPr="000B6B95">
        <w:rPr>
          <w:rFonts w:ascii="Times New Roman" w:eastAsia="Times New Roman" w:hAnsi="Times New Roman" w:cs="Times New Roman"/>
          <w:sz w:val="24"/>
          <w:szCs w:val="20"/>
        </w:rPr>
        <w:t xml:space="preserve">This instrument commences on the day after notification.  </w:t>
      </w:r>
    </w:p>
    <w:p w14:paraId="2143A098" w14:textId="77777777" w:rsidR="000B6B95" w:rsidRPr="000B6B95" w:rsidRDefault="000B6B95" w:rsidP="000B6B95">
      <w:pPr>
        <w:spacing w:before="300" w:after="0" w:line="240" w:lineRule="auto"/>
        <w:ind w:left="720" w:hanging="720"/>
        <w:rPr>
          <w:rFonts w:ascii="Arial" w:eastAsia="Times New Roman" w:hAnsi="Arial" w:cs="Arial"/>
          <w:b/>
          <w:bCs/>
          <w:sz w:val="24"/>
          <w:szCs w:val="20"/>
        </w:rPr>
      </w:pPr>
      <w:r w:rsidRPr="000B6B95">
        <w:rPr>
          <w:rFonts w:ascii="Arial" w:eastAsia="Times New Roman" w:hAnsi="Arial" w:cs="Arial"/>
          <w:b/>
          <w:bCs/>
          <w:sz w:val="24"/>
          <w:szCs w:val="20"/>
        </w:rPr>
        <w:t>3</w:t>
      </w:r>
      <w:r w:rsidRPr="000B6B95">
        <w:rPr>
          <w:rFonts w:ascii="Arial" w:eastAsia="Times New Roman" w:hAnsi="Arial" w:cs="Arial"/>
          <w:b/>
          <w:bCs/>
          <w:sz w:val="24"/>
          <w:szCs w:val="20"/>
        </w:rPr>
        <w:tab/>
        <w:t xml:space="preserve">Guidance material </w:t>
      </w:r>
    </w:p>
    <w:p w14:paraId="3A74A509" w14:textId="77777777" w:rsidR="000B6B95" w:rsidRPr="000B6B95" w:rsidRDefault="000B6B95" w:rsidP="000B6B95">
      <w:pPr>
        <w:spacing w:before="140" w:after="0" w:line="240" w:lineRule="auto"/>
        <w:ind w:left="720"/>
        <w:rPr>
          <w:rFonts w:ascii="Times New Roman" w:eastAsia="Times New Roman" w:hAnsi="Times New Roman" w:cs="Times New Roman"/>
          <w:sz w:val="24"/>
          <w:szCs w:val="20"/>
        </w:rPr>
      </w:pPr>
      <w:r w:rsidRPr="000B6B95">
        <w:rPr>
          <w:rFonts w:ascii="Times New Roman" w:eastAsia="Times New Roman" w:hAnsi="Times New Roman" w:cs="Times New Roman"/>
          <w:sz w:val="24"/>
          <w:szCs w:val="20"/>
        </w:rPr>
        <w:t xml:space="preserve">I make the guidelines for the </w:t>
      </w:r>
      <w:r w:rsidRPr="000B6B95">
        <w:rPr>
          <w:rFonts w:ascii="Times New Roman" w:eastAsia="Times New Roman" w:hAnsi="Times New Roman" w:cs="Times New Roman"/>
          <w:i/>
          <w:sz w:val="24"/>
          <w:szCs w:val="20"/>
        </w:rPr>
        <w:t>Freedom of Information Act 2016</w:t>
      </w:r>
      <w:r w:rsidRPr="000B6B95">
        <w:rPr>
          <w:rFonts w:ascii="Times New Roman" w:eastAsia="Times New Roman" w:hAnsi="Times New Roman" w:cs="Times New Roman"/>
          <w:sz w:val="24"/>
          <w:szCs w:val="20"/>
        </w:rPr>
        <w:t xml:space="preserve"> as set out in schedule 1 to this instrument.</w:t>
      </w:r>
    </w:p>
    <w:p w14:paraId="27EC1E7E" w14:textId="77777777" w:rsidR="000B6B95" w:rsidRPr="000B6B95" w:rsidRDefault="000B6B95" w:rsidP="000B6B95">
      <w:pPr>
        <w:spacing w:before="300" w:after="0" w:line="240" w:lineRule="auto"/>
        <w:ind w:left="720" w:hanging="720"/>
        <w:rPr>
          <w:rFonts w:ascii="Arial" w:eastAsia="Times New Roman" w:hAnsi="Arial" w:cs="Arial"/>
          <w:b/>
          <w:bCs/>
          <w:sz w:val="24"/>
          <w:szCs w:val="20"/>
        </w:rPr>
      </w:pPr>
      <w:r w:rsidRPr="000B6B95">
        <w:rPr>
          <w:rFonts w:ascii="Arial" w:eastAsia="Times New Roman" w:hAnsi="Arial" w:cs="Arial"/>
          <w:b/>
          <w:bCs/>
          <w:sz w:val="24"/>
          <w:szCs w:val="20"/>
        </w:rPr>
        <w:t>4</w:t>
      </w:r>
      <w:r w:rsidRPr="000B6B95">
        <w:rPr>
          <w:rFonts w:ascii="Arial" w:eastAsia="Times New Roman" w:hAnsi="Arial" w:cs="Arial"/>
          <w:b/>
          <w:bCs/>
          <w:sz w:val="24"/>
          <w:szCs w:val="20"/>
        </w:rPr>
        <w:tab/>
        <w:t>Revocation</w:t>
      </w:r>
    </w:p>
    <w:p w14:paraId="285A818C" w14:textId="77777777" w:rsidR="000B6B95" w:rsidRPr="000B6B95" w:rsidRDefault="000B6B95" w:rsidP="000B6B95">
      <w:pPr>
        <w:spacing w:before="140" w:after="0" w:line="240" w:lineRule="auto"/>
        <w:ind w:left="720"/>
        <w:rPr>
          <w:rFonts w:ascii="Times New Roman" w:eastAsia="Times New Roman" w:hAnsi="Times New Roman" w:cs="Times New Roman"/>
          <w:sz w:val="24"/>
          <w:szCs w:val="20"/>
        </w:rPr>
      </w:pPr>
      <w:r w:rsidRPr="000B6B95">
        <w:rPr>
          <w:rFonts w:ascii="Times New Roman" w:eastAsia="Times New Roman" w:hAnsi="Times New Roman" w:cs="Times New Roman"/>
          <w:sz w:val="24"/>
          <w:szCs w:val="20"/>
        </w:rPr>
        <w:t xml:space="preserve">This instrument revokes </w:t>
      </w:r>
      <w:r w:rsidRPr="000B6B95">
        <w:rPr>
          <w:rFonts w:ascii="Times New Roman" w:eastAsia="Times New Roman" w:hAnsi="Times New Roman" w:cs="Times New Roman"/>
          <w:i/>
          <w:iCs/>
          <w:sz w:val="24"/>
          <w:szCs w:val="20"/>
        </w:rPr>
        <w:t>Freedom of Information (Volume 4 - Considering the public interest) Guidelines 2020</w:t>
      </w:r>
      <w:r w:rsidRPr="000B6B95">
        <w:rPr>
          <w:rFonts w:ascii="Times New Roman" w:eastAsia="Times New Roman" w:hAnsi="Times New Roman" w:cs="Times New Roman"/>
          <w:sz w:val="24"/>
          <w:szCs w:val="20"/>
        </w:rPr>
        <w:t xml:space="preserve"> NI2020-371.</w:t>
      </w:r>
    </w:p>
    <w:bookmarkEnd w:id="0"/>
    <w:p w14:paraId="33288D0F" w14:textId="77777777" w:rsidR="000B6B95" w:rsidRPr="000B6B95" w:rsidRDefault="000B6B95" w:rsidP="000B6B95">
      <w:pPr>
        <w:spacing w:before="720" w:after="0"/>
        <w:rPr>
          <w:rFonts w:ascii="Times New Roman" w:eastAsia="Times New Roman" w:hAnsi="Times New Roman" w:cs="Times New Roman"/>
          <w:sz w:val="24"/>
          <w:szCs w:val="20"/>
        </w:rPr>
      </w:pPr>
    </w:p>
    <w:p w14:paraId="35B850F1" w14:textId="77777777" w:rsidR="000B6B95" w:rsidRPr="000B6B95" w:rsidRDefault="000B6B95" w:rsidP="000B6B95">
      <w:pPr>
        <w:spacing w:after="0"/>
        <w:rPr>
          <w:rFonts w:ascii="Times New Roman" w:eastAsia="Times New Roman" w:hAnsi="Times New Roman" w:cs="Times New Roman"/>
          <w:sz w:val="24"/>
          <w:szCs w:val="20"/>
        </w:rPr>
      </w:pPr>
      <w:r w:rsidRPr="000B6B95">
        <w:rPr>
          <w:rFonts w:ascii="Times New Roman" w:eastAsia="Times New Roman" w:hAnsi="Times New Roman" w:cs="Times New Roman"/>
          <w:sz w:val="24"/>
          <w:szCs w:val="20"/>
        </w:rPr>
        <w:t>Iain Anderson</w:t>
      </w:r>
    </w:p>
    <w:p w14:paraId="7B05F4E1" w14:textId="77777777" w:rsidR="000B6B95" w:rsidRPr="000B6B95" w:rsidRDefault="000B6B95" w:rsidP="000B6B95">
      <w:pPr>
        <w:spacing w:after="0"/>
        <w:rPr>
          <w:rFonts w:ascii="Times New Roman" w:eastAsia="Times New Roman" w:hAnsi="Times New Roman" w:cs="Times New Roman"/>
          <w:sz w:val="24"/>
          <w:szCs w:val="20"/>
        </w:rPr>
      </w:pPr>
      <w:r w:rsidRPr="000B6B95">
        <w:rPr>
          <w:rFonts w:ascii="Times New Roman" w:eastAsia="Times New Roman" w:hAnsi="Times New Roman" w:cs="Times New Roman"/>
          <w:sz w:val="24"/>
          <w:szCs w:val="20"/>
        </w:rPr>
        <w:t>ACT Ombudsman</w:t>
      </w:r>
    </w:p>
    <w:p w14:paraId="2E9058F2" w14:textId="77777777" w:rsidR="000B6B95" w:rsidRPr="000B6B95" w:rsidRDefault="000B6B95" w:rsidP="000B6B95">
      <w:pPr>
        <w:spacing w:after="0"/>
        <w:rPr>
          <w:rFonts w:ascii="Times New Roman" w:eastAsia="Times New Roman" w:hAnsi="Times New Roman" w:cs="Times New Roman"/>
          <w:sz w:val="24"/>
          <w:szCs w:val="20"/>
        </w:rPr>
      </w:pPr>
      <w:r w:rsidRPr="000B6B95">
        <w:rPr>
          <w:rFonts w:ascii="Times New Roman" w:eastAsia="Times New Roman" w:hAnsi="Times New Roman" w:cs="Times New Roman"/>
          <w:sz w:val="24"/>
          <w:szCs w:val="20"/>
        </w:rPr>
        <w:t>24 November 2023</w:t>
      </w:r>
    </w:p>
    <w:p w14:paraId="2F5B26CF" w14:textId="77777777" w:rsidR="000B6B95" w:rsidRDefault="000B6B95" w:rsidP="000B6B95">
      <w:pPr>
        <w:tabs>
          <w:tab w:val="right" w:pos="9617"/>
        </w:tabs>
        <w:sectPr w:rsidR="000B6B95" w:rsidSect="000B6B95">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pgNumType w:start="1"/>
          <w:cols w:space="708"/>
          <w:titlePg/>
          <w:docGrid w:linePitch="360"/>
        </w:sectPr>
      </w:pPr>
    </w:p>
    <w:p w14:paraId="0FDBF207" w14:textId="252F4121" w:rsidR="006370C6" w:rsidRPr="008D2315" w:rsidRDefault="00DF324C" w:rsidP="003A1D21">
      <w:pPr>
        <w:tabs>
          <w:tab w:val="right" w:pos="9617"/>
        </w:tabs>
        <w:spacing w:before="3720"/>
      </w:pPr>
      <w:r>
        <w:rPr>
          <w:noProof/>
          <w:lang w:eastAsia="en-AU"/>
        </w:rPr>
        <w:lastRenderedPageBreak/>
        <w:drawing>
          <wp:anchor distT="0" distB="0" distL="114300" distR="114300" simplePos="0" relativeHeight="251658240" behindDoc="0" locked="0" layoutInCell="1" allowOverlap="1" wp14:anchorId="15B38E78" wp14:editId="602AACE1">
            <wp:simplePos x="0" y="0"/>
            <wp:positionH relativeFrom="margin">
              <wp:posOffset>3257550</wp:posOffset>
            </wp:positionH>
            <wp:positionV relativeFrom="paragraph">
              <wp:posOffset>710565</wp:posOffset>
            </wp:positionV>
            <wp:extent cx="2801620" cy="10763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_CO&amp;sub_logo_72dpi.png"/>
                    <pic:cNvPicPr/>
                  </pic:nvPicPr>
                  <pic:blipFill>
                    <a:blip r:embed="rId18">
                      <a:extLst>
                        <a:ext uri="{28A0092B-C50C-407E-A947-70E740481C1C}">
                          <a14:useLocalDpi xmlns:a14="http://schemas.microsoft.com/office/drawing/2010/main" val="0"/>
                        </a:ext>
                      </a:extLst>
                    </a:blip>
                    <a:stretch>
                      <a:fillRect/>
                    </a:stretch>
                  </pic:blipFill>
                  <pic:spPr>
                    <a:xfrm>
                      <a:off x="0" y="0"/>
                      <a:ext cx="2801620" cy="1076325"/>
                    </a:xfrm>
                    <a:prstGeom prst="rect">
                      <a:avLst/>
                    </a:prstGeom>
                  </pic:spPr>
                </pic:pic>
              </a:graphicData>
            </a:graphic>
          </wp:anchor>
        </w:drawing>
      </w:r>
      <w:r w:rsidR="002F2220">
        <w:tab/>
      </w:r>
      <w:r w:rsidR="00AA7DBB">
        <w:br/>
      </w:r>
      <w:r w:rsidR="00AA7DBB">
        <w:br/>
      </w:r>
      <w:r w:rsidR="00AA7DBB">
        <w:br/>
      </w:r>
      <w:r w:rsidR="00AA7DBB">
        <w:br/>
      </w:r>
      <w:r w:rsidR="00AA7DBB">
        <w:br/>
      </w:r>
      <w:r w:rsidR="00AA7DBB">
        <w:br/>
      </w:r>
      <w:r w:rsidR="006370C6" w:rsidRPr="008D2315">
        <w:rPr>
          <w:rFonts w:eastAsia="Times"/>
          <w:b/>
          <w:sz w:val="48"/>
          <w:szCs w:val="20"/>
        </w:rPr>
        <w:t xml:space="preserve">Freedom of Information </w:t>
      </w:r>
      <w:r w:rsidR="006F599C">
        <w:rPr>
          <w:rFonts w:eastAsia="Times"/>
          <w:b/>
          <w:sz w:val="48"/>
          <w:szCs w:val="20"/>
        </w:rPr>
        <w:t xml:space="preserve">(Volume 4 – Considering the public interest) </w:t>
      </w:r>
      <w:r w:rsidR="006370C6" w:rsidRPr="008D2315">
        <w:rPr>
          <w:rFonts w:eastAsia="Times"/>
          <w:b/>
          <w:sz w:val="48"/>
          <w:szCs w:val="20"/>
        </w:rPr>
        <w:t xml:space="preserve">Guidelines </w:t>
      </w:r>
      <w:r w:rsidR="006F599C">
        <w:rPr>
          <w:rFonts w:eastAsia="Times"/>
          <w:b/>
          <w:sz w:val="48"/>
          <w:szCs w:val="20"/>
        </w:rPr>
        <w:t>2023</w:t>
      </w:r>
    </w:p>
    <w:p w14:paraId="5B0FFFB3" w14:textId="40351B5A" w:rsidR="006370C6" w:rsidRPr="00480033" w:rsidRDefault="00310974" w:rsidP="006370C6">
      <w:pPr>
        <w:pStyle w:val="Subtitle"/>
        <w:rPr>
          <w:color w:val="A6A6A6"/>
        </w:rPr>
      </w:pPr>
      <w:r>
        <w:rPr>
          <w:color w:val="A6A6A6"/>
        </w:rPr>
        <w:t>november</w:t>
      </w:r>
      <w:r w:rsidR="0050674A">
        <w:rPr>
          <w:color w:val="A6A6A6"/>
        </w:rPr>
        <w:t xml:space="preserve"> 2023</w:t>
      </w:r>
    </w:p>
    <w:p w14:paraId="0FD15E08" w14:textId="77777777" w:rsidR="006370C6" w:rsidRDefault="006370C6" w:rsidP="006370C6">
      <w:pPr>
        <w:ind w:left="720"/>
        <w:jc w:val="right"/>
        <w:rPr>
          <w:rFonts w:cs="Arial"/>
          <w:b/>
          <w:color w:val="999999"/>
        </w:rPr>
      </w:pPr>
    </w:p>
    <w:p w14:paraId="35A8B84D" w14:textId="538034A5" w:rsidR="006370C6" w:rsidRDefault="006370C6" w:rsidP="006370C6">
      <w:pPr>
        <w:jc w:val="right"/>
        <w:rPr>
          <w:rFonts w:asciiTheme="majorHAnsi" w:eastAsiaTheme="majorEastAsia" w:hAnsiTheme="majorHAnsi" w:cstheme="majorBidi"/>
          <w:b/>
          <w:sz w:val="32"/>
          <w:szCs w:val="32"/>
          <w:lang w:val="en-US"/>
        </w:rPr>
      </w:pPr>
      <w:bookmarkStart w:id="1" w:name="_Toc23152579"/>
      <w:r>
        <w:rPr>
          <w:bCs/>
          <w:color w:val="808080"/>
          <w:sz w:val="28"/>
          <w:szCs w:val="28"/>
        </w:rPr>
        <w:t>Guideline</w:t>
      </w:r>
      <w:r w:rsidRPr="00480033">
        <w:rPr>
          <w:bCs/>
          <w:color w:val="808080"/>
          <w:sz w:val="28"/>
          <w:szCs w:val="28"/>
        </w:rPr>
        <w:t xml:space="preserve"> N</w:t>
      </w:r>
      <w:r>
        <w:rPr>
          <w:bCs/>
          <w:color w:val="808080"/>
          <w:sz w:val="28"/>
          <w:szCs w:val="28"/>
        </w:rPr>
        <w:t>umber</w:t>
      </w:r>
      <w:r w:rsidRPr="00480033">
        <w:rPr>
          <w:bCs/>
          <w:color w:val="808080"/>
          <w:sz w:val="20"/>
        </w:rPr>
        <w:t>.</w:t>
      </w:r>
      <w:r>
        <w:rPr>
          <w:sz w:val="28"/>
        </w:rPr>
        <w:t xml:space="preserve"> </w:t>
      </w:r>
      <w:r w:rsidR="00857585">
        <w:rPr>
          <w:b/>
          <w:sz w:val="40"/>
          <w:szCs w:val="40"/>
        </w:rPr>
        <w:t>4</w:t>
      </w:r>
      <w:r w:rsidRPr="006370C6">
        <w:rPr>
          <w:b/>
          <w:sz w:val="40"/>
          <w:szCs w:val="40"/>
        </w:rPr>
        <w:t xml:space="preserve"> of 6</w:t>
      </w:r>
      <w:bookmarkEnd w:id="1"/>
      <w:r>
        <w:rPr>
          <w:b/>
        </w:rPr>
        <w:br w:type="page"/>
      </w:r>
    </w:p>
    <w:p w14:paraId="35028C86" w14:textId="77777777" w:rsidR="006370C6" w:rsidRPr="00476424" w:rsidRDefault="006370C6" w:rsidP="006370C6">
      <w:pPr>
        <w:pStyle w:val="Default"/>
        <w:rPr>
          <w:sz w:val="22"/>
          <w:szCs w:val="22"/>
        </w:rPr>
      </w:pPr>
      <w:r w:rsidRPr="00476424">
        <w:rPr>
          <w:b/>
          <w:bCs/>
          <w:sz w:val="22"/>
          <w:szCs w:val="22"/>
        </w:rPr>
        <w:lastRenderedPageBreak/>
        <w:t xml:space="preserve">Disclaimer </w:t>
      </w:r>
    </w:p>
    <w:p w14:paraId="3DD5D143" w14:textId="406F5179" w:rsidR="006370C6" w:rsidRPr="00476424" w:rsidRDefault="00900327" w:rsidP="006370C6">
      <w:pPr>
        <w:pStyle w:val="Default"/>
        <w:spacing w:before="120" w:after="120"/>
        <w:rPr>
          <w:sz w:val="22"/>
          <w:szCs w:val="22"/>
        </w:rPr>
      </w:pPr>
      <w:r>
        <w:rPr>
          <w:sz w:val="22"/>
          <w:szCs w:val="22"/>
        </w:rPr>
        <w:t>T</w:t>
      </w:r>
      <w:r w:rsidR="006370C6" w:rsidRPr="00476424">
        <w:rPr>
          <w:sz w:val="22"/>
          <w:szCs w:val="22"/>
        </w:rPr>
        <w:t xml:space="preserve">he ACT Ombudsman </w:t>
      </w:r>
      <w:r w:rsidR="006370C6">
        <w:rPr>
          <w:sz w:val="22"/>
          <w:szCs w:val="22"/>
        </w:rPr>
        <w:t>(</w:t>
      </w:r>
      <w:r w:rsidR="009A30A6">
        <w:rPr>
          <w:sz w:val="22"/>
          <w:szCs w:val="22"/>
        </w:rPr>
        <w:t>‘</w:t>
      </w:r>
      <w:r w:rsidR="006370C6" w:rsidRPr="00DB7E37">
        <w:rPr>
          <w:sz w:val="22"/>
          <w:szCs w:val="22"/>
        </w:rPr>
        <w:t>Ombudsman</w:t>
      </w:r>
      <w:r w:rsidR="009A30A6">
        <w:rPr>
          <w:sz w:val="22"/>
          <w:szCs w:val="22"/>
        </w:rPr>
        <w:t>’</w:t>
      </w:r>
      <w:r w:rsidR="006370C6">
        <w:rPr>
          <w:sz w:val="22"/>
          <w:szCs w:val="22"/>
        </w:rPr>
        <w:t xml:space="preserve">) </w:t>
      </w:r>
      <w:r w:rsidR="006370C6" w:rsidRPr="00476424">
        <w:rPr>
          <w:sz w:val="22"/>
          <w:szCs w:val="22"/>
        </w:rPr>
        <w:t>has</w:t>
      </w:r>
      <w:r w:rsidR="006370C6">
        <w:rPr>
          <w:sz w:val="22"/>
          <w:szCs w:val="22"/>
        </w:rPr>
        <w:t> </w:t>
      </w:r>
      <w:r w:rsidR="006370C6" w:rsidRPr="00476424">
        <w:rPr>
          <w:sz w:val="22"/>
          <w:szCs w:val="22"/>
        </w:rPr>
        <w:t xml:space="preserve">the function of issuing guidelines about freedom of information </w:t>
      </w:r>
      <w:r w:rsidR="00377F61">
        <w:rPr>
          <w:sz w:val="22"/>
          <w:szCs w:val="22"/>
        </w:rPr>
        <w:t>u</w:t>
      </w:r>
      <w:r w:rsidRPr="00476424">
        <w:rPr>
          <w:sz w:val="22"/>
          <w:szCs w:val="22"/>
        </w:rPr>
        <w:t xml:space="preserve">nder s 66 of the </w:t>
      </w:r>
      <w:hyperlink r:id="rId19" w:history="1">
        <w:r w:rsidR="007B6464" w:rsidRPr="00F56014">
          <w:rPr>
            <w:rStyle w:val="Hyperlink"/>
            <w:i/>
            <w:iCs/>
            <w:sz w:val="22"/>
            <w:szCs w:val="22"/>
          </w:rPr>
          <w:t>Freedom of Information Act 2016</w:t>
        </w:r>
      </w:hyperlink>
      <w:r w:rsidRPr="00476424">
        <w:rPr>
          <w:i/>
          <w:iCs/>
          <w:sz w:val="22"/>
          <w:szCs w:val="22"/>
        </w:rPr>
        <w:t xml:space="preserve"> </w:t>
      </w:r>
      <w:r w:rsidRPr="00476424">
        <w:rPr>
          <w:sz w:val="22"/>
          <w:szCs w:val="22"/>
        </w:rPr>
        <w:t>(</w:t>
      </w:r>
      <w:r w:rsidR="009A30A6">
        <w:rPr>
          <w:sz w:val="22"/>
          <w:szCs w:val="22"/>
        </w:rPr>
        <w:t>‘</w:t>
      </w:r>
      <w:r w:rsidRPr="00DB7E37">
        <w:rPr>
          <w:sz w:val="22"/>
          <w:szCs w:val="22"/>
        </w:rPr>
        <w:t>FOI Act</w:t>
      </w:r>
      <w:r w:rsidR="009A30A6">
        <w:rPr>
          <w:sz w:val="22"/>
          <w:szCs w:val="22"/>
        </w:rPr>
        <w:t>’</w:t>
      </w:r>
      <w:r w:rsidR="00377F61">
        <w:rPr>
          <w:sz w:val="22"/>
          <w:szCs w:val="22"/>
        </w:rPr>
        <w:t xml:space="preserve">). </w:t>
      </w:r>
    </w:p>
    <w:p w14:paraId="4EC9D659" w14:textId="59DF61C2" w:rsidR="006370C6" w:rsidRPr="00476424" w:rsidRDefault="006370C6" w:rsidP="006370C6">
      <w:pPr>
        <w:pStyle w:val="Default"/>
        <w:spacing w:before="120" w:after="120"/>
        <w:rPr>
          <w:sz w:val="22"/>
          <w:szCs w:val="22"/>
        </w:rPr>
      </w:pPr>
      <w:r w:rsidRPr="00476424">
        <w:rPr>
          <w:sz w:val="22"/>
          <w:szCs w:val="22"/>
        </w:rPr>
        <w:t>The information in this guideline is not legal advice and additional factors may be relevant in your specific circumstances. Any views expressed in this guideline a</w:t>
      </w:r>
      <w:r>
        <w:rPr>
          <w:sz w:val="22"/>
          <w:szCs w:val="22"/>
        </w:rPr>
        <w:t>re general in nature and the O</w:t>
      </w:r>
      <w:r w:rsidRPr="00476424">
        <w:rPr>
          <w:sz w:val="22"/>
          <w:szCs w:val="22"/>
        </w:rPr>
        <w:t xml:space="preserve">mbudsman remains open to all arguments and evidence on a </w:t>
      </w:r>
      <w:r w:rsidR="00E60F5C" w:rsidRPr="00476424">
        <w:rPr>
          <w:sz w:val="22"/>
          <w:szCs w:val="22"/>
        </w:rPr>
        <w:t>case-by-case</w:t>
      </w:r>
      <w:r w:rsidRPr="00476424">
        <w:rPr>
          <w:sz w:val="22"/>
          <w:szCs w:val="22"/>
        </w:rPr>
        <w:t xml:space="preserve"> basis. For detailed guidance</w:t>
      </w:r>
      <w:r>
        <w:rPr>
          <w:sz w:val="22"/>
          <w:szCs w:val="22"/>
        </w:rPr>
        <w:t>,</w:t>
      </w:r>
      <w:r w:rsidRPr="00476424">
        <w:rPr>
          <w:sz w:val="22"/>
          <w:szCs w:val="22"/>
        </w:rPr>
        <w:t xml:space="preserve"> legal advice should be sought. </w:t>
      </w:r>
    </w:p>
    <w:p w14:paraId="1B239A0D" w14:textId="45497B9E" w:rsidR="00A0156E" w:rsidRPr="006F5CD6" w:rsidRDefault="006370C6" w:rsidP="006370C6">
      <w:pPr>
        <w:spacing w:before="120" w:after="120"/>
      </w:pPr>
      <w:r w:rsidRPr="00476424">
        <w:t xml:space="preserve">The FOI Act is amended from time to </w:t>
      </w:r>
      <w:r w:rsidR="00E60F5C" w:rsidRPr="00476424">
        <w:t>time,</w:t>
      </w:r>
      <w:r w:rsidRPr="00476424">
        <w:t xml:space="preserve"> and you should always read the relevant provisions of the </w:t>
      </w:r>
      <w:r>
        <w:t>FOI</w:t>
      </w:r>
      <w:r w:rsidR="00EE3EFA">
        <w:t> </w:t>
      </w:r>
      <w:r w:rsidRPr="00476424">
        <w:t xml:space="preserve">Act to check the current wording. All ACT legislation, including the FOI Act, is freely available online </w:t>
      </w:r>
      <w:r w:rsidR="00C803C8">
        <w:t xml:space="preserve">on the </w:t>
      </w:r>
      <w:hyperlink r:id="rId20" w:history="1">
        <w:r w:rsidR="00C803C8" w:rsidRPr="001848DD">
          <w:rPr>
            <w:rStyle w:val="Hyperlink"/>
          </w:rPr>
          <w:t>ACT Legislation Register</w:t>
        </w:r>
      </w:hyperlink>
      <w:r w:rsidR="001848DD">
        <w:t xml:space="preserve">. </w:t>
      </w:r>
    </w:p>
    <w:p w14:paraId="5DDE310E" w14:textId="236998AC" w:rsidR="00A0156E" w:rsidRPr="00B51694" w:rsidRDefault="00A0156E" w:rsidP="006370C6">
      <w:pPr>
        <w:spacing w:before="120" w:after="120"/>
        <w:rPr>
          <w:b/>
          <w:bCs/>
        </w:rPr>
      </w:pPr>
      <w:r>
        <w:rPr>
          <w:b/>
          <w:bCs/>
        </w:rPr>
        <w:t>Updates to this Guideline</w:t>
      </w:r>
    </w:p>
    <w:p w14:paraId="2D8D6361" w14:textId="563A752B" w:rsidR="00A0156E" w:rsidRDefault="00A0156E" w:rsidP="006370C6">
      <w:pPr>
        <w:spacing w:before="120" w:after="120"/>
      </w:pPr>
      <w:r>
        <w:t xml:space="preserve">This version of the Guidelines incorporates amendments up until </w:t>
      </w:r>
      <w:r w:rsidR="00CE4CDB">
        <w:t>November</w:t>
      </w:r>
      <w:r>
        <w:t xml:space="preserve"> 2023, including those introduced by the </w:t>
      </w:r>
      <w:hyperlink r:id="rId21" w:history="1">
        <w:r w:rsidRPr="00E36EA3">
          <w:rPr>
            <w:rStyle w:val="Hyperlink"/>
            <w:i/>
            <w:iCs/>
          </w:rPr>
          <w:t xml:space="preserve">Freedom of Information Amendment </w:t>
        </w:r>
        <w:r w:rsidR="00287C91" w:rsidRPr="00E36EA3">
          <w:rPr>
            <w:rStyle w:val="Hyperlink"/>
            <w:i/>
            <w:iCs/>
          </w:rPr>
          <w:t>Act 2023</w:t>
        </w:r>
      </w:hyperlink>
      <w:r w:rsidR="007B6464">
        <w:rPr>
          <w:i/>
          <w:iCs/>
        </w:rPr>
        <w:t xml:space="preserve"> </w:t>
      </w:r>
      <w:r w:rsidR="00441247">
        <w:rPr>
          <w:i/>
          <w:iCs/>
        </w:rPr>
        <w:t xml:space="preserve">and </w:t>
      </w:r>
      <w:hyperlink r:id="rId22" w:history="1">
        <w:r w:rsidR="006A467A" w:rsidRPr="00BF0491">
          <w:rPr>
            <w:rStyle w:val="Hyperlink"/>
            <w:i/>
            <w:iCs/>
          </w:rPr>
          <w:t>Public Interest Disclosure Amendment Act 2020</w:t>
        </w:r>
      </w:hyperlink>
      <w:r w:rsidR="007B6464">
        <w:t>.</w:t>
      </w:r>
    </w:p>
    <w:p w14:paraId="3030FA76" w14:textId="50F4BAC5" w:rsidR="006370C6" w:rsidRDefault="00A0156E" w:rsidP="006370C6">
      <w:pPr>
        <w:spacing w:before="120" w:after="120"/>
      </w:pPr>
      <w:r>
        <w:t>In particular, changes have been made to the following:</w:t>
      </w:r>
    </w:p>
    <w:p w14:paraId="33FAD73E" w14:textId="77330965" w:rsidR="00A0156E" w:rsidRDefault="00A0156E" w:rsidP="00A0156E">
      <w:pPr>
        <w:pStyle w:val="ListParagraph"/>
        <w:numPr>
          <w:ilvl w:val="0"/>
          <w:numId w:val="147"/>
        </w:numPr>
        <w:spacing w:before="120" w:after="120"/>
      </w:pPr>
      <w:r>
        <w:t>All information subject to legal professional privilege will now be considered ‘contrary to the public interest information’</w:t>
      </w:r>
      <w:r w:rsidR="00EC076F">
        <w:t xml:space="preserve"> see </w:t>
      </w:r>
      <w:hyperlink w:anchor="_Section_1.2_–_1" w:history="1">
        <w:r w:rsidR="00062D0D">
          <w:rPr>
            <w:rStyle w:val="Hyperlink"/>
          </w:rPr>
          <w:t>[5.5]</w:t>
        </w:r>
      </w:hyperlink>
      <w:r w:rsidR="009846A2">
        <w:t xml:space="preserve"> below</w:t>
      </w:r>
      <w:r>
        <w:t xml:space="preserve">. Prior to the legislative changes in 2023, there had been an exception for </w:t>
      </w:r>
      <w:r w:rsidR="00B618BB">
        <w:t xml:space="preserve">LPP </w:t>
      </w:r>
      <w:r>
        <w:t>material that might reveal corruption, the commission of an offence, or that the scope of a law enforcement investigation had exceeded the limits imposed by law</w:t>
      </w:r>
      <w:r w:rsidR="007B7D03">
        <w:t xml:space="preserve">. </w:t>
      </w:r>
    </w:p>
    <w:p w14:paraId="7A00879F" w14:textId="5704DE29" w:rsidR="00A0156E" w:rsidRDefault="00A0156E" w:rsidP="00A0156E">
      <w:pPr>
        <w:pStyle w:val="ListParagraph"/>
        <w:numPr>
          <w:ilvl w:val="0"/>
          <w:numId w:val="147"/>
        </w:numPr>
        <w:spacing w:before="120" w:after="120"/>
      </w:pPr>
      <w:r>
        <w:t xml:space="preserve">The range of information </w:t>
      </w:r>
      <w:r w:rsidR="00DB50E5">
        <w:t xml:space="preserve">taken to be </w:t>
      </w:r>
      <w:r>
        <w:t xml:space="preserve">contrary to the public interest to release will include information in the possession of the Inspector of Correctional Services obtained or generated in relation to an examination or review conducted under s 18 of the </w:t>
      </w:r>
      <w:hyperlink r:id="rId23" w:history="1">
        <w:r w:rsidRPr="005F1A48">
          <w:rPr>
            <w:rStyle w:val="Hyperlink"/>
            <w:i/>
            <w:iCs/>
          </w:rPr>
          <w:t>Inspector of Correctional Services Act 2017</w:t>
        </w:r>
      </w:hyperlink>
      <w:r>
        <w:t xml:space="preserve"> see </w:t>
      </w:r>
      <w:hyperlink w:anchor="_Section_1.15_–" w:history="1">
        <w:r w:rsidR="006A66E0">
          <w:rPr>
            <w:rStyle w:val="Hyperlink"/>
          </w:rPr>
          <w:t>[5.18]</w:t>
        </w:r>
      </w:hyperlink>
      <w:r w:rsidR="00AA5BAD">
        <w:t>.</w:t>
      </w:r>
      <w:r w:rsidR="007B7D03">
        <w:t xml:space="preserve"> </w:t>
      </w:r>
    </w:p>
    <w:p w14:paraId="090454CD" w14:textId="51477D47" w:rsidR="00A0156E" w:rsidRDefault="00A0156E" w:rsidP="00B51694">
      <w:pPr>
        <w:pStyle w:val="ListParagraph"/>
        <w:numPr>
          <w:ilvl w:val="0"/>
          <w:numId w:val="147"/>
        </w:numPr>
        <w:spacing w:before="120" w:after="120"/>
      </w:pPr>
      <w:r>
        <w:t xml:space="preserve">An applicant’s identity, </w:t>
      </w:r>
      <w:r w:rsidR="004A2D1F">
        <w:t>circumstances,</w:t>
      </w:r>
      <w:r>
        <w:t xml:space="preserve"> and reason for seeking access will be a relevant public interest factor where an individual seeks another person’s information see </w:t>
      </w:r>
      <w:hyperlink w:anchor="_Information_requested_is" w:history="1">
        <w:r w:rsidR="00062D0D">
          <w:rPr>
            <w:rStyle w:val="Hyperlink"/>
          </w:rPr>
          <w:t>[6.3]</w:t>
        </w:r>
      </w:hyperlink>
      <w:r w:rsidR="007B7D03">
        <w:t xml:space="preserve">. </w:t>
      </w:r>
    </w:p>
    <w:p w14:paraId="54A74959" w14:textId="49863375" w:rsidR="001054EA" w:rsidRDefault="00C26913" w:rsidP="00B51694">
      <w:pPr>
        <w:pStyle w:val="ListParagraph"/>
        <w:numPr>
          <w:ilvl w:val="0"/>
          <w:numId w:val="147"/>
        </w:numPr>
        <w:spacing w:before="120" w:after="120"/>
      </w:pPr>
      <w:r>
        <w:t xml:space="preserve">Schedule 1.9 is expanded to protect the identity of people who are witnesses for an investigation </w:t>
      </w:r>
      <w:r w:rsidR="00EE3EFA">
        <w:t>of</w:t>
      </w:r>
      <w:r>
        <w:t xml:space="preserve"> a public interest disclosure</w:t>
      </w:r>
      <w:r w:rsidR="00027D87">
        <w:t xml:space="preserve">. </w:t>
      </w:r>
      <w:r w:rsidR="00404C0D">
        <w:t xml:space="preserve">Information about the identity of a person who gives information, produces a </w:t>
      </w:r>
      <w:r w:rsidR="00117386">
        <w:t>document,</w:t>
      </w:r>
      <w:r w:rsidR="00404C0D">
        <w:t xml:space="preserve"> or answers a question </w:t>
      </w:r>
      <w:r w:rsidR="00420D82">
        <w:t>in relation to an investigation of a public interest disclosure is contrary to the public interest information under Schedule 1.9(2)</w:t>
      </w:r>
      <w:r w:rsidR="002830DC">
        <w:t xml:space="preserve"> see </w:t>
      </w:r>
      <w:hyperlink w:anchor="_Section_1.9_–" w:history="1">
        <w:r w:rsidR="00062D0D">
          <w:rPr>
            <w:rStyle w:val="Hyperlink"/>
          </w:rPr>
          <w:t>[5.12]</w:t>
        </w:r>
      </w:hyperlink>
      <w:r w:rsidR="00BE1850">
        <w:t xml:space="preserve">. </w:t>
      </w:r>
    </w:p>
    <w:p w14:paraId="732B5693" w14:textId="02C115EA" w:rsidR="00CB0EC0" w:rsidRDefault="00432F0A" w:rsidP="005F1A48">
      <w:pPr>
        <w:spacing w:before="120" w:after="120"/>
      </w:pPr>
      <w:r>
        <w:t xml:space="preserve">Guidance on </w:t>
      </w:r>
      <w:r w:rsidR="00CB0EC0">
        <w:t xml:space="preserve">the relevance of family violence as a public interest factor has also been </w:t>
      </w:r>
      <w:r w:rsidR="008F4C60">
        <w:t>included in this version of the Guidelines.</w:t>
      </w:r>
      <w:r w:rsidR="00CB0EC0">
        <w:t xml:space="preserve"> </w:t>
      </w:r>
    </w:p>
    <w:p w14:paraId="5A1BA70B" w14:textId="77777777" w:rsidR="00A0156E" w:rsidRPr="00B51694" w:rsidRDefault="00A0156E" w:rsidP="00B51694">
      <w:pPr>
        <w:spacing w:before="120" w:after="120"/>
        <w:ind w:left="360"/>
      </w:pPr>
    </w:p>
    <w:p w14:paraId="06D31328" w14:textId="77777777" w:rsidR="006370C6" w:rsidRDefault="006370C6">
      <w:r>
        <w:br w:type="page"/>
      </w:r>
    </w:p>
    <w:sdt>
      <w:sdtPr>
        <w:rPr>
          <w:rFonts w:asciiTheme="minorHAnsi" w:eastAsiaTheme="minorEastAsia" w:hAnsiTheme="minorHAnsi" w:cstheme="minorBidi"/>
          <w:color w:val="auto"/>
          <w:sz w:val="22"/>
          <w:szCs w:val="22"/>
          <w:lang w:val="en-AU"/>
        </w:rPr>
        <w:id w:val="-1118376340"/>
        <w:docPartObj>
          <w:docPartGallery w:val="Table of Contents"/>
          <w:docPartUnique/>
        </w:docPartObj>
      </w:sdtPr>
      <w:sdtEndPr>
        <w:rPr>
          <w:b/>
          <w:bCs/>
          <w:noProof/>
        </w:rPr>
      </w:sdtEndPr>
      <w:sdtContent>
        <w:p w14:paraId="47A3C9BC" w14:textId="3ED54ECF" w:rsidR="00F71E05" w:rsidRDefault="00F71E05" w:rsidP="006370C6">
          <w:pPr>
            <w:pStyle w:val="TOCHeading"/>
            <w:jc w:val="center"/>
            <w:rPr>
              <w:b/>
              <w:color w:val="auto"/>
            </w:rPr>
          </w:pPr>
          <w:r w:rsidRPr="00681699">
            <w:rPr>
              <w:rFonts w:ascii="Calibri" w:hAnsi="Calibri"/>
              <w:b/>
              <w:color w:val="auto"/>
            </w:rPr>
            <w:t>Contents</w:t>
          </w:r>
        </w:p>
        <w:p w14:paraId="183D3CE9" w14:textId="77777777" w:rsidR="006370C6" w:rsidRPr="006370C6" w:rsidRDefault="006370C6" w:rsidP="006370C6">
          <w:pPr>
            <w:rPr>
              <w:lang w:val="en-US"/>
            </w:rPr>
          </w:pPr>
        </w:p>
        <w:p w14:paraId="51436920" w14:textId="67134E56" w:rsidR="007C3C8C" w:rsidRDefault="00F71E05">
          <w:pPr>
            <w:pStyle w:val="TOC2"/>
            <w:rPr>
              <w:noProof/>
              <w:kern w:val="2"/>
              <w:lang w:eastAsia="en-AU"/>
              <w14:ligatures w14:val="standardContextual"/>
            </w:rPr>
          </w:pPr>
          <w:r w:rsidRPr="00F17D40">
            <w:rPr>
              <w:noProof/>
            </w:rPr>
            <w:fldChar w:fldCharType="begin"/>
          </w:r>
          <w:r w:rsidRPr="00F17D40">
            <w:rPr>
              <w:noProof/>
            </w:rPr>
            <w:instrText xml:space="preserve"> TOC \o "1-3" \h \z \u </w:instrText>
          </w:r>
          <w:r w:rsidRPr="00F17D40">
            <w:rPr>
              <w:noProof/>
            </w:rPr>
            <w:fldChar w:fldCharType="separate"/>
          </w:r>
          <w:hyperlink w:anchor="_Toc152067301" w:history="1">
            <w:r w:rsidR="007C3C8C" w:rsidRPr="00230AB0">
              <w:rPr>
                <w:rStyle w:val="Hyperlink"/>
                <w:noProof/>
              </w:rPr>
              <w:t>1.</w:t>
            </w:r>
            <w:r w:rsidR="007C3C8C">
              <w:rPr>
                <w:noProof/>
                <w:kern w:val="2"/>
                <w:lang w:eastAsia="en-AU"/>
                <w14:ligatures w14:val="standardContextual"/>
              </w:rPr>
              <w:tab/>
            </w:r>
            <w:r w:rsidR="007C3C8C" w:rsidRPr="00230AB0">
              <w:rPr>
                <w:rStyle w:val="Hyperlink"/>
                <w:noProof/>
              </w:rPr>
              <w:t>Purpose</w:t>
            </w:r>
            <w:r w:rsidR="007C3C8C">
              <w:rPr>
                <w:noProof/>
                <w:webHidden/>
              </w:rPr>
              <w:tab/>
            </w:r>
            <w:r w:rsidR="007C3C8C">
              <w:rPr>
                <w:noProof/>
                <w:webHidden/>
              </w:rPr>
              <w:fldChar w:fldCharType="begin"/>
            </w:r>
            <w:r w:rsidR="007C3C8C">
              <w:rPr>
                <w:noProof/>
                <w:webHidden/>
              </w:rPr>
              <w:instrText xml:space="preserve"> PAGEREF _Toc152067301 \h </w:instrText>
            </w:r>
            <w:r w:rsidR="007C3C8C">
              <w:rPr>
                <w:noProof/>
                <w:webHidden/>
              </w:rPr>
            </w:r>
            <w:r w:rsidR="007C3C8C">
              <w:rPr>
                <w:noProof/>
                <w:webHidden/>
              </w:rPr>
              <w:fldChar w:fldCharType="separate"/>
            </w:r>
            <w:r w:rsidR="00365A2B">
              <w:rPr>
                <w:noProof/>
                <w:webHidden/>
              </w:rPr>
              <w:t>6</w:t>
            </w:r>
            <w:r w:rsidR="007C3C8C">
              <w:rPr>
                <w:noProof/>
                <w:webHidden/>
              </w:rPr>
              <w:fldChar w:fldCharType="end"/>
            </w:r>
          </w:hyperlink>
        </w:p>
        <w:p w14:paraId="2224DD20" w14:textId="74C2423C" w:rsidR="007C3C8C" w:rsidRDefault="00E12C0A">
          <w:pPr>
            <w:pStyle w:val="TOC2"/>
            <w:rPr>
              <w:noProof/>
              <w:kern w:val="2"/>
              <w:lang w:eastAsia="en-AU"/>
              <w14:ligatures w14:val="standardContextual"/>
            </w:rPr>
          </w:pPr>
          <w:hyperlink w:anchor="_Toc152067302" w:history="1">
            <w:r w:rsidR="007C3C8C" w:rsidRPr="00230AB0">
              <w:rPr>
                <w:rStyle w:val="Hyperlink"/>
                <w:noProof/>
              </w:rPr>
              <w:t>2.</w:t>
            </w:r>
            <w:r w:rsidR="007C3C8C">
              <w:rPr>
                <w:noProof/>
                <w:kern w:val="2"/>
                <w:lang w:eastAsia="en-AU"/>
                <w14:ligatures w14:val="standardContextual"/>
              </w:rPr>
              <w:tab/>
            </w:r>
            <w:r w:rsidR="007C3C8C" w:rsidRPr="00230AB0">
              <w:rPr>
                <w:rStyle w:val="Hyperlink"/>
                <w:noProof/>
              </w:rPr>
              <w:t>Introduction</w:t>
            </w:r>
            <w:r w:rsidR="007C3C8C">
              <w:rPr>
                <w:noProof/>
                <w:webHidden/>
              </w:rPr>
              <w:tab/>
            </w:r>
            <w:r w:rsidR="007C3C8C">
              <w:rPr>
                <w:noProof/>
                <w:webHidden/>
              </w:rPr>
              <w:fldChar w:fldCharType="begin"/>
            </w:r>
            <w:r w:rsidR="007C3C8C">
              <w:rPr>
                <w:noProof/>
                <w:webHidden/>
              </w:rPr>
              <w:instrText xml:space="preserve"> PAGEREF _Toc152067302 \h </w:instrText>
            </w:r>
            <w:r w:rsidR="007C3C8C">
              <w:rPr>
                <w:noProof/>
                <w:webHidden/>
              </w:rPr>
            </w:r>
            <w:r w:rsidR="007C3C8C">
              <w:rPr>
                <w:noProof/>
                <w:webHidden/>
              </w:rPr>
              <w:fldChar w:fldCharType="separate"/>
            </w:r>
            <w:r w:rsidR="00365A2B">
              <w:rPr>
                <w:noProof/>
                <w:webHidden/>
              </w:rPr>
              <w:t>6</w:t>
            </w:r>
            <w:r w:rsidR="007C3C8C">
              <w:rPr>
                <w:noProof/>
                <w:webHidden/>
              </w:rPr>
              <w:fldChar w:fldCharType="end"/>
            </w:r>
          </w:hyperlink>
        </w:p>
        <w:p w14:paraId="7B43C8B2" w14:textId="3C8EA92D" w:rsidR="007C3C8C" w:rsidRDefault="00E12C0A">
          <w:pPr>
            <w:pStyle w:val="TOC2"/>
            <w:rPr>
              <w:noProof/>
              <w:kern w:val="2"/>
              <w:lang w:eastAsia="en-AU"/>
              <w14:ligatures w14:val="standardContextual"/>
            </w:rPr>
          </w:pPr>
          <w:hyperlink w:anchor="_Toc152067303" w:history="1">
            <w:r w:rsidR="007C3C8C" w:rsidRPr="00230AB0">
              <w:rPr>
                <w:rStyle w:val="Hyperlink"/>
                <w:noProof/>
              </w:rPr>
              <w:t>3.</w:t>
            </w:r>
            <w:r w:rsidR="007C3C8C">
              <w:rPr>
                <w:noProof/>
                <w:kern w:val="2"/>
                <w:lang w:eastAsia="en-AU"/>
                <w14:ligatures w14:val="standardContextual"/>
              </w:rPr>
              <w:tab/>
            </w:r>
            <w:r w:rsidR="007C3C8C" w:rsidRPr="00230AB0">
              <w:rPr>
                <w:rStyle w:val="Hyperlink"/>
                <w:noProof/>
              </w:rPr>
              <w:t>Guiding principles</w:t>
            </w:r>
            <w:r w:rsidR="007C3C8C">
              <w:rPr>
                <w:noProof/>
                <w:webHidden/>
              </w:rPr>
              <w:tab/>
            </w:r>
            <w:r w:rsidR="007C3C8C">
              <w:rPr>
                <w:noProof/>
                <w:webHidden/>
              </w:rPr>
              <w:fldChar w:fldCharType="begin"/>
            </w:r>
            <w:r w:rsidR="007C3C8C">
              <w:rPr>
                <w:noProof/>
                <w:webHidden/>
              </w:rPr>
              <w:instrText xml:space="preserve"> PAGEREF _Toc152067303 \h </w:instrText>
            </w:r>
            <w:r w:rsidR="007C3C8C">
              <w:rPr>
                <w:noProof/>
                <w:webHidden/>
              </w:rPr>
            </w:r>
            <w:r w:rsidR="007C3C8C">
              <w:rPr>
                <w:noProof/>
                <w:webHidden/>
              </w:rPr>
              <w:fldChar w:fldCharType="separate"/>
            </w:r>
            <w:r w:rsidR="00365A2B">
              <w:rPr>
                <w:noProof/>
                <w:webHidden/>
              </w:rPr>
              <w:t>7</w:t>
            </w:r>
            <w:r w:rsidR="007C3C8C">
              <w:rPr>
                <w:noProof/>
                <w:webHidden/>
              </w:rPr>
              <w:fldChar w:fldCharType="end"/>
            </w:r>
          </w:hyperlink>
        </w:p>
        <w:p w14:paraId="72775E14" w14:textId="7943FF65" w:rsidR="007C3C8C" w:rsidRDefault="00E12C0A">
          <w:pPr>
            <w:pStyle w:val="TOC2"/>
            <w:rPr>
              <w:noProof/>
              <w:kern w:val="2"/>
              <w:lang w:eastAsia="en-AU"/>
              <w14:ligatures w14:val="standardContextual"/>
            </w:rPr>
          </w:pPr>
          <w:hyperlink w:anchor="_Toc152067304" w:history="1">
            <w:r w:rsidR="007C3C8C" w:rsidRPr="00230AB0">
              <w:rPr>
                <w:rStyle w:val="Hyperlink"/>
                <w:noProof/>
              </w:rPr>
              <w:t>4.</w:t>
            </w:r>
            <w:r w:rsidR="007C3C8C">
              <w:rPr>
                <w:noProof/>
                <w:kern w:val="2"/>
                <w:lang w:eastAsia="en-AU"/>
                <w14:ligatures w14:val="standardContextual"/>
              </w:rPr>
              <w:tab/>
            </w:r>
            <w:r w:rsidR="007C3C8C" w:rsidRPr="00230AB0">
              <w:rPr>
                <w:rStyle w:val="Hyperlink"/>
                <w:noProof/>
              </w:rPr>
              <w:t>Common terms and phrases</w:t>
            </w:r>
            <w:r w:rsidR="007C3C8C">
              <w:rPr>
                <w:noProof/>
                <w:webHidden/>
              </w:rPr>
              <w:tab/>
            </w:r>
            <w:r w:rsidR="007C3C8C">
              <w:rPr>
                <w:noProof/>
                <w:webHidden/>
              </w:rPr>
              <w:fldChar w:fldCharType="begin"/>
            </w:r>
            <w:r w:rsidR="007C3C8C">
              <w:rPr>
                <w:noProof/>
                <w:webHidden/>
              </w:rPr>
              <w:instrText xml:space="preserve"> PAGEREF _Toc152067304 \h </w:instrText>
            </w:r>
            <w:r w:rsidR="007C3C8C">
              <w:rPr>
                <w:noProof/>
                <w:webHidden/>
              </w:rPr>
            </w:r>
            <w:r w:rsidR="007C3C8C">
              <w:rPr>
                <w:noProof/>
                <w:webHidden/>
              </w:rPr>
              <w:fldChar w:fldCharType="separate"/>
            </w:r>
            <w:r w:rsidR="00365A2B">
              <w:rPr>
                <w:noProof/>
                <w:webHidden/>
              </w:rPr>
              <w:t>7</w:t>
            </w:r>
            <w:r w:rsidR="007C3C8C">
              <w:rPr>
                <w:noProof/>
                <w:webHidden/>
              </w:rPr>
              <w:fldChar w:fldCharType="end"/>
            </w:r>
          </w:hyperlink>
        </w:p>
        <w:p w14:paraId="68612A90" w14:textId="6F996448" w:rsidR="007C3C8C" w:rsidRDefault="00E12C0A">
          <w:pPr>
            <w:pStyle w:val="TOC2"/>
            <w:rPr>
              <w:noProof/>
              <w:kern w:val="2"/>
              <w:lang w:eastAsia="en-AU"/>
              <w14:ligatures w14:val="standardContextual"/>
            </w:rPr>
          </w:pPr>
          <w:hyperlink w:anchor="_Toc152067305" w:history="1">
            <w:r w:rsidR="007C3C8C" w:rsidRPr="00230AB0">
              <w:rPr>
                <w:rStyle w:val="Hyperlink"/>
                <w:noProof/>
              </w:rPr>
              <w:t>4.1.</w:t>
            </w:r>
            <w:r w:rsidR="007C3C8C">
              <w:rPr>
                <w:noProof/>
                <w:kern w:val="2"/>
                <w:lang w:eastAsia="en-AU"/>
                <w14:ligatures w14:val="standardContextual"/>
              </w:rPr>
              <w:tab/>
            </w:r>
            <w:r w:rsidR="007C3C8C" w:rsidRPr="00230AB0">
              <w:rPr>
                <w:rStyle w:val="Hyperlink"/>
                <w:noProof/>
              </w:rPr>
              <w:t>Contribute to</w:t>
            </w:r>
            <w:r w:rsidR="007C3C8C">
              <w:rPr>
                <w:noProof/>
                <w:webHidden/>
              </w:rPr>
              <w:tab/>
            </w:r>
            <w:r w:rsidR="007C3C8C">
              <w:rPr>
                <w:noProof/>
                <w:webHidden/>
              </w:rPr>
              <w:fldChar w:fldCharType="begin"/>
            </w:r>
            <w:r w:rsidR="007C3C8C">
              <w:rPr>
                <w:noProof/>
                <w:webHidden/>
              </w:rPr>
              <w:instrText xml:space="preserve"> PAGEREF _Toc152067305 \h </w:instrText>
            </w:r>
            <w:r w:rsidR="007C3C8C">
              <w:rPr>
                <w:noProof/>
                <w:webHidden/>
              </w:rPr>
            </w:r>
            <w:r w:rsidR="007C3C8C">
              <w:rPr>
                <w:noProof/>
                <w:webHidden/>
              </w:rPr>
              <w:fldChar w:fldCharType="separate"/>
            </w:r>
            <w:r w:rsidR="00365A2B">
              <w:rPr>
                <w:noProof/>
                <w:webHidden/>
              </w:rPr>
              <w:t>7</w:t>
            </w:r>
            <w:r w:rsidR="007C3C8C">
              <w:rPr>
                <w:noProof/>
                <w:webHidden/>
              </w:rPr>
              <w:fldChar w:fldCharType="end"/>
            </w:r>
          </w:hyperlink>
        </w:p>
        <w:p w14:paraId="72AAB58B" w14:textId="141647BC" w:rsidR="007C3C8C" w:rsidRDefault="00E12C0A">
          <w:pPr>
            <w:pStyle w:val="TOC2"/>
            <w:rPr>
              <w:noProof/>
              <w:kern w:val="2"/>
              <w:lang w:eastAsia="en-AU"/>
              <w14:ligatures w14:val="standardContextual"/>
            </w:rPr>
          </w:pPr>
          <w:hyperlink w:anchor="_Toc152067306" w:history="1">
            <w:r w:rsidR="007C3C8C" w:rsidRPr="00230AB0">
              <w:rPr>
                <w:rStyle w:val="Hyperlink"/>
                <w:noProof/>
              </w:rPr>
              <w:t>4.2.</w:t>
            </w:r>
            <w:r w:rsidR="007C3C8C">
              <w:rPr>
                <w:noProof/>
                <w:kern w:val="2"/>
                <w:lang w:eastAsia="en-AU"/>
                <w14:ligatures w14:val="standardContextual"/>
              </w:rPr>
              <w:tab/>
            </w:r>
            <w:r w:rsidR="007C3C8C" w:rsidRPr="00230AB0">
              <w:rPr>
                <w:rStyle w:val="Hyperlink"/>
                <w:noProof/>
              </w:rPr>
              <w:t>Impede</w:t>
            </w:r>
            <w:r w:rsidR="007C3C8C">
              <w:rPr>
                <w:noProof/>
                <w:webHidden/>
              </w:rPr>
              <w:tab/>
            </w:r>
            <w:r w:rsidR="007C3C8C">
              <w:rPr>
                <w:noProof/>
                <w:webHidden/>
              </w:rPr>
              <w:fldChar w:fldCharType="begin"/>
            </w:r>
            <w:r w:rsidR="007C3C8C">
              <w:rPr>
                <w:noProof/>
                <w:webHidden/>
              </w:rPr>
              <w:instrText xml:space="preserve"> PAGEREF _Toc152067306 \h </w:instrText>
            </w:r>
            <w:r w:rsidR="007C3C8C">
              <w:rPr>
                <w:noProof/>
                <w:webHidden/>
              </w:rPr>
            </w:r>
            <w:r w:rsidR="007C3C8C">
              <w:rPr>
                <w:noProof/>
                <w:webHidden/>
              </w:rPr>
              <w:fldChar w:fldCharType="separate"/>
            </w:r>
            <w:r w:rsidR="00365A2B">
              <w:rPr>
                <w:noProof/>
                <w:webHidden/>
              </w:rPr>
              <w:t>7</w:t>
            </w:r>
            <w:r w:rsidR="007C3C8C">
              <w:rPr>
                <w:noProof/>
                <w:webHidden/>
              </w:rPr>
              <w:fldChar w:fldCharType="end"/>
            </w:r>
          </w:hyperlink>
        </w:p>
        <w:p w14:paraId="1A039088" w14:textId="425F7960" w:rsidR="007C3C8C" w:rsidRDefault="00E12C0A">
          <w:pPr>
            <w:pStyle w:val="TOC2"/>
            <w:rPr>
              <w:noProof/>
              <w:kern w:val="2"/>
              <w:lang w:eastAsia="en-AU"/>
              <w14:ligatures w14:val="standardContextual"/>
            </w:rPr>
          </w:pPr>
          <w:hyperlink w:anchor="_Toc152067307" w:history="1">
            <w:r w:rsidR="007C3C8C" w:rsidRPr="00230AB0">
              <w:rPr>
                <w:rStyle w:val="Hyperlink"/>
                <w:noProof/>
              </w:rPr>
              <w:t>4.3.</w:t>
            </w:r>
            <w:r w:rsidR="007C3C8C">
              <w:rPr>
                <w:noProof/>
                <w:kern w:val="2"/>
                <w:lang w:eastAsia="en-AU"/>
                <w14:ligatures w14:val="standardContextual"/>
              </w:rPr>
              <w:tab/>
            </w:r>
            <w:r w:rsidR="007C3C8C" w:rsidRPr="00230AB0">
              <w:rPr>
                <w:rStyle w:val="Hyperlink"/>
                <w:noProof/>
              </w:rPr>
              <w:t>In the possession of</w:t>
            </w:r>
            <w:r w:rsidR="007C3C8C">
              <w:rPr>
                <w:noProof/>
                <w:webHidden/>
              </w:rPr>
              <w:tab/>
            </w:r>
            <w:r w:rsidR="007C3C8C">
              <w:rPr>
                <w:noProof/>
                <w:webHidden/>
              </w:rPr>
              <w:fldChar w:fldCharType="begin"/>
            </w:r>
            <w:r w:rsidR="007C3C8C">
              <w:rPr>
                <w:noProof/>
                <w:webHidden/>
              </w:rPr>
              <w:instrText xml:space="preserve"> PAGEREF _Toc152067307 \h </w:instrText>
            </w:r>
            <w:r w:rsidR="007C3C8C">
              <w:rPr>
                <w:noProof/>
                <w:webHidden/>
              </w:rPr>
            </w:r>
            <w:r w:rsidR="007C3C8C">
              <w:rPr>
                <w:noProof/>
                <w:webHidden/>
              </w:rPr>
              <w:fldChar w:fldCharType="separate"/>
            </w:r>
            <w:r w:rsidR="00365A2B">
              <w:rPr>
                <w:noProof/>
                <w:webHidden/>
              </w:rPr>
              <w:t>8</w:t>
            </w:r>
            <w:r w:rsidR="007C3C8C">
              <w:rPr>
                <w:noProof/>
                <w:webHidden/>
              </w:rPr>
              <w:fldChar w:fldCharType="end"/>
            </w:r>
          </w:hyperlink>
        </w:p>
        <w:p w14:paraId="15CC6EC7" w14:textId="56A6A1A6" w:rsidR="007C3C8C" w:rsidRDefault="00E12C0A">
          <w:pPr>
            <w:pStyle w:val="TOC2"/>
            <w:rPr>
              <w:noProof/>
              <w:kern w:val="2"/>
              <w:lang w:eastAsia="en-AU"/>
              <w14:ligatures w14:val="standardContextual"/>
            </w:rPr>
          </w:pPr>
          <w:hyperlink w:anchor="_Toc152067308" w:history="1">
            <w:r w:rsidR="007C3C8C" w:rsidRPr="00230AB0">
              <w:rPr>
                <w:rStyle w:val="Hyperlink"/>
                <w:noProof/>
              </w:rPr>
              <w:t>4.4.</w:t>
            </w:r>
            <w:r w:rsidR="007C3C8C">
              <w:rPr>
                <w:noProof/>
                <w:kern w:val="2"/>
                <w:lang w:eastAsia="en-AU"/>
                <w14:ligatures w14:val="standardContextual"/>
              </w:rPr>
              <w:tab/>
            </w:r>
            <w:r w:rsidR="007C3C8C" w:rsidRPr="00230AB0">
              <w:rPr>
                <w:rStyle w:val="Hyperlink"/>
                <w:noProof/>
              </w:rPr>
              <w:t>Prejudice</w:t>
            </w:r>
            <w:r w:rsidR="007C3C8C">
              <w:rPr>
                <w:noProof/>
                <w:webHidden/>
              </w:rPr>
              <w:tab/>
            </w:r>
            <w:r w:rsidR="007C3C8C">
              <w:rPr>
                <w:noProof/>
                <w:webHidden/>
              </w:rPr>
              <w:fldChar w:fldCharType="begin"/>
            </w:r>
            <w:r w:rsidR="007C3C8C">
              <w:rPr>
                <w:noProof/>
                <w:webHidden/>
              </w:rPr>
              <w:instrText xml:space="preserve"> PAGEREF _Toc152067308 \h </w:instrText>
            </w:r>
            <w:r w:rsidR="007C3C8C">
              <w:rPr>
                <w:noProof/>
                <w:webHidden/>
              </w:rPr>
            </w:r>
            <w:r w:rsidR="007C3C8C">
              <w:rPr>
                <w:noProof/>
                <w:webHidden/>
              </w:rPr>
              <w:fldChar w:fldCharType="separate"/>
            </w:r>
            <w:r w:rsidR="00365A2B">
              <w:rPr>
                <w:noProof/>
                <w:webHidden/>
              </w:rPr>
              <w:t>8</w:t>
            </w:r>
            <w:r w:rsidR="007C3C8C">
              <w:rPr>
                <w:noProof/>
                <w:webHidden/>
              </w:rPr>
              <w:fldChar w:fldCharType="end"/>
            </w:r>
          </w:hyperlink>
        </w:p>
        <w:p w14:paraId="5EC272B3" w14:textId="6D32F757" w:rsidR="007C3C8C" w:rsidRDefault="00E12C0A">
          <w:pPr>
            <w:pStyle w:val="TOC2"/>
            <w:rPr>
              <w:noProof/>
              <w:kern w:val="2"/>
              <w:lang w:eastAsia="en-AU"/>
              <w14:ligatures w14:val="standardContextual"/>
            </w:rPr>
          </w:pPr>
          <w:hyperlink w:anchor="_Toc152067309" w:history="1">
            <w:r w:rsidR="007C3C8C" w:rsidRPr="00230AB0">
              <w:rPr>
                <w:rStyle w:val="Hyperlink"/>
                <w:noProof/>
              </w:rPr>
              <w:t>4.5.</w:t>
            </w:r>
            <w:r w:rsidR="007C3C8C">
              <w:rPr>
                <w:noProof/>
                <w:kern w:val="2"/>
                <w:lang w:eastAsia="en-AU"/>
                <w14:ligatures w14:val="standardContextual"/>
              </w:rPr>
              <w:tab/>
            </w:r>
            <w:r w:rsidR="007C3C8C" w:rsidRPr="00230AB0">
              <w:rPr>
                <w:rStyle w:val="Hyperlink"/>
                <w:noProof/>
              </w:rPr>
              <w:t>Public interest</w:t>
            </w:r>
            <w:r w:rsidR="007C3C8C">
              <w:rPr>
                <w:noProof/>
                <w:webHidden/>
              </w:rPr>
              <w:tab/>
            </w:r>
            <w:r w:rsidR="007C3C8C">
              <w:rPr>
                <w:noProof/>
                <w:webHidden/>
              </w:rPr>
              <w:fldChar w:fldCharType="begin"/>
            </w:r>
            <w:r w:rsidR="007C3C8C">
              <w:rPr>
                <w:noProof/>
                <w:webHidden/>
              </w:rPr>
              <w:instrText xml:space="preserve"> PAGEREF _Toc152067309 \h </w:instrText>
            </w:r>
            <w:r w:rsidR="007C3C8C">
              <w:rPr>
                <w:noProof/>
                <w:webHidden/>
              </w:rPr>
            </w:r>
            <w:r w:rsidR="007C3C8C">
              <w:rPr>
                <w:noProof/>
                <w:webHidden/>
              </w:rPr>
              <w:fldChar w:fldCharType="separate"/>
            </w:r>
            <w:r w:rsidR="00365A2B">
              <w:rPr>
                <w:noProof/>
                <w:webHidden/>
              </w:rPr>
              <w:t>9</w:t>
            </w:r>
            <w:r w:rsidR="007C3C8C">
              <w:rPr>
                <w:noProof/>
                <w:webHidden/>
              </w:rPr>
              <w:fldChar w:fldCharType="end"/>
            </w:r>
          </w:hyperlink>
        </w:p>
        <w:p w14:paraId="64B735E2" w14:textId="4E004F4C" w:rsidR="007C3C8C" w:rsidRDefault="00E12C0A">
          <w:pPr>
            <w:pStyle w:val="TOC2"/>
            <w:rPr>
              <w:noProof/>
              <w:kern w:val="2"/>
              <w:lang w:eastAsia="en-AU"/>
              <w14:ligatures w14:val="standardContextual"/>
            </w:rPr>
          </w:pPr>
          <w:hyperlink w:anchor="_Toc152067310" w:history="1">
            <w:r w:rsidR="007C3C8C" w:rsidRPr="00230AB0">
              <w:rPr>
                <w:rStyle w:val="Hyperlink"/>
                <w:noProof/>
              </w:rPr>
              <w:t>4.6.</w:t>
            </w:r>
            <w:r w:rsidR="007C3C8C">
              <w:rPr>
                <w:noProof/>
                <w:kern w:val="2"/>
                <w:lang w:eastAsia="en-AU"/>
                <w14:ligatures w14:val="standardContextual"/>
              </w:rPr>
              <w:tab/>
            </w:r>
            <w:r w:rsidR="007C3C8C" w:rsidRPr="00230AB0">
              <w:rPr>
                <w:rStyle w:val="Hyperlink"/>
                <w:noProof/>
              </w:rPr>
              <w:t>Would or could reasonably be expected to</w:t>
            </w:r>
            <w:r w:rsidR="007C3C8C">
              <w:rPr>
                <w:noProof/>
                <w:webHidden/>
              </w:rPr>
              <w:tab/>
            </w:r>
            <w:r w:rsidR="007C3C8C">
              <w:rPr>
                <w:noProof/>
                <w:webHidden/>
              </w:rPr>
              <w:fldChar w:fldCharType="begin"/>
            </w:r>
            <w:r w:rsidR="007C3C8C">
              <w:rPr>
                <w:noProof/>
                <w:webHidden/>
              </w:rPr>
              <w:instrText xml:space="preserve"> PAGEREF _Toc152067310 \h </w:instrText>
            </w:r>
            <w:r w:rsidR="007C3C8C">
              <w:rPr>
                <w:noProof/>
                <w:webHidden/>
              </w:rPr>
            </w:r>
            <w:r w:rsidR="007C3C8C">
              <w:rPr>
                <w:noProof/>
                <w:webHidden/>
              </w:rPr>
              <w:fldChar w:fldCharType="separate"/>
            </w:r>
            <w:r w:rsidR="00365A2B">
              <w:rPr>
                <w:noProof/>
                <w:webHidden/>
              </w:rPr>
              <w:t>9</w:t>
            </w:r>
            <w:r w:rsidR="007C3C8C">
              <w:rPr>
                <w:noProof/>
                <w:webHidden/>
              </w:rPr>
              <w:fldChar w:fldCharType="end"/>
            </w:r>
          </w:hyperlink>
        </w:p>
        <w:p w14:paraId="639B1EC7" w14:textId="481421C1" w:rsidR="007C3C8C" w:rsidRDefault="00E12C0A">
          <w:pPr>
            <w:pStyle w:val="TOC2"/>
            <w:rPr>
              <w:noProof/>
              <w:kern w:val="2"/>
              <w:lang w:eastAsia="en-AU"/>
              <w14:ligatures w14:val="standardContextual"/>
            </w:rPr>
          </w:pPr>
          <w:hyperlink w:anchor="_Toc152067311" w:history="1">
            <w:r w:rsidR="007C3C8C" w:rsidRPr="00230AB0">
              <w:rPr>
                <w:rStyle w:val="Hyperlink"/>
                <w:noProof/>
              </w:rPr>
              <w:t>4.7.</w:t>
            </w:r>
            <w:r w:rsidR="007C3C8C">
              <w:rPr>
                <w:noProof/>
                <w:kern w:val="2"/>
                <w:lang w:eastAsia="en-AU"/>
                <w14:ligatures w14:val="standardContextual"/>
              </w:rPr>
              <w:tab/>
            </w:r>
            <w:r w:rsidR="007C3C8C" w:rsidRPr="00230AB0">
              <w:rPr>
                <w:rStyle w:val="Hyperlink"/>
                <w:noProof/>
              </w:rPr>
              <w:t>Contrary to the public interest information</w:t>
            </w:r>
            <w:r w:rsidR="007C3C8C">
              <w:rPr>
                <w:noProof/>
                <w:webHidden/>
              </w:rPr>
              <w:tab/>
            </w:r>
            <w:r w:rsidR="007C3C8C">
              <w:rPr>
                <w:noProof/>
                <w:webHidden/>
              </w:rPr>
              <w:fldChar w:fldCharType="begin"/>
            </w:r>
            <w:r w:rsidR="007C3C8C">
              <w:rPr>
                <w:noProof/>
                <w:webHidden/>
              </w:rPr>
              <w:instrText xml:space="preserve"> PAGEREF _Toc152067311 \h </w:instrText>
            </w:r>
            <w:r w:rsidR="007C3C8C">
              <w:rPr>
                <w:noProof/>
                <w:webHidden/>
              </w:rPr>
            </w:r>
            <w:r w:rsidR="007C3C8C">
              <w:rPr>
                <w:noProof/>
                <w:webHidden/>
              </w:rPr>
              <w:fldChar w:fldCharType="separate"/>
            </w:r>
            <w:r w:rsidR="00365A2B">
              <w:rPr>
                <w:noProof/>
                <w:webHidden/>
              </w:rPr>
              <w:t>10</w:t>
            </w:r>
            <w:r w:rsidR="007C3C8C">
              <w:rPr>
                <w:noProof/>
                <w:webHidden/>
              </w:rPr>
              <w:fldChar w:fldCharType="end"/>
            </w:r>
          </w:hyperlink>
        </w:p>
        <w:p w14:paraId="50F8A5EA" w14:textId="15E15895" w:rsidR="007C3C8C" w:rsidRDefault="00E12C0A">
          <w:pPr>
            <w:pStyle w:val="TOC2"/>
            <w:rPr>
              <w:noProof/>
              <w:kern w:val="2"/>
              <w:lang w:eastAsia="en-AU"/>
              <w14:ligatures w14:val="standardContextual"/>
            </w:rPr>
          </w:pPr>
          <w:hyperlink w:anchor="_Toc152067312" w:history="1">
            <w:r w:rsidR="007C3C8C" w:rsidRPr="00230AB0">
              <w:rPr>
                <w:rStyle w:val="Hyperlink"/>
                <w:noProof/>
              </w:rPr>
              <w:t>5.</w:t>
            </w:r>
            <w:r w:rsidR="007C3C8C">
              <w:rPr>
                <w:noProof/>
                <w:kern w:val="2"/>
                <w:lang w:eastAsia="en-AU"/>
                <w14:ligatures w14:val="standardContextual"/>
              </w:rPr>
              <w:tab/>
            </w:r>
            <w:r w:rsidR="007C3C8C" w:rsidRPr="00230AB0">
              <w:rPr>
                <w:rStyle w:val="Hyperlink"/>
                <w:noProof/>
              </w:rPr>
              <w:t>Schedule 1 – Information disclosure of which is taken to be contrary to the public interest</w:t>
            </w:r>
            <w:r w:rsidR="007C3C8C">
              <w:rPr>
                <w:noProof/>
                <w:webHidden/>
              </w:rPr>
              <w:tab/>
            </w:r>
            <w:r w:rsidR="007C3C8C">
              <w:rPr>
                <w:noProof/>
                <w:webHidden/>
              </w:rPr>
              <w:fldChar w:fldCharType="begin"/>
            </w:r>
            <w:r w:rsidR="007C3C8C">
              <w:rPr>
                <w:noProof/>
                <w:webHidden/>
              </w:rPr>
              <w:instrText xml:space="preserve"> PAGEREF _Toc152067312 \h </w:instrText>
            </w:r>
            <w:r w:rsidR="007C3C8C">
              <w:rPr>
                <w:noProof/>
                <w:webHidden/>
              </w:rPr>
            </w:r>
            <w:r w:rsidR="007C3C8C">
              <w:rPr>
                <w:noProof/>
                <w:webHidden/>
              </w:rPr>
              <w:fldChar w:fldCharType="separate"/>
            </w:r>
            <w:r w:rsidR="00365A2B">
              <w:rPr>
                <w:noProof/>
                <w:webHidden/>
              </w:rPr>
              <w:t>10</w:t>
            </w:r>
            <w:r w:rsidR="007C3C8C">
              <w:rPr>
                <w:noProof/>
                <w:webHidden/>
              </w:rPr>
              <w:fldChar w:fldCharType="end"/>
            </w:r>
          </w:hyperlink>
        </w:p>
        <w:p w14:paraId="6E01D1E1" w14:textId="036078A2" w:rsidR="007C3C8C" w:rsidRDefault="00E12C0A">
          <w:pPr>
            <w:pStyle w:val="TOC2"/>
            <w:rPr>
              <w:noProof/>
              <w:kern w:val="2"/>
              <w:lang w:eastAsia="en-AU"/>
              <w14:ligatures w14:val="standardContextual"/>
            </w:rPr>
          </w:pPr>
          <w:hyperlink w:anchor="_Toc152067313" w:history="1">
            <w:r w:rsidR="007C3C8C" w:rsidRPr="00230AB0">
              <w:rPr>
                <w:rStyle w:val="Hyperlink"/>
                <w:noProof/>
              </w:rPr>
              <w:t>5.1.</w:t>
            </w:r>
            <w:r w:rsidR="007C3C8C">
              <w:rPr>
                <w:noProof/>
                <w:kern w:val="2"/>
                <w:lang w:eastAsia="en-AU"/>
                <w14:ligatures w14:val="standardContextual"/>
              </w:rPr>
              <w:tab/>
            </w:r>
            <w:r w:rsidR="007C3C8C" w:rsidRPr="00230AB0">
              <w:rPr>
                <w:rStyle w:val="Hyperlink"/>
                <w:noProof/>
              </w:rPr>
              <w:t>Schedule 1 – Exceptions</w:t>
            </w:r>
            <w:r w:rsidR="007C3C8C">
              <w:rPr>
                <w:noProof/>
                <w:webHidden/>
              </w:rPr>
              <w:tab/>
            </w:r>
            <w:r w:rsidR="007C3C8C">
              <w:rPr>
                <w:noProof/>
                <w:webHidden/>
              </w:rPr>
              <w:fldChar w:fldCharType="begin"/>
            </w:r>
            <w:r w:rsidR="007C3C8C">
              <w:rPr>
                <w:noProof/>
                <w:webHidden/>
              </w:rPr>
              <w:instrText xml:space="preserve"> PAGEREF _Toc152067313 \h </w:instrText>
            </w:r>
            <w:r w:rsidR="007C3C8C">
              <w:rPr>
                <w:noProof/>
                <w:webHidden/>
              </w:rPr>
            </w:r>
            <w:r w:rsidR="007C3C8C">
              <w:rPr>
                <w:noProof/>
                <w:webHidden/>
              </w:rPr>
              <w:fldChar w:fldCharType="separate"/>
            </w:r>
            <w:r w:rsidR="00365A2B">
              <w:rPr>
                <w:noProof/>
                <w:webHidden/>
              </w:rPr>
              <w:t>11</w:t>
            </w:r>
            <w:r w:rsidR="007C3C8C">
              <w:rPr>
                <w:noProof/>
                <w:webHidden/>
              </w:rPr>
              <w:fldChar w:fldCharType="end"/>
            </w:r>
          </w:hyperlink>
        </w:p>
        <w:p w14:paraId="56DD96B4" w14:textId="0368D546" w:rsidR="007C3C8C" w:rsidRDefault="00E12C0A">
          <w:pPr>
            <w:pStyle w:val="TOC2"/>
            <w:rPr>
              <w:noProof/>
              <w:kern w:val="2"/>
              <w:lang w:eastAsia="en-AU"/>
              <w14:ligatures w14:val="standardContextual"/>
            </w:rPr>
          </w:pPr>
          <w:hyperlink w:anchor="_Toc152067314" w:history="1">
            <w:r w:rsidR="007C3C8C" w:rsidRPr="00230AB0">
              <w:rPr>
                <w:rStyle w:val="Hyperlink"/>
                <w:noProof/>
              </w:rPr>
              <w:t>5.2.</w:t>
            </w:r>
            <w:r w:rsidR="007C3C8C">
              <w:rPr>
                <w:noProof/>
                <w:kern w:val="2"/>
                <w:lang w:eastAsia="en-AU"/>
                <w14:ligatures w14:val="standardContextual"/>
              </w:rPr>
              <w:tab/>
            </w:r>
            <w:r w:rsidR="007C3C8C" w:rsidRPr="00230AB0">
              <w:rPr>
                <w:rStyle w:val="Hyperlink"/>
                <w:noProof/>
              </w:rPr>
              <w:t>Section 1.1 – Information disclosure of which would be contempt of court or Legislative Assembly etc</w:t>
            </w:r>
            <w:r w:rsidR="007C3C8C">
              <w:rPr>
                <w:noProof/>
                <w:webHidden/>
              </w:rPr>
              <w:tab/>
            </w:r>
            <w:r w:rsidR="007C3C8C">
              <w:rPr>
                <w:noProof/>
                <w:webHidden/>
              </w:rPr>
              <w:fldChar w:fldCharType="begin"/>
            </w:r>
            <w:r w:rsidR="007C3C8C">
              <w:rPr>
                <w:noProof/>
                <w:webHidden/>
              </w:rPr>
              <w:instrText xml:space="preserve"> PAGEREF _Toc152067314 \h </w:instrText>
            </w:r>
            <w:r w:rsidR="007C3C8C">
              <w:rPr>
                <w:noProof/>
                <w:webHidden/>
              </w:rPr>
            </w:r>
            <w:r w:rsidR="007C3C8C">
              <w:rPr>
                <w:noProof/>
                <w:webHidden/>
              </w:rPr>
              <w:fldChar w:fldCharType="separate"/>
            </w:r>
            <w:r w:rsidR="00365A2B">
              <w:rPr>
                <w:noProof/>
                <w:webHidden/>
              </w:rPr>
              <w:t>11</w:t>
            </w:r>
            <w:r w:rsidR="007C3C8C">
              <w:rPr>
                <w:noProof/>
                <w:webHidden/>
              </w:rPr>
              <w:fldChar w:fldCharType="end"/>
            </w:r>
          </w:hyperlink>
        </w:p>
        <w:p w14:paraId="0DEB5BDF" w14:textId="6A56C00B" w:rsidR="007C3C8C" w:rsidRDefault="00E12C0A">
          <w:pPr>
            <w:pStyle w:val="TOC2"/>
            <w:rPr>
              <w:noProof/>
              <w:kern w:val="2"/>
              <w:lang w:eastAsia="en-AU"/>
              <w14:ligatures w14:val="standardContextual"/>
            </w:rPr>
          </w:pPr>
          <w:hyperlink w:anchor="_Toc152067315" w:history="1">
            <w:r w:rsidR="007C3C8C" w:rsidRPr="00230AB0">
              <w:rPr>
                <w:rStyle w:val="Hyperlink"/>
                <w:noProof/>
              </w:rPr>
              <w:t>5.3.</w:t>
            </w:r>
            <w:r w:rsidR="007C3C8C">
              <w:rPr>
                <w:noProof/>
                <w:kern w:val="2"/>
                <w:lang w:eastAsia="en-AU"/>
                <w14:ligatures w14:val="standardContextual"/>
              </w:rPr>
              <w:tab/>
            </w:r>
            <w:r w:rsidR="007C3C8C" w:rsidRPr="00230AB0">
              <w:rPr>
                <w:rStyle w:val="Hyperlink"/>
                <w:noProof/>
              </w:rPr>
              <w:t>Section 1.1A – Information in possession of a court or tribunal</w:t>
            </w:r>
            <w:r w:rsidR="007C3C8C">
              <w:rPr>
                <w:noProof/>
                <w:webHidden/>
              </w:rPr>
              <w:tab/>
            </w:r>
            <w:r w:rsidR="007C3C8C">
              <w:rPr>
                <w:noProof/>
                <w:webHidden/>
              </w:rPr>
              <w:fldChar w:fldCharType="begin"/>
            </w:r>
            <w:r w:rsidR="007C3C8C">
              <w:rPr>
                <w:noProof/>
                <w:webHidden/>
              </w:rPr>
              <w:instrText xml:space="preserve"> PAGEREF _Toc152067315 \h </w:instrText>
            </w:r>
            <w:r w:rsidR="007C3C8C">
              <w:rPr>
                <w:noProof/>
                <w:webHidden/>
              </w:rPr>
            </w:r>
            <w:r w:rsidR="007C3C8C">
              <w:rPr>
                <w:noProof/>
                <w:webHidden/>
              </w:rPr>
              <w:fldChar w:fldCharType="separate"/>
            </w:r>
            <w:r w:rsidR="00365A2B">
              <w:rPr>
                <w:noProof/>
                <w:webHidden/>
              </w:rPr>
              <w:t>13</w:t>
            </w:r>
            <w:r w:rsidR="007C3C8C">
              <w:rPr>
                <w:noProof/>
                <w:webHidden/>
              </w:rPr>
              <w:fldChar w:fldCharType="end"/>
            </w:r>
          </w:hyperlink>
        </w:p>
        <w:p w14:paraId="193043BE" w14:textId="7E367D6E" w:rsidR="007C3C8C" w:rsidRDefault="00E12C0A">
          <w:pPr>
            <w:pStyle w:val="TOC2"/>
            <w:rPr>
              <w:noProof/>
              <w:kern w:val="2"/>
              <w:lang w:eastAsia="en-AU"/>
              <w14:ligatures w14:val="standardContextual"/>
            </w:rPr>
          </w:pPr>
          <w:hyperlink w:anchor="_Toc152067316" w:history="1">
            <w:r w:rsidR="007C3C8C" w:rsidRPr="00230AB0">
              <w:rPr>
                <w:rStyle w:val="Hyperlink"/>
                <w:noProof/>
              </w:rPr>
              <w:t>5.4.</w:t>
            </w:r>
            <w:r w:rsidR="007C3C8C">
              <w:rPr>
                <w:noProof/>
                <w:kern w:val="2"/>
                <w:lang w:eastAsia="en-AU"/>
                <w14:ligatures w14:val="standardContextual"/>
              </w:rPr>
              <w:tab/>
            </w:r>
            <w:r w:rsidR="007C3C8C" w:rsidRPr="00230AB0">
              <w:rPr>
                <w:rStyle w:val="Hyperlink"/>
                <w:noProof/>
              </w:rPr>
              <w:t>Section 1.1B – information in possession of integrity commission or inspector of the integrity commission</w:t>
            </w:r>
            <w:r w:rsidR="007C3C8C">
              <w:rPr>
                <w:noProof/>
                <w:webHidden/>
              </w:rPr>
              <w:tab/>
            </w:r>
            <w:r w:rsidR="007C3C8C">
              <w:rPr>
                <w:noProof/>
                <w:webHidden/>
              </w:rPr>
              <w:fldChar w:fldCharType="begin"/>
            </w:r>
            <w:r w:rsidR="007C3C8C">
              <w:rPr>
                <w:noProof/>
                <w:webHidden/>
              </w:rPr>
              <w:instrText xml:space="preserve"> PAGEREF _Toc152067316 \h </w:instrText>
            </w:r>
            <w:r w:rsidR="007C3C8C">
              <w:rPr>
                <w:noProof/>
                <w:webHidden/>
              </w:rPr>
            </w:r>
            <w:r w:rsidR="007C3C8C">
              <w:rPr>
                <w:noProof/>
                <w:webHidden/>
              </w:rPr>
              <w:fldChar w:fldCharType="separate"/>
            </w:r>
            <w:r w:rsidR="00365A2B">
              <w:rPr>
                <w:noProof/>
                <w:webHidden/>
              </w:rPr>
              <w:t>14</w:t>
            </w:r>
            <w:r w:rsidR="007C3C8C">
              <w:rPr>
                <w:noProof/>
                <w:webHidden/>
              </w:rPr>
              <w:fldChar w:fldCharType="end"/>
            </w:r>
          </w:hyperlink>
        </w:p>
        <w:p w14:paraId="6BA39FAB" w14:textId="770B02EC" w:rsidR="007C3C8C" w:rsidRDefault="00E12C0A">
          <w:pPr>
            <w:pStyle w:val="TOC2"/>
            <w:rPr>
              <w:noProof/>
              <w:kern w:val="2"/>
              <w:lang w:eastAsia="en-AU"/>
              <w14:ligatures w14:val="standardContextual"/>
            </w:rPr>
          </w:pPr>
          <w:hyperlink w:anchor="_Toc152067317" w:history="1">
            <w:r w:rsidR="007C3C8C" w:rsidRPr="00230AB0">
              <w:rPr>
                <w:rStyle w:val="Hyperlink"/>
                <w:noProof/>
              </w:rPr>
              <w:t>5.5.</w:t>
            </w:r>
            <w:r w:rsidR="007C3C8C">
              <w:rPr>
                <w:noProof/>
                <w:kern w:val="2"/>
                <w:lang w:eastAsia="en-AU"/>
                <w14:ligatures w14:val="standardContextual"/>
              </w:rPr>
              <w:tab/>
            </w:r>
            <w:r w:rsidR="007C3C8C" w:rsidRPr="00230AB0">
              <w:rPr>
                <w:rStyle w:val="Hyperlink"/>
                <w:noProof/>
              </w:rPr>
              <w:t>Section 1.2 – Information subject to legal professional privilege</w:t>
            </w:r>
            <w:r w:rsidR="007C3C8C">
              <w:rPr>
                <w:noProof/>
                <w:webHidden/>
              </w:rPr>
              <w:tab/>
            </w:r>
            <w:r w:rsidR="007C3C8C">
              <w:rPr>
                <w:noProof/>
                <w:webHidden/>
              </w:rPr>
              <w:fldChar w:fldCharType="begin"/>
            </w:r>
            <w:r w:rsidR="007C3C8C">
              <w:rPr>
                <w:noProof/>
                <w:webHidden/>
              </w:rPr>
              <w:instrText xml:space="preserve"> PAGEREF _Toc152067317 \h </w:instrText>
            </w:r>
            <w:r w:rsidR="007C3C8C">
              <w:rPr>
                <w:noProof/>
                <w:webHidden/>
              </w:rPr>
            </w:r>
            <w:r w:rsidR="007C3C8C">
              <w:rPr>
                <w:noProof/>
                <w:webHidden/>
              </w:rPr>
              <w:fldChar w:fldCharType="separate"/>
            </w:r>
            <w:r w:rsidR="00365A2B">
              <w:rPr>
                <w:noProof/>
                <w:webHidden/>
              </w:rPr>
              <w:t>15</w:t>
            </w:r>
            <w:r w:rsidR="007C3C8C">
              <w:rPr>
                <w:noProof/>
                <w:webHidden/>
              </w:rPr>
              <w:fldChar w:fldCharType="end"/>
            </w:r>
          </w:hyperlink>
        </w:p>
        <w:p w14:paraId="7F31668B" w14:textId="552FEB03" w:rsidR="007C3C8C" w:rsidRDefault="00E12C0A">
          <w:pPr>
            <w:pStyle w:val="TOC2"/>
            <w:rPr>
              <w:noProof/>
              <w:kern w:val="2"/>
              <w:lang w:eastAsia="en-AU"/>
              <w14:ligatures w14:val="standardContextual"/>
            </w:rPr>
          </w:pPr>
          <w:hyperlink w:anchor="_Toc152067318" w:history="1">
            <w:r w:rsidR="007C3C8C" w:rsidRPr="00230AB0">
              <w:rPr>
                <w:rStyle w:val="Hyperlink"/>
                <w:noProof/>
              </w:rPr>
              <w:t>5.6.</w:t>
            </w:r>
            <w:r w:rsidR="007C3C8C">
              <w:rPr>
                <w:noProof/>
                <w:kern w:val="2"/>
                <w:lang w:eastAsia="en-AU"/>
                <w14:ligatures w14:val="standardContextual"/>
              </w:rPr>
              <w:tab/>
            </w:r>
            <w:r w:rsidR="007C3C8C" w:rsidRPr="00230AB0">
              <w:rPr>
                <w:rStyle w:val="Hyperlink"/>
                <w:noProof/>
              </w:rPr>
              <w:t>Section 1.3 – Information disclosure of which is prohibited under law</w:t>
            </w:r>
            <w:r w:rsidR="007C3C8C">
              <w:rPr>
                <w:noProof/>
                <w:webHidden/>
              </w:rPr>
              <w:tab/>
            </w:r>
            <w:r w:rsidR="007C3C8C">
              <w:rPr>
                <w:noProof/>
                <w:webHidden/>
              </w:rPr>
              <w:fldChar w:fldCharType="begin"/>
            </w:r>
            <w:r w:rsidR="007C3C8C">
              <w:rPr>
                <w:noProof/>
                <w:webHidden/>
              </w:rPr>
              <w:instrText xml:space="preserve"> PAGEREF _Toc152067318 \h </w:instrText>
            </w:r>
            <w:r w:rsidR="007C3C8C">
              <w:rPr>
                <w:noProof/>
                <w:webHidden/>
              </w:rPr>
            </w:r>
            <w:r w:rsidR="007C3C8C">
              <w:rPr>
                <w:noProof/>
                <w:webHidden/>
              </w:rPr>
              <w:fldChar w:fldCharType="separate"/>
            </w:r>
            <w:r w:rsidR="00365A2B">
              <w:rPr>
                <w:noProof/>
                <w:webHidden/>
              </w:rPr>
              <w:t>19</w:t>
            </w:r>
            <w:r w:rsidR="007C3C8C">
              <w:rPr>
                <w:noProof/>
                <w:webHidden/>
              </w:rPr>
              <w:fldChar w:fldCharType="end"/>
            </w:r>
          </w:hyperlink>
        </w:p>
        <w:p w14:paraId="2537D36A" w14:textId="0920D6B4" w:rsidR="007C3C8C" w:rsidRDefault="00E12C0A">
          <w:pPr>
            <w:pStyle w:val="TOC2"/>
            <w:rPr>
              <w:noProof/>
              <w:kern w:val="2"/>
              <w:lang w:eastAsia="en-AU"/>
              <w14:ligatures w14:val="standardContextual"/>
            </w:rPr>
          </w:pPr>
          <w:hyperlink w:anchor="_Toc152067319" w:history="1">
            <w:r w:rsidR="007C3C8C" w:rsidRPr="00230AB0">
              <w:rPr>
                <w:rStyle w:val="Hyperlink"/>
                <w:noProof/>
              </w:rPr>
              <w:t>5.7.</w:t>
            </w:r>
            <w:r w:rsidR="007C3C8C">
              <w:rPr>
                <w:noProof/>
                <w:kern w:val="2"/>
                <w:lang w:eastAsia="en-AU"/>
                <w14:ligatures w14:val="standardContextual"/>
              </w:rPr>
              <w:tab/>
            </w:r>
            <w:r w:rsidR="007C3C8C" w:rsidRPr="00230AB0">
              <w:rPr>
                <w:rStyle w:val="Hyperlink"/>
                <w:noProof/>
              </w:rPr>
              <w:t>Section 1.4 – Sensitive information</w:t>
            </w:r>
            <w:r w:rsidR="007C3C8C">
              <w:rPr>
                <w:noProof/>
                <w:webHidden/>
              </w:rPr>
              <w:tab/>
            </w:r>
            <w:r w:rsidR="007C3C8C">
              <w:rPr>
                <w:noProof/>
                <w:webHidden/>
              </w:rPr>
              <w:fldChar w:fldCharType="begin"/>
            </w:r>
            <w:r w:rsidR="007C3C8C">
              <w:rPr>
                <w:noProof/>
                <w:webHidden/>
              </w:rPr>
              <w:instrText xml:space="preserve"> PAGEREF _Toc152067319 \h </w:instrText>
            </w:r>
            <w:r w:rsidR="007C3C8C">
              <w:rPr>
                <w:noProof/>
                <w:webHidden/>
              </w:rPr>
            </w:r>
            <w:r w:rsidR="007C3C8C">
              <w:rPr>
                <w:noProof/>
                <w:webHidden/>
              </w:rPr>
              <w:fldChar w:fldCharType="separate"/>
            </w:r>
            <w:r w:rsidR="00365A2B">
              <w:rPr>
                <w:noProof/>
                <w:webHidden/>
              </w:rPr>
              <w:t>23</w:t>
            </w:r>
            <w:r w:rsidR="007C3C8C">
              <w:rPr>
                <w:noProof/>
                <w:webHidden/>
              </w:rPr>
              <w:fldChar w:fldCharType="end"/>
            </w:r>
          </w:hyperlink>
        </w:p>
        <w:p w14:paraId="69B65928" w14:textId="369ECA38" w:rsidR="007C3C8C" w:rsidRDefault="00E12C0A">
          <w:pPr>
            <w:pStyle w:val="TOC2"/>
            <w:rPr>
              <w:noProof/>
              <w:kern w:val="2"/>
              <w:lang w:eastAsia="en-AU"/>
              <w14:ligatures w14:val="standardContextual"/>
            </w:rPr>
          </w:pPr>
          <w:hyperlink w:anchor="_Toc152067320" w:history="1">
            <w:r w:rsidR="007C3C8C" w:rsidRPr="00230AB0">
              <w:rPr>
                <w:rStyle w:val="Hyperlink"/>
                <w:noProof/>
              </w:rPr>
              <w:t>5.8.</w:t>
            </w:r>
            <w:r w:rsidR="007C3C8C">
              <w:rPr>
                <w:noProof/>
                <w:kern w:val="2"/>
                <w:lang w:eastAsia="en-AU"/>
                <w14:ligatures w14:val="standardContextual"/>
              </w:rPr>
              <w:tab/>
            </w:r>
            <w:r w:rsidR="007C3C8C" w:rsidRPr="00230AB0">
              <w:rPr>
                <w:rStyle w:val="Hyperlink"/>
                <w:noProof/>
              </w:rPr>
              <w:t>Section 1.5 – Information in possession of auditor-general</w:t>
            </w:r>
            <w:r w:rsidR="007C3C8C">
              <w:rPr>
                <w:noProof/>
                <w:webHidden/>
              </w:rPr>
              <w:tab/>
            </w:r>
            <w:r w:rsidR="007C3C8C">
              <w:rPr>
                <w:noProof/>
                <w:webHidden/>
              </w:rPr>
              <w:fldChar w:fldCharType="begin"/>
            </w:r>
            <w:r w:rsidR="007C3C8C">
              <w:rPr>
                <w:noProof/>
                <w:webHidden/>
              </w:rPr>
              <w:instrText xml:space="preserve"> PAGEREF _Toc152067320 \h </w:instrText>
            </w:r>
            <w:r w:rsidR="007C3C8C">
              <w:rPr>
                <w:noProof/>
                <w:webHidden/>
              </w:rPr>
            </w:r>
            <w:r w:rsidR="007C3C8C">
              <w:rPr>
                <w:noProof/>
                <w:webHidden/>
              </w:rPr>
              <w:fldChar w:fldCharType="separate"/>
            </w:r>
            <w:r w:rsidR="00365A2B">
              <w:rPr>
                <w:noProof/>
                <w:webHidden/>
              </w:rPr>
              <w:t>26</w:t>
            </w:r>
            <w:r w:rsidR="007C3C8C">
              <w:rPr>
                <w:noProof/>
                <w:webHidden/>
              </w:rPr>
              <w:fldChar w:fldCharType="end"/>
            </w:r>
          </w:hyperlink>
        </w:p>
        <w:p w14:paraId="13873098" w14:textId="214554A7" w:rsidR="007C3C8C" w:rsidRDefault="00E12C0A">
          <w:pPr>
            <w:pStyle w:val="TOC2"/>
            <w:rPr>
              <w:noProof/>
              <w:kern w:val="2"/>
              <w:lang w:eastAsia="en-AU"/>
              <w14:ligatures w14:val="standardContextual"/>
            </w:rPr>
          </w:pPr>
          <w:hyperlink w:anchor="_Toc152067321" w:history="1">
            <w:r w:rsidR="007C3C8C" w:rsidRPr="00230AB0">
              <w:rPr>
                <w:rStyle w:val="Hyperlink"/>
                <w:noProof/>
              </w:rPr>
              <w:t>5.9.</w:t>
            </w:r>
            <w:r w:rsidR="007C3C8C">
              <w:rPr>
                <w:noProof/>
                <w:kern w:val="2"/>
                <w:lang w:eastAsia="en-AU"/>
                <w14:ligatures w14:val="standardContextual"/>
              </w:rPr>
              <w:tab/>
            </w:r>
            <w:r w:rsidR="007C3C8C" w:rsidRPr="00230AB0">
              <w:rPr>
                <w:rStyle w:val="Hyperlink"/>
                <w:noProof/>
              </w:rPr>
              <w:t>Section 1.6 – Cabinet information</w:t>
            </w:r>
            <w:r w:rsidR="007C3C8C">
              <w:rPr>
                <w:noProof/>
                <w:webHidden/>
              </w:rPr>
              <w:tab/>
            </w:r>
            <w:r w:rsidR="007C3C8C">
              <w:rPr>
                <w:noProof/>
                <w:webHidden/>
              </w:rPr>
              <w:fldChar w:fldCharType="begin"/>
            </w:r>
            <w:r w:rsidR="007C3C8C">
              <w:rPr>
                <w:noProof/>
                <w:webHidden/>
              </w:rPr>
              <w:instrText xml:space="preserve"> PAGEREF _Toc152067321 \h </w:instrText>
            </w:r>
            <w:r w:rsidR="007C3C8C">
              <w:rPr>
                <w:noProof/>
                <w:webHidden/>
              </w:rPr>
            </w:r>
            <w:r w:rsidR="007C3C8C">
              <w:rPr>
                <w:noProof/>
                <w:webHidden/>
              </w:rPr>
              <w:fldChar w:fldCharType="separate"/>
            </w:r>
            <w:r w:rsidR="00365A2B">
              <w:rPr>
                <w:noProof/>
                <w:webHidden/>
              </w:rPr>
              <w:t>27</w:t>
            </w:r>
            <w:r w:rsidR="007C3C8C">
              <w:rPr>
                <w:noProof/>
                <w:webHidden/>
              </w:rPr>
              <w:fldChar w:fldCharType="end"/>
            </w:r>
          </w:hyperlink>
        </w:p>
        <w:p w14:paraId="4460019F" w14:textId="311A03F2" w:rsidR="007C3C8C" w:rsidRDefault="00E12C0A">
          <w:pPr>
            <w:pStyle w:val="TOC2"/>
            <w:rPr>
              <w:noProof/>
              <w:kern w:val="2"/>
              <w:lang w:eastAsia="en-AU"/>
              <w14:ligatures w14:val="standardContextual"/>
            </w:rPr>
          </w:pPr>
          <w:hyperlink w:anchor="_Toc152067322" w:history="1">
            <w:r w:rsidR="007C3C8C" w:rsidRPr="00230AB0">
              <w:rPr>
                <w:rStyle w:val="Hyperlink"/>
                <w:noProof/>
              </w:rPr>
              <w:t>5.10.</w:t>
            </w:r>
            <w:r w:rsidR="007C3C8C">
              <w:rPr>
                <w:noProof/>
                <w:kern w:val="2"/>
                <w:lang w:eastAsia="en-AU"/>
                <w14:ligatures w14:val="standardContextual"/>
              </w:rPr>
              <w:tab/>
            </w:r>
            <w:r w:rsidR="007C3C8C" w:rsidRPr="00230AB0">
              <w:rPr>
                <w:rStyle w:val="Hyperlink"/>
                <w:noProof/>
              </w:rPr>
              <w:t>Section 1.7 – Examinations under Australian Crime Commission (ACT) Act 2003</w:t>
            </w:r>
            <w:r w:rsidR="007C3C8C">
              <w:rPr>
                <w:noProof/>
                <w:webHidden/>
              </w:rPr>
              <w:tab/>
            </w:r>
            <w:r w:rsidR="007C3C8C">
              <w:rPr>
                <w:noProof/>
                <w:webHidden/>
              </w:rPr>
              <w:fldChar w:fldCharType="begin"/>
            </w:r>
            <w:r w:rsidR="007C3C8C">
              <w:rPr>
                <w:noProof/>
                <w:webHidden/>
              </w:rPr>
              <w:instrText xml:space="preserve"> PAGEREF _Toc152067322 \h </w:instrText>
            </w:r>
            <w:r w:rsidR="007C3C8C">
              <w:rPr>
                <w:noProof/>
                <w:webHidden/>
              </w:rPr>
            </w:r>
            <w:r w:rsidR="007C3C8C">
              <w:rPr>
                <w:noProof/>
                <w:webHidden/>
              </w:rPr>
              <w:fldChar w:fldCharType="separate"/>
            </w:r>
            <w:r w:rsidR="00365A2B">
              <w:rPr>
                <w:noProof/>
                <w:webHidden/>
              </w:rPr>
              <w:t>33</w:t>
            </w:r>
            <w:r w:rsidR="007C3C8C">
              <w:rPr>
                <w:noProof/>
                <w:webHidden/>
              </w:rPr>
              <w:fldChar w:fldCharType="end"/>
            </w:r>
          </w:hyperlink>
        </w:p>
        <w:p w14:paraId="322B18C3" w14:textId="5CA0BD95" w:rsidR="007C3C8C" w:rsidRDefault="00E12C0A">
          <w:pPr>
            <w:pStyle w:val="TOC2"/>
            <w:rPr>
              <w:noProof/>
              <w:kern w:val="2"/>
              <w:lang w:eastAsia="en-AU"/>
              <w14:ligatures w14:val="standardContextual"/>
            </w:rPr>
          </w:pPr>
          <w:hyperlink w:anchor="_Toc152067323" w:history="1">
            <w:r w:rsidR="007C3C8C" w:rsidRPr="00230AB0">
              <w:rPr>
                <w:rStyle w:val="Hyperlink"/>
                <w:noProof/>
              </w:rPr>
              <w:t>5.11.</w:t>
            </w:r>
            <w:r w:rsidR="007C3C8C">
              <w:rPr>
                <w:noProof/>
                <w:kern w:val="2"/>
                <w:lang w:eastAsia="en-AU"/>
                <w14:ligatures w14:val="standardContextual"/>
              </w:rPr>
              <w:tab/>
            </w:r>
            <w:r w:rsidR="007C3C8C" w:rsidRPr="00230AB0">
              <w:rPr>
                <w:rStyle w:val="Hyperlink"/>
                <w:noProof/>
              </w:rPr>
              <w:t>Section 1.8 – Information in possession of human rights commission</w:t>
            </w:r>
            <w:r w:rsidR="007C3C8C">
              <w:rPr>
                <w:noProof/>
                <w:webHidden/>
              </w:rPr>
              <w:tab/>
            </w:r>
            <w:r w:rsidR="007C3C8C">
              <w:rPr>
                <w:noProof/>
                <w:webHidden/>
              </w:rPr>
              <w:fldChar w:fldCharType="begin"/>
            </w:r>
            <w:r w:rsidR="007C3C8C">
              <w:rPr>
                <w:noProof/>
                <w:webHidden/>
              </w:rPr>
              <w:instrText xml:space="preserve"> PAGEREF _Toc152067323 \h </w:instrText>
            </w:r>
            <w:r w:rsidR="007C3C8C">
              <w:rPr>
                <w:noProof/>
                <w:webHidden/>
              </w:rPr>
            </w:r>
            <w:r w:rsidR="007C3C8C">
              <w:rPr>
                <w:noProof/>
                <w:webHidden/>
              </w:rPr>
              <w:fldChar w:fldCharType="separate"/>
            </w:r>
            <w:r w:rsidR="00365A2B">
              <w:rPr>
                <w:noProof/>
                <w:webHidden/>
              </w:rPr>
              <w:t>34</w:t>
            </w:r>
            <w:r w:rsidR="007C3C8C">
              <w:rPr>
                <w:noProof/>
                <w:webHidden/>
              </w:rPr>
              <w:fldChar w:fldCharType="end"/>
            </w:r>
          </w:hyperlink>
        </w:p>
        <w:p w14:paraId="3A61CF2D" w14:textId="75602177" w:rsidR="007C3C8C" w:rsidRDefault="00E12C0A">
          <w:pPr>
            <w:pStyle w:val="TOC2"/>
            <w:rPr>
              <w:noProof/>
              <w:kern w:val="2"/>
              <w:lang w:eastAsia="en-AU"/>
              <w14:ligatures w14:val="standardContextual"/>
            </w:rPr>
          </w:pPr>
          <w:hyperlink w:anchor="_Toc152067324" w:history="1">
            <w:r w:rsidR="007C3C8C" w:rsidRPr="00230AB0">
              <w:rPr>
                <w:rStyle w:val="Hyperlink"/>
                <w:noProof/>
              </w:rPr>
              <w:t>5.12.</w:t>
            </w:r>
            <w:r w:rsidR="007C3C8C">
              <w:rPr>
                <w:noProof/>
                <w:kern w:val="2"/>
                <w:lang w:eastAsia="en-AU"/>
                <w14:ligatures w14:val="standardContextual"/>
              </w:rPr>
              <w:tab/>
            </w:r>
            <w:r w:rsidR="007C3C8C" w:rsidRPr="00230AB0">
              <w:rPr>
                <w:rStyle w:val="Hyperlink"/>
                <w:noProof/>
              </w:rPr>
              <w:t>Section 1.9 – Identities of people making disclosures</w:t>
            </w:r>
            <w:r w:rsidR="007C3C8C">
              <w:rPr>
                <w:noProof/>
                <w:webHidden/>
              </w:rPr>
              <w:tab/>
            </w:r>
            <w:r w:rsidR="007C3C8C">
              <w:rPr>
                <w:noProof/>
                <w:webHidden/>
              </w:rPr>
              <w:fldChar w:fldCharType="begin"/>
            </w:r>
            <w:r w:rsidR="007C3C8C">
              <w:rPr>
                <w:noProof/>
                <w:webHidden/>
              </w:rPr>
              <w:instrText xml:space="preserve"> PAGEREF _Toc152067324 \h </w:instrText>
            </w:r>
            <w:r w:rsidR="007C3C8C">
              <w:rPr>
                <w:noProof/>
                <w:webHidden/>
              </w:rPr>
            </w:r>
            <w:r w:rsidR="007C3C8C">
              <w:rPr>
                <w:noProof/>
                <w:webHidden/>
              </w:rPr>
              <w:fldChar w:fldCharType="separate"/>
            </w:r>
            <w:r w:rsidR="00365A2B">
              <w:rPr>
                <w:noProof/>
                <w:webHidden/>
              </w:rPr>
              <w:t>34</w:t>
            </w:r>
            <w:r w:rsidR="007C3C8C">
              <w:rPr>
                <w:noProof/>
                <w:webHidden/>
              </w:rPr>
              <w:fldChar w:fldCharType="end"/>
            </w:r>
          </w:hyperlink>
        </w:p>
        <w:p w14:paraId="5555BF1F" w14:textId="62EC868F" w:rsidR="007C3C8C" w:rsidRDefault="00E12C0A">
          <w:pPr>
            <w:pStyle w:val="TOC2"/>
            <w:rPr>
              <w:noProof/>
              <w:kern w:val="2"/>
              <w:lang w:eastAsia="en-AU"/>
              <w14:ligatures w14:val="standardContextual"/>
            </w:rPr>
          </w:pPr>
          <w:hyperlink w:anchor="_Toc152067325" w:history="1">
            <w:r w:rsidR="007C3C8C" w:rsidRPr="00230AB0">
              <w:rPr>
                <w:rStyle w:val="Hyperlink"/>
                <w:noProof/>
              </w:rPr>
              <w:t>5.13.</w:t>
            </w:r>
            <w:r w:rsidR="007C3C8C">
              <w:rPr>
                <w:noProof/>
                <w:kern w:val="2"/>
                <w:lang w:eastAsia="en-AU"/>
                <w14:ligatures w14:val="standardContextual"/>
              </w:rPr>
              <w:tab/>
            </w:r>
            <w:r w:rsidR="007C3C8C" w:rsidRPr="00230AB0">
              <w:rPr>
                <w:rStyle w:val="Hyperlink"/>
                <w:noProof/>
              </w:rPr>
              <w:t>Section 1.10 – Information relating to requests to cost election commitments</w:t>
            </w:r>
            <w:r w:rsidR="007C3C8C">
              <w:rPr>
                <w:noProof/>
                <w:webHidden/>
              </w:rPr>
              <w:tab/>
            </w:r>
            <w:r w:rsidR="007C3C8C">
              <w:rPr>
                <w:noProof/>
                <w:webHidden/>
              </w:rPr>
              <w:fldChar w:fldCharType="begin"/>
            </w:r>
            <w:r w:rsidR="007C3C8C">
              <w:rPr>
                <w:noProof/>
                <w:webHidden/>
              </w:rPr>
              <w:instrText xml:space="preserve"> PAGEREF _Toc152067325 \h </w:instrText>
            </w:r>
            <w:r w:rsidR="007C3C8C">
              <w:rPr>
                <w:noProof/>
                <w:webHidden/>
              </w:rPr>
            </w:r>
            <w:r w:rsidR="007C3C8C">
              <w:rPr>
                <w:noProof/>
                <w:webHidden/>
              </w:rPr>
              <w:fldChar w:fldCharType="separate"/>
            </w:r>
            <w:r w:rsidR="00365A2B">
              <w:rPr>
                <w:noProof/>
                <w:webHidden/>
              </w:rPr>
              <w:t>36</w:t>
            </w:r>
            <w:r w:rsidR="007C3C8C">
              <w:rPr>
                <w:noProof/>
                <w:webHidden/>
              </w:rPr>
              <w:fldChar w:fldCharType="end"/>
            </w:r>
          </w:hyperlink>
        </w:p>
        <w:p w14:paraId="5591F6EE" w14:textId="13C8390C" w:rsidR="007C3C8C" w:rsidRDefault="00E12C0A">
          <w:pPr>
            <w:pStyle w:val="TOC2"/>
            <w:rPr>
              <w:noProof/>
              <w:kern w:val="2"/>
              <w:lang w:eastAsia="en-AU"/>
              <w14:ligatures w14:val="standardContextual"/>
            </w:rPr>
          </w:pPr>
          <w:hyperlink w:anchor="_Toc152067326" w:history="1">
            <w:r w:rsidR="007C3C8C" w:rsidRPr="00230AB0">
              <w:rPr>
                <w:rStyle w:val="Hyperlink"/>
                <w:noProof/>
              </w:rPr>
              <w:t>5.14.</w:t>
            </w:r>
            <w:r w:rsidR="007C3C8C">
              <w:rPr>
                <w:noProof/>
                <w:kern w:val="2"/>
                <w:lang w:eastAsia="en-AU"/>
                <w14:ligatures w14:val="standardContextual"/>
              </w:rPr>
              <w:tab/>
            </w:r>
            <w:r w:rsidR="007C3C8C" w:rsidRPr="00230AB0">
              <w:rPr>
                <w:rStyle w:val="Hyperlink"/>
                <w:noProof/>
              </w:rPr>
              <w:t>Section 1.11 – Information in electoral rolls and related documents</w:t>
            </w:r>
            <w:r w:rsidR="007C3C8C">
              <w:rPr>
                <w:noProof/>
                <w:webHidden/>
              </w:rPr>
              <w:tab/>
            </w:r>
            <w:r w:rsidR="007C3C8C">
              <w:rPr>
                <w:noProof/>
                <w:webHidden/>
              </w:rPr>
              <w:fldChar w:fldCharType="begin"/>
            </w:r>
            <w:r w:rsidR="007C3C8C">
              <w:rPr>
                <w:noProof/>
                <w:webHidden/>
              </w:rPr>
              <w:instrText xml:space="preserve"> PAGEREF _Toc152067326 \h </w:instrText>
            </w:r>
            <w:r w:rsidR="007C3C8C">
              <w:rPr>
                <w:noProof/>
                <w:webHidden/>
              </w:rPr>
            </w:r>
            <w:r w:rsidR="007C3C8C">
              <w:rPr>
                <w:noProof/>
                <w:webHidden/>
              </w:rPr>
              <w:fldChar w:fldCharType="separate"/>
            </w:r>
            <w:r w:rsidR="00365A2B">
              <w:rPr>
                <w:noProof/>
                <w:webHidden/>
              </w:rPr>
              <w:t>37</w:t>
            </w:r>
            <w:r w:rsidR="007C3C8C">
              <w:rPr>
                <w:noProof/>
                <w:webHidden/>
              </w:rPr>
              <w:fldChar w:fldCharType="end"/>
            </w:r>
          </w:hyperlink>
        </w:p>
        <w:p w14:paraId="5BBAED2A" w14:textId="2C06EE87" w:rsidR="007C3C8C" w:rsidRDefault="00E12C0A">
          <w:pPr>
            <w:pStyle w:val="TOC2"/>
            <w:rPr>
              <w:noProof/>
              <w:kern w:val="2"/>
              <w:lang w:eastAsia="en-AU"/>
              <w14:ligatures w14:val="standardContextual"/>
            </w:rPr>
          </w:pPr>
          <w:hyperlink w:anchor="_Toc152067327" w:history="1">
            <w:r w:rsidR="007C3C8C" w:rsidRPr="00230AB0">
              <w:rPr>
                <w:rStyle w:val="Hyperlink"/>
                <w:noProof/>
              </w:rPr>
              <w:t>5.15.</w:t>
            </w:r>
            <w:r w:rsidR="007C3C8C">
              <w:rPr>
                <w:noProof/>
                <w:kern w:val="2"/>
                <w:lang w:eastAsia="en-AU"/>
                <w14:ligatures w14:val="standardContextual"/>
              </w:rPr>
              <w:tab/>
            </w:r>
            <w:r w:rsidR="007C3C8C" w:rsidRPr="00230AB0">
              <w:rPr>
                <w:rStyle w:val="Hyperlink"/>
                <w:noProof/>
              </w:rPr>
              <w:t>Section 1.12 – Information in possession of ombudsman</w:t>
            </w:r>
            <w:r w:rsidR="007C3C8C">
              <w:rPr>
                <w:noProof/>
                <w:webHidden/>
              </w:rPr>
              <w:tab/>
            </w:r>
            <w:r w:rsidR="007C3C8C">
              <w:rPr>
                <w:noProof/>
                <w:webHidden/>
              </w:rPr>
              <w:fldChar w:fldCharType="begin"/>
            </w:r>
            <w:r w:rsidR="007C3C8C">
              <w:rPr>
                <w:noProof/>
                <w:webHidden/>
              </w:rPr>
              <w:instrText xml:space="preserve"> PAGEREF _Toc152067327 \h </w:instrText>
            </w:r>
            <w:r w:rsidR="007C3C8C">
              <w:rPr>
                <w:noProof/>
                <w:webHidden/>
              </w:rPr>
            </w:r>
            <w:r w:rsidR="007C3C8C">
              <w:rPr>
                <w:noProof/>
                <w:webHidden/>
              </w:rPr>
              <w:fldChar w:fldCharType="separate"/>
            </w:r>
            <w:r w:rsidR="00365A2B">
              <w:rPr>
                <w:noProof/>
                <w:webHidden/>
              </w:rPr>
              <w:t>37</w:t>
            </w:r>
            <w:r w:rsidR="007C3C8C">
              <w:rPr>
                <w:noProof/>
                <w:webHidden/>
              </w:rPr>
              <w:fldChar w:fldCharType="end"/>
            </w:r>
          </w:hyperlink>
        </w:p>
        <w:p w14:paraId="2D2942E5" w14:textId="590B3027" w:rsidR="007C3C8C" w:rsidRDefault="00E12C0A">
          <w:pPr>
            <w:pStyle w:val="TOC2"/>
            <w:rPr>
              <w:noProof/>
              <w:kern w:val="2"/>
              <w:lang w:eastAsia="en-AU"/>
              <w14:ligatures w14:val="standardContextual"/>
            </w:rPr>
          </w:pPr>
          <w:hyperlink w:anchor="_Toc152067328" w:history="1">
            <w:r w:rsidR="007C3C8C" w:rsidRPr="00230AB0">
              <w:rPr>
                <w:rStyle w:val="Hyperlink"/>
                <w:noProof/>
              </w:rPr>
              <w:t>5.16.</w:t>
            </w:r>
            <w:r w:rsidR="007C3C8C">
              <w:rPr>
                <w:noProof/>
                <w:kern w:val="2"/>
                <w:lang w:eastAsia="en-AU"/>
                <w14:ligatures w14:val="standardContextual"/>
              </w:rPr>
              <w:tab/>
            </w:r>
            <w:r w:rsidR="007C3C8C" w:rsidRPr="00230AB0">
              <w:rPr>
                <w:rStyle w:val="Hyperlink"/>
                <w:noProof/>
              </w:rPr>
              <w:t>Section 1.13 – National, Territory or State security information</w:t>
            </w:r>
            <w:r w:rsidR="007C3C8C">
              <w:rPr>
                <w:noProof/>
                <w:webHidden/>
              </w:rPr>
              <w:tab/>
            </w:r>
            <w:r w:rsidR="007C3C8C">
              <w:rPr>
                <w:noProof/>
                <w:webHidden/>
              </w:rPr>
              <w:fldChar w:fldCharType="begin"/>
            </w:r>
            <w:r w:rsidR="007C3C8C">
              <w:rPr>
                <w:noProof/>
                <w:webHidden/>
              </w:rPr>
              <w:instrText xml:space="preserve"> PAGEREF _Toc152067328 \h </w:instrText>
            </w:r>
            <w:r w:rsidR="007C3C8C">
              <w:rPr>
                <w:noProof/>
                <w:webHidden/>
              </w:rPr>
            </w:r>
            <w:r w:rsidR="007C3C8C">
              <w:rPr>
                <w:noProof/>
                <w:webHidden/>
              </w:rPr>
              <w:fldChar w:fldCharType="separate"/>
            </w:r>
            <w:r w:rsidR="00365A2B">
              <w:rPr>
                <w:noProof/>
                <w:webHidden/>
              </w:rPr>
              <w:t>38</w:t>
            </w:r>
            <w:r w:rsidR="007C3C8C">
              <w:rPr>
                <w:noProof/>
                <w:webHidden/>
              </w:rPr>
              <w:fldChar w:fldCharType="end"/>
            </w:r>
          </w:hyperlink>
        </w:p>
        <w:p w14:paraId="22F80E7B" w14:textId="3C0A81CA" w:rsidR="007C3C8C" w:rsidRDefault="00E12C0A">
          <w:pPr>
            <w:pStyle w:val="TOC2"/>
            <w:rPr>
              <w:noProof/>
              <w:kern w:val="2"/>
              <w:lang w:eastAsia="en-AU"/>
              <w14:ligatures w14:val="standardContextual"/>
            </w:rPr>
          </w:pPr>
          <w:hyperlink w:anchor="_Toc152067329" w:history="1">
            <w:r w:rsidR="007C3C8C" w:rsidRPr="00230AB0">
              <w:rPr>
                <w:rStyle w:val="Hyperlink"/>
                <w:noProof/>
              </w:rPr>
              <w:t>5.17.</w:t>
            </w:r>
            <w:r w:rsidR="007C3C8C">
              <w:rPr>
                <w:noProof/>
                <w:kern w:val="2"/>
                <w:lang w:eastAsia="en-AU"/>
                <w14:ligatures w14:val="standardContextual"/>
              </w:rPr>
              <w:tab/>
            </w:r>
            <w:r w:rsidR="007C3C8C" w:rsidRPr="00230AB0">
              <w:rPr>
                <w:rStyle w:val="Hyperlink"/>
                <w:noProof/>
              </w:rPr>
              <w:t>Section 1.14 – law enforcement or public safety information</w:t>
            </w:r>
            <w:r w:rsidR="007C3C8C">
              <w:rPr>
                <w:noProof/>
                <w:webHidden/>
              </w:rPr>
              <w:tab/>
            </w:r>
            <w:r w:rsidR="007C3C8C">
              <w:rPr>
                <w:noProof/>
                <w:webHidden/>
              </w:rPr>
              <w:fldChar w:fldCharType="begin"/>
            </w:r>
            <w:r w:rsidR="007C3C8C">
              <w:rPr>
                <w:noProof/>
                <w:webHidden/>
              </w:rPr>
              <w:instrText xml:space="preserve"> PAGEREF _Toc152067329 \h </w:instrText>
            </w:r>
            <w:r w:rsidR="007C3C8C">
              <w:rPr>
                <w:noProof/>
                <w:webHidden/>
              </w:rPr>
            </w:r>
            <w:r w:rsidR="007C3C8C">
              <w:rPr>
                <w:noProof/>
                <w:webHidden/>
              </w:rPr>
              <w:fldChar w:fldCharType="separate"/>
            </w:r>
            <w:r w:rsidR="00365A2B">
              <w:rPr>
                <w:noProof/>
                <w:webHidden/>
              </w:rPr>
              <w:t>40</w:t>
            </w:r>
            <w:r w:rsidR="007C3C8C">
              <w:rPr>
                <w:noProof/>
                <w:webHidden/>
              </w:rPr>
              <w:fldChar w:fldCharType="end"/>
            </w:r>
          </w:hyperlink>
        </w:p>
        <w:p w14:paraId="21503C82" w14:textId="38C99FE7" w:rsidR="007C3C8C" w:rsidRDefault="00E12C0A">
          <w:pPr>
            <w:pStyle w:val="TOC2"/>
            <w:rPr>
              <w:noProof/>
              <w:kern w:val="2"/>
              <w:lang w:eastAsia="en-AU"/>
              <w14:ligatures w14:val="standardContextual"/>
            </w:rPr>
          </w:pPr>
          <w:hyperlink w:anchor="_Toc152067330" w:history="1">
            <w:r w:rsidR="007C3C8C" w:rsidRPr="00230AB0">
              <w:rPr>
                <w:rStyle w:val="Hyperlink"/>
                <w:noProof/>
              </w:rPr>
              <w:t>5.18.</w:t>
            </w:r>
            <w:r w:rsidR="007C3C8C">
              <w:rPr>
                <w:noProof/>
                <w:kern w:val="2"/>
                <w:lang w:eastAsia="en-AU"/>
                <w14:ligatures w14:val="standardContextual"/>
              </w:rPr>
              <w:tab/>
            </w:r>
            <w:r w:rsidR="007C3C8C" w:rsidRPr="00230AB0">
              <w:rPr>
                <w:rStyle w:val="Hyperlink"/>
                <w:noProof/>
              </w:rPr>
              <w:t>Section 1.15 – Information in possession of Inspector of Correctional Services</w:t>
            </w:r>
            <w:r w:rsidR="007C3C8C">
              <w:rPr>
                <w:noProof/>
                <w:webHidden/>
              </w:rPr>
              <w:tab/>
            </w:r>
            <w:r w:rsidR="007C3C8C">
              <w:rPr>
                <w:noProof/>
                <w:webHidden/>
              </w:rPr>
              <w:fldChar w:fldCharType="begin"/>
            </w:r>
            <w:r w:rsidR="007C3C8C">
              <w:rPr>
                <w:noProof/>
                <w:webHidden/>
              </w:rPr>
              <w:instrText xml:space="preserve"> PAGEREF _Toc152067330 \h </w:instrText>
            </w:r>
            <w:r w:rsidR="007C3C8C">
              <w:rPr>
                <w:noProof/>
                <w:webHidden/>
              </w:rPr>
            </w:r>
            <w:r w:rsidR="007C3C8C">
              <w:rPr>
                <w:noProof/>
                <w:webHidden/>
              </w:rPr>
              <w:fldChar w:fldCharType="separate"/>
            </w:r>
            <w:r w:rsidR="00365A2B">
              <w:rPr>
                <w:noProof/>
                <w:webHidden/>
              </w:rPr>
              <w:t>47</w:t>
            </w:r>
            <w:r w:rsidR="007C3C8C">
              <w:rPr>
                <w:noProof/>
                <w:webHidden/>
              </w:rPr>
              <w:fldChar w:fldCharType="end"/>
            </w:r>
          </w:hyperlink>
        </w:p>
        <w:p w14:paraId="1E2E0711" w14:textId="4A528996" w:rsidR="007C3C8C" w:rsidRDefault="00E12C0A">
          <w:pPr>
            <w:pStyle w:val="TOC2"/>
            <w:rPr>
              <w:noProof/>
              <w:kern w:val="2"/>
              <w:lang w:eastAsia="en-AU"/>
              <w14:ligatures w14:val="standardContextual"/>
            </w:rPr>
          </w:pPr>
          <w:hyperlink w:anchor="_Toc152067331" w:history="1">
            <w:r w:rsidR="007C3C8C" w:rsidRPr="00230AB0">
              <w:rPr>
                <w:rStyle w:val="Hyperlink"/>
                <w:noProof/>
              </w:rPr>
              <w:t>6.</w:t>
            </w:r>
            <w:r w:rsidR="007C3C8C">
              <w:rPr>
                <w:noProof/>
                <w:kern w:val="2"/>
                <w:lang w:eastAsia="en-AU"/>
                <w14:ligatures w14:val="standardContextual"/>
              </w:rPr>
              <w:tab/>
            </w:r>
            <w:r w:rsidR="007C3C8C" w:rsidRPr="00230AB0">
              <w:rPr>
                <w:rStyle w:val="Hyperlink"/>
                <w:noProof/>
              </w:rPr>
              <w:t>Public interest test</w:t>
            </w:r>
            <w:r w:rsidR="007C3C8C">
              <w:rPr>
                <w:noProof/>
                <w:webHidden/>
              </w:rPr>
              <w:tab/>
            </w:r>
            <w:r w:rsidR="007C3C8C">
              <w:rPr>
                <w:noProof/>
                <w:webHidden/>
              </w:rPr>
              <w:fldChar w:fldCharType="begin"/>
            </w:r>
            <w:r w:rsidR="007C3C8C">
              <w:rPr>
                <w:noProof/>
                <w:webHidden/>
              </w:rPr>
              <w:instrText xml:space="preserve"> PAGEREF _Toc152067331 \h </w:instrText>
            </w:r>
            <w:r w:rsidR="007C3C8C">
              <w:rPr>
                <w:noProof/>
                <w:webHidden/>
              </w:rPr>
            </w:r>
            <w:r w:rsidR="007C3C8C">
              <w:rPr>
                <w:noProof/>
                <w:webHidden/>
              </w:rPr>
              <w:fldChar w:fldCharType="separate"/>
            </w:r>
            <w:r w:rsidR="00365A2B">
              <w:rPr>
                <w:noProof/>
                <w:webHidden/>
              </w:rPr>
              <w:t>48</w:t>
            </w:r>
            <w:r w:rsidR="007C3C8C">
              <w:rPr>
                <w:noProof/>
                <w:webHidden/>
              </w:rPr>
              <w:fldChar w:fldCharType="end"/>
            </w:r>
          </w:hyperlink>
        </w:p>
        <w:p w14:paraId="66D1E7B9" w14:textId="13C7DB0A" w:rsidR="007C3C8C" w:rsidRDefault="00E12C0A">
          <w:pPr>
            <w:pStyle w:val="TOC2"/>
            <w:rPr>
              <w:noProof/>
              <w:kern w:val="2"/>
              <w:lang w:eastAsia="en-AU"/>
              <w14:ligatures w14:val="standardContextual"/>
            </w:rPr>
          </w:pPr>
          <w:hyperlink w:anchor="_Toc152067332" w:history="1">
            <w:r w:rsidR="007C3C8C" w:rsidRPr="00230AB0">
              <w:rPr>
                <w:rStyle w:val="Hyperlink"/>
                <w:noProof/>
              </w:rPr>
              <w:t>6.1.</w:t>
            </w:r>
            <w:r w:rsidR="007C3C8C">
              <w:rPr>
                <w:noProof/>
                <w:kern w:val="2"/>
                <w:lang w:eastAsia="en-AU"/>
                <w14:ligatures w14:val="standardContextual"/>
              </w:rPr>
              <w:tab/>
            </w:r>
            <w:r w:rsidR="007C3C8C" w:rsidRPr="00230AB0">
              <w:rPr>
                <w:rStyle w:val="Hyperlink"/>
                <w:noProof/>
              </w:rPr>
              <w:t>Identifying factors</w:t>
            </w:r>
            <w:r w:rsidR="007C3C8C">
              <w:rPr>
                <w:noProof/>
                <w:webHidden/>
              </w:rPr>
              <w:tab/>
            </w:r>
            <w:r w:rsidR="007C3C8C">
              <w:rPr>
                <w:noProof/>
                <w:webHidden/>
              </w:rPr>
              <w:fldChar w:fldCharType="begin"/>
            </w:r>
            <w:r w:rsidR="007C3C8C">
              <w:rPr>
                <w:noProof/>
                <w:webHidden/>
              </w:rPr>
              <w:instrText xml:space="preserve"> PAGEREF _Toc152067332 \h </w:instrText>
            </w:r>
            <w:r w:rsidR="007C3C8C">
              <w:rPr>
                <w:noProof/>
                <w:webHidden/>
              </w:rPr>
            </w:r>
            <w:r w:rsidR="007C3C8C">
              <w:rPr>
                <w:noProof/>
                <w:webHidden/>
              </w:rPr>
              <w:fldChar w:fldCharType="separate"/>
            </w:r>
            <w:r w:rsidR="00365A2B">
              <w:rPr>
                <w:noProof/>
                <w:webHidden/>
              </w:rPr>
              <w:t>48</w:t>
            </w:r>
            <w:r w:rsidR="007C3C8C">
              <w:rPr>
                <w:noProof/>
                <w:webHidden/>
              </w:rPr>
              <w:fldChar w:fldCharType="end"/>
            </w:r>
          </w:hyperlink>
        </w:p>
        <w:p w14:paraId="1DB3882A" w14:textId="5E075E96" w:rsidR="007C3C8C" w:rsidRDefault="00E12C0A">
          <w:pPr>
            <w:pStyle w:val="TOC2"/>
            <w:rPr>
              <w:noProof/>
              <w:kern w:val="2"/>
              <w:lang w:eastAsia="en-AU"/>
              <w14:ligatures w14:val="standardContextual"/>
            </w:rPr>
          </w:pPr>
          <w:hyperlink w:anchor="_Toc152067333" w:history="1">
            <w:r w:rsidR="007C3C8C" w:rsidRPr="00230AB0">
              <w:rPr>
                <w:rStyle w:val="Hyperlink"/>
                <w:noProof/>
              </w:rPr>
              <w:t>6.2.</w:t>
            </w:r>
            <w:r w:rsidR="007C3C8C">
              <w:rPr>
                <w:noProof/>
                <w:kern w:val="2"/>
                <w:lang w:eastAsia="en-AU"/>
                <w14:ligatures w14:val="standardContextual"/>
              </w:rPr>
              <w:tab/>
            </w:r>
            <w:r w:rsidR="007C3C8C" w:rsidRPr="00230AB0">
              <w:rPr>
                <w:rStyle w:val="Hyperlink"/>
                <w:noProof/>
              </w:rPr>
              <w:t>Irrelevant factors</w:t>
            </w:r>
            <w:r w:rsidR="007C3C8C">
              <w:rPr>
                <w:noProof/>
                <w:webHidden/>
              </w:rPr>
              <w:tab/>
            </w:r>
            <w:r w:rsidR="007C3C8C">
              <w:rPr>
                <w:noProof/>
                <w:webHidden/>
              </w:rPr>
              <w:fldChar w:fldCharType="begin"/>
            </w:r>
            <w:r w:rsidR="007C3C8C">
              <w:rPr>
                <w:noProof/>
                <w:webHidden/>
              </w:rPr>
              <w:instrText xml:space="preserve"> PAGEREF _Toc152067333 \h </w:instrText>
            </w:r>
            <w:r w:rsidR="007C3C8C">
              <w:rPr>
                <w:noProof/>
                <w:webHidden/>
              </w:rPr>
            </w:r>
            <w:r w:rsidR="007C3C8C">
              <w:rPr>
                <w:noProof/>
                <w:webHidden/>
              </w:rPr>
              <w:fldChar w:fldCharType="separate"/>
            </w:r>
            <w:r w:rsidR="00365A2B">
              <w:rPr>
                <w:noProof/>
                <w:webHidden/>
              </w:rPr>
              <w:t>49</w:t>
            </w:r>
            <w:r w:rsidR="007C3C8C">
              <w:rPr>
                <w:noProof/>
                <w:webHidden/>
              </w:rPr>
              <w:fldChar w:fldCharType="end"/>
            </w:r>
          </w:hyperlink>
        </w:p>
        <w:p w14:paraId="0B7B7293" w14:textId="34F0F249" w:rsidR="007C3C8C" w:rsidRDefault="00E12C0A">
          <w:pPr>
            <w:pStyle w:val="TOC2"/>
            <w:rPr>
              <w:noProof/>
              <w:kern w:val="2"/>
              <w:lang w:eastAsia="en-AU"/>
              <w14:ligatures w14:val="standardContextual"/>
            </w:rPr>
          </w:pPr>
          <w:hyperlink w:anchor="_Toc152067334" w:history="1">
            <w:r w:rsidR="007C3C8C" w:rsidRPr="00230AB0">
              <w:rPr>
                <w:rStyle w:val="Hyperlink"/>
                <w:noProof/>
              </w:rPr>
              <w:t>6.3.</w:t>
            </w:r>
            <w:r w:rsidR="007C3C8C">
              <w:rPr>
                <w:noProof/>
                <w:kern w:val="2"/>
                <w:lang w:eastAsia="en-AU"/>
                <w14:ligatures w14:val="standardContextual"/>
              </w:rPr>
              <w:tab/>
            </w:r>
            <w:r w:rsidR="007C3C8C" w:rsidRPr="00230AB0">
              <w:rPr>
                <w:rStyle w:val="Hyperlink"/>
                <w:noProof/>
              </w:rPr>
              <w:t>Information requested is another person’s personal information</w:t>
            </w:r>
            <w:r w:rsidR="007C3C8C">
              <w:rPr>
                <w:noProof/>
                <w:webHidden/>
              </w:rPr>
              <w:tab/>
            </w:r>
            <w:r w:rsidR="007C3C8C">
              <w:rPr>
                <w:noProof/>
                <w:webHidden/>
              </w:rPr>
              <w:fldChar w:fldCharType="begin"/>
            </w:r>
            <w:r w:rsidR="007C3C8C">
              <w:rPr>
                <w:noProof/>
                <w:webHidden/>
              </w:rPr>
              <w:instrText xml:space="preserve"> PAGEREF _Toc152067334 \h </w:instrText>
            </w:r>
            <w:r w:rsidR="007C3C8C">
              <w:rPr>
                <w:noProof/>
                <w:webHidden/>
              </w:rPr>
            </w:r>
            <w:r w:rsidR="007C3C8C">
              <w:rPr>
                <w:noProof/>
                <w:webHidden/>
              </w:rPr>
              <w:fldChar w:fldCharType="separate"/>
            </w:r>
            <w:r w:rsidR="00365A2B">
              <w:rPr>
                <w:noProof/>
                <w:webHidden/>
              </w:rPr>
              <w:t>50</w:t>
            </w:r>
            <w:r w:rsidR="007C3C8C">
              <w:rPr>
                <w:noProof/>
                <w:webHidden/>
              </w:rPr>
              <w:fldChar w:fldCharType="end"/>
            </w:r>
          </w:hyperlink>
        </w:p>
        <w:p w14:paraId="19E7378A" w14:textId="46F65F00" w:rsidR="007C3C8C" w:rsidRDefault="00E12C0A">
          <w:pPr>
            <w:pStyle w:val="TOC2"/>
            <w:rPr>
              <w:noProof/>
              <w:kern w:val="2"/>
              <w:lang w:eastAsia="en-AU"/>
              <w14:ligatures w14:val="standardContextual"/>
            </w:rPr>
          </w:pPr>
          <w:hyperlink w:anchor="_Toc152067335" w:history="1">
            <w:r w:rsidR="007C3C8C" w:rsidRPr="00230AB0">
              <w:rPr>
                <w:rStyle w:val="Hyperlink"/>
                <w:noProof/>
              </w:rPr>
              <w:t>7.</w:t>
            </w:r>
            <w:r w:rsidR="007C3C8C">
              <w:rPr>
                <w:noProof/>
                <w:kern w:val="2"/>
                <w:lang w:eastAsia="en-AU"/>
                <w14:ligatures w14:val="standardContextual"/>
              </w:rPr>
              <w:tab/>
            </w:r>
            <w:r w:rsidR="007C3C8C" w:rsidRPr="00230AB0">
              <w:rPr>
                <w:rStyle w:val="Hyperlink"/>
                <w:noProof/>
              </w:rPr>
              <w:t>Schedule 2, section 2.1 – factors favouring disclosure in the public interest</w:t>
            </w:r>
            <w:r w:rsidR="007C3C8C">
              <w:rPr>
                <w:noProof/>
                <w:webHidden/>
              </w:rPr>
              <w:tab/>
            </w:r>
            <w:r w:rsidR="007C3C8C">
              <w:rPr>
                <w:noProof/>
                <w:webHidden/>
              </w:rPr>
              <w:fldChar w:fldCharType="begin"/>
            </w:r>
            <w:r w:rsidR="007C3C8C">
              <w:rPr>
                <w:noProof/>
                <w:webHidden/>
              </w:rPr>
              <w:instrText xml:space="preserve"> PAGEREF _Toc152067335 \h </w:instrText>
            </w:r>
            <w:r w:rsidR="007C3C8C">
              <w:rPr>
                <w:noProof/>
                <w:webHidden/>
              </w:rPr>
            </w:r>
            <w:r w:rsidR="007C3C8C">
              <w:rPr>
                <w:noProof/>
                <w:webHidden/>
              </w:rPr>
              <w:fldChar w:fldCharType="separate"/>
            </w:r>
            <w:r w:rsidR="00365A2B">
              <w:rPr>
                <w:noProof/>
                <w:webHidden/>
              </w:rPr>
              <w:t>51</w:t>
            </w:r>
            <w:r w:rsidR="007C3C8C">
              <w:rPr>
                <w:noProof/>
                <w:webHidden/>
              </w:rPr>
              <w:fldChar w:fldCharType="end"/>
            </w:r>
          </w:hyperlink>
        </w:p>
        <w:p w14:paraId="564A5D35" w14:textId="3F986F57" w:rsidR="007C3C8C" w:rsidRDefault="00E12C0A">
          <w:pPr>
            <w:pStyle w:val="TOC2"/>
            <w:rPr>
              <w:noProof/>
              <w:kern w:val="2"/>
              <w:lang w:eastAsia="en-AU"/>
              <w14:ligatures w14:val="standardContextual"/>
            </w:rPr>
          </w:pPr>
          <w:hyperlink w:anchor="_Toc152067336" w:history="1">
            <w:r w:rsidR="007C3C8C" w:rsidRPr="00230AB0">
              <w:rPr>
                <w:rStyle w:val="Hyperlink"/>
                <w:noProof/>
              </w:rPr>
              <w:t>7.1.</w:t>
            </w:r>
            <w:r w:rsidR="007C3C8C">
              <w:rPr>
                <w:noProof/>
                <w:kern w:val="2"/>
                <w:lang w:eastAsia="en-AU"/>
                <w14:ligatures w14:val="standardContextual"/>
              </w:rPr>
              <w:tab/>
            </w:r>
            <w:r w:rsidR="007C3C8C" w:rsidRPr="00230AB0">
              <w:rPr>
                <w:rStyle w:val="Hyperlink"/>
                <w:noProof/>
              </w:rPr>
              <w:t>Section 2.1(a)(i) – promote open discussion and enhance accountability</w:t>
            </w:r>
            <w:r w:rsidR="007C3C8C">
              <w:rPr>
                <w:noProof/>
                <w:webHidden/>
              </w:rPr>
              <w:tab/>
            </w:r>
            <w:r w:rsidR="007C3C8C">
              <w:rPr>
                <w:noProof/>
                <w:webHidden/>
              </w:rPr>
              <w:fldChar w:fldCharType="begin"/>
            </w:r>
            <w:r w:rsidR="007C3C8C">
              <w:rPr>
                <w:noProof/>
                <w:webHidden/>
              </w:rPr>
              <w:instrText xml:space="preserve"> PAGEREF _Toc152067336 \h </w:instrText>
            </w:r>
            <w:r w:rsidR="007C3C8C">
              <w:rPr>
                <w:noProof/>
                <w:webHidden/>
              </w:rPr>
            </w:r>
            <w:r w:rsidR="007C3C8C">
              <w:rPr>
                <w:noProof/>
                <w:webHidden/>
              </w:rPr>
              <w:fldChar w:fldCharType="separate"/>
            </w:r>
            <w:r w:rsidR="00365A2B">
              <w:rPr>
                <w:noProof/>
                <w:webHidden/>
              </w:rPr>
              <w:t>52</w:t>
            </w:r>
            <w:r w:rsidR="007C3C8C">
              <w:rPr>
                <w:noProof/>
                <w:webHidden/>
              </w:rPr>
              <w:fldChar w:fldCharType="end"/>
            </w:r>
          </w:hyperlink>
        </w:p>
        <w:p w14:paraId="7DE69D4E" w14:textId="587031A6" w:rsidR="007C3C8C" w:rsidRDefault="00E12C0A">
          <w:pPr>
            <w:pStyle w:val="TOC2"/>
            <w:rPr>
              <w:noProof/>
              <w:kern w:val="2"/>
              <w:lang w:eastAsia="en-AU"/>
              <w14:ligatures w14:val="standardContextual"/>
            </w:rPr>
          </w:pPr>
          <w:hyperlink w:anchor="_Toc152067337" w:history="1">
            <w:r w:rsidR="007C3C8C" w:rsidRPr="00230AB0">
              <w:rPr>
                <w:rStyle w:val="Hyperlink"/>
                <w:noProof/>
              </w:rPr>
              <w:t>7.2.</w:t>
            </w:r>
            <w:r w:rsidR="007C3C8C">
              <w:rPr>
                <w:noProof/>
                <w:kern w:val="2"/>
                <w:lang w:eastAsia="en-AU"/>
                <w14:ligatures w14:val="standardContextual"/>
              </w:rPr>
              <w:tab/>
            </w:r>
            <w:r w:rsidR="007C3C8C" w:rsidRPr="00230AB0">
              <w:rPr>
                <w:rStyle w:val="Hyperlink"/>
                <w:noProof/>
              </w:rPr>
              <w:t>Section 2.1(a)(ii) – contribute to positive and informed debate</w:t>
            </w:r>
            <w:r w:rsidR="007C3C8C">
              <w:rPr>
                <w:noProof/>
                <w:webHidden/>
              </w:rPr>
              <w:tab/>
            </w:r>
            <w:r w:rsidR="007C3C8C">
              <w:rPr>
                <w:noProof/>
                <w:webHidden/>
              </w:rPr>
              <w:fldChar w:fldCharType="begin"/>
            </w:r>
            <w:r w:rsidR="007C3C8C">
              <w:rPr>
                <w:noProof/>
                <w:webHidden/>
              </w:rPr>
              <w:instrText xml:space="preserve"> PAGEREF _Toc152067337 \h </w:instrText>
            </w:r>
            <w:r w:rsidR="007C3C8C">
              <w:rPr>
                <w:noProof/>
                <w:webHidden/>
              </w:rPr>
            </w:r>
            <w:r w:rsidR="007C3C8C">
              <w:rPr>
                <w:noProof/>
                <w:webHidden/>
              </w:rPr>
              <w:fldChar w:fldCharType="separate"/>
            </w:r>
            <w:r w:rsidR="00365A2B">
              <w:rPr>
                <w:noProof/>
                <w:webHidden/>
              </w:rPr>
              <w:t>52</w:t>
            </w:r>
            <w:r w:rsidR="007C3C8C">
              <w:rPr>
                <w:noProof/>
                <w:webHidden/>
              </w:rPr>
              <w:fldChar w:fldCharType="end"/>
            </w:r>
          </w:hyperlink>
        </w:p>
        <w:p w14:paraId="132DBE7D" w14:textId="420952C1" w:rsidR="007C3C8C" w:rsidRDefault="00E12C0A">
          <w:pPr>
            <w:pStyle w:val="TOC2"/>
            <w:rPr>
              <w:noProof/>
              <w:kern w:val="2"/>
              <w:lang w:eastAsia="en-AU"/>
              <w14:ligatures w14:val="standardContextual"/>
            </w:rPr>
          </w:pPr>
          <w:hyperlink w:anchor="_Toc152067338" w:history="1">
            <w:r w:rsidR="007C3C8C" w:rsidRPr="00230AB0">
              <w:rPr>
                <w:rStyle w:val="Hyperlink"/>
                <w:noProof/>
              </w:rPr>
              <w:t>7.3.</w:t>
            </w:r>
            <w:r w:rsidR="007C3C8C">
              <w:rPr>
                <w:noProof/>
                <w:kern w:val="2"/>
                <w:lang w:eastAsia="en-AU"/>
                <w14:ligatures w14:val="standardContextual"/>
              </w:rPr>
              <w:tab/>
            </w:r>
            <w:r w:rsidR="007C3C8C" w:rsidRPr="00230AB0">
              <w:rPr>
                <w:rStyle w:val="Hyperlink"/>
                <w:noProof/>
              </w:rPr>
              <w:t>Section 2.1(a)(iii) – inform the community of government operations</w:t>
            </w:r>
            <w:r w:rsidR="007C3C8C">
              <w:rPr>
                <w:noProof/>
                <w:webHidden/>
              </w:rPr>
              <w:tab/>
            </w:r>
            <w:r w:rsidR="007C3C8C">
              <w:rPr>
                <w:noProof/>
                <w:webHidden/>
              </w:rPr>
              <w:fldChar w:fldCharType="begin"/>
            </w:r>
            <w:r w:rsidR="007C3C8C">
              <w:rPr>
                <w:noProof/>
                <w:webHidden/>
              </w:rPr>
              <w:instrText xml:space="preserve"> PAGEREF _Toc152067338 \h </w:instrText>
            </w:r>
            <w:r w:rsidR="007C3C8C">
              <w:rPr>
                <w:noProof/>
                <w:webHidden/>
              </w:rPr>
            </w:r>
            <w:r w:rsidR="007C3C8C">
              <w:rPr>
                <w:noProof/>
                <w:webHidden/>
              </w:rPr>
              <w:fldChar w:fldCharType="separate"/>
            </w:r>
            <w:r w:rsidR="00365A2B">
              <w:rPr>
                <w:noProof/>
                <w:webHidden/>
              </w:rPr>
              <w:t>53</w:t>
            </w:r>
            <w:r w:rsidR="007C3C8C">
              <w:rPr>
                <w:noProof/>
                <w:webHidden/>
              </w:rPr>
              <w:fldChar w:fldCharType="end"/>
            </w:r>
          </w:hyperlink>
        </w:p>
        <w:p w14:paraId="5CF16C58" w14:textId="1BADB594" w:rsidR="007C3C8C" w:rsidRDefault="00E12C0A">
          <w:pPr>
            <w:pStyle w:val="TOC2"/>
            <w:rPr>
              <w:noProof/>
              <w:kern w:val="2"/>
              <w:lang w:eastAsia="en-AU"/>
              <w14:ligatures w14:val="standardContextual"/>
            </w:rPr>
          </w:pPr>
          <w:hyperlink w:anchor="_Toc152067339" w:history="1">
            <w:r w:rsidR="007C3C8C" w:rsidRPr="00230AB0">
              <w:rPr>
                <w:rStyle w:val="Hyperlink"/>
                <w:noProof/>
              </w:rPr>
              <w:t>7.4.</w:t>
            </w:r>
            <w:r w:rsidR="007C3C8C">
              <w:rPr>
                <w:noProof/>
                <w:kern w:val="2"/>
                <w:lang w:eastAsia="en-AU"/>
                <w14:ligatures w14:val="standardContextual"/>
              </w:rPr>
              <w:tab/>
            </w:r>
            <w:r w:rsidR="007C3C8C" w:rsidRPr="00230AB0">
              <w:rPr>
                <w:rStyle w:val="Hyperlink"/>
                <w:noProof/>
              </w:rPr>
              <w:t>Section 2.1(a)(iv) – oversight of expenditure of public funds</w:t>
            </w:r>
            <w:r w:rsidR="007C3C8C">
              <w:rPr>
                <w:noProof/>
                <w:webHidden/>
              </w:rPr>
              <w:tab/>
            </w:r>
            <w:r w:rsidR="007C3C8C">
              <w:rPr>
                <w:noProof/>
                <w:webHidden/>
              </w:rPr>
              <w:fldChar w:fldCharType="begin"/>
            </w:r>
            <w:r w:rsidR="007C3C8C">
              <w:rPr>
                <w:noProof/>
                <w:webHidden/>
              </w:rPr>
              <w:instrText xml:space="preserve"> PAGEREF _Toc152067339 \h </w:instrText>
            </w:r>
            <w:r w:rsidR="007C3C8C">
              <w:rPr>
                <w:noProof/>
                <w:webHidden/>
              </w:rPr>
            </w:r>
            <w:r w:rsidR="007C3C8C">
              <w:rPr>
                <w:noProof/>
                <w:webHidden/>
              </w:rPr>
              <w:fldChar w:fldCharType="separate"/>
            </w:r>
            <w:r w:rsidR="00365A2B">
              <w:rPr>
                <w:noProof/>
                <w:webHidden/>
              </w:rPr>
              <w:t>53</w:t>
            </w:r>
            <w:r w:rsidR="007C3C8C">
              <w:rPr>
                <w:noProof/>
                <w:webHidden/>
              </w:rPr>
              <w:fldChar w:fldCharType="end"/>
            </w:r>
          </w:hyperlink>
        </w:p>
        <w:p w14:paraId="34D648E1" w14:textId="16227A8A" w:rsidR="007C3C8C" w:rsidRDefault="00E12C0A">
          <w:pPr>
            <w:pStyle w:val="TOC2"/>
            <w:rPr>
              <w:noProof/>
              <w:kern w:val="2"/>
              <w:lang w:eastAsia="en-AU"/>
              <w14:ligatures w14:val="standardContextual"/>
            </w:rPr>
          </w:pPr>
          <w:hyperlink w:anchor="_Toc152067340" w:history="1">
            <w:r w:rsidR="007C3C8C" w:rsidRPr="00230AB0">
              <w:rPr>
                <w:rStyle w:val="Hyperlink"/>
                <w:noProof/>
              </w:rPr>
              <w:t>7.5.</w:t>
            </w:r>
            <w:r w:rsidR="007C3C8C">
              <w:rPr>
                <w:noProof/>
                <w:kern w:val="2"/>
                <w:lang w:eastAsia="en-AU"/>
                <w14:ligatures w14:val="standardContextual"/>
              </w:rPr>
              <w:tab/>
            </w:r>
            <w:r w:rsidR="007C3C8C" w:rsidRPr="00230AB0">
              <w:rPr>
                <w:rStyle w:val="Hyperlink"/>
                <w:noProof/>
              </w:rPr>
              <w:t>Section 2.1(a)(v) – assist inquiry in deficiencies of conduct or administration</w:t>
            </w:r>
            <w:r w:rsidR="007C3C8C">
              <w:rPr>
                <w:noProof/>
                <w:webHidden/>
              </w:rPr>
              <w:tab/>
            </w:r>
            <w:r w:rsidR="007C3C8C">
              <w:rPr>
                <w:noProof/>
                <w:webHidden/>
              </w:rPr>
              <w:fldChar w:fldCharType="begin"/>
            </w:r>
            <w:r w:rsidR="007C3C8C">
              <w:rPr>
                <w:noProof/>
                <w:webHidden/>
              </w:rPr>
              <w:instrText xml:space="preserve"> PAGEREF _Toc152067340 \h </w:instrText>
            </w:r>
            <w:r w:rsidR="007C3C8C">
              <w:rPr>
                <w:noProof/>
                <w:webHidden/>
              </w:rPr>
            </w:r>
            <w:r w:rsidR="007C3C8C">
              <w:rPr>
                <w:noProof/>
                <w:webHidden/>
              </w:rPr>
              <w:fldChar w:fldCharType="separate"/>
            </w:r>
            <w:r w:rsidR="00365A2B">
              <w:rPr>
                <w:noProof/>
                <w:webHidden/>
              </w:rPr>
              <w:t>53</w:t>
            </w:r>
            <w:r w:rsidR="007C3C8C">
              <w:rPr>
                <w:noProof/>
                <w:webHidden/>
              </w:rPr>
              <w:fldChar w:fldCharType="end"/>
            </w:r>
          </w:hyperlink>
        </w:p>
        <w:p w14:paraId="1BB6C292" w14:textId="3F51DB37" w:rsidR="007C3C8C" w:rsidRDefault="00E12C0A">
          <w:pPr>
            <w:pStyle w:val="TOC2"/>
            <w:rPr>
              <w:noProof/>
              <w:kern w:val="2"/>
              <w:lang w:eastAsia="en-AU"/>
              <w14:ligatures w14:val="standardContextual"/>
            </w:rPr>
          </w:pPr>
          <w:hyperlink w:anchor="_Toc152067341" w:history="1">
            <w:r w:rsidR="007C3C8C" w:rsidRPr="00230AB0">
              <w:rPr>
                <w:rStyle w:val="Hyperlink"/>
                <w:noProof/>
              </w:rPr>
              <w:t>7.6.</w:t>
            </w:r>
            <w:r w:rsidR="007C3C8C">
              <w:rPr>
                <w:noProof/>
                <w:kern w:val="2"/>
                <w:lang w:eastAsia="en-AU"/>
                <w14:ligatures w14:val="standardContextual"/>
              </w:rPr>
              <w:tab/>
            </w:r>
            <w:r w:rsidR="007C3C8C" w:rsidRPr="00230AB0">
              <w:rPr>
                <w:rStyle w:val="Hyperlink"/>
                <w:noProof/>
              </w:rPr>
              <w:t>Section 2.1(a)(vi) – reveal improper conduct</w:t>
            </w:r>
            <w:r w:rsidR="007C3C8C">
              <w:rPr>
                <w:noProof/>
                <w:webHidden/>
              </w:rPr>
              <w:tab/>
            </w:r>
            <w:r w:rsidR="007C3C8C">
              <w:rPr>
                <w:noProof/>
                <w:webHidden/>
              </w:rPr>
              <w:fldChar w:fldCharType="begin"/>
            </w:r>
            <w:r w:rsidR="007C3C8C">
              <w:rPr>
                <w:noProof/>
                <w:webHidden/>
              </w:rPr>
              <w:instrText xml:space="preserve"> PAGEREF _Toc152067341 \h </w:instrText>
            </w:r>
            <w:r w:rsidR="007C3C8C">
              <w:rPr>
                <w:noProof/>
                <w:webHidden/>
              </w:rPr>
            </w:r>
            <w:r w:rsidR="007C3C8C">
              <w:rPr>
                <w:noProof/>
                <w:webHidden/>
              </w:rPr>
              <w:fldChar w:fldCharType="separate"/>
            </w:r>
            <w:r w:rsidR="00365A2B">
              <w:rPr>
                <w:noProof/>
                <w:webHidden/>
              </w:rPr>
              <w:t>54</w:t>
            </w:r>
            <w:r w:rsidR="007C3C8C">
              <w:rPr>
                <w:noProof/>
                <w:webHidden/>
              </w:rPr>
              <w:fldChar w:fldCharType="end"/>
            </w:r>
          </w:hyperlink>
        </w:p>
        <w:p w14:paraId="4D5324EB" w14:textId="12AEF221" w:rsidR="007C3C8C" w:rsidRDefault="00E12C0A">
          <w:pPr>
            <w:pStyle w:val="TOC2"/>
            <w:rPr>
              <w:noProof/>
              <w:kern w:val="2"/>
              <w:lang w:eastAsia="en-AU"/>
              <w14:ligatures w14:val="standardContextual"/>
            </w:rPr>
          </w:pPr>
          <w:hyperlink w:anchor="_Toc152067342" w:history="1">
            <w:r w:rsidR="007C3C8C" w:rsidRPr="00230AB0">
              <w:rPr>
                <w:rStyle w:val="Hyperlink"/>
                <w:noProof/>
              </w:rPr>
              <w:t>7.7.</w:t>
            </w:r>
            <w:r w:rsidR="007C3C8C">
              <w:rPr>
                <w:noProof/>
                <w:kern w:val="2"/>
                <w:lang w:eastAsia="en-AU"/>
                <w14:ligatures w14:val="standardContextual"/>
              </w:rPr>
              <w:tab/>
            </w:r>
            <w:r w:rsidR="007C3C8C" w:rsidRPr="00230AB0">
              <w:rPr>
                <w:rStyle w:val="Hyperlink"/>
                <w:noProof/>
              </w:rPr>
              <w:t>Section 2.1(a)(vii) – advance fair treatment of individuals</w:t>
            </w:r>
            <w:r w:rsidR="007C3C8C">
              <w:rPr>
                <w:noProof/>
                <w:webHidden/>
              </w:rPr>
              <w:tab/>
            </w:r>
            <w:r w:rsidR="007C3C8C">
              <w:rPr>
                <w:noProof/>
                <w:webHidden/>
              </w:rPr>
              <w:fldChar w:fldCharType="begin"/>
            </w:r>
            <w:r w:rsidR="007C3C8C">
              <w:rPr>
                <w:noProof/>
                <w:webHidden/>
              </w:rPr>
              <w:instrText xml:space="preserve"> PAGEREF _Toc152067342 \h </w:instrText>
            </w:r>
            <w:r w:rsidR="007C3C8C">
              <w:rPr>
                <w:noProof/>
                <w:webHidden/>
              </w:rPr>
            </w:r>
            <w:r w:rsidR="007C3C8C">
              <w:rPr>
                <w:noProof/>
                <w:webHidden/>
              </w:rPr>
              <w:fldChar w:fldCharType="separate"/>
            </w:r>
            <w:r w:rsidR="00365A2B">
              <w:rPr>
                <w:noProof/>
                <w:webHidden/>
              </w:rPr>
              <w:t>54</w:t>
            </w:r>
            <w:r w:rsidR="007C3C8C">
              <w:rPr>
                <w:noProof/>
                <w:webHidden/>
              </w:rPr>
              <w:fldChar w:fldCharType="end"/>
            </w:r>
          </w:hyperlink>
        </w:p>
        <w:p w14:paraId="09BC28F6" w14:textId="45F3CD2A" w:rsidR="007C3C8C" w:rsidRDefault="00E12C0A">
          <w:pPr>
            <w:pStyle w:val="TOC2"/>
            <w:rPr>
              <w:noProof/>
              <w:kern w:val="2"/>
              <w:lang w:eastAsia="en-AU"/>
              <w14:ligatures w14:val="standardContextual"/>
            </w:rPr>
          </w:pPr>
          <w:hyperlink w:anchor="_Toc152067343" w:history="1">
            <w:r w:rsidR="007C3C8C" w:rsidRPr="00230AB0">
              <w:rPr>
                <w:rStyle w:val="Hyperlink"/>
                <w:noProof/>
              </w:rPr>
              <w:t>7.8.</w:t>
            </w:r>
            <w:r w:rsidR="007C3C8C">
              <w:rPr>
                <w:noProof/>
                <w:kern w:val="2"/>
                <w:lang w:eastAsia="en-AU"/>
                <w14:ligatures w14:val="standardContextual"/>
              </w:rPr>
              <w:tab/>
            </w:r>
            <w:r w:rsidR="007C3C8C" w:rsidRPr="00230AB0">
              <w:rPr>
                <w:rStyle w:val="Hyperlink"/>
                <w:noProof/>
              </w:rPr>
              <w:t>Section 2.1(a)(viii) – reveal reason for government decision</w:t>
            </w:r>
            <w:r w:rsidR="007C3C8C">
              <w:rPr>
                <w:noProof/>
                <w:webHidden/>
              </w:rPr>
              <w:tab/>
            </w:r>
            <w:r w:rsidR="007C3C8C">
              <w:rPr>
                <w:noProof/>
                <w:webHidden/>
              </w:rPr>
              <w:fldChar w:fldCharType="begin"/>
            </w:r>
            <w:r w:rsidR="007C3C8C">
              <w:rPr>
                <w:noProof/>
                <w:webHidden/>
              </w:rPr>
              <w:instrText xml:space="preserve"> PAGEREF _Toc152067343 \h </w:instrText>
            </w:r>
            <w:r w:rsidR="007C3C8C">
              <w:rPr>
                <w:noProof/>
                <w:webHidden/>
              </w:rPr>
            </w:r>
            <w:r w:rsidR="007C3C8C">
              <w:rPr>
                <w:noProof/>
                <w:webHidden/>
              </w:rPr>
              <w:fldChar w:fldCharType="separate"/>
            </w:r>
            <w:r w:rsidR="00365A2B">
              <w:rPr>
                <w:noProof/>
                <w:webHidden/>
              </w:rPr>
              <w:t>54</w:t>
            </w:r>
            <w:r w:rsidR="007C3C8C">
              <w:rPr>
                <w:noProof/>
                <w:webHidden/>
              </w:rPr>
              <w:fldChar w:fldCharType="end"/>
            </w:r>
          </w:hyperlink>
        </w:p>
        <w:p w14:paraId="127C13D3" w14:textId="6B7609EC" w:rsidR="007C3C8C" w:rsidRDefault="00E12C0A">
          <w:pPr>
            <w:pStyle w:val="TOC2"/>
            <w:rPr>
              <w:noProof/>
              <w:kern w:val="2"/>
              <w:lang w:eastAsia="en-AU"/>
              <w14:ligatures w14:val="standardContextual"/>
            </w:rPr>
          </w:pPr>
          <w:hyperlink w:anchor="_Toc152067344" w:history="1">
            <w:r w:rsidR="007C3C8C" w:rsidRPr="00230AB0">
              <w:rPr>
                <w:rStyle w:val="Hyperlink"/>
                <w:noProof/>
              </w:rPr>
              <w:t>7.9.</w:t>
            </w:r>
            <w:r w:rsidR="007C3C8C">
              <w:rPr>
                <w:noProof/>
                <w:kern w:val="2"/>
                <w:lang w:eastAsia="en-AU"/>
                <w14:ligatures w14:val="standardContextual"/>
              </w:rPr>
              <w:tab/>
            </w:r>
            <w:r w:rsidR="007C3C8C" w:rsidRPr="00230AB0">
              <w:rPr>
                <w:rStyle w:val="Hyperlink"/>
                <w:noProof/>
              </w:rPr>
              <w:t>Section 2.1(a)(ix) – reveal incorrect information</w:t>
            </w:r>
            <w:r w:rsidR="007C3C8C">
              <w:rPr>
                <w:noProof/>
                <w:webHidden/>
              </w:rPr>
              <w:tab/>
            </w:r>
            <w:r w:rsidR="007C3C8C">
              <w:rPr>
                <w:noProof/>
                <w:webHidden/>
              </w:rPr>
              <w:fldChar w:fldCharType="begin"/>
            </w:r>
            <w:r w:rsidR="007C3C8C">
              <w:rPr>
                <w:noProof/>
                <w:webHidden/>
              </w:rPr>
              <w:instrText xml:space="preserve"> PAGEREF _Toc152067344 \h </w:instrText>
            </w:r>
            <w:r w:rsidR="007C3C8C">
              <w:rPr>
                <w:noProof/>
                <w:webHidden/>
              </w:rPr>
            </w:r>
            <w:r w:rsidR="007C3C8C">
              <w:rPr>
                <w:noProof/>
                <w:webHidden/>
              </w:rPr>
              <w:fldChar w:fldCharType="separate"/>
            </w:r>
            <w:r w:rsidR="00365A2B">
              <w:rPr>
                <w:noProof/>
                <w:webHidden/>
              </w:rPr>
              <w:t>55</w:t>
            </w:r>
            <w:r w:rsidR="007C3C8C">
              <w:rPr>
                <w:noProof/>
                <w:webHidden/>
              </w:rPr>
              <w:fldChar w:fldCharType="end"/>
            </w:r>
          </w:hyperlink>
        </w:p>
        <w:p w14:paraId="3D1150CE" w14:textId="095DE963" w:rsidR="007C3C8C" w:rsidRDefault="00E12C0A">
          <w:pPr>
            <w:pStyle w:val="TOC2"/>
            <w:rPr>
              <w:noProof/>
              <w:kern w:val="2"/>
              <w:lang w:eastAsia="en-AU"/>
              <w14:ligatures w14:val="standardContextual"/>
            </w:rPr>
          </w:pPr>
          <w:hyperlink w:anchor="_Toc152067345" w:history="1">
            <w:r w:rsidR="007C3C8C" w:rsidRPr="00230AB0">
              <w:rPr>
                <w:rStyle w:val="Hyperlink"/>
                <w:noProof/>
              </w:rPr>
              <w:t>7.10.</w:t>
            </w:r>
            <w:r w:rsidR="007C3C8C">
              <w:rPr>
                <w:noProof/>
                <w:kern w:val="2"/>
                <w:lang w:eastAsia="en-AU"/>
                <w14:ligatures w14:val="standardContextual"/>
              </w:rPr>
              <w:tab/>
            </w:r>
            <w:r w:rsidR="007C3C8C" w:rsidRPr="00230AB0">
              <w:rPr>
                <w:rStyle w:val="Hyperlink"/>
                <w:noProof/>
              </w:rPr>
              <w:t>Section 2.1(a)(x) – contribute to protection of the environment</w:t>
            </w:r>
            <w:r w:rsidR="007C3C8C">
              <w:rPr>
                <w:noProof/>
                <w:webHidden/>
              </w:rPr>
              <w:tab/>
            </w:r>
            <w:r w:rsidR="007C3C8C">
              <w:rPr>
                <w:noProof/>
                <w:webHidden/>
              </w:rPr>
              <w:fldChar w:fldCharType="begin"/>
            </w:r>
            <w:r w:rsidR="007C3C8C">
              <w:rPr>
                <w:noProof/>
                <w:webHidden/>
              </w:rPr>
              <w:instrText xml:space="preserve"> PAGEREF _Toc152067345 \h </w:instrText>
            </w:r>
            <w:r w:rsidR="007C3C8C">
              <w:rPr>
                <w:noProof/>
                <w:webHidden/>
              </w:rPr>
            </w:r>
            <w:r w:rsidR="007C3C8C">
              <w:rPr>
                <w:noProof/>
                <w:webHidden/>
              </w:rPr>
              <w:fldChar w:fldCharType="separate"/>
            </w:r>
            <w:r w:rsidR="00365A2B">
              <w:rPr>
                <w:noProof/>
                <w:webHidden/>
              </w:rPr>
              <w:t>55</w:t>
            </w:r>
            <w:r w:rsidR="007C3C8C">
              <w:rPr>
                <w:noProof/>
                <w:webHidden/>
              </w:rPr>
              <w:fldChar w:fldCharType="end"/>
            </w:r>
          </w:hyperlink>
        </w:p>
        <w:p w14:paraId="5C55CFCB" w14:textId="3A4CF6A5" w:rsidR="007C3C8C" w:rsidRDefault="00E12C0A">
          <w:pPr>
            <w:pStyle w:val="TOC2"/>
            <w:rPr>
              <w:noProof/>
              <w:kern w:val="2"/>
              <w:lang w:eastAsia="en-AU"/>
              <w14:ligatures w14:val="standardContextual"/>
            </w:rPr>
          </w:pPr>
          <w:hyperlink w:anchor="_Toc152067346" w:history="1">
            <w:r w:rsidR="007C3C8C" w:rsidRPr="00230AB0">
              <w:rPr>
                <w:rStyle w:val="Hyperlink"/>
                <w:noProof/>
              </w:rPr>
              <w:t>7.11.</w:t>
            </w:r>
            <w:r w:rsidR="007C3C8C">
              <w:rPr>
                <w:noProof/>
                <w:kern w:val="2"/>
                <w:lang w:eastAsia="en-AU"/>
                <w14:ligatures w14:val="standardContextual"/>
              </w:rPr>
              <w:tab/>
            </w:r>
            <w:r w:rsidR="007C3C8C" w:rsidRPr="00230AB0">
              <w:rPr>
                <w:rStyle w:val="Hyperlink"/>
                <w:noProof/>
              </w:rPr>
              <w:t>Section 2.1(a)(xi) – reveal environmental or health risks</w:t>
            </w:r>
            <w:r w:rsidR="007C3C8C">
              <w:rPr>
                <w:noProof/>
                <w:webHidden/>
              </w:rPr>
              <w:tab/>
            </w:r>
            <w:r w:rsidR="007C3C8C">
              <w:rPr>
                <w:noProof/>
                <w:webHidden/>
              </w:rPr>
              <w:fldChar w:fldCharType="begin"/>
            </w:r>
            <w:r w:rsidR="007C3C8C">
              <w:rPr>
                <w:noProof/>
                <w:webHidden/>
              </w:rPr>
              <w:instrText xml:space="preserve"> PAGEREF _Toc152067346 \h </w:instrText>
            </w:r>
            <w:r w:rsidR="007C3C8C">
              <w:rPr>
                <w:noProof/>
                <w:webHidden/>
              </w:rPr>
            </w:r>
            <w:r w:rsidR="007C3C8C">
              <w:rPr>
                <w:noProof/>
                <w:webHidden/>
              </w:rPr>
              <w:fldChar w:fldCharType="separate"/>
            </w:r>
            <w:r w:rsidR="00365A2B">
              <w:rPr>
                <w:noProof/>
                <w:webHidden/>
              </w:rPr>
              <w:t>55</w:t>
            </w:r>
            <w:r w:rsidR="007C3C8C">
              <w:rPr>
                <w:noProof/>
                <w:webHidden/>
              </w:rPr>
              <w:fldChar w:fldCharType="end"/>
            </w:r>
          </w:hyperlink>
        </w:p>
        <w:p w14:paraId="63117A3B" w14:textId="4D4EF55B" w:rsidR="007C3C8C" w:rsidRDefault="00E12C0A">
          <w:pPr>
            <w:pStyle w:val="TOC2"/>
            <w:rPr>
              <w:noProof/>
              <w:kern w:val="2"/>
              <w:lang w:eastAsia="en-AU"/>
              <w14:ligatures w14:val="standardContextual"/>
            </w:rPr>
          </w:pPr>
          <w:hyperlink w:anchor="_Toc152067347" w:history="1">
            <w:r w:rsidR="007C3C8C" w:rsidRPr="00230AB0">
              <w:rPr>
                <w:rStyle w:val="Hyperlink"/>
                <w:noProof/>
              </w:rPr>
              <w:t>7.12.</w:t>
            </w:r>
            <w:r w:rsidR="007C3C8C">
              <w:rPr>
                <w:noProof/>
                <w:kern w:val="2"/>
                <w:lang w:eastAsia="en-AU"/>
                <w14:ligatures w14:val="standardContextual"/>
              </w:rPr>
              <w:tab/>
            </w:r>
            <w:r w:rsidR="007C3C8C" w:rsidRPr="00230AB0">
              <w:rPr>
                <w:rStyle w:val="Hyperlink"/>
                <w:noProof/>
              </w:rPr>
              <w:t>Section 2.1(a)(xii) – contribute to maintenance of peace and order</w:t>
            </w:r>
            <w:r w:rsidR="007C3C8C">
              <w:rPr>
                <w:noProof/>
                <w:webHidden/>
              </w:rPr>
              <w:tab/>
            </w:r>
            <w:r w:rsidR="007C3C8C">
              <w:rPr>
                <w:noProof/>
                <w:webHidden/>
              </w:rPr>
              <w:fldChar w:fldCharType="begin"/>
            </w:r>
            <w:r w:rsidR="007C3C8C">
              <w:rPr>
                <w:noProof/>
                <w:webHidden/>
              </w:rPr>
              <w:instrText xml:space="preserve"> PAGEREF _Toc152067347 \h </w:instrText>
            </w:r>
            <w:r w:rsidR="007C3C8C">
              <w:rPr>
                <w:noProof/>
                <w:webHidden/>
              </w:rPr>
            </w:r>
            <w:r w:rsidR="007C3C8C">
              <w:rPr>
                <w:noProof/>
                <w:webHidden/>
              </w:rPr>
              <w:fldChar w:fldCharType="separate"/>
            </w:r>
            <w:r w:rsidR="00365A2B">
              <w:rPr>
                <w:noProof/>
                <w:webHidden/>
              </w:rPr>
              <w:t>56</w:t>
            </w:r>
            <w:r w:rsidR="007C3C8C">
              <w:rPr>
                <w:noProof/>
                <w:webHidden/>
              </w:rPr>
              <w:fldChar w:fldCharType="end"/>
            </w:r>
          </w:hyperlink>
        </w:p>
        <w:p w14:paraId="308B2152" w14:textId="3882285B" w:rsidR="007C3C8C" w:rsidRDefault="00E12C0A">
          <w:pPr>
            <w:pStyle w:val="TOC2"/>
            <w:rPr>
              <w:noProof/>
              <w:kern w:val="2"/>
              <w:lang w:eastAsia="en-AU"/>
              <w14:ligatures w14:val="standardContextual"/>
            </w:rPr>
          </w:pPr>
          <w:hyperlink w:anchor="_Toc152067348" w:history="1">
            <w:r w:rsidR="007C3C8C" w:rsidRPr="00230AB0">
              <w:rPr>
                <w:rStyle w:val="Hyperlink"/>
                <w:noProof/>
              </w:rPr>
              <w:t>7.13.</w:t>
            </w:r>
            <w:r w:rsidR="007C3C8C">
              <w:rPr>
                <w:noProof/>
                <w:kern w:val="2"/>
                <w:lang w:eastAsia="en-AU"/>
                <w14:ligatures w14:val="standardContextual"/>
              </w:rPr>
              <w:tab/>
            </w:r>
            <w:r w:rsidR="007C3C8C" w:rsidRPr="00230AB0">
              <w:rPr>
                <w:rStyle w:val="Hyperlink"/>
                <w:noProof/>
              </w:rPr>
              <w:t>Section 2.1(a)(xiii) – contribute to the administration of justice</w:t>
            </w:r>
            <w:r w:rsidR="007C3C8C">
              <w:rPr>
                <w:noProof/>
                <w:webHidden/>
              </w:rPr>
              <w:tab/>
            </w:r>
            <w:r w:rsidR="007C3C8C">
              <w:rPr>
                <w:noProof/>
                <w:webHidden/>
              </w:rPr>
              <w:fldChar w:fldCharType="begin"/>
            </w:r>
            <w:r w:rsidR="007C3C8C">
              <w:rPr>
                <w:noProof/>
                <w:webHidden/>
              </w:rPr>
              <w:instrText xml:space="preserve"> PAGEREF _Toc152067348 \h </w:instrText>
            </w:r>
            <w:r w:rsidR="007C3C8C">
              <w:rPr>
                <w:noProof/>
                <w:webHidden/>
              </w:rPr>
            </w:r>
            <w:r w:rsidR="007C3C8C">
              <w:rPr>
                <w:noProof/>
                <w:webHidden/>
              </w:rPr>
              <w:fldChar w:fldCharType="separate"/>
            </w:r>
            <w:r w:rsidR="00365A2B">
              <w:rPr>
                <w:noProof/>
                <w:webHidden/>
              </w:rPr>
              <w:t>56</w:t>
            </w:r>
            <w:r w:rsidR="007C3C8C">
              <w:rPr>
                <w:noProof/>
                <w:webHidden/>
              </w:rPr>
              <w:fldChar w:fldCharType="end"/>
            </w:r>
          </w:hyperlink>
        </w:p>
        <w:p w14:paraId="648A123D" w14:textId="342D72CD" w:rsidR="007C3C8C" w:rsidRDefault="00E12C0A">
          <w:pPr>
            <w:pStyle w:val="TOC2"/>
            <w:rPr>
              <w:noProof/>
              <w:kern w:val="2"/>
              <w:lang w:eastAsia="en-AU"/>
              <w14:ligatures w14:val="standardContextual"/>
            </w:rPr>
          </w:pPr>
          <w:hyperlink w:anchor="_Toc152067349" w:history="1">
            <w:r w:rsidR="007C3C8C" w:rsidRPr="00230AB0">
              <w:rPr>
                <w:rStyle w:val="Hyperlink"/>
                <w:noProof/>
              </w:rPr>
              <w:t>7.14.</w:t>
            </w:r>
            <w:r w:rsidR="007C3C8C">
              <w:rPr>
                <w:noProof/>
                <w:kern w:val="2"/>
                <w:lang w:eastAsia="en-AU"/>
                <w14:ligatures w14:val="standardContextual"/>
              </w:rPr>
              <w:tab/>
            </w:r>
            <w:r w:rsidR="007C3C8C" w:rsidRPr="00230AB0">
              <w:rPr>
                <w:rStyle w:val="Hyperlink"/>
                <w:noProof/>
              </w:rPr>
              <w:t>Section 2.1(a)(xiv) – contribute to administration of justice for a person</w:t>
            </w:r>
            <w:r w:rsidR="007C3C8C">
              <w:rPr>
                <w:noProof/>
                <w:webHidden/>
              </w:rPr>
              <w:tab/>
            </w:r>
            <w:r w:rsidR="007C3C8C">
              <w:rPr>
                <w:noProof/>
                <w:webHidden/>
              </w:rPr>
              <w:fldChar w:fldCharType="begin"/>
            </w:r>
            <w:r w:rsidR="007C3C8C">
              <w:rPr>
                <w:noProof/>
                <w:webHidden/>
              </w:rPr>
              <w:instrText xml:space="preserve"> PAGEREF _Toc152067349 \h </w:instrText>
            </w:r>
            <w:r w:rsidR="007C3C8C">
              <w:rPr>
                <w:noProof/>
                <w:webHidden/>
              </w:rPr>
            </w:r>
            <w:r w:rsidR="007C3C8C">
              <w:rPr>
                <w:noProof/>
                <w:webHidden/>
              </w:rPr>
              <w:fldChar w:fldCharType="separate"/>
            </w:r>
            <w:r w:rsidR="00365A2B">
              <w:rPr>
                <w:noProof/>
                <w:webHidden/>
              </w:rPr>
              <w:t>57</w:t>
            </w:r>
            <w:r w:rsidR="007C3C8C">
              <w:rPr>
                <w:noProof/>
                <w:webHidden/>
              </w:rPr>
              <w:fldChar w:fldCharType="end"/>
            </w:r>
          </w:hyperlink>
        </w:p>
        <w:p w14:paraId="1FEAAAFE" w14:textId="4282F6F3" w:rsidR="007C3C8C" w:rsidRDefault="00E12C0A">
          <w:pPr>
            <w:pStyle w:val="TOC2"/>
            <w:rPr>
              <w:noProof/>
              <w:kern w:val="2"/>
              <w:lang w:eastAsia="en-AU"/>
              <w14:ligatures w14:val="standardContextual"/>
            </w:rPr>
          </w:pPr>
          <w:hyperlink w:anchor="_Toc152067350" w:history="1">
            <w:r w:rsidR="007C3C8C" w:rsidRPr="00230AB0">
              <w:rPr>
                <w:rStyle w:val="Hyperlink"/>
                <w:noProof/>
              </w:rPr>
              <w:t>7.15.</w:t>
            </w:r>
            <w:r w:rsidR="007C3C8C">
              <w:rPr>
                <w:noProof/>
                <w:kern w:val="2"/>
                <w:lang w:eastAsia="en-AU"/>
                <w14:ligatures w14:val="standardContextual"/>
              </w:rPr>
              <w:tab/>
            </w:r>
            <w:r w:rsidR="007C3C8C" w:rsidRPr="00230AB0">
              <w:rPr>
                <w:rStyle w:val="Hyperlink"/>
                <w:noProof/>
              </w:rPr>
              <w:t>Section 2.1(a)(xv) – contribute to the enforcement of criminal law</w:t>
            </w:r>
            <w:r w:rsidR="007C3C8C">
              <w:rPr>
                <w:noProof/>
                <w:webHidden/>
              </w:rPr>
              <w:tab/>
            </w:r>
            <w:r w:rsidR="007C3C8C">
              <w:rPr>
                <w:noProof/>
                <w:webHidden/>
              </w:rPr>
              <w:fldChar w:fldCharType="begin"/>
            </w:r>
            <w:r w:rsidR="007C3C8C">
              <w:rPr>
                <w:noProof/>
                <w:webHidden/>
              </w:rPr>
              <w:instrText xml:space="preserve"> PAGEREF _Toc152067350 \h </w:instrText>
            </w:r>
            <w:r w:rsidR="007C3C8C">
              <w:rPr>
                <w:noProof/>
                <w:webHidden/>
              </w:rPr>
            </w:r>
            <w:r w:rsidR="007C3C8C">
              <w:rPr>
                <w:noProof/>
                <w:webHidden/>
              </w:rPr>
              <w:fldChar w:fldCharType="separate"/>
            </w:r>
            <w:r w:rsidR="00365A2B">
              <w:rPr>
                <w:noProof/>
                <w:webHidden/>
              </w:rPr>
              <w:t>57</w:t>
            </w:r>
            <w:r w:rsidR="007C3C8C">
              <w:rPr>
                <w:noProof/>
                <w:webHidden/>
              </w:rPr>
              <w:fldChar w:fldCharType="end"/>
            </w:r>
          </w:hyperlink>
        </w:p>
        <w:p w14:paraId="08AE9D48" w14:textId="39987EBD" w:rsidR="007C3C8C" w:rsidRDefault="00E12C0A">
          <w:pPr>
            <w:pStyle w:val="TOC2"/>
            <w:rPr>
              <w:noProof/>
              <w:kern w:val="2"/>
              <w:lang w:eastAsia="en-AU"/>
              <w14:ligatures w14:val="standardContextual"/>
            </w:rPr>
          </w:pPr>
          <w:hyperlink w:anchor="_Toc152067351" w:history="1">
            <w:r w:rsidR="007C3C8C" w:rsidRPr="00230AB0">
              <w:rPr>
                <w:rStyle w:val="Hyperlink"/>
                <w:noProof/>
              </w:rPr>
              <w:t>7.16.</w:t>
            </w:r>
            <w:r w:rsidR="007C3C8C">
              <w:rPr>
                <w:noProof/>
                <w:kern w:val="2"/>
                <w:lang w:eastAsia="en-AU"/>
                <w14:ligatures w14:val="standardContextual"/>
              </w:rPr>
              <w:tab/>
            </w:r>
            <w:r w:rsidR="007C3C8C" w:rsidRPr="00230AB0">
              <w:rPr>
                <w:rStyle w:val="Hyperlink"/>
                <w:noProof/>
              </w:rPr>
              <w:t>Section 2.1(a)(xvi) – contribute to innovation and facilitate research</w:t>
            </w:r>
            <w:r w:rsidR="007C3C8C">
              <w:rPr>
                <w:noProof/>
                <w:webHidden/>
              </w:rPr>
              <w:tab/>
            </w:r>
            <w:r w:rsidR="007C3C8C">
              <w:rPr>
                <w:noProof/>
                <w:webHidden/>
              </w:rPr>
              <w:fldChar w:fldCharType="begin"/>
            </w:r>
            <w:r w:rsidR="007C3C8C">
              <w:rPr>
                <w:noProof/>
                <w:webHidden/>
              </w:rPr>
              <w:instrText xml:space="preserve"> PAGEREF _Toc152067351 \h </w:instrText>
            </w:r>
            <w:r w:rsidR="007C3C8C">
              <w:rPr>
                <w:noProof/>
                <w:webHidden/>
              </w:rPr>
            </w:r>
            <w:r w:rsidR="007C3C8C">
              <w:rPr>
                <w:noProof/>
                <w:webHidden/>
              </w:rPr>
              <w:fldChar w:fldCharType="separate"/>
            </w:r>
            <w:r w:rsidR="00365A2B">
              <w:rPr>
                <w:noProof/>
                <w:webHidden/>
              </w:rPr>
              <w:t>57</w:t>
            </w:r>
            <w:r w:rsidR="007C3C8C">
              <w:rPr>
                <w:noProof/>
                <w:webHidden/>
              </w:rPr>
              <w:fldChar w:fldCharType="end"/>
            </w:r>
          </w:hyperlink>
        </w:p>
        <w:p w14:paraId="2DD47FD1" w14:textId="242BD47D" w:rsidR="007C3C8C" w:rsidRDefault="00E12C0A">
          <w:pPr>
            <w:pStyle w:val="TOC2"/>
            <w:rPr>
              <w:noProof/>
              <w:kern w:val="2"/>
              <w:lang w:eastAsia="en-AU"/>
              <w14:ligatures w14:val="standardContextual"/>
            </w:rPr>
          </w:pPr>
          <w:hyperlink w:anchor="_Toc152067352" w:history="1">
            <w:r w:rsidR="007C3C8C" w:rsidRPr="00230AB0">
              <w:rPr>
                <w:rStyle w:val="Hyperlink"/>
                <w:noProof/>
              </w:rPr>
              <w:t>7.17.</w:t>
            </w:r>
            <w:r w:rsidR="007C3C8C">
              <w:rPr>
                <w:noProof/>
                <w:kern w:val="2"/>
                <w:lang w:eastAsia="en-AU"/>
                <w14:ligatures w14:val="standardContextual"/>
              </w:rPr>
              <w:tab/>
            </w:r>
            <w:r w:rsidR="007C3C8C" w:rsidRPr="00230AB0">
              <w:rPr>
                <w:rStyle w:val="Hyperlink"/>
                <w:noProof/>
              </w:rPr>
              <w:t>Section 2.1(b) – information is personal information</w:t>
            </w:r>
            <w:r w:rsidR="007C3C8C">
              <w:rPr>
                <w:noProof/>
                <w:webHidden/>
              </w:rPr>
              <w:tab/>
            </w:r>
            <w:r w:rsidR="007C3C8C">
              <w:rPr>
                <w:noProof/>
                <w:webHidden/>
              </w:rPr>
              <w:fldChar w:fldCharType="begin"/>
            </w:r>
            <w:r w:rsidR="007C3C8C">
              <w:rPr>
                <w:noProof/>
                <w:webHidden/>
              </w:rPr>
              <w:instrText xml:space="preserve"> PAGEREF _Toc152067352 \h </w:instrText>
            </w:r>
            <w:r w:rsidR="007C3C8C">
              <w:rPr>
                <w:noProof/>
                <w:webHidden/>
              </w:rPr>
            </w:r>
            <w:r w:rsidR="007C3C8C">
              <w:rPr>
                <w:noProof/>
                <w:webHidden/>
              </w:rPr>
              <w:fldChar w:fldCharType="separate"/>
            </w:r>
            <w:r w:rsidR="00365A2B">
              <w:rPr>
                <w:noProof/>
                <w:webHidden/>
              </w:rPr>
              <w:t>58</w:t>
            </w:r>
            <w:r w:rsidR="007C3C8C">
              <w:rPr>
                <w:noProof/>
                <w:webHidden/>
              </w:rPr>
              <w:fldChar w:fldCharType="end"/>
            </w:r>
          </w:hyperlink>
        </w:p>
        <w:p w14:paraId="4C38324B" w14:textId="46D62324" w:rsidR="007C3C8C" w:rsidRDefault="00E12C0A">
          <w:pPr>
            <w:pStyle w:val="TOC2"/>
            <w:rPr>
              <w:noProof/>
              <w:kern w:val="2"/>
              <w:lang w:eastAsia="en-AU"/>
              <w14:ligatures w14:val="standardContextual"/>
            </w:rPr>
          </w:pPr>
          <w:hyperlink w:anchor="_Toc152067353" w:history="1">
            <w:r w:rsidR="007C3C8C" w:rsidRPr="00230AB0">
              <w:rPr>
                <w:rStyle w:val="Hyperlink"/>
                <w:noProof/>
              </w:rPr>
              <w:t>8.</w:t>
            </w:r>
            <w:r w:rsidR="007C3C8C">
              <w:rPr>
                <w:noProof/>
                <w:kern w:val="2"/>
                <w:lang w:eastAsia="en-AU"/>
                <w14:ligatures w14:val="standardContextual"/>
              </w:rPr>
              <w:tab/>
            </w:r>
            <w:r w:rsidR="007C3C8C" w:rsidRPr="00230AB0">
              <w:rPr>
                <w:rStyle w:val="Hyperlink"/>
                <w:noProof/>
              </w:rPr>
              <w:t>Schedule 2, section 2.2 – factors favouring nondisclosure in the public interest</w:t>
            </w:r>
            <w:r w:rsidR="007C3C8C">
              <w:rPr>
                <w:noProof/>
                <w:webHidden/>
              </w:rPr>
              <w:tab/>
            </w:r>
            <w:r w:rsidR="007C3C8C">
              <w:rPr>
                <w:noProof/>
                <w:webHidden/>
              </w:rPr>
              <w:fldChar w:fldCharType="begin"/>
            </w:r>
            <w:r w:rsidR="007C3C8C">
              <w:rPr>
                <w:noProof/>
                <w:webHidden/>
              </w:rPr>
              <w:instrText xml:space="preserve"> PAGEREF _Toc152067353 \h </w:instrText>
            </w:r>
            <w:r w:rsidR="007C3C8C">
              <w:rPr>
                <w:noProof/>
                <w:webHidden/>
              </w:rPr>
            </w:r>
            <w:r w:rsidR="007C3C8C">
              <w:rPr>
                <w:noProof/>
                <w:webHidden/>
              </w:rPr>
              <w:fldChar w:fldCharType="separate"/>
            </w:r>
            <w:r w:rsidR="00365A2B">
              <w:rPr>
                <w:noProof/>
                <w:webHidden/>
              </w:rPr>
              <w:t>58</w:t>
            </w:r>
            <w:r w:rsidR="007C3C8C">
              <w:rPr>
                <w:noProof/>
                <w:webHidden/>
              </w:rPr>
              <w:fldChar w:fldCharType="end"/>
            </w:r>
          </w:hyperlink>
        </w:p>
        <w:p w14:paraId="22EE3805" w14:textId="4A2AD858" w:rsidR="007C3C8C" w:rsidRDefault="00E12C0A">
          <w:pPr>
            <w:pStyle w:val="TOC2"/>
            <w:rPr>
              <w:noProof/>
              <w:kern w:val="2"/>
              <w:lang w:eastAsia="en-AU"/>
              <w14:ligatures w14:val="standardContextual"/>
            </w:rPr>
          </w:pPr>
          <w:hyperlink w:anchor="_Toc152067354" w:history="1">
            <w:r w:rsidR="007C3C8C" w:rsidRPr="00230AB0">
              <w:rPr>
                <w:rStyle w:val="Hyperlink"/>
                <w:noProof/>
              </w:rPr>
              <w:t>8.1.</w:t>
            </w:r>
            <w:r w:rsidR="007C3C8C">
              <w:rPr>
                <w:noProof/>
                <w:kern w:val="2"/>
                <w:lang w:eastAsia="en-AU"/>
                <w14:ligatures w14:val="standardContextual"/>
              </w:rPr>
              <w:tab/>
            </w:r>
            <w:r w:rsidR="007C3C8C" w:rsidRPr="00230AB0">
              <w:rPr>
                <w:rStyle w:val="Hyperlink"/>
                <w:noProof/>
              </w:rPr>
              <w:t>Section 2.2(a)(i) – prejudice collective responsibility of Cabinet or of members to the Assembly</w:t>
            </w:r>
            <w:r w:rsidR="007C3C8C">
              <w:rPr>
                <w:noProof/>
                <w:webHidden/>
              </w:rPr>
              <w:tab/>
            </w:r>
            <w:r w:rsidR="007C3C8C">
              <w:rPr>
                <w:noProof/>
                <w:webHidden/>
              </w:rPr>
              <w:fldChar w:fldCharType="begin"/>
            </w:r>
            <w:r w:rsidR="007C3C8C">
              <w:rPr>
                <w:noProof/>
                <w:webHidden/>
              </w:rPr>
              <w:instrText xml:space="preserve"> PAGEREF _Toc152067354 \h </w:instrText>
            </w:r>
            <w:r w:rsidR="007C3C8C">
              <w:rPr>
                <w:noProof/>
                <w:webHidden/>
              </w:rPr>
            </w:r>
            <w:r w:rsidR="007C3C8C">
              <w:rPr>
                <w:noProof/>
                <w:webHidden/>
              </w:rPr>
              <w:fldChar w:fldCharType="separate"/>
            </w:r>
            <w:r w:rsidR="00365A2B">
              <w:rPr>
                <w:noProof/>
                <w:webHidden/>
              </w:rPr>
              <w:t>59</w:t>
            </w:r>
            <w:r w:rsidR="007C3C8C">
              <w:rPr>
                <w:noProof/>
                <w:webHidden/>
              </w:rPr>
              <w:fldChar w:fldCharType="end"/>
            </w:r>
          </w:hyperlink>
        </w:p>
        <w:p w14:paraId="27E7EA50" w14:textId="517CFD6F" w:rsidR="007C3C8C" w:rsidRDefault="00E12C0A">
          <w:pPr>
            <w:pStyle w:val="TOC2"/>
            <w:rPr>
              <w:noProof/>
              <w:kern w:val="2"/>
              <w:lang w:eastAsia="en-AU"/>
              <w14:ligatures w14:val="standardContextual"/>
            </w:rPr>
          </w:pPr>
          <w:hyperlink w:anchor="_Toc152067355" w:history="1">
            <w:r w:rsidR="007C3C8C" w:rsidRPr="00230AB0">
              <w:rPr>
                <w:rStyle w:val="Hyperlink"/>
                <w:noProof/>
              </w:rPr>
              <w:t>8.2.</w:t>
            </w:r>
            <w:r w:rsidR="007C3C8C">
              <w:rPr>
                <w:noProof/>
                <w:kern w:val="2"/>
                <w:lang w:eastAsia="en-AU"/>
                <w14:ligatures w14:val="standardContextual"/>
              </w:rPr>
              <w:tab/>
            </w:r>
            <w:r w:rsidR="007C3C8C" w:rsidRPr="00230AB0">
              <w:rPr>
                <w:rStyle w:val="Hyperlink"/>
                <w:noProof/>
              </w:rPr>
              <w:t>Section 2.2(a)(ii) – prejudice an individual’s right to privacy or any other right</w:t>
            </w:r>
            <w:r w:rsidR="007C3C8C">
              <w:rPr>
                <w:noProof/>
                <w:webHidden/>
              </w:rPr>
              <w:tab/>
            </w:r>
            <w:r w:rsidR="007C3C8C">
              <w:rPr>
                <w:noProof/>
                <w:webHidden/>
              </w:rPr>
              <w:fldChar w:fldCharType="begin"/>
            </w:r>
            <w:r w:rsidR="007C3C8C">
              <w:rPr>
                <w:noProof/>
                <w:webHidden/>
              </w:rPr>
              <w:instrText xml:space="preserve"> PAGEREF _Toc152067355 \h </w:instrText>
            </w:r>
            <w:r w:rsidR="007C3C8C">
              <w:rPr>
                <w:noProof/>
                <w:webHidden/>
              </w:rPr>
            </w:r>
            <w:r w:rsidR="007C3C8C">
              <w:rPr>
                <w:noProof/>
                <w:webHidden/>
              </w:rPr>
              <w:fldChar w:fldCharType="separate"/>
            </w:r>
            <w:r w:rsidR="00365A2B">
              <w:rPr>
                <w:noProof/>
                <w:webHidden/>
              </w:rPr>
              <w:t>60</w:t>
            </w:r>
            <w:r w:rsidR="007C3C8C">
              <w:rPr>
                <w:noProof/>
                <w:webHidden/>
              </w:rPr>
              <w:fldChar w:fldCharType="end"/>
            </w:r>
          </w:hyperlink>
        </w:p>
        <w:p w14:paraId="0714D861" w14:textId="10340B28" w:rsidR="007C3C8C" w:rsidRDefault="00E12C0A">
          <w:pPr>
            <w:pStyle w:val="TOC2"/>
            <w:rPr>
              <w:noProof/>
              <w:kern w:val="2"/>
              <w:lang w:eastAsia="en-AU"/>
              <w14:ligatures w14:val="standardContextual"/>
            </w:rPr>
          </w:pPr>
          <w:hyperlink w:anchor="_Toc152067356" w:history="1">
            <w:r w:rsidR="007C3C8C" w:rsidRPr="00230AB0">
              <w:rPr>
                <w:rStyle w:val="Hyperlink"/>
                <w:noProof/>
              </w:rPr>
              <w:t>8.3.</w:t>
            </w:r>
            <w:r w:rsidR="007C3C8C">
              <w:rPr>
                <w:noProof/>
                <w:kern w:val="2"/>
                <w:lang w:eastAsia="en-AU"/>
                <w14:ligatures w14:val="standardContextual"/>
              </w:rPr>
              <w:tab/>
            </w:r>
            <w:r w:rsidR="007C3C8C" w:rsidRPr="00230AB0">
              <w:rPr>
                <w:rStyle w:val="Hyperlink"/>
                <w:noProof/>
              </w:rPr>
              <w:t>Section 2.2(a)(iii) – prejudice security, law enforcement or public safety</w:t>
            </w:r>
            <w:r w:rsidR="007C3C8C">
              <w:rPr>
                <w:noProof/>
                <w:webHidden/>
              </w:rPr>
              <w:tab/>
            </w:r>
            <w:r w:rsidR="007C3C8C">
              <w:rPr>
                <w:noProof/>
                <w:webHidden/>
              </w:rPr>
              <w:fldChar w:fldCharType="begin"/>
            </w:r>
            <w:r w:rsidR="007C3C8C">
              <w:rPr>
                <w:noProof/>
                <w:webHidden/>
              </w:rPr>
              <w:instrText xml:space="preserve"> PAGEREF _Toc152067356 \h </w:instrText>
            </w:r>
            <w:r w:rsidR="007C3C8C">
              <w:rPr>
                <w:noProof/>
                <w:webHidden/>
              </w:rPr>
            </w:r>
            <w:r w:rsidR="007C3C8C">
              <w:rPr>
                <w:noProof/>
                <w:webHidden/>
              </w:rPr>
              <w:fldChar w:fldCharType="separate"/>
            </w:r>
            <w:r w:rsidR="00365A2B">
              <w:rPr>
                <w:noProof/>
                <w:webHidden/>
              </w:rPr>
              <w:t>66</w:t>
            </w:r>
            <w:r w:rsidR="007C3C8C">
              <w:rPr>
                <w:noProof/>
                <w:webHidden/>
              </w:rPr>
              <w:fldChar w:fldCharType="end"/>
            </w:r>
          </w:hyperlink>
        </w:p>
        <w:p w14:paraId="45BDC87F" w14:textId="58F97079" w:rsidR="007C3C8C" w:rsidRDefault="00E12C0A">
          <w:pPr>
            <w:pStyle w:val="TOC2"/>
            <w:rPr>
              <w:noProof/>
              <w:kern w:val="2"/>
              <w:lang w:eastAsia="en-AU"/>
              <w14:ligatures w14:val="standardContextual"/>
            </w:rPr>
          </w:pPr>
          <w:hyperlink w:anchor="_Toc152067357" w:history="1">
            <w:r w:rsidR="007C3C8C" w:rsidRPr="00230AB0">
              <w:rPr>
                <w:rStyle w:val="Hyperlink"/>
                <w:noProof/>
              </w:rPr>
              <w:t>8.4.</w:t>
            </w:r>
            <w:r w:rsidR="007C3C8C">
              <w:rPr>
                <w:noProof/>
                <w:kern w:val="2"/>
                <w:lang w:eastAsia="en-AU"/>
                <w14:ligatures w14:val="standardContextual"/>
              </w:rPr>
              <w:tab/>
            </w:r>
            <w:r w:rsidR="007C3C8C" w:rsidRPr="00230AB0">
              <w:rPr>
                <w:rStyle w:val="Hyperlink"/>
                <w:noProof/>
              </w:rPr>
              <w:t>Section 2.2(a)(iv) – impede the administration of justice generally</w:t>
            </w:r>
            <w:r w:rsidR="007C3C8C">
              <w:rPr>
                <w:noProof/>
                <w:webHidden/>
              </w:rPr>
              <w:tab/>
            </w:r>
            <w:r w:rsidR="007C3C8C">
              <w:rPr>
                <w:noProof/>
                <w:webHidden/>
              </w:rPr>
              <w:fldChar w:fldCharType="begin"/>
            </w:r>
            <w:r w:rsidR="007C3C8C">
              <w:rPr>
                <w:noProof/>
                <w:webHidden/>
              </w:rPr>
              <w:instrText xml:space="preserve"> PAGEREF _Toc152067357 \h </w:instrText>
            </w:r>
            <w:r w:rsidR="007C3C8C">
              <w:rPr>
                <w:noProof/>
                <w:webHidden/>
              </w:rPr>
            </w:r>
            <w:r w:rsidR="007C3C8C">
              <w:rPr>
                <w:noProof/>
                <w:webHidden/>
              </w:rPr>
              <w:fldChar w:fldCharType="separate"/>
            </w:r>
            <w:r w:rsidR="00365A2B">
              <w:rPr>
                <w:noProof/>
                <w:webHidden/>
              </w:rPr>
              <w:t>67</w:t>
            </w:r>
            <w:r w:rsidR="007C3C8C">
              <w:rPr>
                <w:noProof/>
                <w:webHidden/>
              </w:rPr>
              <w:fldChar w:fldCharType="end"/>
            </w:r>
          </w:hyperlink>
        </w:p>
        <w:p w14:paraId="1CC18003" w14:textId="200A3D5F" w:rsidR="007C3C8C" w:rsidRDefault="00E12C0A">
          <w:pPr>
            <w:pStyle w:val="TOC2"/>
            <w:rPr>
              <w:noProof/>
              <w:kern w:val="2"/>
              <w:lang w:eastAsia="en-AU"/>
              <w14:ligatures w14:val="standardContextual"/>
            </w:rPr>
          </w:pPr>
          <w:hyperlink w:anchor="_Toc152067358" w:history="1">
            <w:r w:rsidR="007C3C8C" w:rsidRPr="00230AB0">
              <w:rPr>
                <w:rStyle w:val="Hyperlink"/>
                <w:noProof/>
              </w:rPr>
              <w:t>8.5.</w:t>
            </w:r>
            <w:r w:rsidR="007C3C8C">
              <w:rPr>
                <w:noProof/>
                <w:kern w:val="2"/>
                <w:lang w:eastAsia="en-AU"/>
                <w14:ligatures w14:val="standardContextual"/>
              </w:rPr>
              <w:tab/>
            </w:r>
            <w:r w:rsidR="007C3C8C" w:rsidRPr="00230AB0">
              <w:rPr>
                <w:rStyle w:val="Hyperlink"/>
                <w:noProof/>
              </w:rPr>
              <w:t>Section 2.2(a)(v) – impede the administration of justice for a person</w:t>
            </w:r>
            <w:r w:rsidR="007C3C8C">
              <w:rPr>
                <w:noProof/>
                <w:webHidden/>
              </w:rPr>
              <w:tab/>
            </w:r>
            <w:r w:rsidR="007C3C8C">
              <w:rPr>
                <w:noProof/>
                <w:webHidden/>
              </w:rPr>
              <w:fldChar w:fldCharType="begin"/>
            </w:r>
            <w:r w:rsidR="007C3C8C">
              <w:rPr>
                <w:noProof/>
                <w:webHidden/>
              </w:rPr>
              <w:instrText xml:space="preserve"> PAGEREF _Toc152067358 \h </w:instrText>
            </w:r>
            <w:r w:rsidR="007C3C8C">
              <w:rPr>
                <w:noProof/>
                <w:webHidden/>
              </w:rPr>
            </w:r>
            <w:r w:rsidR="007C3C8C">
              <w:rPr>
                <w:noProof/>
                <w:webHidden/>
              </w:rPr>
              <w:fldChar w:fldCharType="separate"/>
            </w:r>
            <w:r w:rsidR="00365A2B">
              <w:rPr>
                <w:noProof/>
                <w:webHidden/>
              </w:rPr>
              <w:t>68</w:t>
            </w:r>
            <w:r w:rsidR="007C3C8C">
              <w:rPr>
                <w:noProof/>
                <w:webHidden/>
              </w:rPr>
              <w:fldChar w:fldCharType="end"/>
            </w:r>
          </w:hyperlink>
        </w:p>
        <w:p w14:paraId="4658BEB1" w14:textId="017870C4" w:rsidR="007C3C8C" w:rsidRDefault="00E12C0A">
          <w:pPr>
            <w:pStyle w:val="TOC2"/>
            <w:rPr>
              <w:noProof/>
              <w:kern w:val="2"/>
              <w:lang w:eastAsia="en-AU"/>
              <w14:ligatures w14:val="standardContextual"/>
            </w:rPr>
          </w:pPr>
          <w:hyperlink w:anchor="_Toc152067359" w:history="1">
            <w:r w:rsidR="007C3C8C" w:rsidRPr="00230AB0">
              <w:rPr>
                <w:rStyle w:val="Hyperlink"/>
                <w:noProof/>
              </w:rPr>
              <w:t>8.6.</w:t>
            </w:r>
            <w:r w:rsidR="007C3C8C">
              <w:rPr>
                <w:noProof/>
                <w:kern w:val="2"/>
                <w:lang w:eastAsia="en-AU"/>
                <w14:ligatures w14:val="standardContextual"/>
              </w:rPr>
              <w:tab/>
            </w:r>
            <w:r w:rsidR="007C3C8C" w:rsidRPr="00230AB0">
              <w:rPr>
                <w:rStyle w:val="Hyperlink"/>
                <w:noProof/>
              </w:rPr>
              <w:t>Section 2.2(a)(vi) – prejudice the security or good order of a correctional centre</w:t>
            </w:r>
            <w:r w:rsidR="007C3C8C">
              <w:rPr>
                <w:noProof/>
                <w:webHidden/>
              </w:rPr>
              <w:tab/>
            </w:r>
            <w:r w:rsidR="007C3C8C">
              <w:rPr>
                <w:noProof/>
                <w:webHidden/>
              </w:rPr>
              <w:fldChar w:fldCharType="begin"/>
            </w:r>
            <w:r w:rsidR="007C3C8C">
              <w:rPr>
                <w:noProof/>
                <w:webHidden/>
              </w:rPr>
              <w:instrText xml:space="preserve"> PAGEREF _Toc152067359 \h </w:instrText>
            </w:r>
            <w:r w:rsidR="007C3C8C">
              <w:rPr>
                <w:noProof/>
                <w:webHidden/>
              </w:rPr>
            </w:r>
            <w:r w:rsidR="007C3C8C">
              <w:rPr>
                <w:noProof/>
                <w:webHidden/>
              </w:rPr>
              <w:fldChar w:fldCharType="separate"/>
            </w:r>
            <w:r w:rsidR="00365A2B">
              <w:rPr>
                <w:noProof/>
                <w:webHidden/>
              </w:rPr>
              <w:t>68</w:t>
            </w:r>
            <w:r w:rsidR="007C3C8C">
              <w:rPr>
                <w:noProof/>
                <w:webHidden/>
              </w:rPr>
              <w:fldChar w:fldCharType="end"/>
            </w:r>
          </w:hyperlink>
        </w:p>
        <w:p w14:paraId="559870B4" w14:textId="5C3C6530" w:rsidR="007C3C8C" w:rsidRDefault="00E12C0A">
          <w:pPr>
            <w:pStyle w:val="TOC2"/>
            <w:rPr>
              <w:noProof/>
              <w:kern w:val="2"/>
              <w:lang w:eastAsia="en-AU"/>
              <w14:ligatures w14:val="standardContextual"/>
            </w:rPr>
          </w:pPr>
          <w:hyperlink w:anchor="_Toc152067360" w:history="1">
            <w:r w:rsidR="007C3C8C" w:rsidRPr="00230AB0">
              <w:rPr>
                <w:rStyle w:val="Hyperlink"/>
                <w:noProof/>
              </w:rPr>
              <w:t>8.7.</w:t>
            </w:r>
            <w:r w:rsidR="007C3C8C">
              <w:rPr>
                <w:noProof/>
                <w:kern w:val="2"/>
                <w:lang w:eastAsia="en-AU"/>
                <w14:ligatures w14:val="standardContextual"/>
              </w:rPr>
              <w:tab/>
            </w:r>
            <w:r w:rsidR="007C3C8C" w:rsidRPr="00230AB0">
              <w:rPr>
                <w:rStyle w:val="Hyperlink"/>
                <w:noProof/>
              </w:rPr>
              <w:t>Section 2.2(a)(vii) – impede the protection of the environment</w:t>
            </w:r>
            <w:r w:rsidR="007C3C8C">
              <w:rPr>
                <w:noProof/>
                <w:webHidden/>
              </w:rPr>
              <w:tab/>
            </w:r>
            <w:r w:rsidR="007C3C8C">
              <w:rPr>
                <w:noProof/>
                <w:webHidden/>
              </w:rPr>
              <w:fldChar w:fldCharType="begin"/>
            </w:r>
            <w:r w:rsidR="007C3C8C">
              <w:rPr>
                <w:noProof/>
                <w:webHidden/>
              </w:rPr>
              <w:instrText xml:space="preserve"> PAGEREF _Toc152067360 \h </w:instrText>
            </w:r>
            <w:r w:rsidR="007C3C8C">
              <w:rPr>
                <w:noProof/>
                <w:webHidden/>
              </w:rPr>
            </w:r>
            <w:r w:rsidR="007C3C8C">
              <w:rPr>
                <w:noProof/>
                <w:webHidden/>
              </w:rPr>
              <w:fldChar w:fldCharType="separate"/>
            </w:r>
            <w:r w:rsidR="00365A2B">
              <w:rPr>
                <w:noProof/>
                <w:webHidden/>
              </w:rPr>
              <w:t>69</w:t>
            </w:r>
            <w:r w:rsidR="007C3C8C">
              <w:rPr>
                <w:noProof/>
                <w:webHidden/>
              </w:rPr>
              <w:fldChar w:fldCharType="end"/>
            </w:r>
          </w:hyperlink>
        </w:p>
        <w:p w14:paraId="54289284" w14:textId="2C52CD8F" w:rsidR="007C3C8C" w:rsidRDefault="00E12C0A">
          <w:pPr>
            <w:pStyle w:val="TOC2"/>
            <w:rPr>
              <w:noProof/>
              <w:kern w:val="2"/>
              <w:lang w:eastAsia="en-AU"/>
              <w14:ligatures w14:val="standardContextual"/>
            </w:rPr>
          </w:pPr>
          <w:hyperlink w:anchor="_Toc152067361" w:history="1">
            <w:r w:rsidR="007C3C8C" w:rsidRPr="00230AB0">
              <w:rPr>
                <w:rStyle w:val="Hyperlink"/>
                <w:noProof/>
              </w:rPr>
              <w:t>8.8.</w:t>
            </w:r>
            <w:r w:rsidR="007C3C8C">
              <w:rPr>
                <w:noProof/>
                <w:kern w:val="2"/>
                <w:lang w:eastAsia="en-AU"/>
                <w14:ligatures w14:val="standardContextual"/>
              </w:rPr>
              <w:tab/>
            </w:r>
            <w:r w:rsidR="007C3C8C" w:rsidRPr="00230AB0">
              <w:rPr>
                <w:rStyle w:val="Hyperlink"/>
                <w:noProof/>
              </w:rPr>
              <w:t>Section 2.2(a)(viii) – prejudice the economy of the Territory</w:t>
            </w:r>
            <w:r w:rsidR="007C3C8C">
              <w:rPr>
                <w:noProof/>
                <w:webHidden/>
              </w:rPr>
              <w:tab/>
            </w:r>
            <w:r w:rsidR="007C3C8C">
              <w:rPr>
                <w:noProof/>
                <w:webHidden/>
              </w:rPr>
              <w:fldChar w:fldCharType="begin"/>
            </w:r>
            <w:r w:rsidR="007C3C8C">
              <w:rPr>
                <w:noProof/>
                <w:webHidden/>
              </w:rPr>
              <w:instrText xml:space="preserve"> PAGEREF _Toc152067361 \h </w:instrText>
            </w:r>
            <w:r w:rsidR="007C3C8C">
              <w:rPr>
                <w:noProof/>
                <w:webHidden/>
              </w:rPr>
            </w:r>
            <w:r w:rsidR="007C3C8C">
              <w:rPr>
                <w:noProof/>
                <w:webHidden/>
              </w:rPr>
              <w:fldChar w:fldCharType="separate"/>
            </w:r>
            <w:r w:rsidR="00365A2B">
              <w:rPr>
                <w:noProof/>
                <w:webHidden/>
              </w:rPr>
              <w:t>69</w:t>
            </w:r>
            <w:r w:rsidR="007C3C8C">
              <w:rPr>
                <w:noProof/>
                <w:webHidden/>
              </w:rPr>
              <w:fldChar w:fldCharType="end"/>
            </w:r>
          </w:hyperlink>
        </w:p>
        <w:p w14:paraId="3389A5B9" w14:textId="068F698B" w:rsidR="007C3C8C" w:rsidRDefault="00E12C0A">
          <w:pPr>
            <w:pStyle w:val="TOC2"/>
            <w:rPr>
              <w:noProof/>
              <w:kern w:val="2"/>
              <w:lang w:eastAsia="en-AU"/>
              <w14:ligatures w14:val="standardContextual"/>
            </w:rPr>
          </w:pPr>
          <w:hyperlink w:anchor="_Toc152067362" w:history="1">
            <w:r w:rsidR="007C3C8C" w:rsidRPr="00230AB0">
              <w:rPr>
                <w:rStyle w:val="Hyperlink"/>
                <w:noProof/>
              </w:rPr>
              <w:t>8.9.</w:t>
            </w:r>
            <w:r w:rsidR="007C3C8C">
              <w:rPr>
                <w:noProof/>
                <w:kern w:val="2"/>
                <w:lang w:eastAsia="en-AU"/>
                <w14:ligatures w14:val="standardContextual"/>
              </w:rPr>
              <w:tab/>
            </w:r>
            <w:r w:rsidR="007C3C8C" w:rsidRPr="00230AB0">
              <w:rPr>
                <w:rStyle w:val="Hyperlink"/>
                <w:noProof/>
              </w:rPr>
              <w:t>Section 2.2(a)(ix) – prejudice flow of information to law enforcement or regulatory agency</w:t>
            </w:r>
            <w:r w:rsidR="007C3C8C">
              <w:rPr>
                <w:noProof/>
                <w:webHidden/>
              </w:rPr>
              <w:tab/>
            </w:r>
            <w:r w:rsidR="007C3C8C">
              <w:rPr>
                <w:noProof/>
                <w:webHidden/>
              </w:rPr>
              <w:fldChar w:fldCharType="begin"/>
            </w:r>
            <w:r w:rsidR="007C3C8C">
              <w:rPr>
                <w:noProof/>
                <w:webHidden/>
              </w:rPr>
              <w:instrText xml:space="preserve"> PAGEREF _Toc152067362 \h </w:instrText>
            </w:r>
            <w:r w:rsidR="007C3C8C">
              <w:rPr>
                <w:noProof/>
                <w:webHidden/>
              </w:rPr>
            </w:r>
            <w:r w:rsidR="007C3C8C">
              <w:rPr>
                <w:noProof/>
                <w:webHidden/>
              </w:rPr>
              <w:fldChar w:fldCharType="separate"/>
            </w:r>
            <w:r w:rsidR="00365A2B">
              <w:rPr>
                <w:noProof/>
                <w:webHidden/>
              </w:rPr>
              <w:t>70</w:t>
            </w:r>
            <w:r w:rsidR="007C3C8C">
              <w:rPr>
                <w:noProof/>
                <w:webHidden/>
              </w:rPr>
              <w:fldChar w:fldCharType="end"/>
            </w:r>
          </w:hyperlink>
        </w:p>
        <w:p w14:paraId="42A786E5" w14:textId="23BCE7A7" w:rsidR="007C3C8C" w:rsidRDefault="00E12C0A">
          <w:pPr>
            <w:pStyle w:val="TOC2"/>
            <w:rPr>
              <w:noProof/>
              <w:kern w:val="2"/>
              <w:lang w:eastAsia="en-AU"/>
              <w14:ligatures w14:val="standardContextual"/>
            </w:rPr>
          </w:pPr>
          <w:hyperlink w:anchor="_Toc152067363" w:history="1">
            <w:r w:rsidR="007C3C8C" w:rsidRPr="00230AB0">
              <w:rPr>
                <w:rStyle w:val="Hyperlink"/>
                <w:noProof/>
              </w:rPr>
              <w:t>8.10.</w:t>
            </w:r>
            <w:r w:rsidR="007C3C8C">
              <w:rPr>
                <w:noProof/>
                <w:kern w:val="2"/>
                <w:lang w:eastAsia="en-AU"/>
                <w14:ligatures w14:val="standardContextual"/>
              </w:rPr>
              <w:tab/>
            </w:r>
            <w:r w:rsidR="007C3C8C" w:rsidRPr="00230AB0">
              <w:rPr>
                <w:rStyle w:val="Hyperlink"/>
                <w:noProof/>
              </w:rPr>
              <w:t>Section 2.2(a)(x) – prejudice intergovernmental relations</w:t>
            </w:r>
            <w:r w:rsidR="007C3C8C">
              <w:rPr>
                <w:noProof/>
                <w:webHidden/>
              </w:rPr>
              <w:tab/>
            </w:r>
            <w:r w:rsidR="007C3C8C">
              <w:rPr>
                <w:noProof/>
                <w:webHidden/>
              </w:rPr>
              <w:fldChar w:fldCharType="begin"/>
            </w:r>
            <w:r w:rsidR="007C3C8C">
              <w:rPr>
                <w:noProof/>
                <w:webHidden/>
              </w:rPr>
              <w:instrText xml:space="preserve"> PAGEREF _Toc152067363 \h </w:instrText>
            </w:r>
            <w:r w:rsidR="007C3C8C">
              <w:rPr>
                <w:noProof/>
                <w:webHidden/>
              </w:rPr>
            </w:r>
            <w:r w:rsidR="007C3C8C">
              <w:rPr>
                <w:noProof/>
                <w:webHidden/>
              </w:rPr>
              <w:fldChar w:fldCharType="separate"/>
            </w:r>
            <w:r w:rsidR="00365A2B">
              <w:rPr>
                <w:noProof/>
                <w:webHidden/>
              </w:rPr>
              <w:t>72</w:t>
            </w:r>
            <w:r w:rsidR="007C3C8C">
              <w:rPr>
                <w:noProof/>
                <w:webHidden/>
              </w:rPr>
              <w:fldChar w:fldCharType="end"/>
            </w:r>
          </w:hyperlink>
        </w:p>
        <w:p w14:paraId="2FEECD1E" w14:textId="1F66ECD4" w:rsidR="007C3C8C" w:rsidRDefault="00E12C0A">
          <w:pPr>
            <w:pStyle w:val="TOC2"/>
            <w:rPr>
              <w:noProof/>
              <w:kern w:val="2"/>
              <w:lang w:eastAsia="en-AU"/>
              <w14:ligatures w14:val="standardContextual"/>
            </w:rPr>
          </w:pPr>
          <w:hyperlink w:anchor="_Toc152067364" w:history="1">
            <w:r w:rsidR="007C3C8C" w:rsidRPr="00230AB0">
              <w:rPr>
                <w:rStyle w:val="Hyperlink"/>
                <w:noProof/>
              </w:rPr>
              <w:t>8.11.</w:t>
            </w:r>
            <w:r w:rsidR="007C3C8C">
              <w:rPr>
                <w:noProof/>
                <w:kern w:val="2"/>
                <w:lang w:eastAsia="en-AU"/>
                <w14:ligatures w14:val="standardContextual"/>
              </w:rPr>
              <w:tab/>
            </w:r>
            <w:r w:rsidR="007C3C8C" w:rsidRPr="00230AB0">
              <w:rPr>
                <w:rStyle w:val="Hyperlink"/>
                <w:noProof/>
              </w:rPr>
              <w:t>Section 2.2(a)(xi) – prejudice trade secrets, business affairs or research</w:t>
            </w:r>
            <w:r w:rsidR="007C3C8C">
              <w:rPr>
                <w:noProof/>
                <w:webHidden/>
              </w:rPr>
              <w:tab/>
            </w:r>
            <w:r w:rsidR="007C3C8C">
              <w:rPr>
                <w:noProof/>
                <w:webHidden/>
              </w:rPr>
              <w:fldChar w:fldCharType="begin"/>
            </w:r>
            <w:r w:rsidR="007C3C8C">
              <w:rPr>
                <w:noProof/>
                <w:webHidden/>
              </w:rPr>
              <w:instrText xml:space="preserve"> PAGEREF _Toc152067364 \h </w:instrText>
            </w:r>
            <w:r w:rsidR="007C3C8C">
              <w:rPr>
                <w:noProof/>
                <w:webHidden/>
              </w:rPr>
            </w:r>
            <w:r w:rsidR="007C3C8C">
              <w:rPr>
                <w:noProof/>
                <w:webHidden/>
              </w:rPr>
              <w:fldChar w:fldCharType="separate"/>
            </w:r>
            <w:r w:rsidR="00365A2B">
              <w:rPr>
                <w:noProof/>
                <w:webHidden/>
              </w:rPr>
              <w:t>73</w:t>
            </w:r>
            <w:r w:rsidR="007C3C8C">
              <w:rPr>
                <w:noProof/>
                <w:webHidden/>
              </w:rPr>
              <w:fldChar w:fldCharType="end"/>
            </w:r>
          </w:hyperlink>
        </w:p>
        <w:p w14:paraId="773FCE23" w14:textId="7D864B38" w:rsidR="007C3C8C" w:rsidRDefault="00E12C0A">
          <w:pPr>
            <w:pStyle w:val="TOC2"/>
            <w:rPr>
              <w:noProof/>
              <w:kern w:val="2"/>
              <w:lang w:eastAsia="en-AU"/>
              <w14:ligatures w14:val="standardContextual"/>
            </w:rPr>
          </w:pPr>
          <w:hyperlink w:anchor="_Toc152067365" w:history="1">
            <w:r w:rsidR="007C3C8C" w:rsidRPr="00230AB0">
              <w:rPr>
                <w:rStyle w:val="Hyperlink"/>
                <w:noProof/>
              </w:rPr>
              <w:t>8.12.</w:t>
            </w:r>
            <w:r w:rsidR="007C3C8C">
              <w:rPr>
                <w:noProof/>
                <w:kern w:val="2"/>
                <w:lang w:eastAsia="en-AU"/>
                <w14:ligatures w14:val="standardContextual"/>
              </w:rPr>
              <w:tab/>
            </w:r>
            <w:r w:rsidR="007C3C8C" w:rsidRPr="00230AB0">
              <w:rPr>
                <w:rStyle w:val="Hyperlink"/>
                <w:noProof/>
              </w:rPr>
              <w:t>Section 2.2(a)(xii) – prejudice an agency’s ability to obtain confidential information</w:t>
            </w:r>
            <w:r w:rsidR="007C3C8C">
              <w:rPr>
                <w:noProof/>
                <w:webHidden/>
              </w:rPr>
              <w:tab/>
            </w:r>
            <w:r w:rsidR="007C3C8C">
              <w:rPr>
                <w:noProof/>
                <w:webHidden/>
              </w:rPr>
              <w:fldChar w:fldCharType="begin"/>
            </w:r>
            <w:r w:rsidR="007C3C8C">
              <w:rPr>
                <w:noProof/>
                <w:webHidden/>
              </w:rPr>
              <w:instrText xml:space="preserve"> PAGEREF _Toc152067365 \h </w:instrText>
            </w:r>
            <w:r w:rsidR="007C3C8C">
              <w:rPr>
                <w:noProof/>
                <w:webHidden/>
              </w:rPr>
            </w:r>
            <w:r w:rsidR="007C3C8C">
              <w:rPr>
                <w:noProof/>
                <w:webHidden/>
              </w:rPr>
              <w:fldChar w:fldCharType="separate"/>
            </w:r>
            <w:r w:rsidR="00365A2B">
              <w:rPr>
                <w:noProof/>
                <w:webHidden/>
              </w:rPr>
              <w:t>76</w:t>
            </w:r>
            <w:r w:rsidR="007C3C8C">
              <w:rPr>
                <w:noProof/>
                <w:webHidden/>
              </w:rPr>
              <w:fldChar w:fldCharType="end"/>
            </w:r>
          </w:hyperlink>
        </w:p>
        <w:p w14:paraId="65D4178A" w14:textId="3F9A50EA" w:rsidR="007C3C8C" w:rsidRDefault="00E12C0A">
          <w:pPr>
            <w:pStyle w:val="TOC2"/>
            <w:rPr>
              <w:noProof/>
              <w:kern w:val="2"/>
              <w:lang w:eastAsia="en-AU"/>
              <w14:ligatures w14:val="standardContextual"/>
            </w:rPr>
          </w:pPr>
          <w:hyperlink w:anchor="_Toc152067366" w:history="1">
            <w:r w:rsidR="007C3C8C" w:rsidRPr="00230AB0">
              <w:rPr>
                <w:rStyle w:val="Hyperlink"/>
                <w:noProof/>
              </w:rPr>
              <w:t>8.13.</w:t>
            </w:r>
            <w:r w:rsidR="007C3C8C">
              <w:rPr>
                <w:noProof/>
                <w:kern w:val="2"/>
                <w:lang w:eastAsia="en-AU"/>
                <w14:ligatures w14:val="standardContextual"/>
              </w:rPr>
              <w:tab/>
            </w:r>
            <w:r w:rsidR="007C3C8C" w:rsidRPr="00230AB0">
              <w:rPr>
                <w:rStyle w:val="Hyperlink"/>
                <w:noProof/>
              </w:rPr>
              <w:t>Section 2.2(a)(xiii) – prejudice the competitive commercial activities of an agency</w:t>
            </w:r>
            <w:r w:rsidR="007C3C8C">
              <w:rPr>
                <w:noProof/>
                <w:webHidden/>
              </w:rPr>
              <w:tab/>
            </w:r>
            <w:r w:rsidR="007C3C8C">
              <w:rPr>
                <w:noProof/>
                <w:webHidden/>
              </w:rPr>
              <w:fldChar w:fldCharType="begin"/>
            </w:r>
            <w:r w:rsidR="007C3C8C">
              <w:rPr>
                <w:noProof/>
                <w:webHidden/>
              </w:rPr>
              <w:instrText xml:space="preserve"> PAGEREF _Toc152067366 \h </w:instrText>
            </w:r>
            <w:r w:rsidR="007C3C8C">
              <w:rPr>
                <w:noProof/>
                <w:webHidden/>
              </w:rPr>
            </w:r>
            <w:r w:rsidR="007C3C8C">
              <w:rPr>
                <w:noProof/>
                <w:webHidden/>
              </w:rPr>
              <w:fldChar w:fldCharType="separate"/>
            </w:r>
            <w:r w:rsidR="00365A2B">
              <w:rPr>
                <w:noProof/>
                <w:webHidden/>
              </w:rPr>
              <w:t>78</w:t>
            </w:r>
            <w:r w:rsidR="007C3C8C">
              <w:rPr>
                <w:noProof/>
                <w:webHidden/>
              </w:rPr>
              <w:fldChar w:fldCharType="end"/>
            </w:r>
          </w:hyperlink>
        </w:p>
        <w:p w14:paraId="1497E8AB" w14:textId="5D8F9F46" w:rsidR="007C3C8C" w:rsidRDefault="00E12C0A">
          <w:pPr>
            <w:pStyle w:val="TOC2"/>
            <w:rPr>
              <w:noProof/>
              <w:kern w:val="2"/>
              <w:lang w:eastAsia="en-AU"/>
              <w14:ligatures w14:val="standardContextual"/>
            </w:rPr>
          </w:pPr>
          <w:hyperlink w:anchor="_Toc152067367" w:history="1">
            <w:r w:rsidR="007C3C8C" w:rsidRPr="00230AB0">
              <w:rPr>
                <w:rStyle w:val="Hyperlink"/>
                <w:noProof/>
              </w:rPr>
              <w:t>8.14.</w:t>
            </w:r>
            <w:r w:rsidR="007C3C8C">
              <w:rPr>
                <w:noProof/>
                <w:kern w:val="2"/>
                <w:lang w:eastAsia="en-AU"/>
                <w14:ligatures w14:val="standardContextual"/>
              </w:rPr>
              <w:tab/>
            </w:r>
            <w:r w:rsidR="007C3C8C" w:rsidRPr="00230AB0">
              <w:rPr>
                <w:rStyle w:val="Hyperlink"/>
                <w:noProof/>
              </w:rPr>
              <w:t>Section 2.2(a)(xiv) – prejudice the conduct of considerations, investigations, audits or reviews by the ombudsman, auditor-general or human rights commission</w:t>
            </w:r>
            <w:r w:rsidR="007C3C8C">
              <w:rPr>
                <w:noProof/>
                <w:webHidden/>
              </w:rPr>
              <w:tab/>
            </w:r>
            <w:r w:rsidR="007C3C8C">
              <w:rPr>
                <w:noProof/>
                <w:webHidden/>
              </w:rPr>
              <w:fldChar w:fldCharType="begin"/>
            </w:r>
            <w:r w:rsidR="007C3C8C">
              <w:rPr>
                <w:noProof/>
                <w:webHidden/>
              </w:rPr>
              <w:instrText xml:space="preserve"> PAGEREF _Toc152067367 \h </w:instrText>
            </w:r>
            <w:r w:rsidR="007C3C8C">
              <w:rPr>
                <w:noProof/>
                <w:webHidden/>
              </w:rPr>
            </w:r>
            <w:r w:rsidR="007C3C8C">
              <w:rPr>
                <w:noProof/>
                <w:webHidden/>
              </w:rPr>
              <w:fldChar w:fldCharType="separate"/>
            </w:r>
            <w:r w:rsidR="00365A2B">
              <w:rPr>
                <w:noProof/>
                <w:webHidden/>
              </w:rPr>
              <w:t>78</w:t>
            </w:r>
            <w:r w:rsidR="007C3C8C">
              <w:rPr>
                <w:noProof/>
                <w:webHidden/>
              </w:rPr>
              <w:fldChar w:fldCharType="end"/>
            </w:r>
          </w:hyperlink>
        </w:p>
        <w:p w14:paraId="22C5B24D" w14:textId="265E3B48" w:rsidR="007C3C8C" w:rsidRDefault="00E12C0A">
          <w:pPr>
            <w:pStyle w:val="TOC2"/>
            <w:rPr>
              <w:noProof/>
              <w:kern w:val="2"/>
              <w:lang w:eastAsia="en-AU"/>
              <w14:ligatures w14:val="standardContextual"/>
            </w:rPr>
          </w:pPr>
          <w:hyperlink w:anchor="_Toc152067368" w:history="1">
            <w:r w:rsidR="007C3C8C" w:rsidRPr="00230AB0">
              <w:rPr>
                <w:rStyle w:val="Hyperlink"/>
                <w:noProof/>
              </w:rPr>
              <w:t>8.15.</w:t>
            </w:r>
            <w:r w:rsidR="007C3C8C">
              <w:rPr>
                <w:noProof/>
                <w:kern w:val="2"/>
                <w:lang w:eastAsia="en-AU"/>
                <w14:ligatures w14:val="standardContextual"/>
              </w:rPr>
              <w:tab/>
            </w:r>
            <w:r w:rsidR="007C3C8C" w:rsidRPr="00230AB0">
              <w:rPr>
                <w:rStyle w:val="Hyperlink"/>
                <w:noProof/>
              </w:rPr>
              <w:t>Section 2.2(a)(xv) – prejudice management function or conduct of industrial relations by an agency</w:t>
            </w:r>
            <w:r w:rsidR="007C3C8C">
              <w:rPr>
                <w:noProof/>
                <w:webHidden/>
              </w:rPr>
              <w:tab/>
            </w:r>
            <w:r w:rsidR="007C3C8C">
              <w:rPr>
                <w:noProof/>
                <w:webHidden/>
              </w:rPr>
              <w:fldChar w:fldCharType="begin"/>
            </w:r>
            <w:r w:rsidR="007C3C8C">
              <w:rPr>
                <w:noProof/>
                <w:webHidden/>
              </w:rPr>
              <w:instrText xml:space="preserve"> PAGEREF _Toc152067368 \h </w:instrText>
            </w:r>
            <w:r w:rsidR="007C3C8C">
              <w:rPr>
                <w:noProof/>
                <w:webHidden/>
              </w:rPr>
            </w:r>
            <w:r w:rsidR="007C3C8C">
              <w:rPr>
                <w:noProof/>
                <w:webHidden/>
              </w:rPr>
              <w:fldChar w:fldCharType="separate"/>
            </w:r>
            <w:r w:rsidR="00365A2B">
              <w:rPr>
                <w:noProof/>
                <w:webHidden/>
              </w:rPr>
              <w:t>79</w:t>
            </w:r>
            <w:r w:rsidR="007C3C8C">
              <w:rPr>
                <w:noProof/>
                <w:webHidden/>
              </w:rPr>
              <w:fldChar w:fldCharType="end"/>
            </w:r>
          </w:hyperlink>
        </w:p>
        <w:p w14:paraId="15560712" w14:textId="12664328" w:rsidR="007C3C8C" w:rsidRDefault="00E12C0A">
          <w:pPr>
            <w:pStyle w:val="TOC2"/>
            <w:rPr>
              <w:noProof/>
              <w:kern w:val="2"/>
              <w:lang w:eastAsia="en-AU"/>
              <w14:ligatures w14:val="standardContextual"/>
            </w:rPr>
          </w:pPr>
          <w:hyperlink w:anchor="_Toc152067369" w:history="1">
            <w:r w:rsidR="007C3C8C" w:rsidRPr="00230AB0">
              <w:rPr>
                <w:rStyle w:val="Hyperlink"/>
                <w:noProof/>
              </w:rPr>
              <w:t>8.16.</w:t>
            </w:r>
            <w:r w:rsidR="007C3C8C">
              <w:rPr>
                <w:noProof/>
                <w:kern w:val="2"/>
                <w:lang w:eastAsia="en-AU"/>
                <w14:ligatures w14:val="standardContextual"/>
              </w:rPr>
              <w:tab/>
            </w:r>
            <w:r w:rsidR="007C3C8C" w:rsidRPr="00230AB0">
              <w:rPr>
                <w:rStyle w:val="Hyperlink"/>
                <w:noProof/>
              </w:rPr>
              <w:t>Section 2.2(a)(xvi) – prejudice a deliberative process of government</w:t>
            </w:r>
            <w:r w:rsidR="007C3C8C">
              <w:rPr>
                <w:noProof/>
                <w:webHidden/>
              </w:rPr>
              <w:tab/>
            </w:r>
            <w:r w:rsidR="007C3C8C">
              <w:rPr>
                <w:noProof/>
                <w:webHidden/>
              </w:rPr>
              <w:fldChar w:fldCharType="begin"/>
            </w:r>
            <w:r w:rsidR="007C3C8C">
              <w:rPr>
                <w:noProof/>
                <w:webHidden/>
              </w:rPr>
              <w:instrText xml:space="preserve"> PAGEREF _Toc152067369 \h </w:instrText>
            </w:r>
            <w:r w:rsidR="007C3C8C">
              <w:rPr>
                <w:noProof/>
                <w:webHidden/>
              </w:rPr>
            </w:r>
            <w:r w:rsidR="007C3C8C">
              <w:rPr>
                <w:noProof/>
                <w:webHidden/>
              </w:rPr>
              <w:fldChar w:fldCharType="separate"/>
            </w:r>
            <w:r w:rsidR="00365A2B">
              <w:rPr>
                <w:noProof/>
                <w:webHidden/>
              </w:rPr>
              <w:t>80</w:t>
            </w:r>
            <w:r w:rsidR="007C3C8C">
              <w:rPr>
                <w:noProof/>
                <w:webHidden/>
              </w:rPr>
              <w:fldChar w:fldCharType="end"/>
            </w:r>
          </w:hyperlink>
        </w:p>
        <w:p w14:paraId="205A01E0" w14:textId="688C9A1C" w:rsidR="007C3C8C" w:rsidRDefault="00E12C0A">
          <w:pPr>
            <w:pStyle w:val="TOC2"/>
            <w:rPr>
              <w:noProof/>
              <w:kern w:val="2"/>
              <w:lang w:eastAsia="en-AU"/>
              <w14:ligatures w14:val="standardContextual"/>
            </w:rPr>
          </w:pPr>
          <w:hyperlink w:anchor="_Toc152067370" w:history="1">
            <w:r w:rsidR="007C3C8C" w:rsidRPr="00230AB0">
              <w:rPr>
                <w:rStyle w:val="Hyperlink"/>
                <w:noProof/>
              </w:rPr>
              <w:t>8.17.</w:t>
            </w:r>
            <w:r w:rsidR="007C3C8C">
              <w:rPr>
                <w:noProof/>
                <w:kern w:val="2"/>
                <w:lang w:eastAsia="en-AU"/>
                <w14:ligatures w14:val="standardContextual"/>
              </w:rPr>
              <w:tab/>
            </w:r>
            <w:r w:rsidR="007C3C8C" w:rsidRPr="00230AB0">
              <w:rPr>
                <w:rStyle w:val="Hyperlink"/>
                <w:noProof/>
              </w:rPr>
              <w:t>Section 2.2(a)(xvii) – prejudice the effectiveness of testing or auditing procedures</w:t>
            </w:r>
            <w:r w:rsidR="007C3C8C">
              <w:rPr>
                <w:noProof/>
                <w:webHidden/>
              </w:rPr>
              <w:tab/>
            </w:r>
            <w:r w:rsidR="007C3C8C">
              <w:rPr>
                <w:noProof/>
                <w:webHidden/>
              </w:rPr>
              <w:fldChar w:fldCharType="begin"/>
            </w:r>
            <w:r w:rsidR="007C3C8C">
              <w:rPr>
                <w:noProof/>
                <w:webHidden/>
              </w:rPr>
              <w:instrText xml:space="preserve"> PAGEREF _Toc152067370 \h </w:instrText>
            </w:r>
            <w:r w:rsidR="007C3C8C">
              <w:rPr>
                <w:noProof/>
                <w:webHidden/>
              </w:rPr>
            </w:r>
            <w:r w:rsidR="007C3C8C">
              <w:rPr>
                <w:noProof/>
                <w:webHidden/>
              </w:rPr>
              <w:fldChar w:fldCharType="separate"/>
            </w:r>
            <w:r w:rsidR="00365A2B">
              <w:rPr>
                <w:noProof/>
                <w:webHidden/>
              </w:rPr>
              <w:t>83</w:t>
            </w:r>
            <w:r w:rsidR="007C3C8C">
              <w:rPr>
                <w:noProof/>
                <w:webHidden/>
              </w:rPr>
              <w:fldChar w:fldCharType="end"/>
            </w:r>
          </w:hyperlink>
        </w:p>
        <w:p w14:paraId="3806BB07" w14:textId="474CD5F0" w:rsidR="007C3C8C" w:rsidRDefault="00E12C0A">
          <w:pPr>
            <w:pStyle w:val="TOC2"/>
            <w:rPr>
              <w:noProof/>
              <w:kern w:val="2"/>
              <w:lang w:eastAsia="en-AU"/>
              <w14:ligatures w14:val="standardContextual"/>
            </w:rPr>
          </w:pPr>
          <w:hyperlink w:anchor="_Toc152067371" w:history="1">
            <w:r w:rsidR="007C3C8C" w:rsidRPr="00230AB0">
              <w:rPr>
                <w:rStyle w:val="Hyperlink"/>
                <w:noProof/>
              </w:rPr>
              <w:t>8.18.</w:t>
            </w:r>
            <w:r w:rsidR="007C3C8C">
              <w:rPr>
                <w:noProof/>
                <w:kern w:val="2"/>
                <w:lang w:eastAsia="en-AU"/>
                <w14:ligatures w14:val="standardContextual"/>
              </w:rPr>
              <w:tab/>
            </w:r>
            <w:r w:rsidR="007C3C8C" w:rsidRPr="00230AB0">
              <w:rPr>
                <w:rStyle w:val="Hyperlink"/>
                <w:noProof/>
              </w:rPr>
              <w:t>Section 2.2(a)(xviii) – prejudice the conservation of any place or object of natural, cultural or heritage value or reveal Aboriginal or Torres Strait Islander traditional knowledge</w:t>
            </w:r>
            <w:r w:rsidR="007C3C8C">
              <w:rPr>
                <w:noProof/>
                <w:webHidden/>
              </w:rPr>
              <w:tab/>
            </w:r>
            <w:r w:rsidR="007C3C8C">
              <w:rPr>
                <w:noProof/>
                <w:webHidden/>
              </w:rPr>
              <w:fldChar w:fldCharType="begin"/>
            </w:r>
            <w:r w:rsidR="007C3C8C">
              <w:rPr>
                <w:noProof/>
                <w:webHidden/>
              </w:rPr>
              <w:instrText xml:space="preserve"> PAGEREF _Toc152067371 \h </w:instrText>
            </w:r>
            <w:r w:rsidR="007C3C8C">
              <w:rPr>
                <w:noProof/>
                <w:webHidden/>
              </w:rPr>
            </w:r>
            <w:r w:rsidR="007C3C8C">
              <w:rPr>
                <w:noProof/>
                <w:webHidden/>
              </w:rPr>
              <w:fldChar w:fldCharType="separate"/>
            </w:r>
            <w:r w:rsidR="00365A2B">
              <w:rPr>
                <w:noProof/>
                <w:webHidden/>
              </w:rPr>
              <w:t>84</w:t>
            </w:r>
            <w:r w:rsidR="007C3C8C">
              <w:rPr>
                <w:noProof/>
                <w:webHidden/>
              </w:rPr>
              <w:fldChar w:fldCharType="end"/>
            </w:r>
          </w:hyperlink>
        </w:p>
        <w:p w14:paraId="7541CE69" w14:textId="509AA597" w:rsidR="007C3C8C" w:rsidRDefault="00E12C0A">
          <w:pPr>
            <w:pStyle w:val="TOC2"/>
            <w:rPr>
              <w:noProof/>
              <w:kern w:val="2"/>
              <w:lang w:eastAsia="en-AU"/>
              <w14:ligatures w14:val="standardContextual"/>
            </w:rPr>
          </w:pPr>
          <w:hyperlink w:anchor="_Toc152067372" w:history="1">
            <w:r w:rsidR="007C3C8C" w:rsidRPr="00230AB0">
              <w:rPr>
                <w:rStyle w:val="Hyperlink"/>
                <w:noProof/>
              </w:rPr>
              <w:t>8.19.</w:t>
            </w:r>
            <w:r w:rsidR="007C3C8C">
              <w:rPr>
                <w:noProof/>
                <w:kern w:val="2"/>
                <w:lang w:eastAsia="en-AU"/>
                <w14:ligatures w14:val="standardContextual"/>
              </w:rPr>
              <w:tab/>
            </w:r>
            <w:r w:rsidR="007C3C8C" w:rsidRPr="00230AB0">
              <w:rPr>
                <w:rStyle w:val="Hyperlink"/>
                <w:noProof/>
              </w:rPr>
              <w:t>Section 2.2(b)(i) – not in the best interests of the child</w:t>
            </w:r>
            <w:r w:rsidR="007C3C8C">
              <w:rPr>
                <w:noProof/>
                <w:webHidden/>
              </w:rPr>
              <w:tab/>
            </w:r>
            <w:r w:rsidR="007C3C8C">
              <w:rPr>
                <w:noProof/>
                <w:webHidden/>
              </w:rPr>
              <w:fldChar w:fldCharType="begin"/>
            </w:r>
            <w:r w:rsidR="007C3C8C">
              <w:rPr>
                <w:noProof/>
                <w:webHidden/>
              </w:rPr>
              <w:instrText xml:space="preserve"> PAGEREF _Toc152067372 \h </w:instrText>
            </w:r>
            <w:r w:rsidR="007C3C8C">
              <w:rPr>
                <w:noProof/>
                <w:webHidden/>
              </w:rPr>
            </w:r>
            <w:r w:rsidR="007C3C8C">
              <w:rPr>
                <w:noProof/>
                <w:webHidden/>
              </w:rPr>
              <w:fldChar w:fldCharType="separate"/>
            </w:r>
            <w:r w:rsidR="00365A2B">
              <w:rPr>
                <w:noProof/>
                <w:webHidden/>
              </w:rPr>
              <w:t>85</w:t>
            </w:r>
            <w:r w:rsidR="007C3C8C">
              <w:rPr>
                <w:noProof/>
                <w:webHidden/>
              </w:rPr>
              <w:fldChar w:fldCharType="end"/>
            </w:r>
          </w:hyperlink>
        </w:p>
        <w:p w14:paraId="78988E4C" w14:textId="26AC1D37" w:rsidR="007C3C8C" w:rsidRDefault="00E12C0A">
          <w:pPr>
            <w:pStyle w:val="TOC2"/>
            <w:rPr>
              <w:noProof/>
              <w:kern w:val="2"/>
              <w:lang w:eastAsia="en-AU"/>
              <w14:ligatures w14:val="standardContextual"/>
            </w:rPr>
          </w:pPr>
          <w:hyperlink w:anchor="_Toc152067373" w:history="1">
            <w:r w:rsidR="007C3C8C" w:rsidRPr="00230AB0">
              <w:rPr>
                <w:rStyle w:val="Hyperlink"/>
                <w:noProof/>
              </w:rPr>
              <w:t>8.20.</w:t>
            </w:r>
            <w:r w:rsidR="007C3C8C">
              <w:rPr>
                <w:noProof/>
                <w:kern w:val="2"/>
                <w:lang w:eastAsia="en-AU"/>
                <w14:ligatures w14:val="standardContextual"/>
              </w:rPr>
              <w:tab/>
            </w:r>
            <w:r w:rsidR="007C3C8C" w:rsidRPr="00230AB0">
              <w:rPr>
                <w:rStyle w:val="Hyperlink"/>
                <w:noProof/>
              </w:rPr>
              <w:t>Section 2.2(b)(ii) – privileged on the ground of legal professional privilege</w:t>
            </w:r>
            <w:r w:rsidR="007C3C8C">
              <w:rPr>
                <w:noProof/>
                <w:webHidden/>
              </w:rPr>
              <w:tab/>
            </w:r>
            <w:r w:rsidR="007C3C8C">
              <w:rPr>
                <w:noProof/>
                <w:webHidden/>
              </w:rPr>
              <w:fldChar w:fldCharType="begin"/>
            </w:r>
            <w:r w:rsidR="007C3C8C">
              <w:rPr>
                <w:noProof/>
                <w:webHidden/>
              </w:rPr>
              <w:instrText xml:space="preserve"> PAGEREF _Toc152067373 \h </w:instrText>
            </w:r>
            <w:r w:rsidR="007C3C8C">
              <w:rPr>
                <w:noProof/>
                <w:webHidden/>
              </w:rPr>
            </w:r>
            <w:r w:rsidR="007C3C8C">
              <w:rPr>
                <w:noProof/>
                <w:webHidden/>
              </w:rPr>
              <w:fldChar w:fldCharType="separate"/>
            </w:r>
            <w:r w:rsidR="00365A2B">
              <w:rPr>
                <w:noProof/>
                <w:webHidden/>
              </w:rPr>
              <w:t>86</w:t>
            </w:r>
            <w:r w:rsidR="007C3C8C">
              <w:rPr>
                <w:noProof/>
                <w:webHidden/>
              </w:rPr>
              <w:fldChar w:fldCharType="end"/>
            </w:r>
          </w:hyperlink>
        </w:p>
        <w:p w14:paraId="0F97F911" w14:textId="7EBFDC32" w:rsidR="007C3C8C" w:rsidRDefault="00E12C0A">
          <w:pPr>
            <w:pStyle w:val="TOC2"/>
            <w:rPr>
              <w:noProof/>
              <w:kern w:val="2"/>
              <w:lang w:eastAsia="en-AU"/>
              <w14:ligatures w14:val="standardContextual"/>
            </w:rPr>
          </w:pPr>
          <w:hyperlink w:anchor="_Toc152067374" w:history="1">
            <w:r w:rsidR="007C3C8C" w:rsidRPr="00230AB0">
              <w:rPr>
                <w:rStyle w:val="Hyperlink"/>
                <w:noProof/>
              </w:rPr>
              <w:t>8.21.</w:t>
            </w:r>
            <w:r w:rsidR="007C3C8C">
              <w:rPr>
                <w:noProof/>
                <w:kern w:val="2"/>
                <w:lang w:eastAsia="en-AU"/>
                <w14:ligatures w14:val="standardContextual"/>
              </w:rPr>
              <w:tab/>
            </w:r>
            <w:r w:rsidR="007C3C8C" w:rsidRPr="00230AB0">
              <w:rPr>
                <w:rStyle w:val="Hyperlink"/>
                <w:noProof/>
              </w:rPr>
              <w:t>Section 2.2(b)(iii) – could impact a deceased person’s privacy</w:t>
            </w:r>
            <w:r w:rsidR="007C3C8C">
              <w:rPr>
                <w:noProof/>
                <w:webHidden/>
              </w:rPr>
              <w:tab/>
            </w:r>
            <w:r w:rsidR="007C3C8C">
              <w:rPr>
                <w:noProof/>
                <w:webHidden/>
              </w:rPr>
              <w:fldChar w:fldCharType="begin"/>
            </w:r>
            <w:r w:rsidR="007C3C8C">
              <w:rPr>
                <w:noProof/>
                <w:webHidden/>
              </w:rPr>
              <w:instrText xml:space="preserve"> PAGEREF _Toc152067374 \h </w:instrText>
            </w:r>
            <w:r w:rsidR="007C3C8C">
              <w:rPr>
                <w:noProof/>
                <w:webHidden/>
              </w:rPr>
            </w:r>
            <w:r w:rsidR="007C3C8C">
              <w:rPr>
                <w:noProof/>
                <w:webHidden/>
              </w:rPr>
              <w:fldChar w:fldCharType="separate"/>
            </w:r>
            <w:r w:rsidR="00365A2B">
              <w:rPr>
                <w:noProof/>
                <w:webHidden/>
              </w:rPr>
              <w:t>86</w:t>
            </w:r>
            <w:r w:rsidR="007C3C8C">
              <w:rPr>
                <w:noProof/>
                <w:webHidden/>
              </w:rPr>
              <w:fldChar w:fldCharType="end"/>
            </w:r>
          </w:hyperlink>
        </w:p>
        <w:p w14:paraId="543AB39A" w14:textId="3474040E" w:rsidR="007C3C8C" w:rsidRDefault="00E12C0A">
          <w:pPr>
            <w:pStyle w:val="TOC2"/>
            <w:rPr>
              <w:noProof/>
              <w:kern w:val="2"/>
              <w:lang w:eastAsia="en-AU"/>
              <w14:ligatures w14:val="standardContextual"/>
            </w:rPr>
          </w:pPr>
          <w:hyperlink w:anchor="_Toc152067375" w:history="1">
            <w:r w:rsidR="007C3C8C" w:rsidRPr="00230AB0">
              <w:rPr>
                <w:rStyle w:val="Hyperlink"/>
                <w:noProof/>
              </w:rPr>
              <w:t>8.22.</w:t>
            </w:r>
            <w:r w:rsidR="007C3C8C">
              <w:rPr>
                <w:noProof/>
                <w:kern w:val="2"/>
                <w:lang w:eastAsia="en-AU"/>
                <w14:ligatures w14:val="standardContextual"/>
              </w:rPr>
              <w:tab/>
            </w:r>
            <w:r w:rsidR="007C3C8C" w:rsidRPr="00230AB0">
              <w:rPr>
                <w:rStyle w:val="Hyperlink"/>
                <w:noProof/>
              </w:rPr>
              <w:t>Section 2.2(b)(iv) – disclosure is prohibited by an Act of the Territory, a State or the Commonwealth</w:t>
            </w:r>
            <w:r w:rsidR="007C3C8C">
              <w:rPr>
                <w:noProof/>
                <w:webHidden/>
              </w:rPr>
              <w:tab/>
            </w:r>
            <w:r w:rsidR="007C3C8C">
              <w:rPr>
                <w:noProof/>
                <w:webHidden/>
              </w:rPr>
              <w:fldChar w:fldCharType="begin"/>
            </w:r>
            <w:r w:rsidR="007C3C8C">
              <w:rPr>
                <w:noProof/>
                <w:webHidden/>
              </w:rPr>
              <w:instrText xml:space="preserve"> PAGEREF _Toc152067375 \h </w:instrText>
            </w:r>
            <w:r w:rsidR="007C3C8C">
              <w:rPr>
                <w:noProof/>
                <w:webHidden/>
              </w:rPr>
            </w:r>
            <w:r w:rsidR="007C3C8C">
              <w:rPr>
                <w:noProof/>
                <w:webHidden/>
              </w:rPr>
              <w:fldChar w:fldCharType="separate"/>
            </w:r>
            <w:r w:rsidR="00365A2B">
              <w:rPr>
                <w:noProof/>
                <w:webHidden/>
              </w:rPr>
              <w:t>87</w:t>
            </w:r>
            <w:r w:rsidR="007C3C8C">
              <w:rPr>
                <w:noProof/>
                <w:webHidden/>
              </w:rPr>
              <w:fldChar w:fldCharType="end"/>
            </w:r>
          </w:hyperlink>
        </w:p>
        <w:p w14:paraId="6B08FE26" w14:textId="12641946" w:rsidR="007C3C8C" w:rsidRDefault="00E12C0A">
          <w:pPr>
            <w:pStyle w:val="TOC2"/>
            <w:rPr>
              <w:noProof/>
              <w:kern w:val="2"/>
              <w:lang w:eastAsia="en-AU"/>
              <w14:ligatures w14:val="standardContextual"/>
            </w:rPr>
          </w:pPr>
          <w:hyperlink w:anchor="_Toc152067376" w:history="1">
            <w:r w:rsidR="007C3C8C" w:rsidRPr="00230AB0">
              <w:rPr>
                <w:rStyle w:val="Hyperlink"/>
                <w:noProof/>
              </w:rPr>
              <w:t>8.23.</w:t>
            </w:r>
            <w:r w:rsidR="007C3C8C">
              <w:rPr>
                <w:noProof/>
                <w:kern w:val="2"/>
                <w:lang w:eastAsia="en-AU"/>
                <w14:ligatures w14:val="standardContextual"/>
              </w:rPr>
              <w:tab/>
            </w:r>
            <w:r w:rsidR="007C3C8C" w:rsidRPr="00230AB0">
              <w:rPr>
                <w:rStyle w:val="Hyperlink"/>
                <w:noProof/>
              </w:rPr>
              <w:t>Section 2.2(b)(v) – the information could prejudice the fair treatment of an individual</w:t>
            </w:r>
            <w:r w:rsidR="007C3C8C">
              <w:rPr>
                <w:noProof/>
                <w:webHidden/>
              </w:rPr>
              <w:tab/>
            </w:r>
            <w:r w:rsidR="007C3C8C">
              <w:rPr>
                <w:noProof/>
                <w:webHidden/>
              </w:rPr>
              <w:fldChar w:fldCharType="begin"/>
            </w:r>
            <w:r w:rsidR="007C3C8C">
              <w:rPr>
                <w:noProof/>
                <w:webHidden/>
              </w:rPr>
              <w:instrText xml:space="preserve"> PAGEREF _Toc152067376 \h </w:instrText>
            </w:r>
            <w:r w:rsidR="007C3C8C">
              <w:rPr>
                <w:noProof/>
                <w:webHidden/>
              </w:rPr>
            </w:r>
            <w:r w:rsidR="007C3C8C">
              <w:rPr>
                <w:noProof/>
                <w:webHidden/>
              </w:rPr>
              <w:fldChar w:fldCharType="separate"/>
            </w:r>
            <w:r w:rsidR="00365A2B">
              <w:rPr>
                <w:noProof/>
                <w:webHidden/>
              </w:rPr>
              <w:t>87</w:t>
            </w:r>
            <w:r w:rsidR="007C3C8C">
              <w:rPr>
                <w:noProof/>
                <w:webHidden/>
              </w:rPr>
              <w:fldChar w:fldCharType="end"/>
            </w:r>
          </w:hyperlink>
        </w:p>
        <w:p w14:paraId="530AE486" w14:textId="44E2E3B2" w:rsidR="007C3C8C" w:rsidRDefault="00E12C0A">
          <w:pPr>
            <w:pStyle w:val="TOC2"/>
            <w:rPr>
              <w:noProof/>
              <w:kern w:val="2"/>
              <w:lang w:eastAsia="en-AU"/>
              <w14:ligatures w14:val="standardContextual"/>
            </w:rPr>
          </w:pPr>
          <w:hyperlink w:anchor="_Toc152067377" w:history="1">
            <w:r w:rsidR="007C3C8C" w:rsidRPr="00230AB0">
              <w:rPr>
                <w:rStyle w:val="Hyperlink"/>
                <w:noProof/>
              </w:rPr>
              <w:t>9.</w:t>
            </w:r>
            <w:r w:rsidR="007C3C8C">
              <w:rPr>
                <w:noProof/>
                <w:kern w:val="2"/>
                <w:lang w:eastAsia="en-AU"/>
                <w14:ligatures w14:val="standardContextual"/>
              </w:rPr>
              <w:tab/>
            </w:r>
            <w:r w:rsidR="007C3C8C" w:rsidRPr="00230AB0">
              <w:rPr>
                <w:rStyle w:val="Hyperlink"/>
                <w:noProof/>
              </w:rPr>
              <w:t>Balancing the public interest</w:t>
            </w:r>
            <w:r w:rsidR="007C3C8C">
              <w:rPr>
                <w:noProof/>
                <w:webHidden/>
              </w:rPr>
              <w:tab/>
            </w:r>
            <w:r w:rsidR="007C3C8C">
              <w:rPr>
                <w:noProof/>
                <w:webHidden/>
              </w:rPr>
              <w:fldChar w:fldCharType="begin"/>
            </w:r>
            <w:r w:rsidR="007C3C8C">
              <w:rPr>
                <w:noProof/>
                <w:webHidden/>
              </w:rPr>
              <w:instrText xml:space="preserve"> PAGEREF _Toc152067377 \h </w:instrText>
            </w:r>
            <w:r w:rsidR="007C3C8C">
              <w:rPr>
                <w:noProof/>
                <w:webHidden/>
              </w:rPr>
            </w:r>
            <w:r w:rsidR="007C3C8C">
              <w:rPr>
                <w:noProof/>
                <w:webHidden/>
              </w:rPr>
              <w:fldChar w:fldCharType="separate"/>
            </w:r>
            <w:r w:rsidR="00365A2B">
              <w:rPr>
                <w:noProof/>
                <w:webHidden/>
              </w:rPr>
              <w:t>88</w:t>
            </w:r>
            <w:r w:rsidR="007C3C8C">
              <w:rPr>
                <w:noProof/>
                <w:webHidden/>
              </w:rPr>
              <w:fldChar w:fldCharType="end"/>
            </w:r>
          </w:hyperlink>
        </w:p>
        <w:p w14:paraId="58CC3595" w14:textId="63EDD819" w:rsidR="00F71E05" w:rsidRDefault="00F71E05" w:rsidP="00F71E05">
          <w:r w:rsidRPr="00F17D40">
            <w:rPr>
              <w:noProof/>
            </w:rPr>
            <w:fldChar w:fldCharType="end"/>
          </w:r>
        </w:p>
      </w:sdtContent>
    </w:sdt>
    <w:p w14:paraId="36576F2E" w14:textId="0207311A" w:rsidR="00F71E05" w:rsidRDefault="00F71E05" w:rsidP="00F71E05">
      <w:pPr>
        <w:pStyle w:val="Default"/>
        <w:rPr>
          <w:b/>
          <w:bCs/>
          <w:sz w:val="22"/>
          <w:szCs w:val="22"/>
        </w:rPr>
      </w:pPr>
      <w:r>
        <w:br w:type="page"/>
      </w:r>
    </w:p>
    <w:p w14:paraId="12615237" w14:textId="77777777" w:rsidR="00F71E05" w:rsidRDefault="00F71E05" w:rsidP="009B05C4">
      <w:pPr>
        <w:pStyle w:val="Heading2"/>
        <w:numPr>
          <w:ilvl w:val="0"/>
          <w:numId w:val="54"/>
        </w:numPr>
      </w:pPr>
      <w:bookmarkStart w:id="2" w:name="_Toc43385518"/>
      <w:bookmarkStart w:id="3" w:name="_Toc152067301"/>
      <w:r w:rsidRPr="005629F8">
        <w:rPr>
          <w:szCs w:val="32"/>
        </w:rPr>
        <w:t>Purpose</w:t>
      </w:r>
      <w:bookmarkEnd w:id="2"/>
      <w:bookmarkEnd w:id="3"/>
      <w:r>
        <w:t xml:space="preserve"> </w:t>
      </w:r>
    </w:p>
    <w:p w14:paraId="3A9BC25A" w14:textId="76FFFE5C" w:rsidR="00F71E05" w:rsidRDefault="00F71E05" w:rsidP="009A2A74">
      <w:pPr>
        <w:ind w:right="261"/>
      </w:pPr>
      <w:r w:rsidRPr="005A5BBC">
        <w:t xml:space="preserve">This guideline is designed to provide </w:t>
      </w:r>
      <w:r>
        <w:t>assistance to</w:t>
      </w:r>
      <w:r w:rsidRPr="005A5BBC">
        <w:t xml:space="preserve"> decision-makers when making an assessment under the </w:t>
      </w:r>
      <w:hyperlink r:id="rId24" w:history="1">
        <w:r w:rsidR="000D3CEA" w:rsidRPr="00D925B7">
          <w:rPr>
            <w:rStyle w:val="Hyperlink"/>
            <w:i/>
          </w:rPr>
          <w:t>Freedom of Information Act 2016</w:t>
        </w:r>
      </w:hyperlink>
      <w:r w:rsidRPr="005A5BBC">
        <w:t xml:space="preserve"> </w:t>
      </w:r>
      <w:r w:rsidR="000D3CEA">
        <w:t>(</w:t>
      </w:r>
      <w:r w:rsidR="00F74C02">
        <w:t>‘</w:t>
      </w:r>
      <w:r w:rsidR="000D3CEA" w:rsidRPr="00125F9D">
        <w:t>FOI Act</w:t>
      </w:r>
      <w:r w:rsidR="00F74C02">
        <w:t>’</w:t>
      </w:r>
      <w:r w:rsidR="000D3CEA">
        <w:t xml:space="preserve">) </w:t>
      </w:r>
      <w:r w:rsidRPr="005A5BBC">
        <w:t>as to whether government information is contrary to the public interest to disclose.</w:t>
      </w:r>
      <w:r>
        <w:t xml:space="preserve"> </w:t>
      </w:r>
    </w:p>
    <w:p w14:paraId="047BBD48" w14:textId="77777777" w:rsidR="00F71E05" w:rsidRPr="00CF607B" w:rsidRDefault="00F71E05" w:rsidP="00DF2389">
      <w:pPr>
        <w:pStyle w:val="Heading2"/>
        <w:numPr>
          <w:ilvl w:val="0"/>
          <w:numId w:val="54"/>
        </w:numPr>
        <w:rPr>
          <w:szCs w:val="32"/>
        </w:rPr>
      </w:pPr>
      <w:bookmarkStart w:id="4" w:name="_Toc43385519"/>
      <w:bookmarkStart w:id="5" w:name="_Toc152067302"/>
      <w:bookmarkStart w:id="6" w:name="_Hlk135299137"/>
      <w:r w:rsidRPr="00476424">
        <w:rPr>
          <w:szCs w:val="32"/>
        </w:rPr>
        <w:t>Introduction</w:t>
      </w:r>
      <w:bookmarkEnd w:id="4"/>
      <w:bookmarkEnd w:id="5"/>
      <w:r w:rsidRPr="00CF607B">
        <w:rPr>
          <w:szCs w:val="32"/>
        </w:rPr>
        <w:t xml:space="preserve"> </w:t>
      </w:r>
    </w:p>
    <w:p w14:paraId="6CEC6DC9" w14:textId="3A36909D" w:rsidR="00534C5A" w:rsidRDefault="00F71E05" w:rsidP="006F5CD6">
      <w:pPr>
        <w:ind w:right="119"/>
      </w:pPr>
      <w:r>
        <w:t xml:space="preserve">The FOI Act provides every person with a right of access to government </w:t>
      </w:r>
      <w:r w:rsidR="00745F6B">
        <w:t>information unless</w:t>
      </w:r>
      <w:r>
        <w:t xml:space="preserve"> disclosure is assessed as being </w:t>
      </w:r>
      <w:r w:rsidRPr="006F5CD6">
        <w:rPr>
          <w:b/>
        </w:rPr>
        <w:t>contrary to the public interest</w:t>
      </w:r>
      <w:r>
        <w:t>.</w:t>
      </w:r>
      <w:r w:rsidR="00144E9C">
        <w:t xml:space="preserve"> </w:t>
      </w:r>
      <w:r w:rsidR="00972216" w:rsidRPr="00972216">
        <w:t>Where this is the case, a decision</w:t>
      </w:r>
      <w:r w:rsidR="00C13660">
        <w:t>-</w:t>
      </w:r>
      <w:r w:rsidR="00972216" w:rsidRPr="00972216">
        <w:t>maker can refuse to release the information.</w:t>
      </w:r>
    </w:p>
    <w:p w14:paraId="52871F8A" w14:textId="49AA001C" w:rsidR="00F71E05" w:rsidRDefault="00F71E05" w:rsidP="009A2A74">
      <w:pPr>
        <w:ind w:right="261"/>
      </w:pPr>
      <w:r>
        <w:t xml:space="preserve">This approach is consistent with the </w:t>
      </w:r>
      <w:r w:rsidRPr="00C61399">
        <w:rPr>
          <w:b/>
        </w:rPr>
        <w:t>pro-disclosure bias</w:t>
      </w:r>
      <w:r w:rsidRPr="00C20A72">
        <w:rPr>
          <w:b/>
        </w:rPr>
        <w:t xml:space="preserve"> </w:t>
      </w:r>
      <w:r>
        <w:t>with which the FOI Act is intended to be administered.</w:t>
      </w:r>
      <w:r w:rsidR="007D6177">
        <w:t xml:space="preserve"> </w:t>
      </w:r>
      <w:r>
        <w:t>At the same time, it recognise</w:t>
      </w:r>
      <w:r w:rsidR="00294896">
        <w:t>s</w:t>
      </w:r>
      <w:r>
        <w:t xml:space="preserve"> that it would not to be in the public interest for </w:t>
      </w:r>
      <w:r w:rsidR="00C20A72">
        <w:t xml:space="preserve">access </w:t>
      </w:r>
      <w:r>
        <w:t xml:space="preserve">to be unlimited – with a balance required to be struck between competing interests for and against </w:t>
      </w:r>
      <w:r w:rsidR="00B01449">
        <w:t>disclosure of information</w:t>
      </w:r>
      <w:r>
        <w:t>, and between</w:t>
      </w:r>
      <w:r w:rsidR="00294896">
        <w:t xml:space="preserve"> furthering </w:t>
      </w:r>
      <w:r>
        <w:t xml:space="preserve">democratic objectives and </w:t>
      </w:r>
      <w:r w:rsidR="00294896">
        <w:t xml:space="preserve">protecting </w:t>
      </w:r>
      <w:r>
        <w:t>individual rights.</w:t>
      </w:r>
    </w:p>
    <w:p w14:paraId="17934182" w14:textId="0A512BF6" w:rsidR="009A2A74" w:rsidRDefault="00A0156E" w:rsidP="006F5CD6">
      <w:pPr>
        <w:ind w:right="119"/>
      </w:pPr>
      <w:r>
        <w:t>This approach also</w:t>
      </w:r>
      <w:r w:rsidR="00F71E05">
        <w:t xml:space="preserve"> reflects that it is still appropriate for </w:t>
      </w:r>
      <w:r w:rsidR="00294896">
        <w:t xml:space="preserve">access to some information to be restricted </w:t>
      </w:r>
      <w:r w:rsidR="00F71E05">
        <w:t xml:space="preserve">where necessary to protect the </w:t>
      </w:r>
      <w:r w:rsidR="00F71E05" w:rsidRPr="00476424">
        <w:t>public interest</w:t>
      </w:r>
      <w:r w:rsidR="00F71E05">
        <w:t xml:space="preserve"> – for example, to ensure the proper functioning of government, or where disclosure would have an</w:t>
      </w:r>
      <w:r w:rsidR="00294896">
        <w:t xml:space="preserve"> unreasonably </w:t>
      </w:r>
      <w:r w:rsidR="00F71E05">
        <w:t>adverse effect on the private, or business, interests of individuals.</w:t>
      </w:r>
      <w:r w:rsidR="004827DE">
        <w:t xml:space="preserve"> </w:t>
      </w:r>
      <w:r w:rsidR="00294896">
        <w:t>Under the FOI Act, d</w:t>
      </w:r>
      <w:r w:rsidR="009A2A74">
        <w:t xml:space="preserve">ecision-makers </w:t>
      </w:r>
      <w:r w:rsidR="00294896">
        <w:t xml:space="preserve">need to </w:t>
      </w:r>
      <w:r w:rsidR="00070710">
        <w:t>consider</w:t>
      </w:r>
      <w:r w:rsidR="00B84C0D">
        <w:t xml:space="preserve"> whether information is contrary to the public interest information </w:t>
      </w:r>
      <w:r w:rsidR="00070710">
        <w:t>when deciding to</w:t>
      </w:r>
      <w:r w:rsidR="009A2A74">
        <w:t>:</w:t>
      </w:r>
    </w:p>
    <w:p w14:paraId="74F9ED8D" w14:textId="3D300D45" w:rsidR="009A2A74" w:rsidRPr="00294896" w:rsidRDefault="009A2A74" w:rsidP="009B05C4">
      <w:pPr>
        <w:pStyle w:val="ListParagraph"/>
        <w:numPr>
          <w:ilvl w:val="0"/>
          <w:numId w:val="55"/>
        </w:numPr>
        <w:ind w:right="261"/>
      </w:pPr>
      <w:r>
        <w:t>publish open access information</w:t>
      </w:r>
      <w:r w:rsidR="007051AD">
        <w:t>,</w:t>
      </w:r>
      <w:r w:rsidR="007051AD">
        <w:rPr>
          <w:rStyle w:val="FootnoteReference"/>
        </w:rPr>
        <w:footnoteReference w:id="2"/>
      </w:r>
      <w:r w:rsidR="007051AD">
        <w:t xml:space="preserve"> and</w:t>
      </w:r>
    </w:p>
    <w:p w14:paraId="09F56123" w14:textId="1A56F388" w:rsidR="008712A5" w:rsidRPr="000C2CDE" w:rsidRDefault="00294896" w:rsidP="009B05C4">
      <w:pPr>
        <w:pStyle w:val="ListParagraph"/>
        <w:numPr>
          <w:ilvl w:val="0"/>
          <w:numId w:val="55"/>
        </w:numPr>
        <w:ind w:right="261"/>
      </w:pPr>
      <w:r>
        <w:t xml:space="preserve">provide access to government information sought via an </w:t>
      </w:r>
      <w:r w:rsidR="00E3224F">
        <w:t>access application</w:t>
      </w:r>
      <w:r w:rsidR="00110813">
        <w:t>.</w:t>
      </w:r>
      <w:r w:rsidR="00B61804">
        <w:rPr>
          <w:rStyle w:val="FootnoteReference"/>
        </w:rPr>
        <w:footnoteReference w:id="3"/>
      </w:r>
      <w:r w:rsidR="002E2EF2">
        <w:t xml:space="preserve"> </w:t>
      </w:r>
    </w:p>
    <w:p w14:paraId="727E7B52" w14:textId="501C38AE" w:rsidR="00783EA6" w:rsidRDefault="00AC3129" w:rsidP="006F5CD6">
      <w:pPr>
        <w:ind w:right="119"/>
      </w:pPr>
      <w:r>
        <w:t>S</w:t>
      </w:r>
      <w:r w:rsidRPr="009E6398">
        <w:t>uch assessments can be difficult, particularly where there are competing aspects of the public interest that need to be balanced when deciding where the public interest lies.</w:t>
      </w:r>
      <w:r>
        <w:t xml:space="preserve"> </w:t>
      </w:r>
    </w:p>
    <w:p w14:paraId="563D3CB6" w14:textId="43EFE6C8" w:rsidR="0055734C" w:rsidRDefault="005A38E1" w:rsidP="00783EA6">
      <w:pPr>
        <w:ind w:right="119"/>
      </w:pPr>
      <w:r>
        <w:t>As a result, t</w:t>
      </w:r>
      <w:r w:rsidR="00AF73F8">
        <w:t>his</w:t>
      </w:r>
      <w:r w:rsidR="009A2A74">
        <w:t xml:space="preserve"> </w:t>
      </w:r>
      <w:r>
        <w:t xml:space="preserve">guideline </w:t>
      </w:r>
      <w:r w:rsidR="009A2A74">
        <w:t xml:space="preserve">provides </w:t>
      </w:r>
      <w:r w:rsidR="006D12F4">
        <w:t>information</w:t>
      </w:r>
      <w:r w:rsidR="00C14A09">
        <w:t xml:space="preserve"> </w:t>
      </w:r>
      <w:r w:rsidR="009A2A74">
        <w:t>for decision-makers about</w:t>
      </w:r>
      <w:r w:rsidR="0055734C">
        <w:t xml:space="preserve">: </w:t>
      </w:r>
    </w:p>
    <w:p w14:paraId="00B27B1C" w14:textId="4B482190" w:rsidR="003D4AD1" w:rsidRDefault="003D4AD1" w:rsidP="003D4AD1">
      <w:pPr>
        <w:pStyle w:val="ListParagraph"/>
        <w:numPr>
          <w:ilvl w:val="0"/>
          <w:numId w:val="56"/>
        </w:numPr>
        <w:ind w:right="261"/>
      </w:pPr>
      <w:r>
        <w:t xml:space="preserve">guiding principles decision-makers </w:t>
      </w:r>
      <w:r w:rsidR="00F6134D">
        <w:t>must</w:t>
      </w:r>
      <w:r>
        <w:t xml:space="preserve"> consider when assessing information (see</w:t>
      </w:r>
      <w:r w:rsidR="000918BB">
        <w:t> </w:t>
      </w:r>
      <w:hyperlink w:anchor="_Toc135387026" w:history="1">
        <w:r w:rsidRPr="003D4AD1">
          <w:rPr>
            <w:rStyle w:val="Hyperlink"/>
          </w:rPr>
          <w:t>[3]</w:t>
        </w:r>
      </w:hyperlink>
      <w:r>
        <w:t xml:space="preserve"> below)</w:t>
      </w:r>
    </w:p>
    <w:p w14:paraId="318F2AF5" w14:textId="100C9024" w:rsidR="003D4AD1" w:rsidRDefault="003D4AD1" w:rsidP="003D4AD1">
      <w:pPr>
        <w:pStyle w:val="ListParagraph"/>
        <w:numPr>
          <w:ilvl w:val="0"/>
          <w:numId w:val="56"/>
        </w:numPr>
        <w:ind w:right="261"/>
      </w:pPr>
      <w:r w:rsidRPr="00880891">
        <w:t xml:space="preserve">common terms </w:t>
      </w:r>
      <w:r w:rsidR="00053E27">
        <w:t xml:space="preserve">and phrases </w:t>
      </w:r>
      <w:r>
        <w:t xml:space="preserve">(see </w:t>
      </w:r>
      <w:hyperlink w:anchor="_Contrary_to_the" w:history="1">
        <w:r w:rsidRPr="003D4AD1">
          <w:rPr>
            <w:rStyle w:val="Hyperlink"/>
          </w:rPr>
          <w:t>[4]</w:t>
        </w:r>
      </w:hyperlink>
      <w:r>
        <w:t xml:space="preserve"> below)</w:t>
      </w:r>
    </w:p>
    <w:p w14:paraId="16070D37" w14:textId="7326A216" w:rsidR="00E75DBE" w:rsidRDefault="0055734C" w:rsidP="0055734C">
      <w:pPr>
        <w:pStyle w:val="ListParagraph"/>
        <w:numPr>
          <w:ilvl w:val="0"/>
          <w:numId w:val="56"/>
        </w:numPr>
        <w:ind w:right="261"/>
      </w:pPr>
      <w:r>
        <w:t xml:space="preserve">categories of information </w:t>
      </w:r>
      <w:r w:rsidR="00110813">
        <w:t>outlined in</w:t>
      </w:r>
      <w:r>
        <w:t xml:space="preserve"> Schedule 1 </w:t>
      </w:r>
      <w:r w:rsidR="00110813">
        <w:t xml:space="preserve">that </w:t>
      </w:r>
      <w:r w:rsidR="00110813" w:rsidRPr="006F5CD6">
        <w:t xml:space="preserve">are </w:t>
      </w:r>
      <w:r w:rsidRPr="00892E8D">
        <w:rPr>
          <w:b/>
        </w:rPr>
        <w:t>taken to be</w:t>
      </w:r>
      <w:r w:rsidRPr="006F5CD6">
        <w:rPr>
          <w:b/>
        </w:rPr>
        <w:t xml:space="preserve"> contrary to the public interest</w:t>
      </w:r>
      <w:r w:rsidRPr="00851D73">
        <w:rPr>
          <w:bCs/>
        </w:rPr>
        <w:t xml:space="preserve"> to disclose</w:t>
      </w:r>
      <w:r w:rsidR="002E2EF2">
        <w:rPr>
          <w:bCs/>
        </w:rPr>
        <w:t xml:space="preserve"> </w:t>
      </w:r>
      <w:r w:rsidR="00503890">
        <w:rPr>
          <w:bCs/>
        </w:rPr>
        <w:t xml:space="preserve">(see </w:t>
      </w:r>
      <w:hyperlink w:anchor="_6._Common_terms" w:history="1">
        <w:r w:rsidR="00503890" w:rsidRPr="00503890">
          <w:rPr>
            <w:rStyle w:val="Hyperlink"/>
            <w:bCs/>
          </w:rPr>
          <w:t>[5]</w:t>
        </w:r>
      </w:hyperlink>
      <w:r w:rsidR="00503890">
        <w:rPr>
          <w:bCs/>
        </w:rPr>
        <w:t xml:space="preserve"> below)</w:t>
      </w:r>
      <w:r w:rsidR="00C16963">
        <w:rPr>
          <w:bCs/>
        </w:rPr>
        <w:t>.</w:t>
      </w:r>
    </w:p>
    <w:p w14:paraId="333AB6EC" w14:textId="28C9B764" w:rsidR="00D85506" w:rsidRDefault="00D85506" w:rsidP="00D85506">
      <w:r>
        <w:t xml:space="preserve">In </w:t>
      </w:r>
      <w:r w:rsidR="006D12F4">
        <w:t>addition</w:t>
      </w:r>
      <w:r>
        <w:t xml:space="preserve">, this guideline </w:t>
      </w:r>
      <w:r w:rsidR="000531E8">
        <w:t>explains</w:t>
      </w:r>
      <w:r>
        <w:t xml:space="preserve"> </w:t>
      </w:r>
      <w:r w:rsidR="00D90CCD" w:rsidRPr="00892E8D">
        <w:rPr>
          <w:b/>
          <w:bCs/>
        </w:rPr>
        <w:t>h</w:t>
      </w:r>
      <w:r w:rsidR="004647F6" w:rsidRPr="00892E8D">
        <w:rPr>
          <w:b/>
          <w:bCs/>
        </w:rPr>
        <w:t>ow to apply the</w:t>
      </w:r>
      <w:r w:rsidR="004647F6">
        <w:t xml:space="preserve"> </w:t>
      </w:r>
      <w:r w:rsidR="006D7128" w:rsidRPr="00892E8D">
        <w:rPr>
          <w:b/>
          <w:bCs/>
        </w:rPr>
        <w:t>public interest test</w:t>
      </w:r>
      <w:r w:rsidR="005A38E1">
        <w:t xml:space="preserve"> (see </w:t>
      </w:r>
      <w:hyperlink w:anchor="_Public_interest_test_1" w:history="1">
        <w:r w:rsidR="00503890">
          <w:rPr>
            <w:rStyle w:val="Hyperlink"/>
          </w:rPr>
          <w:t>[6]</w:t>
        </w:r>
      </w:hyperlink>
      <w:r w:rsidR="005A38E1">
        <w:t xml:space="preserve"> below)</w:t>
      </w:r>
      <w:r w:rsidR="000D1323">
        <w:t>, including</w:t>
      </w:r>
      <w:r w:rsidR="00A77EB4">
        <w:t xml:space="preserve"> to</w:t>
      </w:r>
      <w:r>
        <w:t xml:space="preserve">: </w:t>
      </w:r>
    </w:p>
    <w:p w14:paraId="3543FAEC" w14:textId="10B4D8B4" w:rsidR="00372399" w:rsidRDefault="00372399" w:rsidP="00372399">
      <w:pPr>
        <w:pStyle w:val="ListParagraph"/>
        <w:numPr>
          <w:ilvl w:val="0"/>
          <w:numId w:val="56"/>
        </w:numPr>
      </w:pPr>
      <w:r>
        <w:t>ensur</w:t>
      </w:r>
      <w:r w:rsidR="007925B5">
        <w:t>e</w:t>
      </w:r>
      <w:r>
        <w:t xml:space="preserve"> irrelevant factors are not taken into account (see </w:t>
      </w:r>
      <w:hyperlink w:anchor="_Common_terms_1" w:history="1">
        <w:r>
          <w:rPr>
            <w:rStyle w:val="Hyperlink"/>
          </w:rPr>
          <w:t>[6.2]</w:t>
        </w:r>
      </w:hyperlink>
      <w:r>
        <w:t xml:space="preserve"> below)</w:t>
      </w:r>
      <w:r w:rsidR="00A77EB4">
        <w:t xml:space="preserve">, </w:t>
      </w:r>
    </w:p>
    <w:p w14:paraId="718E3BF3" w14:textId="750EB0E4" w:rsidR="00D85506" w:rsidRDefault="00D85506" w:rsidP="00D85506">
      <w:pPr>
        <w:pStyle w:val="ListParagraph"/>
        <w:numPr>
          <w:ilvl w:val="0"/>
          <w:numId w:val="56"/>
        </w:numPr>
      </w:pPr>
      <w:r>
        <w:t xml:space="preserve">identify </w:t>
      </w:r>
      <w:r w:rsidR="000D1323">
        <w:t xml:space="preserve">factors </w:t>
      </w:r>
      <w:r w:rsidR="000D1323" w:rsidRPr="006F5CD6">
        <w:t>favouring disclosure</w:t>
      </w:r>
      <w:r w:rsidR="000D1323">
        <w:t xml:space="preserve"> (see </w:t>
      </w:r>
      <w:hyperlink w:anchor="_Schedule_2,_section_2" w:history="1">
        <w:r w:rsidR="000D1323" w:rsidRPr="000D1323">
          <w:rPr>
            <w:rStyle w:val="Hyperlink"/>
          </w:rPr>
          <w:t>[7]</w:t>
        </w:r>
      </w:hyperlink>
      <w:r w:rsidR="000D1323">
        <w:t xml:space="preserve"> below) </w:t>
      </w:r>
      <w:r>
        <w:t xml:space="preserve">and </w:t>
      </w:r>
      <w:r w:rsidR="00892E8D">
        <w:t>factors favouring non-disclosure</w:t>
      </w:r>
      <w:r w:rsidR="000D1323">
        <w:t xml:space="preserve"> (see </w:t>
      </w:r>
      <w:hyperlink w:anchor="_Schedule_2,_section_1" w:history="1">
        <w:r w:rsidR="000D1323" w:rsidRPr="000D1323">
          <w:rPr>
            <w:rStyle w:val="Hyperlink"/>
          </w:rPr>
          <w:t>[8]</w:t>
        </w:r>
      </w:hyperlink>
      <w:r w:rsidR="000D1323">
        <w:t xml:space="preserve"> below)</w:t>
      </w:r>
      <w:r>
        <w:t xml:space="preserve"> of information,</w:t>
      </w:r>
      <w:r w:rsidR="00372399">
        <w:t xml:space="preserve"> and </w:t>
      </w:r>
    </w:p>
    <w:p w14:paraId="4F26C594" w14:textId="0C1C12E1" w:rsidR="00D85506" w:rsidRDefault="00D85506" w:rsidP="00D85506">
      <w:pPr>
        <w:pStyle w:val="ListParagraph"/>
        <w:numPr>
          <w:ilvl w:val="0"/>
          <w:numId w:val="56"/>
        </w:numPr>
      </w:pPr>
      <w:r>
        <w:t>balanc</w:t>
      </w:r>
      <w:r w:rsidR="007925B5">
        <w:t>e</w:t>
      </w:r>
      <w:r>
        <w:t xml:space="preserve"> those factors (see </w:t>
      </w:r>
      <w:hyperlink w:anchor="_Balancing_the_public" w:history="1">
        <w:r w:rsidR="008044EB">
          <w:rPr>
            <w:rStyle w:val="Hyperlink"/>
          </w:rPr>
          <w:t>[9]</w:t>
        </w:r>
      </w:hyperlink>
      <w:r>
        <w:t xml:space="preserve"> below) to decide whether disclosure would be contrary to the public interest</w:t>
      </w:r>
      <w:r w:rsidR="00372399">
        <w:t>.</w:t>
      </w:r>
      <w:r>
        <w:t xml:space="preserve"> </w:t>
      </w:r>
    </w:p>
    <w:p w14:paraId="7D093487" w14:textId="763E150C" w:rsidR="007A593A" w:rsidRPr="00476424" w:rsidRDefault="007A593A" w:rsidP="007A593A">
      <w:pPr>
        <w:pStyle w:val="Heading2"/>
        <w:numPr>
          <w:ilvl w:val="0"/>
          <w:numId w:val="54"/>
        </w:numPr>
        <w:rPr>
          <w:szCs w:val="32"/>
        </w:rPr>
      </w:pPr>
      <w:bookmarkStart w:id="7" w:name="_Toc135387026"/>
      <w:bookmarkStart w:id="8" w:name="_Toc135387260"/>
      <w:bookmarkStart w:id="9" w:name="_Toc135387495"/>
      <w:bookmarkStart w:id="10" w:name="_Toc135387730"/>
      <w:bookmarkStart w:id="11" w:name="_Toc135387027"/>
      <w:bookmarkStart w:id="12" w:name="_Toc135387261"/>
      <w:bookmarkStart w:id="13" w:name="_Toc135387496"/>
      <w:bookmarkStart w:id="14" w:name="_Toc135387731"/>
      <w:bookmarkStart w:id="15" w:name="_Toc135387028"/>
      <w:bookmarkStart w:id="16" w:name="_Toc135387262"/>
      <w:bookmarkStart w:id="17" w:name="_Toc135387497"/>
      <w:bookmarkStart w:id="18" w:name="_Toc135387732"/>
      <w:bookmarkStart w:id="19" w:name="_What_is_the"/>
      <w:bookmarkStart w:id="20" w:name="_Toc135303833"/>
      <w:bookmarkStart w:id="21" w:name="_Toc135387029"/>
      <w:bookmarkStart w:id="22" w:name="_Toc135387263"/>
      <w:bookmarkStart w:id="23" w:name="_Toc135387498"/>
      <w:bookmarkStart w:id="24" w:name="_Toc135387733"/>
      <w:bookmarkStart w:id="25" w:name="_Guiding_principles_1"/>
      <w:bookmarkStart w:id="26" w:name="_Toc43385521"/>
      <w:bookmarkStart w:id="27" w:name="_Toc15206730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76424">
        <w:rPr>
          <w:szCs w:val="32"/>
        </w:rPr>
        <w:t>Guiding principles</w:t>
      </w:r>
      <w:bookmarkEnd w:id="26"/>
      <w:bookmarkEnd w:id="27"/>
    </w:p>
    <w:p w14:paraId="653122D7" w14:textId="77777777" w:rsidR="007A593A" w:rsidRPr="00EE3A32" w:rsidRDefault="007A593A" w:rsidP="007A593A">
      <w:r>
        <w:t>In considering the public interest, agencies and Ministers should be guided by the following principles in the FOI Act:</w:t>
      </w:r>
    </w:p>
    <w:p w14:paraId="7A39048E" w14:textId="66C75879" w:rsidR="00721DE7" w:rsidRDefault="00721DE7" w:rsidP="00640866">
      <w:pPr>
        <w:pStyle w:val="ListParagraph"/>
        <w:numPr>
          <w:ilvl w:val="0"/>
          <w:numId w:val="55"/>
        </w:numPr>
        <w:ind w:right="-22"/>
      </w:pPr>
      <w:r>
        <w:t xml:space="preserve">Decision-makers must </w:t>
      </w:r>
      <w:r w:rsidR="00741148">
        <w:t xml:space="preserve">publish open access </w:t>
      </w:r>
      <w:r w:rsidR="00640426">
        <w:t>information and</w:t>
      </w:r>
      <w:r w:rsidR="005B0205">
        <w:t xml:space="preserve"> provide access to information when </w:t>
      </w:r>
      <w:r w:rsidR="00B96F7A">
        <w:t>requested unless</w:t>
      </w:r>
      <w:r>
        <w:t xml:space="preserve"> disclosure of the information would be contrary to the public interest.</w:t>
      </w:r>
      <w:r w:rsidR="0032455D">
        <w:rPr>
          <w:rStyle w:val="FootnoteReference"/>
        </w:rPr>
        <w:footnoteReference w:id="4"/>
      </w:r>
    </w:p>
    <w:p w14:paraId="29127F6D" w14:textId="390C05F2" w:rsidR="007A593A" w:rsidRDefault="000918BB" w:rsidP="007A593A">
      <w:pPr>
        <w:pStyle w:val="ListParagraph"/>
        <w:numPr>
          <w:ilvl w:val="0"/>
          <w:numId w:val="55"/>
        </w:numPr>
        <w:ind w:right="-22"/>
      </w:pPr>
      <w:r>
        <w:t>D</w:t>
      </w:r>
      <w:r w:rsidR="007A593A">
        <w:t>ecision-maker</w:t>
      </w:r>
      <w:r>
        <w:t>s</w:t>
      </w:r>
      <w:r w:rsidR="007A593A">
        <w:t xml:space="preserve"> must exercise their discretion</w:t>
      </w:r>
      <w:r w:rsidR="00524275">
        <w:t xml:space="preserve"> </w:t>
      </w:r>
      <w:r w:rsidR="007A593A">
        <w:t>as far as possible</w:t>
      </w:r>
      <w:r w:rsidR="00524275">
        <w:t xml:space="preserve"> </w:t>
      </w:r>
      <w:r w:rsidR="007A593A">
        <w:t>in favour of disclosing information.</w:t>
      </w:r>
      <w:r w:rsidR="007A593A">
        <w:rPr>
          <w:rStyle w:val="FootnoteReference"/>
        </w:rPr>
        <w:footnoteReference w:id="5"/>
      </w:r>
    </w:p>
    <w:p w14:paraId="45AF52F6" w14:textId="34BF3290" w:rsidR="007A593A" w:rsidRDefault="0078629D" w:rsidP="007A593A">
      <w:pPr>
        <w:pStyle w:val="ListParagraph"/>
        <w:numPr>
          <w:ilvl w:val="0"/>
          <w:numId w:val="55"/>
        </w:numPr>
        <w:ind w:right="-22"/>
      </w:pPr>
      <w:r>
        <w:t>Deciding whether</w:t>
      </w:r>
      <w:r w:rsidRPr="0078629D">
        <w:t xml:space="preserve"> disclosure would be contrary to the public interest</w:t>
      </w:r>
      <w:r>
        <w:t xml:space="preserve"> </w:t>
      </w:r>
      <w:r w:rsidR="007A593A">
        <w:t xml:space="preserve">must be considered </w:t>
      </w:r>
      <w:r w:rsidR="0078680E">
        <w:t>on a case</w:t>
      </w:r>
      <w:r w:rsidR="00B102AB">
        <w:noBreakHyphen/>
      </w:r>
      <w:r w:rsidR="0078680E">
        <w:t>by</w:t>
      </w:r>
      <w:r w:rsidR="00B102AB">
        <w:noBreakHyphen/>
      </w:r>
      <w:r w:rsidR="0078680E">
        <w:t>case basis</w:t>
      </w:r>
      <w:r w:rsidR="007A593A">
        <w:t xml:space="preserve">, </w:t>
      </w:r>
      <w:r w:rsidR="0078680E">
        <w:t>by assessing</w:t>
      </w:r>
      <w:r w:rsidR="007A593A">
        <w:t xml:space="preserve"> the information and the </w:t>
      </w:r>
      <w:r w:rsidR="00DA685A">
        <w:t>effects</w:t>
      </w:r>
      <w:r w:rsidR="007A593A">
        <w:t xml:space="preserve"> of disclosure at the time of decision.</w:t>
      </w:r>
    </w:p>
    <w:p w14:paraId="1093F94A" w14:textId="3AD4D413" w:rsidR="00223EF0" w:rsidRPr="00595E20" w:rsidRDefault="007A593A" w:rsidP="007F3056">
      <w:pPr>
        <w:pStyle w:val="ListParagraph"/>
        <w:numPr>
          <w:ilvl w:val="0"/>
          <w:numId w:val="55"/>
        </w:numPr>
        <w:ind w:right="-22"/>
      </w:pPr>
      <w:r>
        <w:t xml:space="preserve">Decision-makers must not take into account irrelevant factors when </w:t>
      </w:r>
      <w:r>
        <w:rPr>
          <w:color w:val="000000"/>
          <w:shd w:val="clear" w:color="auto" w:fill="FFFFFF"/>
        </w:rPr>
        <w:t>deciding whether disclosure</w:t>
      </w:r>
      <w:r w:rsidRPr="007F3056">
        <w:rPr>
          <w:color w:val="000000"/>
          <w:shd w:val="clear" w:color="auto" w:fill="FFFFFF"/>
        </w:rPr>
        <w:t xml:space="preserve"> of information would, on</w:t>
      </w:r>
      <w:r>
        <w:rPr>
          <w:color w:val="000000"/>
          <w:shd w:val="clear" w:color="auto" w:fill="FFFFFF"/>
        </w:rPr>
        <w:t xml:space="preserve"> </w:t>
      </w:r>
      <w:r w:rsidRPr="007F3056">
        <w:rPr>
          <w:color w:val="000000"/>
          <w:shd w:val="clear" w:color="auto" w:fill="FFFFFF"/>
        </w:rPr>
        <w:t>balance, be contrary to the public interest</w:t>
      </w:r>
      <w:r>
        <w:rPr>
          <w:color w:val="000000"/>
          <w:shd w:val="clear" w:color="auto" w:fill="FFFFFF"/>
        </w:rPr>
        <w:t>.</w:t>
      </w:r>
      <w:r>
        <w:rPr>
          <w:rStyle w:val="FootnoteReference"/>
          <w:color w:val="000000"/>
          <w:shd w:val="clear" w:color="auto" w:fill="FFFFFF"/>
        </w:rPr>
        <w:footnoteReference w:id="6"/>
      </w:r>
    </w:p>
    <w:p w14:paraId="135AD96B" w14:textId="11D8A2D0" w:rsidR="00223EF0" w:rsidRPr="00440858" w:rsidRDefault="007A593A" w:rsidP="00223EF0">
      <w:pPr>
        <w:pStyle w:val="ListParagraph"/>
        <w:numPr>
          <w:ilvl w:val="0"/>
          <w:numId w:val="55"/>
        </w:numPr>
        <w:ind w:right="-22"/>
      </w:pPr>
      <w:r>
        <w:t xml:space="preserve">The onus is on the </w:t>
      </w:r>
      <w:r w:rsidR="004557F8">
        <w:t>decision</w:t>
      </w:r>
      <w:r w:rsidR="00C13660">
        <w:t>-</w:t>
      </w:r>
      <w:r w:rsidR="004557F8">
        <w:t>maker</w:t>
      </w:r>
      <w:r>
        <w:t xml:space="preserve"> to establish the reasons why disclosure of the information is </w:t>
      </w:r>
      <w:r w:rsidRPr="00440858">
        <w:t>contrary to the public interest.</w:t>
      </w:r>
      <w:r w:rsidRPr="00440858">
        <w:rPr>
          <w:rStyle w:val="FootnoteReference"/>
        </w:rPr>
        <w:footnoteReference w:id="7"/>
      </w:r>
    </w:p>
    <w:p w14:paraId="3A562D78" w14:textId="7D8B01A9" w:rsidR="00EB66D0" w:rsidRPr="00440858" w:rsidRDefault="00A0156E" w:rsidP="00EA44E0">
      <w:pPr>
        <w:pStyle w:val="Heading2"/>
        <w:numPr>
          <w:ilvl w:val="0"/>
          <w:numId w:val="54"/>
        </w:numPr>
        <w:ind w:left="357" w:hanging="357"/>
      </w:pPr>
      <w:bookmarkStart w:id="28" w:name="_Common_terms_and_1"/>
      <w:bookmarkEnd w:id="28"/>
      <w:r w:rsidRPr="00440858">
        <w:t xml:space="preserve"> </w:t>
      </w:r>
      <w:bookmarkStart w:id="29" w:name="_Contrary_to_the"/>
      <w:bookmarkStart w:id="30" w:name="_Ref22560315"/>
      <w:bookmarkStart w:id="31" w:name="_Toc43385522"/>
      <w:bookmarkStart w:id="32" w:name="_Toc152067304"/>
      <w:bookmarkEnd w:id="29"/>
      <w:r w:rsidR="00EB66D0" w:rsidRPr="00440858">
        <w:t xml:space="preserve">Common </w:t>
      </w:r>
      <w:r w:rsidR="00EB66D0" w:rsidRPr="00440858">
        <w:rPr>
          <w:szCs w:val="32"/>
        </w:rPr>
        <w:t>terms and phrases</w:t>
      </w:r>
      <w:bookmarkEnd w:id="30"/>
      <w:bookmarkEnd w:id="31"/>
      <w:bookmarkEnd w:id="32"/>
    </w:p>
    <w:p w14:paraId="171B2AFD" w14:textId="486239EC" w:rsidR="00EB66D0" w:rsidRDefault="00EB66D0" w:rsidP="007F3056">
      <w:r w:rsidRPr="00DA60EC">
        <w:t>This section provides guidance on common</w:t>
      </w:r>
      <w:r>
        <w:t xml:space="preserve"> terms used in Schedules</w:t>
      </w:r>
      <w:r w:rsidR="00823E15">
        <w:t xml:space="preserve"> </w:t>
      </w:r>
      <w:r>
        <w:t>1 and 2 of the FOI Act</w:t>
      </w:r>
      <w:r w:rsidR="00791A34">
        <w:t xml:space="preserve">. </w:t>
      </w:r>
    </w:p>
    <w:p w14:paraId="29AC70BB" w14:textId="0AA43C1E" w:rsidR="00791A34" w:rsidRDefault="00791A34" w:rsidP="00EB66D0">
      <w:r>
        <w:t xml:space="preserve">It is important to carefully assess the wording of the categories of information in Schedule 1, and the factors listed in Schedule 2, to see if they are relevant to the information being considered. </w:t>
      </w:r>
    </w:p>
    <w:p w14:paraId="084CEFF3" w14:textId="77777777" w:rsidR="00EB66D0" w:rsidRPr="00EB2D01" w:rsidRDefault="00EB66D0" w:rsidP="00EB66D0">
      <w:r w:rsidRPr="00EB2D01">
        <w:t>All section numbers are references to sections of the FOI Act unless indicated otherwise. References to legislation refer to ACT legislation unless indicated otherwise.</w:t>
      </w:r>
    </w:p>
    <w:p w14:paraId="0A9DEE0F" w14:textId="2E54B3E0" w:rsidR="00EB66D0" w:rsidRPr="00513618" w:rsidRDefault="00EB66D0" w:rsidP="00061A12">
      <w:pPr>
        <w:pStyle w:val="Heading2"/>
        <w:numPr>
          <w:ilvl w:val="1"/>
          <w:numId w:val="54"/>
        </w:numPr>
        <w:ind w:left="567" w:hanging="567"/>
      </w:pPr>
      <w:bookmarkStart w:id="33" w:name="_Contribute_to"/>
      <w:bookmarkStart w:id="34" w:name="_Toc43385523"/>
      <w:bookmarkStart w:id="35" w:name="_Toc152067305"/>
      <w:bookmarkEnd w:id="33"/>
      <w:r w:rsidRPr="00513618">
        <w:t>Contribute to</w:t>
      </w:r>
      <w:bookmarkEnd w:id="34"/>
      <w:bookmarkEnd w:id="35"/>
    </w:p>
    <w:p w14:paraId="70363B48" w14:textId="5C300C2F" w:rsidR="00E711F3" w:rsidRDefault="00EB66D0" w:rsidP="00EB66D0">
      <w:r>
        <w:t>The phrase ‘contribute to’ appears in a number of the factors for disclosure outlined in Schedule 2, s 2.1.</w:t>
      </w:r>
      <w:r>
        <w:rPr>
          <w:rStyle w:val="FootnoteReference"/>
        </w:rPr>
        <w:footnoteReference w:id="8"/>
      </w:r>
      <w:r>
        <w:t xml:space="preserve"> </w:t>
      </w:r>
      <w:r w:rsidRPr="008712A5">
        <w:t xml:space="preserve">As the FOI Act does not define ‘contribute to’, it should be given its ordinary meaning which is: </w:t>
      </w:r>
      <w:r w:rsidRPr="008712A5">
        <w:rPr>
          <w:i/>
        </w:rPr>
        <w:t>to have a share in bringing about a result or to be partly responsible for something</w:t>
      </w:r>
      <w:r w:rsidRPr="008712A5">
        <w:t>.</w:t>
      </w:r>
      <w:r w:rsidRPr="008712A5">
        <w:rPr>
          <w:rStyle w:val="FootnoteReference"/>
        </w:rPr>
        <w:footnoteReference w:id="9"/>
      </w:r>
    </w:p>
    <w:p w14:paraId="29AD2D59" w14:textId="028561E2" w:rsidR="00EB66D0" w:rsidRDefault="00EB66D0" w:rsidP="00061A12">
      <w:pPr>
        <w:pStyle w:val="Heading2"/>
        <w:numPr>
          <w:ilvl w:val="1"/>
          <w:numId w:val="54"/>
        </w:numPr>
        <w:ind w:left="567" w:hanging="567"/>
      </w:pPr>
      <w:bookmarkStart w:id="36" w:name="_Toc43385524"/>
      <w:bookmarkStart w:id="37" w:name="_Toc152067306"/>
      <w:r>
        <w:t>Impede</w:t>
      </w:r>
      <w:bookmarkEnd w:id="36"/>
      <w:bookmarkEnd w:id="37"/>
    </w:p>
    <w:p w14:paraId="2BD06745" w14:textId="0EB6B610" w:rsidR="00AE0D3F" w:rsidRPr="00250C79" w:rsidRDefault="00EB66D0" w:rsidP="00EB66D0">
      <w:pPr>
        <w:rPr>
          <w:iCs/>
        </w:rPr>
      </w:pPr>
      <w:r w:rsidRPr="00C20A72">
        <w:t>The term ‘impede’ appears in a number of the factors for nondisclosure outlined in Schedule 2</w:t>
      </w:r>
      <w:r>
        <w:t>, s 2.2.</w:t>
      </w:r>
      <w:r w:rsidRPr="00C20A72">
        <w:rPr>
          <w:rStyle w:val="FootnoteReference"/>
        </w:rPr>
        <w:footnoteReference w:id="10"/>
      </w:r>
      <w:r>
        <w:br/>
      </w:r>
      <w:r w:rsidRPr="00C20A72">
        <w:t xml:space="preserve">As the FOI Act does not define ‘impede’, it should be given its ordinary meaning which is: </w:t>
      </w:r>
      <w:r w:rsidR="006E0AE5">
        <w:rPr>
          <w:i/>
        </w:rPr>
        <w:t>to delay</w:t>
      </w:r>
      <w:r w:rsidRPr="00C20A72">
        <w:rPr>
          <w:i/>
        </w:rPr>
        <w:t xml:space="preserve"> movement or progress by means of obstacles or hindrances; obstruct; hinder.</w:t>
      </w:r>
      <w:r w:rsidRPr="00C20A72">
        <w:rPr>
          <w:rStyle w:val="FootnoteReference"/>
          <w:i/>
        </w:rPr>
        <w:footnoteReference w:id="11"/>
      </w:r>
      <w:r w:rsidRPr="00250C79">
        <w:rPr>
          <w:iCs/>
        </w:rPr>
        <w:t xml:space="preserve"> </w:t>
      </w:r>
    </w:p>
    <w:p w14:paraId="0966C17A" w14:textId="77777777" w:rsidR="00C41D2E" w:rsidRPr="00250C79" w:rsidRDefault="00C41D2E" w:rsidP="00EB66D0">
      <w:pPr>
        <w:rPr>
          <w:iCs/>
        </w:rPr>
      </w:pPr>
    </w:p>
    <w:p w14:paraId="792539FA" w14:textId="41A0ECA3" w:rsidR="00EB66D0" w:rsidRDefault="00EB66D0" w:rsidP="00061A12">
      <w:pPr>
        <w:pStyle w:val="Heading2"/>
        <w:numPr>
          <w:ilvl w:val="1"/>
          <w:numId w:val="54"/>
        </w:numPr>
        <w:ind w:left="567" w:hanging="567"/>
      </w:pPr>
      <w:bookmarkStart w:id="38" w:name="_In_the_possession"/>
      <w:bookmarkStart w:id="39" w:name="_Toc43385525"/>
      <w:bookmarkStart w:id="40" w:name="_Toc152067307"/>
      <w:bookmarkEnd w:id="38"/>
      <w:r>
        <w:t>In the possession of</w:t>
      </w:r>
      <w:bookmarkEnd w:id="39"/>
      <w:bookmarkEnd w:id="40"/>
    </w:p>
    <w:p w14:paraId="242E2B20" w14:textId="22C7F5E4" w:rsidR="00EB66D0" w:rsidRDefault="00EB66D0" w:rsidP="00EB66D0">
      <w:pPr>
        <w:spacing w:before="120"/>
      </w:pPr>
      <w:r>
        <w:t>The phrase</w:t>
      </w:r>
      <w:r w:rsidRPr="00B378CD">
        <w:t xml:space="preserve"> ‘information in the possession of’ appears</w:t>
      </w:r>
      <w:r>
        <w:t xml:space="preserve"> in the following sections of Schedule 1</w:t>
      </w:r>
      <w:r w:rsidR="00886443">
        <w:t xml:space="preserve">: </w:t>
      </w:r>
    </w:p>
    <w:p w14:paraId="1A39357B" w14:textId="670C9871" w:rsidR="00EB66D0" w:rsidRPr="00640866" w:rsidRDefault="00E12C0A" w:rsidP="00EB66D0">
      <w:pPr>
        <w:pStyle w:val="ListParagraph"/>
        <w:numPr>
          <w:ilvl w:val="0"/>
          <w:numId w:val="47"/>
        </w:numPr>
        <w:rPr>
          <w:rStyle w:val="Hyperlink"/>
          <w:color w:val="auto"/>
          <w:u w:val="none"/>
        </w:rPr>
      </w:pPr>
      <w:hyperlink w:anchor="_Section_1.2_–" w:history="1">
        <w:r w:rsidR="006F656F">
          <w:rPr>
            <w:rStyle w:val="Hyperlink"/>
          </w:rPr>
          <w:t>information in possession of a court or tribunal (s 1.1A)</w:t>
        </w:r>
      </w:hyperlink>
    </w:p>
    <w:p w14:paraId="070AA9D1" w14:textId="00D139B7" w:rsidR="00DA50ED" w:rsidRDefault="00E12C0A" w:rsidP="00EB66D0">
      <w:pPr>
        <w:pStyle w:val="ListParagraph"/>
        <w:numPr>
          <w:ilvl w:val="0"/>
          <w:numId w:val="47"/>
        </w:numPr>
      </w:pPr>
      <w:hyperlink w:anchor="_Section_1.3_–_1" w:history="1">
        <w:r w:rsidR="006F656F">
          <w:rPr>
            <w:rStyle w:val="Hyperlink"/>
          </w:rPr>
          <w:t>Information in possession of integrity commission or inspector of the integrity commission (s 1.1B)</w:t>
        </w:r>
      </w:hyperlink>
    </w:p>
    <w:p w14:paraId="1FC574C5" w14:textId="1040A69A" w:rsidR="00EB66D0" w:rsidRDefault="00E12C0A" w:rsidP="00EB66D0">
      <w:pPr>
        <w:pStyle w:val="ListParagraph"/>
        <w:numPr>
          <w:ilvl w:val="0"/>
          <w:numId w:val="47"/>
        </w:numPr>
      </w:pPr>
      <w:hyperlink w:anchor="_Section_1.5_–" w:history="1">
        <w:r w:rsidR="006F656F">
          <w:rPr>
            <w:rStyle w:val="Hyperlink"/>
          </w:rPr>
          <w:t>information in possession of auditor-general (s 1.5)</w:t>
        </w:r>
      </w:hyperlink>
    </w:p>
    <w:p w14:paraId="751D6F2C" w14:textId="1F5B11DF" w:rsidR="00EB66D0" w:rsidRDefault="00E12C0A" w:rsidP="00EB66D0">
      <w:pPr>
        <w:pStyle w:val="ListParagraph"/>
        <w:numPr>
          <w:ilvl w:val="0"/>
          <w:numId w:val="47"/>
        </w:numPr>
      </w:pPr>
      <w:hyperlink w:anchor="_Section_1.8_–" w:history="1">
        <w:r w:rsidR="006F656F">
          <w:rPr>
            <w:rStyle w:val="Hyperlink"/>
          </w:rPr>
          <w:t>information in possession of human rights commission (s 1.8)</w:t>
        </w:r>
      </w:hyperlink>
      <w:r w:rsidR="00EB66D0">
        <w:t xml:space="preserve"> </w:t>
      </w:r>
    </w:p>
    <w:p w14:paraId="053EE160" w14:textId="6038DFDA" w:rsidR="00EB66D0" w:rsidRDefault="00E12C0A" w:rsidP="00EB66D0">
      <w:pPr>
        <w:pStyle w:val="ListParagraph"/>
        <w:numPr>
          <w:ilvl w:val="0"/>
          <w:numId w:val="47"/>
        </w:numPr>
      </w:pPr>
      <w:hyperlink w:anchor="_Section_1.12_–" w:history="1">
        <w:r w:rsidR="006F656F">
          <w:rPr>
            <w:rStyle w:val="Hyperlink"/>
          </w:rPr>
          <w:t>information in possession of ombudsman (s 1.12)</w:t>
        </w:r>
      </w:hyperlink>
      <w:r w:rsidR="00EB66D0">
        <w:t xml:space="preserve"> </w:t>
      </w:r>
    </w:p>
    <w:p w14:paraId="5858D30D" w14:textId="280F8264" w:rsidR="00EB66D0" w:rsidRDefault="00E12C0A" w:rsidP="00EB66D0">
      <w:pPr>
        <w:pStyle w:val="ListParagraph"/>
        <w:numPr>
          <w:ilvl w:val="0"/>
          <w:numId w:val="47"/>
        </w:numPr>
      </w:pPr>
      <w:hyperlink w:anchor="_Section_1.15_–" w:history="1">
        <w:r w:rsidR="006F656F">
          <w:rPr>
            <w:rStyle w:val="Hyperlink"/>
          </w:rPr>
          <w:t>Information in possession of inspector of correctional services (s 1.15)</w:t>
        </w:r>
      </w:hyperlink>
      <w:r w:rsidR="00432F0A" w:rsidRPr="00250C79">
        <w:rPr>
          <w:rStyle w:val="Hyperlink"/>
          <w:u w:val="none"/>
        </w:rPr>
        <w:t>.</w:t>
      </w:r>
    </w:p>
    <w:p w14:paraId="62A575E2" w14:textId="77777777" w:rsidR="00EB66D0" w:rsidRPr="00EB2D01" w:rsidRDefault="00EB66D0" w:rsidP="00EB66D0">
      <w:pPr>
        <w:ind w:right="119"/>
      </w:pPr>
      <w:r>
        <w:t>‘Possession’ is not limited to actual or physical possession.</w:t>
      </w:r>
      <w:r>
        <w:rPr>
          <w:rStyle w:val="FootnoteReference"/>
        </w:rPr>
        <w:footnoteReference w:id="12"/>
      </w:r>
      <w:r>
        <w:t xml:space="preserve"> Consequently, in applying these provisions decision-makers should not only consider information that is physically available on their agency’s pre</w:t>
      </w:r>
      <w:r w:rsidRPr="00EB2D01">
        <w:t>mises, but also information the agency or Minister has a right or power to access. This could include information stored by a third party on behalf of the agency or Minister.</w:t>
      </w:r>
      <w:r w:rsidRPr="00EB2D01">
        <w:rPr>
          <w:rStyle w:val="FootnoteReference"/>
        </w:rPr>
        <w:footnoteReference w:id="13"/>
      </w:r>
      <w:r w:rsidRPr="00EB2D01">
        <w:t xml:space="preserve"> </w:t>
      </w:r>
    </w:p>
    <w:p w14:paraId="00A848FB" w14:textId="77777777" w:rsidR="00EB66D0" w:rsidRPr="00B36A50" w:rsidRDefault="00EB66D0" w:rsidP="00EB66D0">
      <w:pPr>
        <w:ind w:right="119"/>
      </w:pPr>
      <w:r w:rsidRPr="00EB2D01">
        <w:t>This ensures relevant information, which the third party may have passed onto another external party, such as a sub-contractor, is still within the scope of the access application. For example, information held by a company contracted by the agency to perform certain functions.</w:t>
      </w:r>
      <w:r w:rsidRPr="00EB2D01">
        <w:rPr>
          <w:rStyle w:val="FootnoteReference"/>
        </w:rPr>
        <w:footnoteReference w:id="14"/>
      </w:r>
    </w:p>
    <w:p w14:paraId="53046B8C" w14:textId="77777777" w:rsidR="00EB66D0" w:rsidRDefault="00EB66D0" w:rsidP="00EB66D0">
      <w:pPr>
        <w:pStyle w:val="Heading2"/>
        <w:numPr>
          <w:ilvl w:val="1"/>
          <w:numId w:val="54"/>
        </w:numPr>
        <w:ind w:left="567" w:hanging="567"/>
      </w:pPr>
      <w:bookmarkStart w:id="41" w:name="_Prejudice"/>
      <w:bookmarkStart w:id="42" w:name="_Toc43385526"/>
      <w:bookmarkStart w:id="43" w:name="_Toc152067308"/>
      <w:bookmarkEnd w:id="41"/>
      <w:r>
        <w:t>Prejudice</w:t>
      </w:r>
      <w:bookmarkEnd w:id="42"/>
      <w:bookmarkEnd w:id="43"/>
    </w:p>
    <w:p w14:paraId="6B9EB3B2" w14:textId="77777777" w:rsidR="00EB66D0" w:rsidRDefault="00EB66D0" w:rsidP="00EB66D0">
      <w:pPr>
        <w:keepNext/>
        <w:keepLines/>
      </w:pPr>
      <w:r w:rsidRPr="00C20A72">
        <w:t>The term ‘</w:t>
      </w:r>
      <w:r>
        <w:t>prejudice</w:t>
      </w:r>
      <w:r w:rsidRPr="00C20A72">
        <w:t xml:space="preserve">’ appears in </w:t>
      </w:r>
      <w:r>
        <w:t xml:space="preserve">Schedule 1, s 1.14 and </w:t>
      </w:r>
      <w:r w:rsidRPr="00C20A72">
        <w:t xml:space="preserve">a number of the factors for nondisclosure outlined in </w:t>
      </w:r>
      <w:r w:rsidRPr="008712A5">
        <w:t>Schedule 2, s 2.2.</w:t>
      </w:r>
      <w:r w:rsidRPr="008712A5">
        <w:rPr>
          <w:rStyle w:val="FootnoteReference"/>
        </w:rPr>
        <w:footnoteReference w:id="15"/>
      </w:r>
      <w:r w:rsidRPr="008712A5">
        <w:t xml:space="preserve"> As the FOI Act does not define ‘prejudice’, it should be given its ordinary meaning which is: </w:t>
      </w:r>
      <w:r w:rsidRPr="008712A5">
        <w:rPr>
          <w:i/>
        </w:rPr>
        <w:t>harm or injury that results or may result from some action or judgement.</w:t>
      </w:r>
      <w:r w:rsidRPr="00A936F4">
        <w:rPr>
          <w:rStyle w:val="FootnoteReference"/>
        </w:rPr>
        <w:footnoteReference w:id="16"/>
      </w:r>
      <w:r w:rsidRPr="00A936F4">
        <w:t xml:space="preserve"> </w:t>
      </w:r>
    </w:p>
    <w:p w14:paraId="4260B72A" w14:textId="6264EAB8" w:rsidR="00EB66D0" w:rsidRDefault="00EB66D0" w:rsidP="00EB66D0">
      <w:r>
        <w:t xml:space="preserve">This element requires decision-makers to assess the harm that would flow from the disclosure of the information. </w:t>
      </w:r>
      <w:r w:rsidR="00214489">
        <w:t>D</w:t>
      </w:r>
      <w:r>
        <w:t xml:space="preserve">ecision-makers should identify the specific </w:t>
      </w:r>
      <w:r w:rsidR="006114E0">
        <w:t xml:space="preserve">adverse </w:t>
      </w:r>
      <w:r w:rsidR="00DD4FF7">
        <w:t>e</w:t>
      </w:r>
      <w:r w:rsidR="006114E0">
        <w:t>ffect</w:t>
      </w:r>
      <w:r>
        <w:t xml:space="preserve"> that could, or would be, expected, if disclosure occurred.</w:t>
      </w:r>
    </w:p>
    <w:p w14:paraId="0C600A24" w14:textId="6F004BF2" w:rsidR="00737383" w:rsidRDefault="00EB66D0" w:rsidP="00F07EBF">
      <w:r w:rsidRPr="0093403B">
        <w:t>In making this assessment, decision-makers should consider not just the direct consequences following disclosure of the information, but also the indirect consequences that could reasonably occur.</w:t>
      </w:r>
      <w:r w:rsidR="00737383">
        <w:t xml:space="preserve"> </w:t>
      </w:r>
    </w:p>
    <w:p w14:paraId="63E70CC1" w14:textId="6493704F" w:rsidR="004420F0" w:rsidRPr="00737383" w:rsidRDefault="004420F0" w:rsidP="004420F0">
      <w:r>
        <w:t xml:space="preserve">For example, </w:t>
      </w:r>
      <w:r w:rsidR="00432F0A">
        <w:t xml:space="preserve">there may be circumstances </w:t>
      </w:r>
      <w:r w:rsidR="0046072F">
        <w:t xml:space="preserve">where </w:t>
      </w:r>
      <w:r w:rsidR="00432F0A">
        <w:t xml:space="preserve">the </w:t>
      </w:r>
      <w:r>
        <w:t xml:space="preserve">premature </w:t>
      </w:r>
      <w:r w:rsidR="000E0748">
        <w:t xml:space="preserve">public </w:t>
      </w:r>
      <w:r>
        <w:t xml:space="preserve">release of information </w:t>
      </w:r>
      <w:r w:rsidR="00432F0A">
        <w:t xml:space="preserve">outside of an </w:t>
      </w:r>
      <w:r w:rsidR="00EA4F53">
        <w:t>established proce</w:t>
      </w:r>
      <w:r w:rsidR="008F5E5D">
        <w:t xml:space="preserve">ss for briefing prosecutors and filing evidence in court </w:t>
      </w:r>
      <w:r w:rsidR="00190E5F">
        <w:t xml:space="preserve">could reasonably be expected to </w:t>
      </w:r>
      <w:r w:rsidR="00883D87">
        <w:t>result in a number o</w:t>
      </w:r>
      <w:r w:rsidR="001079EE">
        <w:t>f other consequences</w:t>
      </w:r>
      <w:r w:rsidR="00A82ECD">
        <w:t xml:space="preserve">, such as </w:t>
      </w:r>
      <w:r w:rsidR="00432F0A">
        <w:t xml:space="preserve">prejudicing </w:t>
      </w:r>
      <w:r w:rsidR="00A82ECD">
        <w:t xml:space="preserve">the effectiveness of </w:t>
      </w:r>
      <w:r w:rsidR="00432F0A">
        <w:t xml:space="preserve">a court’s </w:t>
      </w:r>
      <w:r w:rsidR="00A82ECD">
        <w:t>power to make non-publication orders</w:t>
      </w:r>
      <w:r w:rsidR="00005FC2">
        <w:t xml:space="preserve"> (</w:t>
      </w:r>
      <w:r w:rsidR="002559E7">
        <w:t>which may potentially give rise to a claim of prejudice to a fair trial)</w:t>
      </w:r>
      <w:r w:rsidR="00B15557">
        <w:t xml:space="preserve">. </w:t>
      </w:r>
      <w:r>
        <w:rPr>
          <w:rStyle w:val="FootnoteReference"/>
        </w:rPr>
        <w:footnoteReference w:id="17"/>
      </w:r>
      <w:r>
        <w:t xml:space="preserve">   </w:t>
      </w:r>
    </w:p>
    <w:p w14:paraId="1DC91ADE" w14:textId="2FA6ADAB" w:rsidR="00E64D65" w:rsidRDefault="00EB66D0" w:rsidP="00E64D65">
      <w:pPr>
        <w:pStyle w:val="Heading2"/>
        <w:numPr>
          <w:ilvl w:val="1"/>
          <w:numId w:val="54"/>
        </w:numPr>
        <w:ind w:left="567" w:hanging="567"/>
      </w:pPr>
      <w:bookmarkStart w:id="44" w:name="_Toc152067309"/>
      <w:r>
        <w:t>Public interest</w:t>
      </w:r>
      <w:bookmarkEnd w:id="44"/>
    </w:p>
    <w:p w14:paraId="7259485C" w14:textId="20D683D9" w:rsidR="00AE48F3" w:rsidRDefault="00E54A2D" w:rsidP="00AE48F3">
      <w:pPr>
        <w:ind w:right="-22"/>
      </w:pPr>
      <w:r>
        <w:t>The term</w:t>
      </w:r>
      <w:r w:rsidR="00AE48F3">
        <w:t xml:space="preserve"> </w:t>
      </w:r>
      <w:r w:rsidR="00AE48F3" w:rsidRPr="007F3056">
        <w:t>public interest</w:t>
      </w:r>
      <w:r w:rsidR="00AE48F3">
        <w:t xml:space="preserve"> may be explained as the interest that best serves the advancement of the interest or welfare of the public.</w:t>
      </w:r>
      <w:r w:rsidR="00AE48F3">
        <w:rPr>
          <w:rStyle w:val="FootnoteReference"/>
        </w:rPr>
        <w:footnoteReference w:id="18"/>
      </w:r>
      <w:r w:rsidR="00AE48F3">
        <w:t xml:space="preserve"> It effectively encompasses any number of considerations that could impact the good order and functioning of the community, and the well-being of community members.</w:t>
      </w:r>
    </w:p>
    <w:p w14:paraId="56D50602" w14:textId="616A4C35" w:rsidR="00AE48F3" w:rsidRPr="00EB2D01" w:rsidRDefault="00AE48F3" w:rsidP="007F3056">
      <w:pPr>
        <w:ind w:right="-23"/>
      </w:pPr>
      <w:r>
        <w:t>Such consi</w:t>
      </w:r>
      <w:r w:rsidRPr="00EB2D01">
        <w:t>derations will generally be common to all members of, or a substantial segment of, the community, as distinct from matters that concern private or personal interests.</w:t>
      </w:r>
      <w:r w:rsidRPr="00EB2D01">
        <w:rPr>
          <w:rStyle w:val="FootnoteReference"/>
        </w:rPr>
        <w:footnoteReference w:id="19"/>
      </w:r>
      <w:r w:rsidRPr="00EB2D01">
        <w:t xml:space="preserve"> Consistent with the approach of the Office of the Australian Information Commissioner</w:t>
      </w:r>
      <w:r>
        <w:t xml:space="preserve"> (</w:t>
      </w:r>
      <w:r w:rsidR="00513F7D">
        <w:t>‘</w:t>
      </w:r>
      <w:r w:rsidRPr="007438B2">
        <w:t>OAIC</w:t>
      </w:r>
      <w:r w:rsidR="00513F7D">
        <w:t>’</w:t>
      </w:r>
      <w:r>
        <w:t>)</w:t>
      </w:r>
      <w:r w:rsidRPr="00EB2D01">
        <w:t>,</w:t>
      </w:r>
      <w:r w:rsidRPr="00EB2D01">
        <w:rPr>
          <w:rStyle w:val="FootnoteReference"/>
        </w:rPr>
        <w:footnoteReference w:id="20"/>
      </w:r>
      <w:r w:rsidRPr="00EB2D01">
        <w:t xml:space="preserve"> the Ombudsman considers a substantial section of the public could be bound by:</w:t>
      </w:r>
    </w:p>
    <w:p w14:paraId="45545C48" w14:textId="77777777" w:rsidR="00AE48F3" w:rsidRPr="00EB2D01" w:rsidRDefault="00AE48F3" w:rsidP="007F3056">
      <w:pPr>
        <w:pStyle w:val="ListParagraph"/>
        <w:numPr>
          <w:ilvl w:val="1"/>
          <w:numId w:val="55"/>
        </w:numPr>
        <w:ind w:left="426" w:right="-23"/>
      </w:pPr>
      <w:r w:rsidRPr="00EB2D01">
        <w:t>geography (e.g. residents of a particular suburb of Canberra)</w:t>
      </w:r>
    </w:p>
    <w:p w14:paraId="50652307" w14:textId="77777777" w:rsidR="00AE48F3" w:rsidRPr="00EB2D01" w:rsidRDefault="00AE48F3" w:rsidP="00AE48F3">
      <w:pPr>
        <w:pStyle w:val="ListParagraph"/>
        <w:numPr>
          <w:ilvl w:val="1"/>
          <w:numId w:val="55"/>
        </w:numPr>
        <w:ind w:left="426" w:right="-22"/>
      </w:pPr>
      <w:r w:rsidRPr="00EB2D01">
        <w:t>a particular occupation (e.g. lawyers)</w:t>
      </w:r>
    </w:p>
    <w:p w14:paraId="52FD9A75" w14:textId="77777777" w:rsidR="00AE48F3" w:rsidRPr="00EB2D01" w:rsidRDefault="00AE48F3" w:rsidP="00AE48F3">
      <w:pPr>
        <w:pStyle w:val="ListParagraph"/>
        <w:numPr>
          <w:ilvl w:val="1"/>
          <w:numId w:val="55"/>
        </w:numPr>
        <w:ind w:left="426" w:right="-22"/>
      </w:pPr>
      <w:r w:rsidRPr="00EB2D01">
        <w:t>a section of the community (e.g. Indigenous community members, persons with a disability).</w:t>
      </w:r>
    </w:p>
    <w:p w14:paraId="773A295A" w14:textId="0D516160" w:rsidR="00C01054" w:rsidRDefault="00AE48F3" w:rsidP="00AE48F3">
      <w:pPr>
        <w:ind w:right="-164"/>
      </w:pPr>
      <w:r w:rsidRPr="00EB2D01">
        <w:t>Some public interest considerations can, however, benefit a specific individual, as well as the broader</w:t>
      </w:r>
      <w:r>
        <w:t xml:space="preserve"> public.</w:t>
      </w:r>
      <w:r>
        <w:rPr>
          <w:rStyle w:val="FootnoteReference"/>
        </w:rPr>
        <w:footnoteReference w:id="21"/>
      </w:r>
      <w:r>
        <w:t xml:space="preserve"> For example, the protection of an individual’s right to justice or privacy is an interest common to all members of the community. </w:t>
      </w:r>
    </w:p>
    <w:p w14:paraId="4B457877" w14:textId="76BA113A" w:rsidR="006A5B1D" w:rsidRDefault="00C53388" w:rsidP="00CC124B">
      <w:pPr>
        <w:ind w:right="-22"/>
      </w:pPr>
      <w:r>
        <w:t>The</w:t>
      </w:r>
      <w:r w:rsidR="009A7334">
        <w:t xml:space="preserve"> public interest test</w:t>
      </w:r>
      <w:r w:rsidR="003974A6">
        <w:t xml:space="preserve"> set out in s 17 </w:t>
      </w:r>
      <w:r w:rsidR="009A7334">
        <w:t xml:space="preserve">requires decision-makers to decide, after balancing relevant factors favouring disclosure and non-disclosure, whether disclosure of the information would be contrary to the public interest (see </w:t>
      </w:r>
      <w:hyperlink w:anchor="_Public_interest_test_1" w:history="1">
        <w:r w:rsidR="009A7334" w:rsidRPr="009A7334">
          <w:rPr>
            <w:rStyle w:val="Hyperlink"/>
          </w:rPr>
          <w:t>[6]</w:t>
        </w:r>
      </w:hyperlink>
      <w:r w:rsidR="009A7334">
        <w:t xml:space="preserve"> below).</w:t>
      </w:r>
    </w:p>
    <w:p w14:paraId="6BE8E66F" w14:textId="360EF14D" w:rsidR="00EB66D0" w:rsidRPr="00294896" w:rsidRDefault="00EB66D0" w:rsidP="00EB66D0">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294896">
        <w:rPr>
          <w:b/>
        </w:rPr>
        <w:t xml:space="preserve">Note: </w:t>
      </w:r>
    </w:p>
    <w:p w14:paraId="60DD30AD" w14:textId="2356DEA0" w:rsidR="00EB66D0" w:rsidRDefault="00EB66D0" w:rsidP="00EB66D0">
      <w:pPr>
        <w:pStyle w:val="ListParagraph"/>
        <w:numPr>
          <w:ilvl w:val="0"/>
          <w:numId w:val="76"/>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Matters of public interest are distinct from matters that are </w:t>
      </w:r>
      <w:r w:rsidRPr="007F3056">
        <w:t>of interest</w:t>
      </w:r>
      <w:r>
        <w:t xml:space="preserve"> to the public</w:t>
      </w:r>
      <w:r w:rsidR="00B102AB">
        <w:t>,</w:t>
      </w:r>
      <w:r>
        <w:rPr>
          <w:rStyle w:val="FootnoteReference"/>
        </w:rPr>
        <w:footnoteReference w:id="22"/>
      </w:r>
      <w:r w:rsidR="00B102AB">
        <w:t xml:space="preserve"> </w:t>
      </w:r>
      <w:r>
        <w:t xml:space="preserve">or </w:t>
      </w:r>
      <w:r w:rsidRPr="00900903">
        <w:t>public curiosity in knowing something.</w:t>
      </w:r>
      <w:r w:rsidRPr="00900903">
        <w:rPr>
          <w:vertAlign w:val="superscript"/>
        </w:rPr>
        <w:footnoteReference w:id="23"/>
      </w:r>
    </w:p>
    <w:p w14:paraId="20A13C89" w14:textId="77777777" w:rsidR="00EB66D0" w:rsidRPr="007A593A" w:rsidRDefault="00EB66D0" w:rsidP="00EB66D0">
      <w:pPr>
        <w:pStyle w:val="ListParagraph"/>
        <w:numPr>
          <w:ilvl w:val="0"/>
          <w:numId w:val="76"/>
        </w:numPr>
        <w:pBdr>
          <w:top w:val="single" w:sz="4" w:space="1" w:color="auto"/>
          <w:left w:val="single" w:sz="4" w:space="4" w:color="auto"/>
          <w:bottom w:val="single" w:sz="4" w:space="1" w:color="auto"/>
          <w:right w:val="single" w:sz="4" w:space="4" w:color="auto"/>
        </w:pBdr>
        <w:shd w:val="clear" w:color="auto" w:fill="D9E2F3" w:themeFill="accent5" w:themeFillTint="33"/>
      </w:pPr>
      <w:r>
        <w:t>The fact that certain information is of great interest or significance to a particular person or group, does not necessarily mean it is the public interest to release it.</w:t>
      </w:r>
    </w:p>
    <w:p w14:paraId="649C0585" w14:textId="2D3B1AA0" w:rsidR="00EB66D0" w:rsidRDefault="00EB66D0" w:rsidP="00EB66D0">
      <w:pPr>
        <w:pStyle w:val="Heading2"/>
        <w:numPr>
          <w:ilvl w:val="1"/>
          <w:numId w:val="54"/>
        </w:numPr>
        <w:ind w:left="567" w:hanging="567"/>
      </w:pPr>
      <w:bookmarkStart w:id="45" w:name="_‘Would_or_could_1"/>
      <w:bookmarkStart w:id="46" w:name="_Would_or_could"/>
      <w:bookmarkStart w:id="47" w:name="_Ref10619020"/>
      <w:bookmarkStart w:id="48" w:name="_Ref10621062"/>
      <w:bookmarkStart w:id="49" w:name="_Ref10621067"/>
      <w:bookmarkStart w:id="50" w:name="_Ref10621457"/>
      <w:bookmarkStart w:id="51" w:name="_Toc43385527"/>
      <w:bookmarkStart w:id="52" w:name="_Toc152067310"/>
      <w:bookmarkEnd w:id="45"/>
      <w:bookmarkEnd w:id="46"/>
      <w:r>
        <w:t>Would</w:t>
      </w:r>
      <w:r w:rsidR="004676E9">
        <w:t xml:space="preserve"> </w:t>
      </w:r>
      <w:r>
        <w:t xml:space="preserve">or could reasonably be expected </w:t>
      </w:r>
      <w:bookmarkEnd w:id="47"/>
      <w:bookmarkEnd w:id="48"/>
      <w:bookmarkEnd w:id="49"/>
      <w:bookmarkEnd w:id="50"/>
      <w:bookmarkEnd w:id="51"/>
      <w:r>
        <w:t>to</w:t>
      </w:r>
      <w:bookmarkEnd w:id="52"/>
    </w:p>
    <w:p w14:paraId="508CB088" w14:textId="18351750" w:rsidR="00EB66D0" w:rsidRPr="00B378CD" w:rsidRDefault="00EB66D0" w:rsidP="00EB66D0">
      <w:pPr>
        <w:spacing w:before="120"/>
        <w:ind w:right="-22"/>
      </w:pPr>
      <w:r>
        <w:t>The phrase</w:t>
      </w:r>
      <w:r w:rsidRPr="00B378CD">
        <w:t xml:space="preserve"> ‘would or could reasonably be expected to’ appears i</w:t>
      </w:r>
      <w:r w:rsidR="004A1AF1">
        <w:t xml:space="preserve">n </w:t>
      </w:r>
      <w:r w:rsidRPr="00B378CD">
        <w:t>the following sections</w:t>
      </w:r>
      <w:r>
        <w:t xml:space="preserve"> </w:t>
      </w:r>
      <w:r w:rsidR="00C46045">
        <w:t>of</w:t>
      </w:r>
      <w:r w:rsidR="003562F4">
        <w:t xml:space="preserve"> Schedule 1</w:t>
      </w:r>
      <w:r w:rsidR="003562F4" w:rsidRPr="00B378CD">
        <w:t xml:space="preserve">: </w:t>
      </w:r>
    </w:p>
    <w:p w14:paraId="405D3CDB" w14:textId="7169E396" w:rsidR="00EB66D0" w:rsidRPr="003B37F9" w:rsidRDefault="00E12C0A" w:rsidP="00EB66D0">
      <w:pPr>
        <w:pStyle w:val="ListParagraph"/>
        <w:numPr>
          <w:ilvl w:val="0"/>
          <w:numId w:val="48"/>
        </w:numPr>
        <w:ind w:right="403"/>
        <w:rPr>
          <w:rStyle w:val="Hyperlink"/>
          <w:color w:val="auto"/>
          <w:u w:val="none"/>
        </w:rPr>
      </w:pPr>
      <w:hyperlink w:anchor="_Section_1.9_–" w:history="1">
        <w:r w:rsidR="00132A29">
          <w:rPr>
            <w:rStyle w:val="Hyperlink"/>
          </w:rPr>
          <w:t>Identities of people making disclosures (s 1.9)</w:t>
        </w:r>
      </w:hyperlink>
    </w:p>
    <w:p w14:paraId="53F4632B" w14:textId="4E5A4895" w:rsidR="00EB66D0" w:rsidRPr="00B378CD" w:rsidRDefault="00E12C0A" w:rsidP="00EB66D0">
      <w:pPr>
        <w:pStyle w:val="ListParagraph"/>
        <w:numPr>
          <w:ilvl w:val="0"/>
          <w:numId w:val="48"/>
        </w:numPr>
        <w:ind w:right="403"/>
      </w:pPr>
      <w:hyperlink w:anchor="_Section_1.13_–" w:history="1">
        <w:r w:rsidR="00132A29">
          <w:rPr>
            <w:rStyle w:val="Hyperlink"/>
          </w:rPr>
          <w:t>National, Territory or State security information (s 1.13)</w:t>
        </w:r>
      </w:hyperlink>
      <w:r w:rsidR="00EB66D0" w:rsidRPr="00B378CD">
        <w:t xml:space="preserve"> </w:t>
      </w:r>
    </w:p>
    <w:p w14:paraId="6384D819" w14:textId="16B15A3D" w:rsidR="0029404E" w:rsidRPr="004C2C17" w:rsidRDefault="00E12C0A" w:rsidP="00531C1C">
      <w:pPr>
        <w:pStyle w:val="ListParagraph"/>
        <w:keepLines/>
        <w:numPr>
          <w:ilvl w:val="0"/>
          <w:numId w:val="48"/>
        </w:numPr>
        <w:ind w:right="403"/>
      </w:pPr>
      <w:hyperlink w:anchor="_Section_1.14_–_1" w:history="1">
        <w:r w:rsidR="00132A29" w:rsidRPr="004C2C17">
          <w:rPr>
            <w:rStyle w:val="Hyperlink"/>
          </w:rPr>
          <w:t>Law enforcement or public safety information (s 1.14)</w:t>
        </w:r>
      </w:hyperlink>
      <w:r w:rsidR="006714EE" w:rsidRPr="00250C79">
        <w:rPr>
          <w:rStyle w:val="Hyperlink"/>
          <w:u w:val="none"/>
        </w:rPr>
        <w:t>.</w:t>
      </w:r>
      <w:r w:rsidR="00EB66D0" w:rsidRPr="004C2C17">
        <w:t xml:space="preserve"> </w:t>
      </w:r>
    </w:p>
    <w:p w14:paraId="01C2EB7C" w14:textId="3D12A65A" w:rsidR="00EB66D0" w:rsidRPr="004C2C17" w:rsidRDefault="00EB66D0" w:rsidP="00DD7414">
      <w:pPr>
        <w:ind w:right="403"/>
      </w:pPr>
      <w:r w:rsidRPr="004C2C17">
        <w:t>This means the scope of these sections is limited to situations where there are real and substantial grounds for the expectation that some particular damage, prejudice or other adverse effect will flow from disclosure of the information.</w:t>
      </w:r>
      <w:r w:rsidRPr="004C2C17">
        <w:rPr>
          <w:vertAlign w:val="superscript"/>
        </w:rPr>
        <w:footnoteReference w:id="24"/>
      </w:r>
    </w:p>
    <w:p w14:paraId="2DD0A9D9" w14:textId="77777777" w:rsidR="00EB66D0" w:rsidRPr="004C2C17" w:rsidRDefault="00EB66D0" w:rsidP="00EB66D0">
      <w:pPr>
        <w:ind w:right="403"/>
      </w:pPr>
      <w:r w:rsidRPr="004C2C17">
        <w:t>Prior to making a decision to refuse access under these sections, decision-makers must make an assessment of the likelihood of a particular outcome occurring. This is an objective test, with</w:t>
      </w:r>
      <w:r w:rsidRPr="004C2C17">
        <w:br/>
        <w:t>decision-makers required to distinguish between what is merely possible, and what would, or could reasonably be expected, to occur.</w:t>
      </w:r>
    </w:p>
    <w:p w14:paraId="3910AD58" w14:textId="3331D805" w:rsidR="00EB66D0" w:rsidRPr="00531C1C" w:rsidRDefault="00EB66D0" w:rsidP="00EB66D0">
      <w:pPr>
        <w:ind w:right="261"/>
      </w:pPr>
      <w:r w:rsidRPr="004C2C17">
        <w:t xml:space="preserve">As outlined by the Ombudsman in </w:t>
      </w:r>
      <w:r w:rsidRPr="004C2C17">
        <w:rPr>
          <w:i/>
        </w:rPr>
        <w:t>Canberra Metro Construction and Chief Minister, Treasury and Economic Development Directorate,</w:t>
      </w:r>
      <w:r w:rsidRPr="004C2C17">
        <w:rPr>
          <w:rStyle w:val="FootnoteReference"/>
          <w:i/>
        </w:rPr>
        <w:footnoteReference w:id="25"/>
      </w:r>
      <w:r w:rsidRPr="004C2C17">
        <w:rPr>
          <w:rFonts w:ascii="Calibri" w:eastAsiaTheme="minorHAnsi" w:hAnsi="Calibri" w:cs="Calibri"/>
          <w:color w:val="000000"/>
        </w:rPr>
        <w:t xml:space="preserve"> the words ‘reasonably be expected’ should be given their ordinary meaning and the expectation must be reasonably based, highly likely and not merely speculative, </w:t>
      </w:r>
      <w:r w:rsidR="00207F0D" w:rsidRPr="004C2C17">
        <w:rPr>
          <w:rFonts w:ascii="Calibri" w:eastAsiaTheme="minorHAnsi" w:hAnsi="Calibri" w:cs="Calibri"/>
          <w:color w:val="000000"/>
        </w:rPr>
        <w:t>conjectural,</w:t>
      </w:r>
      <w:r w:rsidRPr="004C2C17">
        <w:rPr>
          <w:rFonts w:ascii="Calibri" w:eastAsiaTheme="minorHAnsi" w:hAnsi="Calibri" w:cs="Calibri"/>
          <w:color w:val="000000"/>
        </w:rPr>
        <w:t xml:space="preserve"> or hypothetical.</w:t>
      </w:r>
      <w:r w:rsidRPr="004C2C17">
        <w:rPr>
          <w:rStyle w:val="FootnoteReference"/>
          <w:rFonts w:ascii="Calibri" w:eastAsiaTheme="minorHAnsi" w:hAnsi="Calibri" w:cs="Calibri"/>
          <w:color w:val="000000"/>
        </w:rPr>
        <w:footnoteReference w:id="26"/>
      </w:r>
      <w:r w:rsidRPr="004C2C17">
        <w:rPr>
          <w:rFonts w:ascii="Calibri" w:eastAsiaTheme="minorHAnsi" w:hAnsi="Calibri" w:cs="Calibri"/>
          <w:color w:val="000000"/>
        </w:rPr>
        <w:t xml:space="preserve"> </w:t>
      </w:r>
    </w:p>
    <w:p w14:paraId="66E301F7" w14:textId="7D1D8366" w:rsidR="001B6112" w:rsidRPr="004C2C17" w:rsidRDefault="001B6112" w:rsidP="005857F1">
      <w:pPr>
        <w:pStyle w:val="Heading2"/>
        <w:numPr>
          <w:ilvl w:val="1"/>
          <w:numId w:val="54"/>
        </w:numPr>
        <w:ind w:left="567" w:hanging="567"/>
        <w:rPr>
          <w:szCs w:val="32"/>
        </w:rPr>
      </w:pPr>
      <w:bookmarkStart w:id="53" w:name="_Contrary_to_the_1"/>
      <w:bookmarkStart w:id="54" w:name="_Toc43385528"/>
      <w:bookmarkStart w:id="55" w:name="_Toc152067311"/>
      <w:bookmarkEnd w:id="53"/>
      <w:r w:rsidRPr="004C2C17">
        <w:t>Contrary</w:t>
      </w:r>
      <w:r w:rsidRPr="004C2C17">
        <w:rPr>
          <w:szCs w:val="32"/>
        </w:rPr>
        <w:t xml:space="preserve"> to </w:t>
      </w:r>
      <w:r w:rsidRPr="004C2C17">
        <w:t>the</w:t>
      </w:r>
      <w:r w:rsidRPr="004C2C17">
        <w:rPr>
          <w:szCs w:val="32"/>
        </w:rPr>
        <w:t xml:space="preserve"> public interest</w:t>
      </w:r>
      <w:bookmarkEnd w:id="54"/>
      <w:r w:rsidRPr="004C2C17">
        <w:rPr>
          <w:szCs w:val="32"/>
        </w:rPr>
        <w:t xml:space="preserve"> information</w:t>
      </w:r>
      <w:bookmarkEnd w:id="55"/>
    </w:p>
    <w:p w14:paraId="2DCF5326" w14:textId="157D29F0" w:rsidR="001B6112" w:rsidRPr="004C2C17" w:rsidRDefault="00B02FA2" w:rsidP="001B6112">
      <w:pPr>
        <w:rPr>
          <w:rFonts w:ascii="Calibri" w:hAnsi="Calibri" w:cs="Calibri"/>
        </w:rPr>
      </w:pPr>
      <w:r w:rsidRPr="004C2C17">
        <w:t xml:space="preserve">As set out in s 16, </w:t>
      </w:r>
      <w:r w:rsidR="001B6112" w:rsidRPr="004C2C17">
        <w:t xml:space="preserve">information is </w:t>
      </w:r>
      <w:r w:rsidR="00215A2C" w:rsidRPr="004C2C17">
        <w:t>‘</w:t>
      </w:r>
      <w:r w:rsidR="001B6112" w:rsidRPr="004C2C17">
        <w:t>contrary to the public interest information</w:t>
      </w:r>
      <w:r w:rsidR="00215A2C" w:rsidRPr="004C2C17">
        <w:t>’</w:t>
      </w:r>
      <w:r w:rsidR="001B6112" w:rsidRPr="004C2C17">
        <w:rPr>
          <w:b/>
          <w:bCs/>
        </w:rPr>
        <w:t xml:space="preserve"> </w:t>
      </w:r>
      <w:r w:rsidR="001B6112" w:rsidRPr="004C2C17">
        <w:t xml:space="preserve">if </w:t>
      </w:r>
      <w:r w:rsidR="001B6112" w:rsidRPr="004C2C17">
        <w:rPr>
          <w:rFonts w:ascii="Calibri" w:hAnsi="Calibri" w:cs="Calibri"/>
        </w:rPr>
        <w:t xml:space="preserve">— </w:t>
      </w:r>
    </w:p>
    <w:p w14:paraId="05B59A4C" w14:textId="01F816D1" w:rsidR="001B6112" w:rsidRPr="004C2C17" w:rsidRDefault="001B6112" w:rsidP="001B6112">
      <w:pPr>
        <w:pStyle w:val="ListParagraph"/>
        <w:numPr>
          <w:ilvl w:val="0"/>
          <w:numId w:val="56"/>
        </w:numPr>
        <w:rPr>
          <w:rFonts w:ascii="Calibri" w:hAnsi="Calibri" w:cs="Calibri"/>
        </w:rPr>
      </w:pPr>
      <w:r w:rsidRPr="004C2C17">
        <w:rPr>
          <w:rFonts w:ascii="Calibri" w:hAnsi="Calibri" w:cs="Calibri"/>
        </w:rPr>
        <w:t>it</w:t>
      </w:r>
      <w:r w:rsidRPr="00B102AB">
        <w:rPr>
          <w:rFonts w:ascii="Calibri" w:hAnsi="Calibri"/>
        </w:rPr>
        <w:t xml:space="preserve"> is taken to be contrary to the public interest to disclose </w:t>
      </w:r>
      <w:r w:rsidRPr="004C2C17">
        <w:rPr>
          <w:rFonts w:ascii="Calibri" w:hAnsi="Calibri" w:cs="Calibri"/>
        </w:rPr>
        <w:t xml:space="preserve">under </w:t>
      </w:r>
      <w:r w:rsidR="001C4B0F" w:rsidRPr="00B102AB">
        <w:rPr>
          <w:rFonts w:ascii="Calibri" w:hAnsi="Calibri"/>
        </w:rPr>
        <w:t>S</w:t>
      </w:r>
      <w:r w:rsidRPr="00B102AB">
        <w:rPr>
          <w:rFonts w:ascii="Calibri" w:hAnsi="Calibri"/>
        </w:rPr>
        <w:t>chedule 1</w:t>
      </w:r>
      <w:r w:rsidRPr="004C2C17">
        <w:rPr>
          <w:rFonts w:ascii="Calibri" w:hAnsi="Calibri" w:cs="Calibri"/>
        </w:rPr>
        <w:t xml:space="preserve">; or </w:t>
      </w:r>
    </w:p>
    <w:p w14:paraId="22ECFFA5" w14:textId="432D433D" w:rsidR="001B6112" w:rsidRPr="004C2C17" w:rsidRDefault="001B6112" w:rsidP="001B6112">
      <w:pPr>
        <w:pStyle w:val="ListParagraph"/>
        <w:numPr>
          <w:ilvl w:val="0"/>
          <w:numId w:val="56"/>
        </w:numPr>
      </w:pPr>
      <w:r w:rsidRPr="004C2C17">
        <w:rPr>
          <w:rFonts w:ascii="Calibri" w:hAnsi="Calibri" w:cs="Calibri"/>
        </w:rPr>
        <w:t>disclosing</w:t>
      </w:r>
      <w:r w:rsidRPr="00B102AB">
        <w:rPr>
          <w:rFonts w:ascii="Calibri" w:hAnsi="Calibri"/>
        </w:rPr>
        <w:t xml:space="preserve"> the </w:t>
      </w:r>
      <w:r w:rsidRPr="004C2C17">
        <w:rPr>
          <w:rFonts w:ascii="Calibri" w:hAnsi="Calibri" w:cs="Calibri"/>
        </w:rPr>
        <w:t xml:space="preserve">information would, on balance, be contrary to the public interest under the test set out in </w:t>
      </w:r>
      <w:r w:rsidR="006B5B0B" w:rsidRPr="004C2C17">
        <w:rPr>
          <w:rFonts w:ascii="Calibri" w:hAnsi="Calibri" w:cs="Calibri"/>
        </w:rPr>
        <w:t>s</w:t>
      </w:r>
      <w:r w:rsidRPr="004C2C17">
        <w:rPr>
          <w:rFonts w:ascii="Calibri" w:hAnsi="Calibri" w:cs="Calibri"/>
        </w:rPr>
        <w:t>17</w:t>
      </w:r>
      <w:r w:rsidR="002E41C5" w:rsidRPr="004C2C17">
        <w:rPr>
          <w:rFonts w:ascii="Calibri" w:hAnsi="Calibri"/>
        </w:rPr>
        <w:t>.</w:t>
      </w:r>
    </w:p>
    <w:p w14:paraId="1F75ADA8" w14:textId="18762F75" w:rsidR="00D4345B" w:rsidRPr="004C2C17" w:rsidRDefault="001B6112" w:rsidP="001B6112">
      <w:r w:rsidRPr="004C2C17">
        <w:t xml:space="preserve">If </w:t>
      </w:r>
      <w:r w:rsidR="00B27264" w:rsidRPr="004C2C17">
        <w:t xml:space="preserve">the </w:t>
      </w:r>
      <w:r w:rsidRPr="004C2C17">
        <w:t>information under consideration is listed under Schedule 1, subject to the exceptions outlined below</w:t>
      </w:r>
      <w:r w:rsidR="0090363B" w:rsidRPr="004C2C17">
        <w:t xml:space="preserve"> at </w:t>
      </w:r>
      <w:hyperlink w:anchor="_Exceptions" w:history="1">
        <w:r w:rsidR="00A24393" w:rsidRPr="004C2C17">
          <w:rPr>
            <w:rStyle w:val="Hyperlink"/>
          </w:rPr>
          <w:t>[5.1]</w:t>
        </w:r>
      </w:hyperlink>
      <w:r w:rsidRPr="004C2C17">
        <w:t>, the information</w:t>
      </w:r>
      <w:r w:rsidR="006E6FEC" w:rsidRPr="004C2C17">
        <w:t xml:space="preserve"> is contrary to the public interest information</w:t>
      </w:r>
      <w:r w:rsidR="00D4345B" w:rsidRPr="004C2C17">
        <w:t xml:space="preserve">. </w:t>
      </w:r>
    </w:p>
    <w:p w14:paraId="5962CE9A" w14:textId="7884C3D1" w:rsidR="00D83D0C" w:rsidRPr="004C2C17" w:rsidRDefault="001B6112" w:rsidP="00B102AB">
      <w:r w:rsidRPr="004C2C17">
        <w:t>If the information is not listed under Schedule 1, or if an exception to Schedule 1 applies, decision-makers must apply the public interest test to determine, on balance, whether disclosure of the information would be contrary to the public interest</w:t>
      </w:r>
      <w:bookmarkStart w:id="56" w:name="_Public_interest_test"/>
      <w:bookmarkEnd w:id="56"/>
      <w:r w:rsidR="00155FF1" w:rsidRPr="004C2C17">
        <w:t xml:space="preserve"> (see </w:t>
      </w:r>
      <w:hyperlink w:anchor="_Public_interest_test_1" w:history="1">
        <w:r w:rsidR="00155FF1" w:rsidRPr="004C2C17">
          <w:rPr>
            <w:rStyle w:val="Hyperlink"/>
          </w:rPr>
          <w:t>[6]</w:t>
        </w:r>
      </w:hyperlink>
      <w:r w:rsidR="00155FF1" w:rsidRPr="004C2C17">
        <w:t xml:space="preserve"> below). </w:t>
      </w:r>
    </w:p>
    <w:p w14:paraId="3B0FD429" w14:textId="2CCD6150" w:rsidR="00AE4350" w:rsidRPr="004C2C17" w:rsidRDefault="00F71E05" w:rsidP="00AE4350">
      <w:pPr>
        <w:pStyle w:val="Heading2"/>
        <w:numPr>
          <w:ilvl w:val="0"/>
          <w:numId w:val="54"/>
        </w:numPr>
      </w:pPr>
      <w:bookmarkStart w:id="57" w:name="_6._Common_terms"/>
      <w:bookmarkStart w:id="58" w:name="_Toc135303834"/>
      <w:bookmarkStart w:id="59" w:name="_Toc135387052"/>
      <w:bookmarkStart w:id="60" w:name="_Toc135387287"/>
      <w:bookmarkStart w:id="61" w:name="_Toc135387522"/>
      <w:bookmarkStart w:id="62" w:name="_Toc135387757"/>
      <w:bookmarkStart w:id="63" w:name="_Toc135303835"/>
      <w:bookmarkStart w:id="64" w:name="_Toc135387053"/>
      <w:bookmarkStart w:id="65" w:name="_Toc135387288"/>
      <w:bookmarkStart w:id="66" w:name="_Toc135387523"/>
      <w:bookmarkStart w:id="67" w:name="_Toc135387758"/>
      <w:bookmarkStart w:id="68" w:name="_Toc135303836"/>
      <w:bookmarkStart w:id="69" w:name="_Toc135387054"/>
      <w:bookmarkStart w:id="70" w:name="_Toc135387289"/>
      <w:bookmarkStart w:id="71" w:name="_Toc135387524"/>
      <w:bookmarkStart w:id="72" w:name="_Toc135387759"/>
      <w:bookmarkStart w:id="73" w:name="_Toc135303837"/>
      <w:bookmarkStart w:id="74" w:name="_Toc135387055"/>
      <w:bookmarkStart w:id="75" w:name="_Toc135387290"/>
      <w:bookmarkStart w:id="76" w:name="_Toc135387525"/>
      <w:bookmarkStart w:id="77" w:name="_Toc135387760"/>
      <w:bookmarkStart w:id="78" w:name="_Toc135303838"/>
      <w:bookmarkStart w:id="79" w:name="_Toc135387056"/>
      <w:bookmarkStart w:id="80" w:name="_Toc135387291"/>
      <w:bookmarkStart w:id="81" w:name="_Toc135387526"/>
      <w:bookmarkStart w:id="82" w:name="_Toc135387761"/>
      <w:bookmarkStart w:id="83" w:name="_Toc135303839"/>
      <w:bookmarkStart w:id="84" w:name="_Toc135387057"/>
      <w:bookmarkStart w:id="85" w:name="_Toc135387292"/>
      <w:bookmarkStart w:id="86" w:name="_Toc135387527"/>
      <w:bookmarkStart w:id="87" w:name="_Toc135387762"/>
      <w:bookmarkStart w:id="88" w:name="_Toc135303840"/>
      <w:bookmarkStart w:id="89" w:name="_Toc135387058"/>
      <w:bookmarkStart w:id="90" w:name="_Toc135387293"/>
      <w:bookmarkStart w:id="91" w:name="_Toc135387528"/>
      <w:bookmarkStart w:id="92" w:name="_Toc135387763"/>
      <w:bookmarkStart w:id="93" w:name="_Toc135303841"/>
      <w:bookmarkStart w:id="94" w:name="_Toc135387059"/>
      <w:bookmarkStart w:id="95" w:name="_Toc135387294"/>
      <w:bookmarkStart w:id="96" w:name="_Toc135387529"/>
      <w:bookmarkStart w:id="97" w:name="_Toc135387764"/>
      <w:bookmarkStart w:id="98" w:name="_Toc135303842"/>
      <w:bookmarkStart w:id="99" w:name="_Toc135387060"/>
      <w:bookmarkStart w:id="100" w:name="_Toc135387295"/>
      <w:bookmarkStart w:id="101" w:name="_Toc135387530"/>
      <w:bookmarkStart w:id="102" w:name="_Toc135387765"/>
      <w:bookmarkStart w:id="103" w:name="_Toc135303843"/>
      <w:bookmarkStart w:id="104" w:name="_Toc135387061"/>
      <w:bookmarkStart w:id="105" w:name="_Toc135387296"/>
      <w:bookmarkStart w:id="106" w:name="_Toc135387531"/>
      <w:bookmarkStart w:id="107" w:name="_Toc135387766"/>
      <w:bookmarkStart w:id="108" w:name="_Toc135303844"/>
      <w:bookmarkStart w:id="109" w:name="_Toc135387062"/>
      <w:bookmarkStart w:id="110" w:name="_Toc135387297"/>
      <w:bookmarkStart w:id="111" w:name="_Toc135387532"/>
      <w:bookmarkStart w:id="112" w:name="_Toc135387767"/>
      <w:bookmarkStart w:id="113" w:name="_Toc135303845"/>
      <w:bookmarkStart w:id="114" w:name="_Toc135387063"/>
      <w:bookmarkStart w:id="115" w:name="_Toc135387298"/>
      <w:bookmarkStart w:id="116" w:name="_Toc135387533"/>
      <w:bookmarkStart w:id="117" w:name="_Toc135387768"/>
      <w:bookmarkStart w:id="118" w:name="_Guiding_principles"/>
      <w:bookmarkStart w:id="119" w:name="_Toc135303846"/>
      <w:bookmarkStart w:id="120" w:name="_Toc135387064"/>
      <w:bookmarkStart w:id="121" w:name="_Toc135387299"/>
      <w:bookmarkStart w:id="122" w:name="_Toc135387534"/>
      <w:bookmarkStart w:id="123" w:name="_Toc135387769"/>
      <w:bookmarkStart w:id="124" w:name="_Toc135387065"/>
      <w:bookmarkStart w:id="125" w:name="_Toc135387300"/>
      <w:bookmarkStart w:id="126" w:name="_Toc135387535"/>
      <w:bookmarkStart w:id="127" w:name="_Toc135387770"/>
      <w:bookmarkStart w:id="128" w:name="_Toc135387066"/>
      <w:bookmarkStart w:id="129" w:name="_Toc135387301"/>
      <w:bookmarkStart w:id="130" w:name="_Toc135387536"/>
      <w:bookmarkStart w:id="131" w:name="_Toc135387771"/>
      <w:bookmarkStart w:id="132" w:name="_Toc135387067"/>
      <w:bookmarkStart w:id="133" w:name="_Toc135387302"/>
      <w:bookmarkStart w:id="134" w:name="_Toc135387537"/>
      <w:bookmarkStart w:id="135" w:name="_Toc135387772"/>
      <w:bookmarkStart w:id="136" w:name="_Toc135387068"/>
      <w:bookmarkStart w:id="137" w:name="_Toc135387303"/>
      <w:bookmarkStart w:id="138" w:name="_Toc135387538"/>
      <w:bookmarkStart w:id="139" w:name="_Toc135387773"/>
      <w:bookmarkStart w:id="140" w:name="_Toc135387069"/>
      <w:bookmarkStart w:id="141" w:name="_Toc135387304"/>
      <w:bookmarkStart w:id="142" w:name="_Toc135387539"/>
      <w:bookmarkStart w:id="143" w:name="_Toc135387774"/>
      <w:bookmarkStart w:id="144" w:name="_Toc135387070"/>
      <w:bookmarkStart w:id="145" w:name="_Toc135387305"/>
      <w:bookmarkStart w:id="146" w:name="_Toc135387540"/>
      <w:bookmarkStart w:id="147" w:name="_Toc135387775"/>
      <w:bookmarkStart w:id="148" w:name="_Toc135387071"/>
      <w:bookmarkStart w:id="149" w:name="_Toc135387306"/>
      <w:bookmarkStart w:id="150" w:name="_Toc135387541"/>
      <w:bookmarkStart w:id="151" w:name="_Toc135387776"/>
      <w:bookmarkStart w:id="152" w:name="_Toc135387072"/>
      <w:bookmarkStart w:id="153" w:name="_Toc135387307"/>
      <w:bookmarkStart w:id="154" w:name="_Toc135387542"/>
      <w:bookmarkStart w:id="155" w:name="_Toc135387777"/>
      <w:bookmarkStart w:id="156" w:name="_Toc135387073"/>
      <w:bookmarkStart w:id="157" w:name="_Toc135387308"/>
      <w:bookmarkStart w:id="158" w:name="_Toc135387543"/>
      <w:bookmarkStart w:id="159" w:name="_Toc135387778"/>
      <w:bookmarkStart w:id="160" w:name="_Toc135387074"/>
      <w:bookmarkStart w:id="161" w:name="_Toc135387309"/>
      <w:bookmarkStart w:id="162" w:name="_Toc135387544"/>
      <w:bookmarkStart w:id="163" w:name="_Toc135387779"/>
      <w:bookmarkStart w:id="164" w:name="_Toc135387075"/>
      <w:bookmarkStart w:id="165" w:name="_Toc135387310"/>
      <w:bookmarkStart w:id="166" w:name="_Toc135387545"/>
      <w:bookmarkStart w:id="167" w:name="_Toc135387780"/>
      <w:bookmarkStart w:id="168" w:name="_Toc135387076"/>
      <w:bookmarkStart w:id="169" w:name="_Toc135387311"/>
      <w:bookmarkStart w:id="170" w:name="_Toc135387546"/>
      <w:bookmarkStart w:id="171" w:name="_Toc135387781"/>
      <w:bookmarkStart w:id="172" w:name="_Toc135387077"/>
      <w:bookmarkStart w:id="173" w:name="_Toc135387312"/>
      <w:bookmarkStart w:id="174" w:name="_Toc135387547"/>
      <w:bookmarkStart w:id="175" w:name="_Toc135387782"/>
      <w:bookmarkStart w:id="176" w:name="_Toc135387078"/>
      <w:bookmarkStart w:id="177" w:name="_Toc135387313"/>
      <w:bookmarkStart w:id="178" w:name="_Toc135387548"/>
      <w:bookmarkStart w:id="179" w:name="_Toc135387783"/>
      <w:bookmarkStart w:id="180" w:name="_Toc135387079"/>
      <w:bookmarkStart w:id="181" w:name="_Toc135387314"/>
      <w:bookmarkStart w:id="182" w:name="_Toc135387549"/>
      <w:bookmarkStart w:id="183" w:name="_Toc135387784"/>
      <w:bookmarkStart w:id="184" w:name="_Toc135387080"/>
      <w:bookmarkStart w:id="185" w:name="_Toc135387315"/>
      <w:bookmarkStart w:id="186" w:name="_Toc135387550"/>
      <w:bookmarkStart w:id="187" w:name="_Toc135387785"/>
      <w:bookmarkStart w:id="188" w:name="_Toc135387081"/>
      <w:bookmarkStart w:id="189" w:name="_Toc135387316"/>
      <w:bookmarkStart w:id="190" w:name="_Toc135387551"/>
      <w:bookmarkStart w:id="191" w:name="_Toc135387786"/>
      <w:bookmarkStart w:id="192" w:name="_Toc135387082"/>
      <w:bookmarkStart w:id="193" w:name="_Toc135387317"/>
      <w:bookmarkStart w:id="194" w:name="_Toc135387552"/>
      <w:bookmarkStart w:id="195" w:name="_Toc135387787"/>
      <w:bookmarkStart w:id="196" w:name="_Toc135387083"/>
      <w:bookmarkStart w:id="197" w:name="_Toc135387318"/>
      <w:bookmarkStart w:id="198" w:name="_Toc135387553"/>
      <w:bookmarkStart w:id="199" w:name="_Toc135387788"/>
      <w:bookmarkStart w:id="200" w:name="_Toc135387084"/>
      <w:bookmarkStart w:id="201" w:name="_Toc135387319"/>
      <w:bookmarkStart w:id="202" w:name="_Toc135387554"/>
      <w:bookmarkStart w:id="203" w:name="_Toc135387789"/>
      <w:bookmarkStart w:id="204" w:name="_Toc135387085"/>
      <w:bookmarkStart w:id="205" w:name="_Toc135387320"/>
      <w:bookmarkStart w:id="206" w:name="_Toc135387555"/>
      <w:bookmarkStart w:id="207" w:name="_Toc135387790"/>
      <w:bookmarkStart w:id="208" w:name="_Toc135387086"/>
      <w:bookmarkStart w:id="209" w:name="_Toc135387321"/>
      <w:bookmarkStart w:id="210" w:name="_Toc135387556"/>
      <w:bookmarkStart w:id="211" w:name="_Toc135387791"/>
      <w:bookmarkStart w:id="212" w:name="_Toc135387087"/>
      <w:bookmarkStart w:id="213" w:name="_Toc135387322"/>
      <w:bookmarkStart w:id="214" w:name="_Toc135387557"/>
      <w:bookmarkStart w:id="215" w:name="_Toc135387792"/>
      <w:bookmarkStart w:id="216" w:name="_Toc135387088"/>
      <w:bookmarkStart w:id="217" w:name="_Toc135387323"/>
      <w:bookmarkStart w:id="218" w:name="_Toc135387558"/>
      <w:bookmarkStart w:id="219" w:name="_Toc135387793"/>
      <w:bookmarkStart w:id="220" w:name="_Toc135387089"/>
      <w:bookmarkStart w:id="221" w:name="_Toc135387324"/>
      <w:bookmarkStart w:id="222" w:name="_Toc135387559"/>
      <w:bookmarkStart w:id="223" w:name="_Toc135387794"/>
      <w:bookmarkStart w:id="224" w:name="_Toc135387090"/>
      <w:bookmarkStart w:id="225" w:name="_Toc135387325"/>
      <w:bookmarkStart w:id="226" w:name="_Toc135387560"/>
      <w:bookmarkStart w:id="227" w:name="_Toc135387795"/>
      <w:bookmarkStart w:id="228" w:name="_Toc135387091"/>
      <w:bookmarkStart w:id="229" w:name="_Toc135387326"/>
      <w:bookmarkStart w:id="230" w:name="_Toc135387561"/>
      <w:bookmarkStart w:id="231" w:name="_Toc135387796"/>
      <w:bookmarkStart w:id="232" w:name="_Toc135387092"/>
      <w:bookmarkStart w:id="233" w:name="_Toc135387327"/>
      <w:bookmarkStart w:id="234" w:name="_Toc135387562"/>
      <w:bookmarkStart w:id="235" w:name="_Toc135387797"/>
      <w:bookmarkStart w:id="236" w:name="_Toc135387093"/>
      <w:bookmarkStart w:id="237" w:name="_Toc135387328"/>
      <w:bookmarkStart w:id="238" w:name="_Toc135387563"/>
      <w:bookmarkStart w:id="239" w:name="_Toc135387798"/>
      <w:bookmarkStart w:id="240" w:name="_Toc135387094"/>
      <w:bookmarkStart w:id="241" w:name="_Toc135387329"/>
      <w:bookmarkStart w:id="242" w:name="_Toc135387564"/>
      <w:bookmarkStart w:id="243" w:name="_Toc135387799"/>
      <w:bookmarkStart w:id="244" w:name="_Toc135387095"/>
      <w:bookmarkStart w:id="245" w:name="_Toc135387330"/>
      <w:bookmarkStart w:id="246" w:name="_Toc135387565"/>
      <w:bookmarkStart w:id="247" w:name="_Toc135387800"/>
      <w:bookmarkStart w:id="248" w:name="_Toc135387096"/>
      <w:bookmarkStart w:id="249" w:name="_Toc135387331"/>
      <w:bookmarkStart w:id="250" w:name="_Toc135387566"/>
      <w:bookmarkStart w:id="251" w:name="_Toc135387801"/>
      <w:bookmarkStart w:id="252" w:name="_Toc135387097"/>
      <w:bookmarkStart w:id="253" w:name="_Toc135387332"/>
      <w:bookmarkStart w:id="254" w:name="_Toc135387567"/>
      <w:bookmarkStart w:id="255" w:name="_Toc135387802"/>
      <w:bookmarkStart w:id="256" w:name="_Toc135387098"/>
      <w:bookmarkStart w:id="257" w:name="_Toc135387333"/>
      <w:bookmarkStart w:id="258" w:name="_Toc135387568"/>
      <w:bookmarkStart w:id="259" w:name="_Toc135387803"/>
      <w:bookmarkStart w:id="260" w:name="_Toc135387099"/>
      <w:bookmarkStart w:id="261" w:name="_Toc135387334"/>
      <w:bookmarkStart w:id="262" w:name="_Toc135387569"/>
      <w:bookmarkStart w:id="263" w:name="_Toc135387804"/>
      <w:bookmarkStart w:id="264" w:name="_Toc135387100"/>
      <w:bookmarkStart w:id="265" w:name="_Toc135387335"/>
      <w:bookmarkStart w:id="266" w:name="_Toc135387570"/>
      <w:bookmarkStart w:id="267" w:name="_Toc135387805"/>
      <w:bookmarkStart w:id="268" w:name="_Toc135387101"/>
      <w:bookmarkStart w:id="269" w:name="_Toc135387336"/>
      <w:bookmarkStart w:id="270" w:name="_Toc135387571"/>
      <w:bookmarkStart w:id="271" w:name="_Toc135387806"/>
      <w:bookmarkStart w:id="272" w:name="_Toc135387102"/>
      <w:bookmarkStart w:id="273" w:name="_Toc135387337"/>
      <w:bookmarkStart w:id="274" w:name="_Toc135387572"/>
      <w:bookmarkStart w:id="275" w:name="_Toc135387807"/>
      <w:bookmarkStart w:id="276" w:name="_Toc135387103"/>
      <w:bookmarkStart w:id="277" w:name="_Toc135387338"/>
      <w:bookmarkStart w:id="278" w:name="_Toc135387573"/>
      <w:bookmarkStart w:id="279" w:name="_Toc135387808"/>
      <w:bookmarkStart w:id="280" w:name="_Toc135387104"/>
      <w:bookmarkStart w:id="281" w:name="_Toc135387339"/>
      <w:bookmarkStart w:id="282" w:name="_Toc135387574"/>
      <w:bookmarkStart w:id="283" w:name="_Toc135387809"/>
      <w:bookmarkStart w:id="284" w:name="_Toc135387105"/>
      <w:bookmarkStart w:id="285" w:name="_Toc135387340"/>
      <w:bookmarkStart w:id="286" w:name="_Toc135387575"/>
      <w:bookmarkStart w:id="287" w:name="_Toc135387810"/>
      <w:bookmarkStart w:id="288" w:name="_Toc135387106"/>
      <w:bookmarkStart w:id="289" w:name="_Toc135387341"/>
      <w:bookmarkStart w:id="290" w:name="_Toc135387576"/>
      <w:bookmarkStart w:id="291" w:name="_Toc135387811"/>
      <w:bookmarkStart w:id="292" w:name="_Toc135387107"/>
      <w:bookmarkStart w:id="293" w:name="_Toc135387342"/>
      <w:bookmarkStart w:id="294" w:name="_Toc135387577"/>
      <w:bookmarkStart w:id="295" w:name="_Toc135387812"/>
      <w:bookmarkStart w:id="296" w:name="_Toc135387108"/>
      <w:bookmarkStart w:id="297" w:name="_Toc135387343"/>
      <w:bookmarkStart w:id="298" w:name="_Toc135387578"/>
      <w:bookmarkStart w:id="299" w:name="_Toc135387813"/>
      <w:bookmarkStart w:id="300" w:name="_Toc135387109"/>
      <w:bookmarkStart w:id="301" w:name="_Toc135387344"/>
      <w:bookmarkStart w:id="302" w:name="_Toc135387579"/>
      <w:bookmarkStart w:id="303" w:name="_Toc135387814"/>
      <w:bookmarkStart w:id="304" w:name="_Toc135387110"/>
      <w:bookmarkStart w:id="305" w:name="_Toc135387345"/>
      <w:bookmarkStart w:id="306" w:name="_Toc135387580"/>
      <w:bookmarkStart w:id="307" w:name="_Toc135387815"/>
      <w:bookmarkStart w:id="308" w:name="_Toc135387111"/>
      <w:bookmarkStart w:id="309" w:name="_Toc135387346"/>
      <w:bookmarkStart w:id="310" w:name="_Toc135387581"/>
      <w:bookmarkStart w:id="311" w:name="_Toc135387816"/>
      <w:bookmarkStart w:id="312" w:name="_Toc135387112"/>
      <w:bookmarkStart w:id="313" w:name="_Toc135387347"/>
      <w:bookmarkStart w:id="314" w:name="_Toc135387582"/>
      <w:bookmarkStart w:id="315" w:name="_Toc135387817"/>
      <w:bookmarkStart w:id="316" w:name="_Toc135387113"/>
      <w:bookmarkStart w:id="317" w:name="_Toc135387348"/>
      <w:bookmarkStart w:id="318" w:name="_Toc135387583"/>
      <w:bookmarkStart w:id="319" w:name="_Toc135387818"/>
      <w:bookmarkStart w:id="320" w:name="_Toc135387114"/>
      <w:bookmarkStart w:id="321" w:name="_Toc135387349"/>
      <w:bookmarkStart w:id="322" w:name="_Toc135387584"/>
      <w:bookmarkStart w:id="323" w:name="_Toc135387819"/>
      <w:bookmarkStart w:id="324" w:name="_Toc135387115"/>
      <w:bookmarkStart w:id="325" w:name="_Toc135387350"/>
      <w:bookmarkStart w:id="326" w:name="_Toc135387585"/>
      <w:bookmarkStart w:id="327" w:name="_Toc135387820"/>
      <w:bookmarkStart w:id="328" w:name="_Toc135387116"/>
      <w:bookmarkStart w:id="329" w:name="_Toc135387351"/>
      <w:bookmarkStart w:id="330" w:name="_Toc135387586"/>
      <w:bookmarkStart w:id="331" w:name="_Toc135387821"/>
      <w:bookmarkStart w:id="332" w:name="_Toc135387117"/>
      <w:bookmarkStart w:id="333" w:name="_Toc135387352"/>
      <w:bookmarkStart w:id="334" w:name="_Toc135387587"/>
      <w:bookmarkStart w:id="335" w:name="_Toc135387822"/>
      <w:bookmarkStart w:id="336" w:name="_Toc135387118"/>
      <w:bookmarkStart w:id="337" w:name="_Toc135387353"/>
      <w:bookmarkStart w:id="338" w:name="_Toc135387588"/>
      <w:bookmarkStart w:id="339" w:name="_Toc135387823"/>
      <w:bookmarkStart w:id="340" w:name="_Toc135387119"/>
      <w:bookmarkStart w:id="341" w:name="_Toc135387354"/>
      <w:bookmarkStart w:id="342" w:name="_Toc135387589"/>
      <w:bookmarkStart w:id="343" w:name="_Toc135387824"/>
      <w:bookmarkStart w:id="344" w:name="_Toc135387120"/>
      <w:bookmarkStart w:id="345" w:name="_Toc135387355"/>
      <w:bookmarkStart w:id="346" w:name="_Toc135387590"/>
      <w:bookmarkStart w:id="347" w:name="_Toc135387825"/>
      <w:bookmarkStart w:id="348" w:name="_Toc135387121"/>
      <w:bookmarkStart w:id="349" w:name="_Toc135387356"/>
      <w:bookmarkStart w:id="350" w:name="_Toc135387591"/>
      <w:bookmarkStart w:id="351" w:name="_Toc135387826"/>
      <w:bookmarkStart w:id="352" w:name="_Toc135387122"/>
      <w:bookmarkStart w:id="353" w:name="_Toc135387357"/>
      <w:bookmarkStart w:id="354" w:name="_Toc135387592"/>
      <w:bookmarkStart w:id="355" w:name="_Toc135387827"/>
      <w:bookmarkStart w:id="356" w:name="_Toc135387123"/>
      <w:bookmarkStart w:id="357" w:name="_Toc135387358"/>
      <w:bookmarkStart w:id="358" w:name="_Toc135387593"/>
      <w:bookmarkStart w:id="359" w:name="_Toc135387828"/>
      <w:bookmarkStart w:id="360" w:name="_Toc135387124"/>
      <w:bookmarkStart w:id="361" w:name="_Toc135387359"/>
      <w:bookmarkStart w:id="362" w:name="_Toc135387594"/>
      <w:bookmarkStart w:id="363" w:name="_Toc135387829"/>
      <w:bookmarkStart w:id="364" w:name="_Toc135387125"/>
      <w:bookmarkStart w:id="365" w:name="_Toc135387360"/>
      <w:bookmarkStart w:id="366" w:name="_Toc135387595"/>
      <w:bookmarkStart w:id="367" w:name="_Toc135387830"/>
      <w:bookmarkStart w:id="368" w:name="_Toc135387126"/>
      <w:bookmarkStart w:id="369" w:name="_Toc135387361"/>
      <w:bookmarkStart w:id="370" w:name="_Toc135387596"/>
      <w:bookmarkStart w:id="371" w:name="_Toc135387831"/>
      <w:bookmarkStart w:id="372" w:name="_Toc135387127"/>
      <w:bookmarkStart w:id="373" w:name="_Toc135387362"/>
      <w:bookmarkStart w:id="374" w:name="_Toc135387597"/>
      <w:bookmarkStart w:id="375" w:name="_Toc135387832"/>
      <w:bookmarkStart w:id="376" w:name="_Toc135387128"/>
      <w:bookmarkStart w:id="377" w:name="_Toc135387363"/>
      <w:bookmarkStart w:id="378" w:name="_Toc135387598"/>
      <w:bookmarkStart w:id="379" w:name="_Toc135387833"/>
      <w:bookmarkStart w:id="380" w:name="_Toc135387129"/>
      <w:bookmarkStart w:id="381" w:name="_Toc135387364"/>
      <w:bookmarkStart w:id="382" w:name="_Toc135387599"/>
      <w:bookmarkStart w:id="383" w:name="_Toc135387834"/>
      <w:bookmarkStart w:id="384" w:name="_Toc135387130"/>
      <w:bookmarkStart w:id="385" w:name="_Toc135387365"/>
      <w:bookmarkStart w:id="386" w:name="_Toc135387600"/>
      <w:bookmarkStart w:id="387" w:name="_Toc135387835"/>
      <w:bookmarkStart w:id="388" w:name="_Toc135387131"/>
      <w:bookmarkStart w:id="389" w:name="_Toc135387366"/>
      <w:bookmarkStart w:id="390" w:name="_Toc135387601"/>
      <w:bookmarkStart w:id="391" w:name="_Toc135387836"/>
      <w:bookmarkStart w:id="392" w:name="_Toc135387132"/>
      <w:bookmarkStart w:id="393" w:name="_Toc135387367"/>
      <w:bookmarkStart w:id="394" w:name="_Toc135387602"/>
      <w:bookmarkStart w:id="395" w:name="_Toc135387837"/>
      <w:bookmarkStart w:id="396" w:name="_Toc135387133"/>
      <w:bookmarkStart w:id="397" w:name="_Toc135387368"/>
      <w:bookmarkStart w:id="398" w:name="_Toc135387603"/>
      <w:bookmarkStart w:id="399" w:name="_Toc135387838"/>
      <w:bookmarkStart w:id="400" w:name="_Toc135387134"/>
      <w:bookmarkStart w:id="401" w:name="_Toc135387369"/>
      <w:bookmarkStart w:id="402" w:name="_Toc135387604"/>
      <w:bookmarkStart w:id="403" w:name="_Toc135387839"/>
      <w:bookmarkStart w:id="404" w:name="_Toc135387135"/>
      <w:bookmarkStart w:id="405" w:name="_Toc135387370"/>
      <w:bookmarkStart w:id="406" w:name="_Toc135387605"/>
      <w:bookmarkStart w:id="407" w:name="_Toc135387840"/>
      <w:bookmarkStart w:id="408" w:name="_Toc135387136"/>
      <w:bookmarkStart w:id="409" w:name="_Toc135387371"/>
      <w:bookmarkStart w:id="410" w:name="_Toc135387606"/>
      <w:bookmarkStart w:id="411" w:name="_Toc135387841"/>
      <w:bookmarkStart w:id="412" w:name="_Toc135387137"/>
      <w:bookmarkStart w:id="413" w:name="_Toc135387372"/>
      <w:bookmarkStart w:id="414" w:name="_Toc135387607"/>
      <w:bookmarkStart w:id="415" w:name="_Toc135387842"/>
      <w:bookmarkStart w:id="416" w:name="_Toc135387138"/>
      <w:bookmarkStart w:id="417" w:name="_Toc135387373"/>
      <w:bookmarkStart w:id="418" w:name="_Toc135387608"/>
      <w:bookmarkStart w:id="419" w:name="_Toc135387843"/>
      <w:bookmarkStart w:id="420" w:name="_Toc135387139"/>
      <w:bookmarkStart w:id="421" w:name="_Toc135387374"/>
      <w:bookmarkStart w:id="422" w:name="_Toc135387609"/>
      <w:bookmarkStart w:id="423" w:name="_Toc135387844"/>
      <w:bookmarkStart w:id="424" w:name="_Toc135387140"/>
      <w:bookmarkStart w:id="425" w:name="_Toc135387375"/>
      <w:bookmarkStart w:id="426" w:name="_Toc135387610"/>
      <w:bookmarkStart w:id="427" w:name="_Toc135387845"/>
      <w:bookmarkStart w:id="428" w:name="_Toc135387141"/>
      <w:bookmarkStart w:id="429" w:name="_Toc135387376"/>
      <w:bookmarkStart w:id="430" w:name="_Toc135387611"/>
      <w:bookmarkStart w:id="431" w:name="_Toc135387846"/>
      <w:bookmarkStart w:id="432" w:name="_Toc135387142"/>
      <w:bookmarkStart w:id="433" w:name="_Toc135387377"/>
      <w:bookmarkStart w:id="434" w:name="_Toc135387612"/>
      <w:bookmarkStart w:id="435" w:name="_Toc135387847"/>
      <w:bookmarkStart w:id="436" w:name="_Toc135387143"/>
      <w:bookmarkStart w:id="437" w:name="_Toc135387378"/>
      <w:bookmarkStart w:id="438" w:name="_Toc135387613"/>
      <w:bookmarkStart w:id="439" w:name="_Toc135387848"/>
      <w:bookmarkStart w:id="440" w:name="_Toc135387144"/>
      <w:bookmarkStart w:id="441" w:name="_Toc135387379"/>
      <w:bookmarkStart w:id="442" w:name="_Toc135387614"/>
      <w:bookmarkStart w:id="443" w:name="_Toc135387849"/>
      <w:bookmarkStart w:id="444" w:name="_Toc135387146"/>
      <w:bookmarkStart w:id="445" w:name="_Toc135387381"/>
      <w:bookmarkStart w:id="446" w:name="_Toc135387616"/>
      <w:bookmarkStart w:id="447" w:name="_Toc135387851"/>
      <w:bookmarkStart w:id="448" w:name="_Toc135387147"/>
      <w:bookmarkStart w:id="449" w:name="_Toc135387382"/>
      <w:bookmarkStart w:id="450" w:name="_Toc135387617"/>
      <w:bookmarkStart w:id="451" w:name="_Toc135387852"/>
      <w:bookmarkStart w:id="452" w:name="_Toc135387148"/>
      <w:bookmarkStart w:id="453" w:name="_Toc135387383"/>
      <w:bookmarkStart w:id="454" w:name="_Toc135387618"/>
      <w:bookmarkStart w:id="455" w:name="_Toc135387853"/>
      <w:bookmarkStart w:id="456" w:name="_Toc135387149"/>
      <w:bookmarkStart w:id="457" w:name="_Toc135387384"/>
      <w:bookmarkStart w:id="458" w:name="_Toc135387619"/>
      <w:bookmarkStart w:id="459" w:name="_Toc135387854"/>
      <w:bookmarkStart w:id="460" w:name="_Toc135387150"/>
      <w:bookmarkStart w:id="461" w:name="_Toc135387385"/>
      <w:bookmarkStart w:id="462" w:name="_Toc135387620"/>
      <w:bookmarkStart w:id="463" w:name="_Toc135387855"/>
      <w:bookmarkStart w:id="464" w:name="_Toc135301934"/>
      <w:bookmarkStart w:id="465" w:name="_Toc135303576"/>
      <w:bookmarkStart w:id="466" w:name="_Toc135303658"/>
      <w:bookmarkStart w:id="467" w:name="_Toc135303849"/>
      <w:bookmarkStart w:id="468" w:name="_Toc135387151"/>
      <w:bookmarkStart w:id="469" w:name="_Toc135387386"/>
      <w:bookmarkStart w:id="470" w:name="_Toc135387621"/>
      <w:bookmarkStart w:id="471" w:name="_Toc135387856"/>
      <w:bookmarkStart w:id="472" w:name="_Schedule_1_–"/>
      <w:bookmarkStart w:id="473" w:name="_Common_terms_and"/>
      <w:bookmarkStart w:id="474" w:name="_Toc135387152"/>
      <w:bookmarkStart w:id="475" w:name="_Toc135387387"/>
      <w:bookmarkStart w:id="476" w:name="_Toc135387622"/>
      <w:bookmarkStart w:id="477" w:name="_Toc135387857"/>
      <w:bookmarkStart w:id="478" w:name="_Toc135387153"/>
      <w:bookmarkStart w:id="479" w:name="_Toc135387388"/>
      <w:bookmarkStart w:id="480" w:name="_Toc135387623"/>
      <w:bookmarkStart w:id="481" w:name="_Toc135387858"/>
      <w:bookmarkStart w:id="482" w:name="_Information_‘in_the"/>
      <w:bookmarkStart w:id="483" w:name="_‘Would_or_could"/>
      <w:bookmarkStart w:id="484" w:name="_Toc135387154"/>
      <w:bookmarkStart w:id="485" w:name="_Toc135387389"/>
      <w:bookmarkStart w:id="486" w:name="_Toc135387624"/>
      <w:bookmarkStart w:id="487" w:name="_Toc135387859"/>
      <w:bookmarkStart w:id="488" w:name="_Toc135387155"/>
      <w:bookmarkStart w:id="489" w:name="_Toc135387390"/>
      <w:bookmarkStart w:id="490" w:name="_Toc135387625"/>
      <w:bookmarkStart w:id="491" w:name="_Toc135387860"/>
      <w:bookmarkStart w:id="492" w:name="_Toc135387156"/>
      <w:bookmarkStart w:id="493" w:name="_Toc135387391"/>
      <w:bookmarkStart w:id="494" w:name="_Toc135387626"/>
      <w:bookmarkStart w:id="495" w:name="_Toc135387861"/>
      <w:bookmarkStart w:id="496" w:name="_Toc135387157"/>
      <w:bookmarkStart w:id="497" w:name="_Toc135387392"/>
      <w:bookmarkStart w:id="498" w:name="_Toc135387627"/>
      <w:bookmarkStart w:id="499" w:name="_Toc135387862"/>
      <w:bookmarkStart w:id="500" w:name="_Toc135387158"/>
      <w:bookmarkStart w:id="501" w:name="_Toc135387393"/>
      <w:bookmarkStart w:id="502" w:name="_Toc135387628"/>
      <w:bookmarkStart w:id="503" w:name="_Toc135387863"/>
      <w:bookmarkStart w:id="504" w:name="_Toc135387159"/>
      <w:bookmarkStart w:id="505" w:name="_Toc135387394"/>
      <w:bookmarkStart w:id="506" w:name="_Toc135387629"/>
      <w:bookmarkStart w:id="507" w:name="_Toc135387864"/>
      <w:bookmarkStart w:id="508" w:name="_Toc135387160"/>
      <w:bookmarkStart w:id="509" w:name="_Toc135387395"/>
      <w:bookmarkStart w:id="510" w:name="_Toc135387630"/>
      <w:bookmarkStart w:id="511" w:name="_Toc135387865"/>
      <w:bookmarkStart w:id="512" w:name="_Toc135387161"/>
      <w:bookmarkStart w:id="513" w:name="_Toc135387396"/>
      <w:bookmarkStart w:id="514" w:name="_Toc135387631"/>
      <w:bookmarkStart w:id="515" w:name="_Toc135387866"/>
      <w:bookmarkStart w:id="516" w:name="_Toc135387162"/>
      <w:bookmarkStart w:id="517" w:name="_Toc135387397"/>
      <w:bookmarkStart w:id="518" w:name="_Toc135387632"/>
      <w:bookmarkStart w:id="519" w:name="_Toc135387867"/>
      <w:bookmarkStart w:id="520" w:name="_Toc135387163"/>
      <w:bookmarkStart w:id="521" w:name="_Toc135387398"/>
      <w:bookmarkStart w:id="522" w:name="_Toc135387633"/>
      <w:bookmarkStart w:id="523" w:name="_Toc135387868"/>
      <w:bookmarkStart w:id="524" w:name="_Toc135387164"/>
      <w:bookmarkStart w:id="525" w:name="_Toc135387399"/>
      <w:bookmarkStart w:id="526" w:name="_Toc135387634"/>
      <w:bookmarkStart w:id="527" w:name="_Toc135387869"/>
      <w:bookmarkStart w:id="528" w:name="_Toc135387165"/>
      <w:bookmarkStart w:id="529" w:name="_Toc135387400"/>
      <w:bookmarkStart w:id="530" w:name="_Toc135387635"/>
      <w:bookmarkStart w:id="531" w:name="_Toc135387870"/>
      <w:bookmarkStart w:id="532" w:name="_Toc135387166"/>
      <w:bookmarkStart w:id="533" w:name="_Toc135387401"/>
      <w:bookmarkStart w:id="534" w:name="_Toc135387636"/>
      <w:bookmarkStart w:id="535" w:name="_Toc135387871"/>
      <w:bookmarkStart w:id="536" w:name="_Toc135387167"/>
      <w:bookmarkStart w:id="537" w:name="_Toc135387402"/>
      <w:bookmarkStart w:id="538" w:name="_Toc135387637"/>
      <w:bookmarkStart w:id="539" w:name="_Toc135387872"/>
      <w:bookmarkStart w:id="540" w:name="_Toc135387168"/>
      <w:bookmarkStart w:id="541" w:name="_Toc135387403"/>
      <w:bookmarkStart w:id="542" w:name="_Toc135387638"/>
      <w:bookmarkStart w:id="543" w:name="_Toc135387873"/>
      <w:bookmarkStart w:id="544" w:name="_Toc135387169"/>
      <w:bookmarkStart w:id="545" w:name="_Toc135387404"/>
      <w:bookmarkStart w:id="546" w:name="_Toc135387639"/>
      <w:bookmarkStart w:id="547" w:name="_Toc135387874"/>
      <w:bookmarkStart w:id="548" w:name="_Toc135387170"/>
      <w:bookmarkStart w:id="549" w:name="_Toc135387405"/>
      <w:bookmarkStart w:id="550" w:name="_Toc135387640"/>
      <w:bookmarkStart w:id="551" w:name="_Toc135387875"/>
      <w:bookmarkStart w:id="552" w:name="_Toc135387171"/>
      <w:bookmarkStart w:id="553" w:name="_Toc135387406"/>
      <w:bookmarkStart w:id="554" w:name="_Toc135387641"/>
      <w:bookmarkStart w:id="555" w:name="_Toc135387876"/>
      <w:bookmarkStart w:id="556" w:name="_Toc135387172"/>
      <w:bookmarkStart w:id="557" w:name="_Toc135387407"/>
      <w:bookmarkStart w:id="558" w:name="_Toc135387642"/>
      <w:bookmarkStart w:id="559" w:name="_Toc135387877"/>
      <w:bookmarkStart w:id="560" w:name="_Toc135387173"/>
      <w:bookmarkStart w:id="561" w:name="_Toc135387408"/>
      <w:bookmarkStart w:id="562" w:name="_Toc135387643"/>
      <w:bookmarkStart w:id="563" w:name="_Toc135387878"/>
      <w:bookmarkStart w:id="564" w:name="_Toc135387174"/>
      <w:bookmarkStart w:id="565" w:name="_Toc135387409"/>
      <w:bookmarkStart w:id="566" w:name="_Toc135387644"/>
      <w:bookmarkStart w:id="567" w:name="_Toc135387879"/>
      <w:bookmarkStart w:id="568" w:name="_Toc135387175"/>
      <w:bookmarkStart w:id="569" w:name="_Toc135387410"/>
      <w:bookmarkStart w:id="570" w:name="_Toc135387645"/>
      <w:bookmarkStart w:id="571" w:name="_Toc135387880"/>
      <w:bookmarkStart w:id="572" w:name="_Toc135387176"/>
      <w:bookmarkStart w:id="573" w:name="_Toc135387411"/>
      <w:bookmarkStart w:id="574" w:name="_Toc135387646"/>
      <w:bookmarkStart w:id="575" w:name="_Toc135387881"/>
      <w:bookmarkStart w:id="576" w:name="_Toc135387177"/>
      <w:bookmarkStart w:id="577" w:name="_Toc135387412"/>
      <w:bookmarkStart w:id="578" w:name="_Toc135387647"/>
      <w:bookmarkStart w:id="579" w:name="_Toc135387882"/>
      <w:bookmarkStart w:id="580" w:name="_Toc135387178"/>
      <w:bookmarkStart w:id="581" w:name="_Toc135387413"/>
      <w:bookmarkStart w:id="582" w:name="_Toc135387648"/>
      <w:bookmarkStart w:id="583" w:name="_Toc135387883"/>
      <w:bookmarkStart w:id="584" w:name="_Toc135387179"/>
      <w:bookmarkStart w:id="585" w:name="_Toc135387414"/>
      <w:bookmarkStart w:id="586" w:name="_Toc135387649"/>
      <w:bookmarkStart w:id="587" w:name="_Toc135387884"/>
      <w:bookmarkStart w:id="588" w:name="_Toc135387180"/>
      <w:bookmarkStart w:id="589" w:name="_Toc135387415"/>
      <w:bookmarkStart w:id="590" w:name="_Toc135387650"/>
      <w:bookmarkStart w:id="591" w:name="_Toc135387885"/>
      <w:bookmarkStart w:id="592" w:name="_Toc135387181"/>
      <w:bookmarkStart w:id="593" w:name="_Toc135387416"/>
      <w:bookmarkStart w:id="594" w:name="_Toc135387651"/>
      <w:bookmarkStart w:id="595" w:name="_Toc135387886"/>
      <w:bookmarkStart w:id="596" w:name="_Toc135387182"/>
      <w:bookmarkStart w:id="597" w:name="_Toc135387417"/>
      <w:bookmarkStart w:id="598" w:name="_Toc135387652"/>
      <w:bookmarkStart w:id="599" w:name="_Toc135387887"/>
      <w:bookmarkStart w:id="600" w:name="_Toc135387183"/>
      <w:bookmarkStart w:id="601" w:name="_Toc135387418"/>
      <w:bookmarkStart w:id="602" w:name="_Toc135387653"/>
      <w:bookmarkStart w:id="603" w:name="_Toc135387888"/>
      <w:bookmarkStart w:id="604" w:name="_Toc135387184"/>
      <w:bookmarkStart w:id="605" w:name="_Toc135387419"/>
      <w:bookmarkStart w:id="606" w:name="_Toc135387654"/>
      <w:bookmarkStart w:id="607" w:name="_Toc135387889"/>
      <w:bookmarkStart w:id="608" w:name="_Toc135387185"/>
      <w:bookmarkStart w:id="609" w:name="_Toc135387420"/>
      <w:bookmarkStart w:id="610" w:name="_Toc135387655"/>
      <w:bookmarkStart w:id="611" w:name="_Toc135387890"/>
      <w:bookmarkStart w:id="612" w:name="_Toc135387186"/>
      <w:bookmarkStart w:id="613" w:name="_Toc135387421"/>
      <w:bookmarkStart w:id="614" w:name="_Toc135387656"/>
      <w:bookmarkStart w:id="615" w:name="_Toc135387891"/>
      <w:bookmarkStart w:id="616" w:name="_Toc135387187"/>
      <w:bookmarkStart w:id="617" w:name="_Toc135387422"/>
      <w:bookmarkStart w:id="618" w:name="_Toc135387657"/>
      <w:bookmarkStart w:id="619" w:name="_Toc135387892"/>
      <w:bookmarkStart w:id="620" w:name="_Toc135387188"/>
      <w:bookmarkStart w:id="621" w:name="_Toc135387423"/>
      <w:bookmarkStart w:id="622" w:name="_Toc135387658"/>
      <w:bookmarkStart w:id="623" w:name="_Toc135387893"/>
      <w:bookmarkStart w:id="624" w:name="_Toc135387189"/>
      <w:bookmarkStart w:id="625" w:name="_Toc135387424"/>
      <w:bookmarkStart w:id="626" w:name="_Toc135387659"/>
      <w:bookmarkStart w:id="627" w:name="_Toc135387894"/>
      <w:bookmarkStart w:id="628" w:name="_Toc135387190"/>
      <w:bookmarkStart w:id="629" w:name="_Toc135387425"/>
      <w:bookmarkStart w:id="630" w:name="_Toc135387660"/>
      <w:bookmarkStart w:id="631" w:name="_Toc135387895"/>
      <w:bookmarkStart w:id="632" w:name="_Toc135387191"/>
      <w:bookmarkStart w:id="633" w:name="_Toc135387426"/>
      <w:bookmarkStart w:id="634" w:name="_Toc135387661"/>
      <w:bookmarkStart w:id="635" w:name="_Toc135387896"/>
      <w:bookmarkStart w:id="636" w:name="_Schedule_1_–_1"/>
      <w:bookmarkStart w:id="637" w:name="_Toc1520673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sidRPr="004C2C17">
        <w:t xml:space="preserve">Schedule 1 – </w:t>
      </w:r>
      <w:r w:rsidR="00887E88" w:rsidRPr="004C2C17">
        <w:t>I</w:t>
      </w:r>
      <w:r w:rsidRPr="004C2C17">
        <w:t xml:space="preserve">nformation </w:t>
      </w:r>
      <w:r w:rsidR="00752CB3" w:rsidRPr="004C2C17">
        <w:t>disclosure of which is taken to be contrary to the public interest</w:t>
      </w:r>
      <w:bookmarkEnd w:id="637"/>
    </w:p>
    <w:p w14:paraId="663674F5" w14:textId="30496033" w:rsidR="002E1B36" w:rsidRPr="004C2C17" w:rsidRDefault="009A2A74" w:rsidP="00F950B5">
      <w:pPr>
        <w:ind w:right="403"/>
      </w:pPr>
      <w:r w:rsidRPr="004C2C17">
        <w:t xml:space="preserve">These provisions relate to categories of information which </w:t>
      </w:r>
      <w:r w:rsidR="00FA1379" w:rsidRPr="004C2C17">
        <w:t>the Legislative Assembly</w:t>
      </w:r>
      <w:r w:rsidRPr="004C2C17">
        <w:t xml:space="preserve"> has deemed to be contrary to the public interest to disclose in all circumstances. This is because disclosure would typically always be contrary to the public interest.</w:t>
      </w:r>
      <w:r w:rsidR="00CB2A9C" w:rsidRPr="004C2C17">
        <w:t xml:space="preserve"> </w:t>
      </w:r>
      <w:r w:rsidR="008712A5" w:rsidRPr="004C2C17">
        <w:t>E</w:t>
      </w:r>
      <w:r w:rsidR="00F71E05" w:rsidRPr="004C2C17">
        <w:t xml:space="preserve">ach of the </w:t>
      </w:r>
      <w:r w:rsidRPr="004C2C17">
        <w:t xml:space="preserve">Schedule 1 </w:t>
      </w:r>
      <w:r w:rsidR="00F71E05" w:rsidRPr="004C2C17">
        <w:t xml:space="preserve">categories </w:t>
      </w:r>
      <w:r w:rsidRPr="004C2C17">
        <w:t>are</w:t>
      </w:r>
      <w:r w:rsidR="00F71E05" w:rsidRPr="004C2C17">
        <w:t xml:space="preserve"> discussed in detail</w:t>
      </w:r>
      <w:r w:rsidR="00A042D8" w:rsidRPr="004C2C17">
        <w:t xml:space="preserve"> below</w:t>
      </w:r>
      <w:r w:rsidRPr="004C2C17">
        <w:t>.</w:t>
      </w:r>
      <w:r w:rsidR="00294896" w:rsidRPr="004C2C17">
        <w:t xml:space="preserve"> </w:t>
      </w:r>
      <w:r w:rsidRPr="004C2C17">
        <w:t>In</w:t>
      </w:r>
      <w:r w:rsidR="008712A5" w:rsidRPr="004C2C17">
        <w:t> </w:t>
      </w:r>
      <w:r w:rsidRPr="004C2C17">
        <w:t xml:space="preserve">addition, common terms </w:t>
      </w:r>
      <w:r w:rsidR="006513FE" w:rsidRPr="004C2C17">
        <w:t xml:space="preserve">and phrases </w:t>
      </w:r>
      <w:r w:rsidRPr="004C2C17">
        <w:t xml:space="preserve">used in Schedule 1 </w:t>
      </w:r>
      <w:r w:rsidR="00F71E05" w:rsidRPr="004C2C17">
        <w:t xml:space="preserve">are described </w:t>
      </w:r>
      <w:r w:rsidR="00880891" w:rsidRPr="004C2C17">
        <w:t>a</w:t>
      </w:r>
      <w:r w:rsidR="000D582C" w:rsidRPr="004C2C17">
        <w:t xml:space="preserve">bove at </w:t>
      </w:r>
      <w:hyperlink w:anchor="_Contrary_to_the" w:history="1">
        <w:r w:rsidR="000D582C" w:rsidRPr="004C2C17">
          <w:rPr>
            <w:rStyle w:val="Hyperlink"/>
          </w:rPr>
          <w:t>[4]</w:t>
        </w:r>
      </w:hyperlink>
      <w:r w:rsidR="002E1B36" w:rsidRPr="004C2C17">
        <w:t xml:space="preserve">. </w:t>
      </w:r>
    </w:p>
    <w:p w14:paraId="5B5AEE8E" w14:textId="70515435" w:rsidR="009A2A74" w:rsidRPr="004C2C17" w:rsidRDefault="009A2A74" w:rsidP="00E0213F">
      <w:pPr>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4C2C17">
        <w:rPr>
          <w:b/>
        </w:rPr>
        <w:t xml:space="preserve">Important: </w:t>
      </w:r>
    </w:p>
    <w:p w14:paraId="13B9111C" w14:textId="039A6FF2" w:rsidR="00F26DFF" w:rsidRDefault="009A2A74" w:rsidP="00F26DFF">
      <w:pPr>
        <w:pStyle w:val="ListParagraph"/>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rsidRPr="004C2C17">
        <w:t>Agencies are reminded that</w:t>
      </w:r>
      <w:r w:rsidR="00294896" w:rsidRPr="004C2C17">
        <w:t xml:space="preserve"> </w:t>
      </w:r>
      <w:r w:rsidR="004E3817" w:rsidRPr="004C2C17">
        <w:t>s</w:t>
      </w:r>
      <w:r w:rsidRPr="004C2C17">
        <w:t xml:space="preserve"> 10 specifies that the FOI Act is </w:t>
      </w:r>
      <w:r w:rsidRPr="00DD7414">
        <w:t>not</w:t>
      </w:r>
      <w:r w:rsidRPr="004C2C17">
        <w:t xml:space="preserve"> intended to prevent or discourage agencies from publishing or giving access to government information.</w:t>
      </w:r>
      <w:r w:rsidR="00294896" w:rsidRPr="004C2C17">
        <w:t xml:space="preserve"> As a result, Schedule 1 does </w:t>
      </w:r>
      <w:r w:rsidR="00294896" w:rsidRPr="00DD7414">
        <w:t>not</w:t>
      </w:r>
      <w:r w:rsidR="00294896" w:rsidRPr="004C2C17">
        <w:t xml:space="preserve"> prohibit them releasing </w:t>
      </w:r>
      <w:r w:rsidR="008712A5" w:rsidRPr="004C2C17">
        <w:t xml:space="preserve">types of </w:t>
      </w:r>
      <w:r w:rsidR="00294896" w:rsidRPr="004C2C17">
        <w:t xml:space="preserve">information </w:t>
      </w:r>
      <w:r w:rsidR="008712A5" w:rsidRPr="004C2C17">
        <w:t>specified in this schedule</w:t>
      </w:r>
      <w:r w:rsidR="00294896" w:rsidRPr="004C2C17">
        <w:t xml:space="preserve"> where they choose to do so.</w:t>
      </w:r>
      <w:r w:rsidR="00506D48" w:rsidRPr="004C2C17">
        <w:t xml:space="preserve"> </w:t>
      </w:r>
    </w:p>
    <w:p w14:paraId="34DC2896" w14:textId="5B7903C2" w:rsidR="00AA3CDC" w:rsidRPr="004C2C17" w:rsidRDefault="00AA3CDC" w:rsidP="0028730D">
      <w:pPr>
        <w:pBdr>
          <w:top w:val="single" w:sz="4" w:space="1" w:color="auto"/>
          <w:left w:val="single" w:sz="4" w:space="4" w:color="auto"/>
          <w:bottom w:val="single" w:sz="4" w:space="0" w:color="auto"/>
          <w:right w:val="single" w:sz="4" w:space="4" w:color="auto"/>
        </w:pBdr>
        <w:shd w:val="clear" w:color="auto" w:fill="D9E2F3" w:themeFill="accent5" w:themeFillTint="33"/>
      </w:pPr>
      <w:r>
        <w:t>For example, there could be circumstances in which releasing legal advice is desirable to help the community understand the basis for a government decision, notwithstanding that information subject to legal professional privilege is deemed to be contrary to the public interest to disclose.</w:t>
      </w:r>
    </w:p>
    <w:p w14:paraId="56C5466B" w14:textId="5DD0E67B" w:rsidR="00F26DFF" w:rsidRPr="004C2C17" w:rsidRDefault="003E6E92" w:rsidP="00792889">
      <w:pPr>
        <w:pStyle w:val="Heading2"/>
        <w:numPr>
          <w:ilvl w:val="1"/>
          <w:numId w:val="54"/>
        </w:numPr>
        <w:ind w:left="567" w:hanging="567"/>
      </w:pPr>
      <w:bookmarkStart w:id="638" w:name="_Exceptions"/>
      <w:bookmarkStart w:id="639" w:name="_Common_terms"/>
      <w:bookmarkStart w:id="640" w:name="_Toc152067313"/>
      <w:bookmarkEnd w:id="638"/>
      <w:bookmarkEnd w:id="639"/>
      <w:r>
        <w:t xml:space="preserve">Schedule 1 </w:t>
      </w:r>
      <w:r w:rsidR="00AE5773">
        <w:t>–</w:t>
      </w:r>
      <w:r>
        <w:t xml:space="preserve"> </w:t>
      </w:r>
      <w:r w:rsidR="00F26DFF" w:rsidRPr="004C2C17">
        <w:t>Exceptions</w:t>
      </w:r>
      <w:bookmarkEnd w:id="640"/>
    </w:p>
    <w:p w14:paraId="4965A9B0" w14:textId="1F0A51B2" w:rsidR="00593152" w:rsidRDefault="00593152" w:rsidP="00F950B5">
      <w:r>
        <w:t>Information</w:t>
      </w:r>
      <w:r w:rsidR="007D49EF">
        <w:t xml:space="preserve"> mentioned in </w:t>
      </w:r>
      <w:r>
        <w:t xml:space="preserve">Schedule 1 </w:t>
      </w:r>
      <w:r w:rsidR="007D49EF">
        <w:t xml:space="preserve">(other than information subject to legal professional privilege) </w:t>
      </w:r>
      <w:r w:rsidR="007D49EF" w:rsidRPr="00F33ABD">
        <w:rPr>
          <w:b/>
          <w:bCs/>
        </w:rPr>
        <w:t>will not be taken</w:t>
      </w:r>
      <w:r w:rsidR="007D49EF">
        <w:t xml:space="preserve"> to be contrary to the public interest information if it identifies:</w:t>
      </w:r>
      <w:r w:rsidR="00516B20">
        <w:rPr>
          <w:rStyle w:val="FootnoteReference"/>
        </w:rPr>
        <w:footnoteReference w:id="27"/>
      </w:r>
      <w:r w:rsidR="007D49EF">
        <w:t xml:space="preserve"> </w:t>
      </w:r>
    </w:p>
    <w:p w14:paraId="7F4483A1" w14:textId="1B7EB083" w:rsidR="00F950B5" w:rsidRDefault="00F950B5" w:rsidP="00792889">
      <w:pPr>
        <w:pStyle w:val="ListParagraph"/>
        <w:numPr>
          <w:ilvl w:val="1"/>
          <w:numId w:val="55"/>
        </w:numPr>
        <w:ind w:left="426" w:right="-22"/>
      </w:pPr>
      <w:r>
        <w:t>c</w:t>
      </w:r>
      <w:r w:rsidR="00F26DFF">
        <w:t>orruption</w:t>
      </w:r>
    </w:p>
    <w:p w14:paraId="660D2088" w14:textId="77777777" w:rsidR="00F950B5" w:rsidRDefault="00F26DFF" w:rsidP="00792889">
      <w:pPr>
        <w:pStyle w:val="ListParagraph"/>
        <w:numPr>
          <w:ilvl w:val="1"/>
          <w:numId w:val="55"/>
        </w:numPr>
        <w:ind w:left="426" w:right="-22"/>
      </w:pPr>
      <w:r>
        <w:t>the commission of an offence by a public official, or</w:t>
      </w:r>
    </w:p>
    <w:p w14:paraId="5787AFC8" w14:textId="191F6FB5" w:rsidR="00F26DFF" w:rsidRDefault="00F26DFF" w:rsidP="00792889">
      <w:pPr>
        <w:pStyle w:val="ListParagraph"/>
        <w:numPr>
          <w:ilvl w:val="1"/>
          <w:numId w:val="55"/>
        </w:numPr>
        <w:ind w:left="426" w:right="-22"/>
      </w:pPr>
      <w:r>
        <w:t>that the scope of a law enforcement investigation has exceeded the limits imposed by law</w:t>
      </w:r>
      <w:r w:rsidR="006B54B5">
        <w:t xml:space="preserve">. </w:t>
      </w:r>
    </w:p>
    <w:p w14:paraId="0B6F69B2" w14:textId="3232E885" w:rsidR="00F26DFF" w:rsidRDefault="00593152" w:rsidP="00792889">
      <w:pPr>
        <w:ind w:right="-22"/>
      </w:pPr>
      <w:r>
        <w:t xml:space="preserve">If an exception applies, </w:t>
      </w:r>
      <w:r w:rsidR="00F26DFF">
        <w:t xml:space="preserve">decision-makers must apply the public interest test </w:t>
      </w:r>
      <w:r w:rsidR="00576696">
        <w:t>to</w:t>
      </w:r>
      <w:r w:rsidR="00F26DFF">
        <w:t xml:space="preserve"> </w:t>
      </w:r>
      <w:r w:rsidR="00576696">
        <w:t>decide</w:t>
      </w:r>
      <w:r w:rsidR="00F26DFF">
        <w:t xml:space="preserve"> whether or not to release the </w:t>
      </w:r>
      <w:r w:rsidR="00576696">
        <w:t xml:space="preserve">information (see </w:t>
      </w:r>
      <w:hyperlink w:anchor="_Public_interest_test_1" w:history="1">
        <w:r w:rsidR="00576696" w:rsidRPr="00691521">
          <w:rPr>
            <w:rStyle w:val="Hyperlink"/>
          </w:rPr>
          <w:t>[6]</w:t>
        </w:r>
      </w:hyperlink>
      <w:r w:rsidR="00576696">
        <w:t xml:space="preserve"> below). </w:t>
      </w:r>
    </w:p>
    <w:p w14:paraId="4C368391" w14:textId="233F81C9" w:rsidR="00F26DFF" w:rsidRDefault="00F26DFF" w:rsidP="00F26DFF">
      <w:pPr>
        <w:pBdr>
          <w:top w:val="single" w:sz="4" w:space="1" w:color="auto"/>
          <w:left w:val="single" w:sz="4" w:space="4" w:color="auto"/>
          <w:bottom w:val="single" w:sz="4" w:space="0" w:color="auto"/>
          <w:right w:val="single" w:sz="4" w:space="4" w:color="auto"/>
        </w:pBdr>
        <w:shd w:val="clear" w:color="auto" w:fill="D9E2F3" w:themeFill="accent5" w:themeFillTint="33"/>
        <w:rPr>
          <w:b/>
        </w:rPr>
      </w:pPr>
      <w:r>
        <w:rPr>
          <w:b/>
        </w:rPr>
        <w:t>Note:</w:t>
      </w:r>
      <w:r w:rsidRPr="00DD7414">
        <w:rPr>
          <w:b/>
        </w:rPr>
        <w:t xml:space="preserve"> </w:t>
      </w:r>
    </w:p>
    <w:p w14:paraId="3E30C6D7" w14:textId="68875BBF" w:rsidR="00F26DFF" w:rsidRPr="00F26DFF" w:rsidRDefault="004A44A7" w:rsidP="00B51694">
      <w:pPr>
        <w:pStyle w:val="ListParagraph"/>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t xml:space="preserve">Since the 2023 </w:t>
      </w:r>
      <w:r w:rsidR="00E378D6">
        <w:t>amendments</w:t>
      </w:r>
      <w:r>
        <w:t>, i</w:t>
      </w:r>
      <w:r w:rsidR="00F26DFF">
        <w:t xml:space="preserve">nformation subject to legal professional privilege under Schedule 1, s 1.2 is </w:t>
      </w:r>
      <w:r w:rsidR="006714EE">
        <w:t xml:space="preserve">taken to be </w:t>
      </w:r>
      <w:r w:rsidR="00F26DFF">
        <w:t xml:space="preserve">contrary to the public interest </w:t>
      </w:r>
      <w:r w:rsidR="006714EE">
        <w:t>information</w:t>
      </w:r>
      <w:r w:rsidR="00F26DFF">
        <w:t xml:space="preserve"> even if it identifies corruption, or the commission of an offence by a public official, or that the scope of a law enforcement investigation has exceeded the limits imposed by law</w:t>
      </w:r>
      <w:r w:rsidR="00E30741">
        <w:t xml:space="preserve"> (see </w:t>
      </w:r>
      <w:hyperlink w:anchor="_Section_1.2_–_1" w:history="1">
        <w:r w:rsidR="007D4A64">
          <w:rPr>
            <w:rStyle w:val="Hyperlink"/>
          </w:rPr>
          <w:t>[5.5]</w:t>
        </w:r>
      </w:hyperlink>
      <w:r w:rsidR="00E30741">
        <w:t xml:space="preserve"> below). </w:t>
      </w:r>
    </w:p>
    <w:p w14:paraId="6516E21B" w14:textId="7B3838AF" w:rsidR="00F71E05" w:rsidRDefault="00F26DFF" w:rsidP="009B05C4">
      <w:pPr>
        <w:pStyle w:val="Heading2"/>
        <w:numPr>
          <w:ilvl w:val="1"/>
          <w:numId w:val="54"/>
        </w:numPr>
        <w:ind w:left="567" w:hanging="567"/>
      </w:pPr>
      <w:bookmarkStart w:id="641" w:name="_Section_1.1_–"/>
      <w:bookmarkStart w:id="642" w:name="_Common_terms_2"/>
      <w:bookmarkStart w:id="643" w:name="_Toc43385530"/>
      <w:bookmarkStart w:id="644" w:name="_Toc152067314"/>
      <w:bookmarkEnd w:id="641"/>
      <w:bookmarkEnd w:id="642"/>
      <w:r>
        <w:t>S</w:t>
      </w:r>
      <w:r w:rsidR="00C175D3">
        <w:t xml:space="preserve">ection 1.1 – </w:t>
      </w:r>
      <w:r w:rsidR="00BE4159">
        <w:t>I</w:t>
      </w:r>
      <w:r w:rsidR="00F71E05">
        <w:t>nformation disclosure of which would be contempt</w:t>
      </w:r>
      <w:r w:rsidR="004E3817">
        <w:t xml:space="preserve"> of court or Legislative Assembly</w:t>
      </w:r>
      <w:bookmarkEnd w:id="643"/>
      <w:r w:rsidR="009F5D68">
        <w:t xml:space="preserve"> etc</w:t>
      </w:r>
      <w:bookmarkEnd w:id="644"/>
    </w:p>
    <w:p w14:paraId="39ED003F" w14:textId="77777777" w:rsidR="00F71E05" w:rsidRDefault="00F71E05" w:rsidP="00F71E05">
      <w:pPr>
        <w:pStyle w:val="Heading4"/>
      </w:pPr>
      <w:r w:rsidRPr="00123D1C">
        <w:t xml:space="preserve">Background </w:t>
      </w:r>
    </w:p>
    <w:p w14:paraId="542F53F1" w14:textId="5C648289" w:rsidR="00F71E05" w:rsidRDefault="00E71C33" w:rsidP="00E71C33">
      <w:pPr>
        <w:ind w:right="-164"/>
      </w:pPr>
      <w:r>
        <w:t xml:space="preserve">The FOI Act provides protections for information which is the subject of orders made by certain courts and parliaments. This is consistent with laws of contempt and parliamentary privilege, which are designed to allow </w:t>
      </w:r>
      <w:r w:rsidR="00F71E05">
        <w:t>courts and parliaments to regulate their proceedings with</w:t>
      </w:r>
      <w:r>
        <w:t>out interference or obstruction, and to make their own determinations about what information should be published and when.</w:t>
      </w:r>
      <w:r w:rsidR="00F71E05">
        <w:t xml:space="preserve"> </w:t>
      </w:r>
    </w:p>
    <w:p w14:paraId="36B42356" w14:textId="77777777" w:rsidR="00F71E05" w:rsidRDefault="00F71E05" w:rsidP="008712A5">
      <w:pPr>
        <w:pStyle w:val="Heading4"/>
        <w:keepNext w:val="0"/>
        <w:keepLines w:val="0"/>
      </w:pPr>
      <w:r>
        <w:t>Overview</w:t>
      </w:r>
    </w:p>
    <w:p w14:paraId="37BC6B77" w14:textId="0B7CFC76" w:rsidR="00F71E05" w:rsidRDefault="00F71E05" w:rsidP="008712A5">
      <w:r>
        <w:t xml:space="preserve">Section 1.1 provides that disclosure of the information is taken to be contrary to the public interest if </w:t>
      </w:r>
      <w:r w:rsidR="00294896">
        <w:t>it</w:t>
      </w:r>
      <w:r>
        <w:t xml:space="preserve"> would</w:t>
      </w:r>
      <w:r w:rsidR="00E71C33">
        <w:t xml:space="preserve">, </w:t>
      </w:r>
      <w:r w:rsidR="00E52B31">
        <w:t>apart from</w:t>
      </w:r>
      <w:r w:rsidR="00E71C33">
        <w:t xml:space="preserve"> the FOI Act </w:t>
      </w:r>
      <w:r w:rsidR="00021689">
        <w:t xml:space="preserve">and </w:t>
      </w:r>
      <w:r w:rsidR="00E71C33">
        <w:t xml:space="preserve">any </w:t>
      </w:r>
      <w:r w:rsidR="002B5F08">
        <w:t>C</w:t>
      </w:r>
      <w:r w:rsidR="00E71C33">
        <w:t>rown immunity</w:t>
      </w:r>
      <w:r>
        <w:t xml:space="preserve">: </w:t>
      </w:r>
    </w:p>
    <w:p w14:paraId="52738A2C" w14:textId="6BF0E7A0" w:rsidR="00F71E05" w:rsidRDefault="00F71E05" w:rsidP="008712A5">
      <w:pPr>
        <w:pStyle w:val="ListParagraph"/>
        <w:numPr>
          <w:ilvl w:val="0"/>
          <w:numId w:val="1"/>
        </w:numPr>
        <w:spacing w:line="252" w:lineRule="auto"/>
      </w:pPr>
      <w:r>
        <w:t>be in contempt of court</w:t>
      </w:r>
      <w:r w:rsidR="006D1DFF">
        <w:rPr>
          <w:rFonts w:ascii="Calibri" w:hAnsi="Calibri" w:cs="Calibri"/>
        </w:rPr>
        <w:t>—</w:t>
      </w:r>
      <w:r w:rsidR="00E71C33">
        <w:t>see s</w:t>
      </w:r>
      <w:r w:rsidR="004E3817">
        <w:t xml:space="preserve"> </w:t>
      </w:r>
      <w:r w:rsidR="00E71C33">
        <w:t>1.1(a)</w:t>
      </w:r>
    </w:p>
    <w:p w14:paraId="3588A0F0" w14:textId="5ADB49D2" w:rsidR="00F71E05" w:rsidRDefault="00F71E05" w:rsidP="008712A5">
      <w:pPr>
        <w:pStyle w:val="ListParagraph"/>
        <w:numPr>
          <w:ilvl w:val="0"/>
          <w:numId w:val="1"/>
        </w:numPr>
        <w:spacing w:line="252" w:lineRule="auto"/>
      </w:pPr>
      <w:r>
        <w:t xml:space="preserve">be contrary to </w:t>
      </w:r>
      <w:r w:rsidR="00294896">
        <w:t xml:space="preserve">an </w:t>
      </w:r>
      <w:r>
        <w:t xml:space="preserve">order </w:t>
      </w:r>
      <w:r w:rsidR="00DD0F32">
        <w:t xml:space="preserve">made </w:t>
      </w:r>
      <w:r>
        <w:t>or direction given by a tribunal or other entity having power to take evidence on oath</w:t>
      </w:r>
      <w:r w:rsidR="006D1DFF">
        <w:rPr>
          <w:rFonts w:ascii="Calibri" w:hAnsi="Calibri" w:cs="Calibri"/>
        </w:rPr>
        <w:t>—</w:t>
      </w:r>
      <w:r w:rsidR="00E71C33">
        <w:t>see s</w:t>
      </w:r>
      <w:r w:rsidR="004E3817">
        <w:t xml:space="preserve"> </w:t>
      </w:r>
      <w:r w:rsidR="00E71C33">
        <w:t>1.1(b)</w:t>
      </w:r>
      <w:r w:rsidR="00C20A72">
        <w:t>,</w:t>
      </w:r>
      <w:r>
        <w:t xml:space="preserve"> or</w:t>
      </w:r>
    </w:p>
    <w:p w14:paraId="5592E0B1" w14:textId="191D0C0A" w:rsidR="00F71E05" w:rsidRDefault="00F71E05" w:rsidP="008712A5">
      <w:pPr>
        <w:pStyle w:val="ListParagraph"/>
        <w:numPr>
          <w:ilvl w:val="0"/>
          <w:numId w:val="1"/>
        </w:numPr>
        <w:spacing w:line="252" w:lineRule="auto"/>
      </w:pPr>
      <w:r>
        <w:t>infringe the privileges of the Legislative Assembly, a house of the Commonwealth parliament, the</w:t>
      </w:r>
      <w:r w:rsidR="00E71C33">
        <w:t> </w:t>
      </w:r>
      <w:r>
        <w:t>parliament of a State or the Legislative Assembly</w:t>
      </w:r>
      <w:r w:rsidR="00E71C33">
        <w:t xml:space="preserve"> of</w:t>
      </w:r>
      <w:r w:rsidR="004E3817">
        <w:t xml:space="preserve"> the Northern Territory</w:t>
      </w:r>
      <w:r w:rsidR="006D1DFF">
        <w:rPr>
          <w:rFonts w:ascii="Calibri" w:hAnsi="Calibri" w:cs="Calibri"/>
        </w:rPr>
        <w:t>—</w:t>
      </w:r>
      <w:r w:rsidR="004E3817">
        <w:t xml:space="preserve">see s </w:t>
      </w:r>
      <w:r w:rsidR="00E71C33">
        <w:t>1.1</w:t>
      </w:r>
      <w:r w:rsidR="00AE5773">
        <w:t>©</w:t>
      </w:r>
      <w:r w:rsidR="00E71C33">
        <w:t>.</w:t>
      </w:r>
    </w:p>
    <w:p w14:paraId="2361E960" w14:textId="405DDFDD" w:rsidR="00E71C33" w:rsidRDefault="00E71C33" w:rsidP="0050755E">
      <w:pPr>
        <w:spacing w:line="252" w:lineRule="auto"/>
        <w:ind w:right="-306"/>
      </w:pPr>
      <w:r>
        <w:t xml:space="preserve">That is, decision-makers must consider whether disclosure would result </w:t>
      </w:r>
      <w:r w:rsidR="00294896">
        <w:t>in any of the above listed outcomes,</w:t>
      </w:r>
      <w:r w:rsidR="00B22DD1">
        <w:t xml:space="preserve"> notwithstanding that there may be protec</w:t>
      </w:r>
      <w:r w:rsidR="00B22DD1" w:rsidRPr="00D24BA1">
        <w:t>tion</w:t>
      </w:r>
      <w:r w:rsidR="009D70E4" w:rsidRPr="00D24BA1">
        <w:t>, provided for in s 103,</w:t>
      </w:r>
      <w:r w:rsidR="00B22DD1" w:rsidRPr="00D24BA1">
        <w:t xml:space="preserve"> from c</w:t>
      </w:r>
      <w:r w:rsidR="00B22DD1">
        <w:t>ertain actions</w:t>
      </w:r>
      <w:r w:rsidR="0076308D">
        <w:t xml:space="preserve"> </w:t>
      </w:r>
      <w:r w:rsidR="00B22DD1">
        <w:t>or under the protections afforded by the common law to the immunities of the Crown</w:t>
      </w:r>
      <w:r w:rsidR="00FB5FD5">
        <w:t>.</w:t>
      </w:r>
      <w:r w:rsidR="006B12E4" w:rsidRPr="006B12E4">
        <w:rPr>
          <w:rStyle w:val="FootnoteReference"/>
        </w:rPr>
        <w:t xml:space="preserve"> </w:t>
      </w:r>
      <w:r w:rsidR="006B12E4">
        <w:rPr>
          <w:rStyle w:val="FootnoteReference"/>
        </w:rPr>
        <w:footnoteReference w:id="28"/>
      </w:r>
    </w:p>
    <w:p w14:paraId="7C221C9B" w14:textId="3E9899E6" w:rsidR="00F71E05" w:rsidRDefault="00F71E05" w:rsidP="00F71E05">
      <w:pPr>
        <w:pStyle w:val="Heading4"/>
      </w:pPr>
      <w:r>
        <w:t xml:space="preserve">Contempt of court </w:t>
      </w:r>
    </w:p>
    <w:p w14:paraId="02AA84AE" w14:textId="77777777" w:rsidR="008712A5" w:rsidRDefault="00E71C33" w:rsidP="00C20A72">
      <w:pPr>
        <w:rPr>
          <w:bCs/>
        </w:rPr>
      </w:pPr>
      <w:r>
        <w:rPr>
          <w:bCs/>
        </w:rPr>
        <w:t xml:space="preserve">Section 1.1(a) applies where </w:t>
      </w:r>
      <w:r w:rsidR="00F71E05">
        <w:rPr>
          <w:bCs/>
        </w:rPr>
        <w:t xml:space="preserve">there is a court order prohibiting the disclosure of </w:t>
      </w:r>
      <w:r w:rsidR="00C20A72">
        <w:rPr>
          <w:bCs/>
        </w:rPr>
        <w:t>the relevant information</w:t>
      </w:r>
      <w:r w:rsidR="008712A5">
        <w:rPr>
          <w:bCs/>
        </w:rPr>
        <w:t>.</w:t>
      </w:r>
    </w:p>
    <w:p w14:paraId="3E916A1A" w14:textId="34231EFB" w:rsidR="0050755E" w:rsidRPr="008712A5" w:rsidRDefault="008712A5" w:rsidP="009B05C4">
      <w:pPr>
        <w:pStyle w:val="ListParagraph"/>
        <w:numPr>
          <w:ilvl w:val="0"/>
          <w:numId w:val="118"/>
        </w:numPr>
        <w:rPr>
          <w:bCs/>
        </w:rPr>
      </w:pPr>
      <w:r w:rsidRPr="008712A5">
        <w:rPr>
          <w:bCs/>
        </w:rPr>
        <w:t>For example</w:t>
      </w:r>
      <w:r>
        <w:rPr>
          <w:bCs/>
        </w:rPr>
        <w:t xml:space="preserve">, where </w:t>
      </w:r>
      <w:r w:rsidR="00E71C33" w:rsidRPr="008712A5">
        <w:rPr>
          <w:bCs/>
        </w:rPr>
        <w:t>a court order</w:t>
      </w:r>
      <w:r w:rsidR="0050755E" w:rsidRPr="008712A5">
        <w:rPr>
          <w:bCs/>
        </w:rPr>
        <w:t xml:space="preserve"> is in place which </w:t>
      </w:r>
      <w:r w:rsidR="00E71C33" w:rsidRPr="008712A5">
        <w:rPr>
          <w:bCs/>
        </w:rPr>
        <w:t>prohibit</w:t>
      </w:r>
      <w:r w:rsidR="0050755E" w:rsidRPr="008712A5">
        <w:rPr>
          <w:bCs/>
        </w:rPr>
        <w:t xml:space="preserve">s </w:t>
      </w:r>
      <w:r w:rsidR="00E71C33" w:rsidRPr="008712A5">
        <w:rPr>
          <w:bCs/>
        </w:rPr>
        <w:t>publication of evidence presented to the court</w:t>
      </w:r>
      <w:r w:rsidR="0050755E" w:rsidRPr="008712A5">
        <w:rPr>
          <w:bCs/>
        </w:rPr>
        <w:t>, or disclosure of relevant documents to a third party</w:t>
      </w:r>
      <w:r w:rsidR="00E71C33" w:rsidRPr="008712A5">
        <w:rPr>
          <w:bCs/>
        </w:rPr>
        <w:t>.</w:t>
      </w:r>
    </w:p>
    <w:p w14:paraId="7F2B9DB8" w14:textId="3ACB9C44" w:rsidR="008712A5" w:rsidRDefault="00F71E05" w:rsidP="0050755E">
      <w:pPr>
        <w:rPr>
          <w:bCs/>
        </w:rPr>
      </w:pPr>
      <w:r w:rsidRPr="0050755E">
        <w:rPr>
          <w:bCs/>
        </w:rPr>
        <w:t xml:space="preserve">Even where there is no court order, it </w:t>
      </w:r>
      <w:r w:rsidRPr="00BD672E">
        <w:t>may</w:t>
      </w:r>
      <w:r w:rsidR="00E71C33" w:rsidRPr="0050755E">
        <w:rPr>
          <w:bCs/>
        </w:rPr>
        <w:t xml:space="preserve"> </w:t>
      </w:r>
      <w:r w:rsidR="00ED52B1">
        <w:rPr>
          <w:bCs/>
        </w:rPr>
        <w:t>s</w:t>
      </w:r>
      <w:r w:rsidR="00E71C33" w:rsidRPr="0050755E">
        <w:rPr>
          <w:bCs/>
        </w:rPr>
        <w:t xml:space="preserve">till </w:t>
      </w:r>
      <w:r w:rsidRPr="0050755E">
        <w:rPr>
          <w:bCs/>
        </w:rPr>
        <w:t xml:space="preserve">be </w:t>
      </w:r>
      <w:r w:rsidR="00294896" w:rsidRPr="0050755E">
        <w:rPr>
          <w:bCs/>
        </w:rPr>
        <w:t xml:space="preserve">in </w:t>
      </w:r>
      <w:r w:rsidRPr="0050755E">
        <w:rPr>
          <w:bCs/>
        </w:rPr>
        <w:t xml:space="preserve">contempt of court to disclose information if it relates to a pending </w:t>
      </w:r>
      <w:r w:rsidR="008712A5">
        <w:rPr>
          <w:bCs/>
        </w:rPr>
        <w:t xml:space="preserve">legal </w:t>
      </w:r>
      <w:r w:rsidRPr="0050755E">
        <w:rPr>
          <w:bCs/>
        </w:rPr>
        <w:t>proceeding and the information could interfer</w:t>
      </w:r>
      <w:r w:rsidR="00E71C33" w:rsidRPr="0050755E">
        <w:rPr>
          <w:bCs/>
        </w:rPr>
        <w:t>e</w:t>
      </w:r>
      <w:r w:rsidRPr="0050755E">
        <w:rPr>
          <w:bCs/>
        </w:rPr>
        <w:t xml:space="preserve"> with the administration of </w:t>
      </w:r>
      <w:r w:rsidRPr="00962E73">
        <w:rPr>
          <w:bCs/>
        </w:rPr>
        <w:t>justice</w:t>
      </w:r>
      <w:r w:rsidR="00E71C33" w:rsidRPr="00962E73">
        <w:rPr>
          <w:bCs/>
        </w:rPr>
        <w:t>.</w:t>
      </w:r>
      <w:r w:rsidR="00E71C33" w:rsidRPr="00962E73">
        <w:rPr>
          <w:rStyle w:val="FootnoteReference"/>
          <w:bCs/>
        </w:rPr>
        <w:t xml:space="preserve"> </w:t>
      </w:r>
      <w:r w:rsidR="00E71C33" w:rsidRPr="00962E73">
        <w:rPr>
          <w:rStyle w:val="FootnoteReference"/>
          <w:bCs/>
        </w:rPr>
        <w:footnoteReference w:id="29"/>
      </w:r>
      <w:r w:rsidR="0050755E">
        <w:rPr>
          <w:bCs/>
        </w:rPr>
        <w:t xml:space="preserve"> </w:t>
      </w:r>
      <w:r w:rsidR="00E71C33" w:rsidRPr="0050755E">
        <w:rPr>
          <w:bCs/>
        </w:rPr>
        <w:t xml:space="preserve">Consequently, even where a non-disclosure order is </w:t>
      </w:r>
      <w:r w:rsidR="00E71C33" w:rsidRPr="00BD672E">
        <w:t>not</w:t>
      </w:r>
      <w:r w:rsidR="00E71C33" w:rsidRPr="008712A5">
        <w:rPr>
          <w:b/>
          <w:bCs/>
        </w:rPr>
        <w:t xml:space="preserve"> </w:t>
      </w:r>
      <w:r w:rsidR="00E71C33" w:rsidRPr="0050755E">
        <w:rPr>
          <w:bCs/>
        </w:rPr>
        <w:t>in place, decision</w:t>
      </w:r>
      <w:r w:rsidR="00E71C33" w:rsidRPr="0050755E">
        <w:rPr>
          <w:bCs/>
        </w:rPr>
        <w:noBreakHyphen/>
        <w:t xml:space="preserve">makers should </w:t>
      </w:r>
      <w:r w:rsidR="00294896" w:rsidRPr="0050755E">
        <w:rPr>
          <w:bCs/>
        </w:rPr>
        <w:t xml:space="preserve">consider </w:t>
      </w:r>
      <w:r w:rsidR="00E71C33" w:rsidRPr="0050755E">
        <w:rPr>
          <w:bCs/>
        </w:rPr>
        <w:t xml:space="preserve">possible impacts of disclosure on </w:t>
      </w:r>
      <w:r w:rsidR="00294896" w:rsidRPr="0050755E">
        <w:rPr>
          <w:bCs/>
        </w:rPr>
        <w:t xml:space="preserve">current legal </w:t>
      </w:r>
      <w:r w:rsidR="00E71C33" w:rsidRPr="0050755E">
        <w:rPr>
          <w:bCs/>
        </w:rPr>
        <w:t>proceedings</w:t>
      </w:r>
      <w:r w:rsidR="008712A5">
        <w:rPr>
          <w:bCs/>
        </w:rPr>
        <w:t>.</w:t>
      </w:r>
    </w:p>
    <w:p w14:paraId="2D9022E6" w14:textId="78039561" w:rsidR="00E71C33" w:rsidRDefault="008712A5" w:rsidP="009B05C4">
      <w:pPr>
        <w:pStyle w:val="ListParagraph"/>
        <w:numPr>
          <w:ilvl w:val="0"/>
          <w:numId w:val="118"/>
        </w:numPr>
        <w:ind w:right="-164"/>
        <w:rPr>
          <w:bCs/>
        </w:rPr>
      </w:pPr>
      <w:r>
        <w:rPr>
          <w:bCs/>
        </w:rPr>
        <w:t>F</w:t>
      </w:r>
      <w:r w:rsidR="00E71C33" w:rsidRPr="0050755E">
        <w:rPr>
          <w:bCs/>
        </w:rPr>
        <w:t xml:space="preserve">or example, </w:t>
      </w:r>
      <w:r w:rsidR="00D46CA0">
        <w:rPr>
          <w:bCs/>
        </w:rPr>
        <w:t xml:space="preserve">decision-makers </w:t>
      </w:r>
      <w:r>
        <w:rPr>
          <w:bCs/>
        </w:rPr>
        <w:t xml:space="preserve">should consider </w:t>
      </w:r>
      <w:r w:rsidR="00E71C33" w:rsidRPr="0050755E">
        <w:rPr>
          <w:bCs/>
        </w:rPr>
        <w:t xml:space="preserve">whether disclosure would influence a witness or </w:t>
      </w:r>
      <w:r w:rsidR="00792889" w:rsidRPr="0050755E">
        <w:rPr>
          <w:bCs/>
        </w:rPr>
        <w:t>jury or</w:t>
      </w:r>
      <w:r w:rsidR="00E71C33" w:rsidRPr="0050755E">
        <w:rPr>
          <w:bCs/>
        </w:rPr>
        <w:t xml:space="preserve"> prejudge the </w:t>
      </w:r>
      <w:r w:rsidR="00962E73">
        <w:rPr>
          <w:bCs/>
        </w:rPr>
        <w:t>outcome</w:t>
      </w:r>
      <w:r w:rsidR="00962E73" w:rsidRPr="0050755E">
        <w:rPr>
          <w:bCs/>
        </w:rPr>
        <w:t xml:space="preserve"> </w:t>
      </w:r>
      <w:r w:rsidR="00E71C33" w:rsidRPr="0050755E">
        <w:rPr>
          <w:bCs/>
        </w:rPr>
        <w:t>of</w:t>
      </w:r>
      <w:r w:rsidR="00294896" w:rsidRPr="0050755E">
        <w:rPr>
          <w:bCs/>
        </w:rPr>
        <w:t xml:space="preserve"> the</w:t>
      </w:r>
      <w:r w:rsidR="00E71C33" w:rsidRPr="0050755E">
        <w:rPr>
          <w:bCs/>
        </w:rPr>
        <w:t xml:space="preserve"> proceedings.</w:t>
      </w:r>
    </w:p>
    <w:p w14:paraId="6B350D51" w14:textId="18CCAF7F" w:rsidR="0050755E" w:rsidRDefault="00C20A72" w:rsidP="0050755E">
      <w:pPr>
        <w:rPr>
          <w:bCs/>
        </w:rPr>
      </w:pPr>
      <w:r>
        <w:rPr>
          <w:bCs/>
        </w:rPr>
        <w:t xml:space="preserve">The Ombudsman considers that such an influence </w:t>
      </w:r>
      <w:r w:rsidR="008712A5">
        <w:rPr>
          <w:bCs/>
        </w:rPr>
        <w:t xml:space="preserve">would </w:t>
      </w:r>
      <w:r>
        <w:rPr>
          <w:bCs/>
        </w:rPr>
        <w:t>need to be expected to have an actual practical impact on the proceedings</w:t>
      </w:r>
      <w:r w:rsidR="008712A5">
        <w:rPr>
          <w:bCs/>
        </w:rPr>
        <w:t xml:space="preserve"> for s 1.1(a) to apply</w:t>
      </w:r>
      <w:r>
        <w:rPr>
          <w:bCs/>
        </w:rPr>
        <w:t xml:space="preserve">. This is consistent with the approach of the </w:t>
      </w:r>
      <w:r w:rsidR="0050755E">
        <w:rPr>
          <w:bCs/>
        </w:rPr>
        <w:t xml:space="preserve">Queensland Information Commissioner </w:t>
      </w:r>
      <w:r>
        <w:rPr>
          <w:bCs/>
        </w:rPr>
        <w:t xml:space="preserve">who </w:t>
      </w:r>
      <w:r w:rsidR="0050755E">
        <w:rPr>
          <w:bCs/>
        </w:rPr>
        <w:t xml:space="preserve">has found that </w:t>
      </w:r>
      <w:r>
        <w:rPr>
          <w:bCs/>
        </w:rPr>
        <w:t xml:space="preserve">contempt of court </w:t>
      </w:r>
      <w:r w:rsidR="0050755E">
        <w:rPr>
          <w:bCs/>
        </w:rPr>
        <w:t>does not extend to cover:</w:t>
      </w:r>
    </w:p>
    <w:p w14:paraId="13434F40" w14:textId="4011BEC8" w:rsidR="0050755E" w:rsidRDefault="0050755E" w:rsidP="009B05C4">
      <w:pPr>
        <w:pStyle w:val="ListParagraph"/>
        <w:numPr>
          <w:ilvl w:val="0"/>
          <w:numId w:val="92"/>
        </w:numPr>
        <w:rPr>
          <w:bCs/>
        </w:rPr>
      </w:pPr>
      <w:r>
        <w:rPr>
          <w:bCs/>
        </w:rPr>
        <w:t>uncontentious information disclosed to potential wit</w:t>
      </w:r>
      <w:r w:rsidR="00FF6161">
        <w:rPr>
          <w:bCs/>
        </w:rPr>
        <w:t>nesses that could not be said to influence them</w:t>
      </w:r>
      <w:r w:rsidR="004E3817">
        <w:rPr>
          <w:bCs/>
        </w:rPr>
        <w:t>,</w:t>
      </w:r>
      <w:r w:rsidR="00FF6161">
        <w:rPr>
          <w:rStyle w:val="FootnoteReference"/>
          <w:bCs/>
        </w:rPr>
        <w:footnoteReference w:id="30"/>
      </w:r>
      <w:r w:rsidR="004E3817">
        <w:rPr>
          <w:bCs/>
        </w:rPr>
        <w:t xml:space="preserve"> or</w:t>
      </w:r>
    </w:p>
    <w:p w14:paraId="14CEF080" w14:textId="2A681646" w:rsidR="0050755E" w:rsidRPr="00FF6161" w:rsidRDefault="00FF6161" w:rsidP="009B05C4">
      <w:pPr>
        <w:pStyle w:val="ListParagraph"/>
        <w:numPr>
          <w:ilvl w:val="0"/>
          <w:numId w:val="92"/>
        </w:numPr>
        <w:rPr>
          <w:bCs/>
        </w:rPr>
      </w:pPr>
      <w:r>
        <w:rPr>
          <w:bCs/>
        </w:rPr>
        <w:t>disclosure that could cause negative media coverage where a trial was to</w:t>
      </w:r>
      <w:r w:rsidR="00792889">
        <w:rPr>
          <w:bCs/>
        </w:rPr>
        <w:t xml:space="preserve"> be</w:t>
      </w:r>
      <w:r>
        <w:rPr>
          <w:bCs/>
        </w:rPr>
        <w:t xml:space="preserve"> held by a single magistrate</w:t>
      </w:r>
      <w:r w:rsidR="000918BB">
        <w:rPr>
          <w:bCs/>
        </w:rPr>
        <w:t>.</w:t>
      </w:r>
      <w:r>
        <w:rPr>
          <w:rStyle w:val="FootnoteReference"/>
          <w:bCs/>
        </w:rPr>
        <w:footnoteReference w:id="31"/>
      </w:r>
    </w:p>
    <w:p w14:paraId="6B4BB033" w14:textId="5874BAB8" w:rsidR="00F71E05" w:rsidRDefault="00F71E05" w:rsidP="00846D9E">
      <w:pPr>
        <w:pStyle w:val="Heading4"/>
      </w:pPr>
      <w:r>
        <w:t xml:space="preserve">Contrary to order or direction </w:t>
      </w:r>
    </w:p>
    <w:p w14:paraId="4F5424AB" w14:textId="77777777" w:rsidR="008712A5" w:rsidRDefault="00F71E05" w:rsidP="00846D9E">
      <w:pPr>
        <w:keepNext/>
        <w:keepLines/>
      </w:pPr>
      <w:r>
        <w:t>Section 1.1(b) applies where disclosure of the information would be contrary to an order made</w:t>
      </w:r>
      <w:r w:rsidR="00E71C33">
        <w:t>,</w:t>
      </w:r>
      <w:r>
        <w:t xml:space="preserve"> or direction given</w:t>
      </w:r>
      <w:r w:rsidR="00E71C33">
        <w:t>,</w:t>
      </w:r>
      <w:r>
        <w:t xml:space="preserve"> by a tribunal</w:t>
      </w:r>
      <w:r w:rsidR="00E71C33">
        <w:t>,</w:t>
      </w:r>
      <w:r>
        <w:t xml:space="preserve"> or other entity</w:t>
      </w:r>
      <w:r w:rsidR="00E71C33">
        <w:t>,</w:t>
      </w:r>
      <w:r>
        <w:t xml:space="preserve"> having power to take evidence on oath</w:t>
      </w:r>
      <w:r w:rsidR="008712A5">
        <w:t>.</w:t>
      </w:r>
    </w:p>
    <w:p w14:paraId="51B385E5" w14:textId="60A39909" w:rsidR="00F71E05" w:rsidRDefault="008712A5" w:rsidP="00846D9E">
      <w:pPr>
        <w:pStyle w:val="ListParagraph"/>
        <w:keepNext/>
        <w:keepLines/>
        <w:numPr>
          <w:ilvl w:val="0"/>
          <w:numId w:val="118"/>
        </w:numPr>
      </w:pPr>
      <w:r>
        <w:t xml:space="preserve">For example, where there is a </w:t>
      </w:r>
      <w:r w:rsidR="00E71C33" w:rsidRPr="008712A5">
        <w:rPr>
          <w:bCs/>
        </w:rPr>
        <w:t>tribunal</w:t>
      </w:r>
      <w:r w:rsidR="00E71C33">
        <w:t xml:space="preserve"> order</w:t>
      </w:r>
      <w:r w:rsidR="00FF6161">
        <w:t xml:space="preserve"> prohibiting disclosure of information</w:t>
      </w:r>
      <w:r>
        <w:t>,</w:t>
      </w:r>
      <w:r w:rsidR="00FF6161">
        <w:t xml:space="preserve"> which could </w:t>
      </w:r>
      <w:r w:rsidR="00F71E05">
        <w:t xml:space="preserve">prejudice </w:t>
      </w:r>
      <w:r w:rsidR="00E71C33">
        <w:t>p</w:t>
      </w:r>
      <w:r w:rsidR="00F71E05">
        <w:t>roceedings, or to protect the</w:t>
      </w:r>
      <w:r w:rsidR="00FF6161">
        <w:t> </w:t>
      </w:r>
      <w:r w:rsidR="00F71E05">
        <w:t>rights or reputation of individuals involved.</w:t>
      </w:r>
      <w:r w:rsidR="00F71E05">
        <w:rPr>
          <w:rStyle w:val="FootnoteReference"/>
        </w:rPr>
        <w:footnoteReference w:id="32"/>
      </w:r>
    </w:p>
    <w:p w14:paraId="3350727B" w14:textId="6083DBC0" w:rsidR="008712A5" w:rsidRDefault="00F71E05" w:rsidP="008712A5">
      <w:r>
        <w:t>‘Tribunal’ means any entity that is authorised to hear, receive</w:t>
      </w:r>
      <w:r w:rsidR="007C241B">
        <w:t xml:space="preserve">, </w:t>
      </w:r>
      <w:r>
        <w:t>and examine evidence</w:t>
      </w:r>
      <w:r w:rsidR="00294896">
        <w:t xml:space="preserve"> (for example, the</w:t>
      </w:r>
      <w:r w:rsidR="004A38A3">
        <w:t> </w:t>
      </w:r>
      <w:r w:rsidR="00294896">
        <w:t>ACT</w:t>
      </w:r>
      <w:r w:rsidR="004A38A3">
        <w:t> </w:t>
      </w:r>
      <w:r w:rsidR="00294896">
        <w:t>Civil and Administrative Tribunal (</w:t>
      </w:r>
      <w:r w:rsidR="00DF344E">
        <w:t>‘</w:t>
      </w:r>
      <w:r w:rsidR="00294896">
        <w:t>ACAT</w:t>
      </w:r>
      <w:r w:rsidR="00DF344E">
        <w:t>’</w:t>
      </w:r>
      <w:r w:rsidR="00294896">
        <w:t>))</w:t>
      </w:r>
      <w:r w:rsidR="004E3817">
        <w:t>.</w:t>
      </w:r>
      <w:r>
        <w:rPr>
          <w:rStyle w:val="FootnoteReference"/>
        </w:rPr>
        <w:footnoteReference w:id="33"/>
      </w:r>
      <w:r w:rsidR="00C20A72">
        <w:t xml:space="preserve"> </w:t>
      </w:r>
    </w:p>
    <w:p w14:paraId="64B45C37" w14:textId="72E76D13" w:rsidR="00F71E05" w:rsidRDefault="00F71E05" w:rsidP="008712A5">
      <w:r>
        <w:t>Examples of other entities having power to take evidence on oath include:</w:t>
      </w:r>
    </w:p>
    <w:p w14:paraId="76429CFE" w14:textId="0B911132" w:rsidR="00F71E05" w:rsidRPr="002C6D79" w:rsidRDefault="00F71E05" w:rsidP="008712A5">
      <w:pPr>
        <w:pStyle w:val="ListParagraph"/>
        <w:numPr>
          <w:ilvl w:val="0"/>
          <w:numId w:val="2"/>
        </w:numPr>
      </w:pPr>
      <w:r>
        <w:t xml:space="preserve">boards of inquiry under the </w:t>
      </w:r>
      <w:hyperlink r:id="rId25" w:history="1">
        <w:r w:rsidRPr="0079241C">
          <w:rPr>
            <w:rStyle w:val="Hyperlink"/>
            <w:i/>
          </w:rPr>
          <w:t>Inquiries Act 1991</w:t>
        </w:r>
      </w:hyperlink>
    </w:p>
    <w:p w14:paraId="748DB581" w14:textId="4F459EF7" w:rsidR="00F71E05" w:rsidRPr="002C6D79" w:rsidRDefault="00F71E05" w:rsidP="008712A5">
      <w:pPr>
        <w:pStyle w:val="ListParagraph"/>
        <w:numPr>
          <w:ilvl w:val="0"/>
          <w:numId w:val="2"/>
        </w:numPr>
      </w:pPr>
      <w:r>
        <w:t xml:space="preserve">commissions under the </w:t>
      </w:r>
      <w:hyperlink r:id="rId26" w:history="1">
        <w:r w:rsidRPr="0079241C">
          <w:rPr>
            <w:rStyle w:val="Hyperlink"/>
            <w:i/>
          </w:rPr>
          <w:t>Judicial Commissions Act 1994</w:t>
        </w:r>
      </w:hyperlink>
    </w:p>
    <w:p w14:paraId="7B79122B" w14:textId="671DF810" w:rsidR="00F71E05" w:rsidRPr="002C6D79" w:rsidRDefault="00F71E05" w:rsidP="008712A5">
      <w:pPr>
        <w:pStyle w:val="ListParagraph"/>
        <w:numPr>
          <w:ilvl w:val="0"/>
          <w:numId w:val="2"/>
        </w:numPr>
      </w:pPr>
      <w:r>
        <w:t xml:space="preserve">royal commissions under the </w:t>
      </w:r>
      <w:hyperlink r:id="rId27" w:history="1">
        <w:r w:rsidRPr="0079241C">
          <w:rPr>
            <w:rStyle w:val="Hyperlink"/>
            <w:i/>
          </w:rPr>
          <w:t>Royal Commissions Act 1991</w:t>
        </w:r>
      </w:hyperlink>
    </w:p>
    <w:p w14:paraId="6EBAE2A5" w14:textId="56E7D6F2" w:rsidR="00F71E05" w:rsidRPr="002C6D79" w:rsidRDefault="00F71E05" w:rsidP="008712A5">
      <w:pPr>
        <w:pStyle w:val="ListParagraph"/>
        <w:numPr>
          <w:ilvl w:val="0"/>
          <w:numId w:val="2"/>
        </w:numPr>
      </w:pPr>
      <w:r>
        <w:t xml:space="preserve">the ACT Ombudsman under s 16 of the </w:t>
      </w:r>
      <w:hyperlink r:id="rId28" w:history="1">
        <w:r w:rsidRPr="003A569B">
          <w:rPr>
            <w:rStyle w:val="Hyperlink"/>
            <w:i/>
          </w:rPr>
          <w:t>Ombudsman Act 1989</w:t>
        </w:r>
      </w:hyperlink>
      <w:r w:rsidR="0079241C">
        <w:t xml:space="preserve"> </w:t>
      </w:r>
      <w:r w:rsidR="003A569B">
        <w:t>(</w:t>
      </w:r>
      <w:r w:rsidR="00DF344E">
        <w:t>‘</w:t>
      </w:r>
      <w:r w:rsidR="003A569B">
        <w:t>Ombudsman Act</w:t>
      </w:r>
      <w:r w:rsidR="00DF344E">
        <w:t>’</w:t>
      </w:r>
      <w:r w:rsidR="003A569B">
        <w:t>)</w:t>
      </w:r>
    </w:p>
    <w:p w14:paraId="1295CADB" w14:textId="544EB88E" w:rsidR="00F71E05" w:rsidRDefault="00F71E05" w:rsidP="008712A5">
      <w:pPr>
        <w:pStyle w:val="ListParagraph"/>
        <w:numPr>
          <w:ilvl w:val="0"/>
          <w:numId w:val="2"/>
        </w:numPr>
      </w:pPr>
      <w:r>
        <w:t xml:space="preserve">the ACT Integrity Commission established under the </w:t>
      </w:r>
      <w:hyperlink r:id="rId29" w:history="1">
        <w:r w:rsidRPr="00432A5C">
          <w:rPr>
            <w:rStyle w:val="Hyperlink"/>
            <w:i/>
          </w:rPr>
          <w:t>Integrity Commission Act 2018</w:t>
        </w:r>
      </w:hyperlink>
      <w:r w:rsidR="00B200AE">
        <w:rPr>
          <w:iCs/>
        </w:rPr>
        <w:t xml:space="preserve"> (</w:t>
      </w:r>
      <w:r w:rsidR="00DF344E">
        <w:rPr>
          <w:iCs/>
        </w:rPr>
        <w:t>‘</w:t>
      </w:r>
      <w:r w:rsidR="00B200AE">
        <w:rPr>
          <w:iCs/>
        </w:rPr>
        <w:t>Integrity Commission Act</w:t>
      </w:r>
      <w:r w:rsidR="00DF344E">
        <w:rPr>
          <w:iCs/>
        </w:rPr>
        <w:t>’</w:t>
      </w:r>
      <w:r w:rsidR="00B200AE">
        <w:rPr>
          <w:iCs/>
        </w:rPr>
        <w:t>).</w:t>
      </w:r>
      <w:r w:rsidR="00B200AE" w:rsidRPr="00BD672E">
        <w:t xml:space="preserve"> </w:t>
      </w:r>
    </w:p>
    <w:p w14:paraId="1793F13A" w14:textId="77777777" w:rsidR="00F71E05" w:rsidRDefault="00F71E05" w:rsidP="00F71E05">
      <w:pPr>
        <w:pStyle w:val="Heading4"/>
      </w:pPr>
      <w:r>
        <w:t xml:space="preserve">Infringe parliamentary privilege </w:t>
      </w:r>
    </w:p>
    <w:p w14:paraId="2F43D1F9" w14:textId="3976D53B" w:rsidR="00E71C33" w:rsidRDefault="00E71C33" w:rsidP="00F71E05">
      <w:pPr>
        <w:rPr>
          <w:bCs/>
        </w:rPr>
      </w:pPr>
      <w:r>
        <w:rPr>
          <w:bCs/>
        </w:rPr>
        <w:t>Section 1.1 applies where disclosure of the information would be in contempt of:</w:t>
      </w:r>
    </w:p>
    <w:p w14:paraId="5BFF73B9" w14:textId="77777777" w:rsidR="00E71C33" w:rsidRDefault="00E71C33" w:rsidP="009B05C4">
      <w:pPr>
        <w:pStyle w:val="ListParagraph"/>
        <w:numPr>
          <w:ilvl w:val="0"/>
          <w:numId w:val="58"/>
        </w:numPr>
        <w:rPr>
          <w:bCs/>
        </w:rPr>
      </w:pPr>
      <w:r w:rsidRPr="00E71C33">
        <w:rPr>
          <w:bCs/>
        </w:rPr>
        <w:t>a house of the Commonwealth Parliament</w:t>
      </w:r>
    </w:p>
    <w:p w14:paraId="6C86E3E7" w14:textId="68984177" w:rsidR="00E71C33" w:rsidRDefault="00E71C33" w:rsidP="009B05C4">
      <w:pPr>
        <w:pStyle w:val="ListParagraph"/>
        <w:numPr>
          <w:ilvl w:val="0"/>
          <w:numId w:val="58"/>
        </w:numPr>
        <w:rPr>
          <w:bCs/>
        </w:rPr>
      </w:pPr>
      <w:r w:rsidRPr="00E71C33">
        <w:rPr>
          <w:bCs/>
        </w:rPr>
        <w:t>a State Parliament</w:t>
      </w:r>
      <w:r>
        <w:rPr>
          <w:bCs/>
        </w:rPr>
        <w:t>,</w:t>
      </w:r>
      <w:r w:rsidRPr="00E71C33">
        <w:rPr>
          <w:bCs/>
        </w:rPr>
        <w:t xml:space="preserve"> or </w:t>
      </w:r>
    </w:p>
    <w:p w14:paraId="5AB71AA1" w14:textId="430CEFAC" w:rsidR="00E71C33" w:rsidRDefault="00E71C33" w:rsidP="009B05C4">
      <w:pPr>
        <w:pStyle w:val="ListParagraph"/>
        <w:numPr>
          <w:ilvl w:val="0"/>
          <w:numId w:val="58"/>
        </w:numPr>
        <w:rPr>
          <w:bCs/>
        </w:rPr>
      </w:pPr>
      <w:r w:rsidRPr="00E71C33">
        <w:rPr>
          <w:bCs/>
        </w:rPr>
        <w:t>the Legislative Assembly of the ACT or the Northern Territory.</w:t>
      </w:r>
    </w:p>
    <w:p w14:paraId="5F32E777" w14:textId="77777777" w:rsidR="004C3EDB" w:rsidRDefault="00E71C33" w:rsidP="00BA2782">
      <w:r>
        <w:rPr>
          <w:bCs/>
        </w:rPr>
        <w:t xml:space="preserve">This would include disclosure of information protected by </w:t>
      </w:r>
      <w:r w:rsidRPr="00BD672E">
        <w:t>parliamentary privilege</w:t>
      </w:r>
      <w:r>
        <w:rPr>
          <w:bCs/>
        </w:rPr>
        <w:t xml:space="preserve">, which attaches to </w:t>
      </w:r>
      <w:r w:rsidR="00F71E05">
        <w:t>words spoken and acts done in the course of, or for the purpose of or incidental to, the transacting of business in parliament.</w:t>
      </w:r>
      <w:r w:rsidR="00F71E05">
        <w:rPr>
          <w:rStyle w:val="FootnoteReference"/>
        </w:rPr>
        <w:footnoteReference w:id="34"/>
      </w:r>
      <w:r w:rsidR="00F71E05">
        <w:t xml:space="preserve"> </w:t>
      </w:r>
    </w:p>
    <w:p w14:paraId="17753146" w14:textId="77777777" w:rsidR="0029404E" w:rsidRDefault="004E3817" w:rsidP="0029404E">
      <w:pPr>
        <w:ind w:right="-164"/>
      </w:pPr>
      <w:r>
        <w:t>For example,</w:t>
      </w:r>
      <w:r w:rsidR="00E55C0B">
        <w:t xml:space="preserve"> where disclosure would </w:t>
      </w:r>
      <w:r w:rsidR="00BA2782">
        <w:t>breach rules and orders that restrict publication or restrict publication without authority</w:t>
      </w:r>
      <w:r w:rsidR="004C3EDB">
        <w:t xml:space="preserve"> (that is, where to release a document would directly contravene Standing Orders)</w:t>
      </w:r>
      <w:r w:rsidR="00BA2782">
        <w:t>.</w:t>
      </w:r>
      <w:r w:rsidR="00E55C0B">
        <w:rPr>
          <w:rStyle w:val="FootnoteReference"/>
        </w:rPr>
        <w:footnoteReference w:id="35"/>
      </w:r>
    </w:p>
    <w:p w14:paraId="062A3A91" w14:textId="1878BE3C" w:rsidR="0050755E" w:rsidRDefault="0050755E" w:rsidP="00BD672E">
      <w:pPr>
        <w:ind w:right="-164"/>
      </w:pPr>
      <w:r>
        <w:t xml:space="preserve">Section 1.1 would </w:t>
      </w:r>
      <w:r w:rsidRPr="00BD672E">
        <w:t>not</w:t>
      </w:r>
      <w:r w:rsidRPr="00B03AB0">
        <w:rPr>
          <w:bCs/>
        </w:rPr>
        <w:t xml:space="preserve"> </w:t>
      </w:r>
      <w:r>
        <w:t>generally apply to briefing</w:t>
      </w:r>
      <w:r w:rsidR="009B5CA0">
        <w:t>s</w:t>
      </w:r>
      <w:r>
        <w:t xml:space="preserve"> prepared to assist </w:t>
      </w:r>
      <w:r w:rsidR="004E3817">
        <w:t>M</w:t>
      </w:r>
      <w:r>
        <w:t>inisters in parliament.</w:t>
      </w:r>
    </w:p>
    <w:p w14:paraId="4E1B9565" w14:textId="77777777" w:rsidR="00E71C33" w:rsidRPr="00E71C33" w:rsidRDefault="00E71C33"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E71C33">
        <w:rPr>
          <w:b/>
        </w:rPr>
        <w:t xml:space="preserve">Note: </w:t>
      </w:r>
    </w:p>
    <w:p w14:paraId="23EF08C6" w14:textId="638A26F9" w:rsidR="008712A5" w:rsidRDefault="00E71C33" w:rsidP="00E0213F">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Decision-makers </w:t>
      </w:r>
      <w:r w:rsidR="00294896">
        <w:t>must</w:t>
      </w:r>
      <w:r>
        <w:t>, however, consider whether such privileges ha</w:t>
      </w:r>
      <w:r w:rsidR="0050755E">
        <w:t>ve</w:t>
      </w:r>
      <w:r>
        <w:t xml:space="preserve"> been waived </w:t>
      </w:r>
      <w:r w:rsidR="008712A5">
        <w:t xml:space="preserve">before applying s 1.1(c). </w:t>
      </w:r>
      <w:r w:rsidR="004E3817">
        <w:t>It</w:t>
      </w:r>
      <w:r w:rsidR="002F5024">
        <w:t xml:space="preserve"> </w:t>
      </w:r>
      <w:r>
        <w:t xml:space="preserve">would </w:t>
      </w:r>
      <w:r w:rsidR="008712A5" w:rsidRPr="00BD672E">
        <w:t>not</w:t>
      </w:r>
      <w:r w:rsidR="008712A5" w:rsidRPr="008712A5">
        <w:t xml:space="preserve">, for example, </w:t>
      </w:r>
      <w:r>
        <w:t xml:space="preserve">apply where this information has since been made available in </w:t>
      </w:r>
      <w:r w:rsidR="008712A5">
        <w:t>the public arena</w:t>
      </w:r>
      <w:r w:rsidR="004A4897">
        <w:t>.</w:t>
      </w:r>
    </w:p>
    <w:p w14:paraId="5C40FB2D" w14:textId="31BF42BB" w:rsidR="0050755E" w:rsidRDefault="00792889" w:rsidP="00E0213F">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E2F3" w:themeFill="accent5" w:themeFillTint="33"/>
      </w:pPr>
      <w:r>
        <w:t>Decision-makers</w:t>
      </w:r>
      <w:r w:rsidR="00294896">
        <w:t xml:space="preserve"> should also take into account whether the standing orders of the relevant parliamentary body permit disclosure. For example,</w:t>
      </w:r>
      <w:r w:rsidR="00C62A8A">
        <w:t xml:space="preserve"> ACT</w:t>
      </w:r>
      <w:r w:rsidR="00294896">
        <w:t xml:space="preserve"> Legislative Assembly Standing Orders 241 and 243 identify circumstances in which information to which parliamentary privilege attaches may be disclosed.</w:t>
      </w:r>
      <w:r w:rsidR="00294896">
        <w:rPr>
          <w:rStyle w:val="FootnoteReference"/>
        </w:rPr>
        <w:footnoteReference w:id="36"/>
      </w:r>
      <w:r w:rsidR="0050755E">
        <w:t xml:space="preserve"> If</w:t>
      </w:r>
      <w:r w:rsidR="00C20A72">
        <w:t> </w:t>
      </w:r>
      <w:r w:rsidR="0050755E">
        <w:t>in</w:t>
      </w:r>
      <w:r w:rsidR="00C20A72">
        <w:t> </w:t>
      </w:r>
      <w:r w:rsidR="0050755E">
        <w:t>doubt, the relevant parliamentary committee should be consulted.</w:t>
      </w:r>
    </w:p>
    <w:p w14:paraId="71856259" w14:textId="465F2FDC" w:rsidR="00F71E05" w:rsidRPr="001D5D98" w:rsidRDefault="00F71E05" w:rsidP="009B05C4">
      <w:pPr>
        <w:pStyle w:val="Heading2"/>
        <w:numPr>
          <w:ilvl w:val="1"/>
          <w:numId w:val="54"/>
        </w:numPr>
        <w:ind w:left="567" w:hanging="567"/>
      </w:pPr>
      <w:bookmarkStart w:id="645" w:name="_Section_1.2_–"/>
      <w:bookmarkStart w:id="646" w:name="_Toc43385531"/>
      <w:bookmarkStart w:id="647" w:name="_Toc152067315"/>
      <w:bookmarkEnd w:id="645"/>
      <w:r w:rsidRPr="001D5D98">
        <w:t>Section 1.</w:t>
      </w:r>
      <w:r w:rsidR="001D5D98">
        <w:t>1A</w:t>
      </w:r>
      <w:r w:rsidRPr="001D5D98">
        <w:t xml:space="preserve"> – </w:t>
      </w:r>
      <w:r w:rsidR="008447A3">
        <w:t>I</w:t>
      </w:r>
      <w:r w:rsidRPr="001D5D98">
        <w:t>nformation in possession of a court or tribunal</w:t>
      </w:r>
      <w:bookmarkEnd w:id="646"/>
      <w:bookmarkEnd w:id="647"/>
    </w:p>
    <w:p w14:paraId="7954FF87" w14:textId="34920A14" w:rsidR="00E71C33" w:rsidRPr="001D5D98" w:rsidRDefault="00E71C33" w:rsidP="00E71C33">
      <w:pPr>
        <w:pStyle w:val="Heading4"/>
      </w:pPr>
      <w:r w:rsidRPr="001D5D98">
        <w:t xml:space="preserve">Background </w:t>
      </w:r>
    </w:p>
    <w:p w14:paraId="21AD0A82" w14:textId="4CC59367" w:rsidR="003232DF" w:rsidRDefault="00CB6F4F" w:rsidP="003232DF">
      <w:r>
        <w:t xml:space="preserve">The FOI Act only applies to </w:t>
      </w:r>
      <w:r w:rsidR="00C5345E">
        <w:t xml:space="preserve">information in the possession </w:t>
      </w:r>
      <w:r>
        <w:t xml:space="preserve">of courts or tribunals insofar as </w:t>
      </w:r>
      <w:r w:rsidR="00C5345E">
        <w:t xml:space="preserve">it </w:t>
      </w:r>
      <w:r>
        <w:t>relate</w:t>
      </w:r>
      <w:r w:rsidR="00C5345E">
        <w:t>s</w:t>
      </w:r>
      <w:r>
        <w:t xml:space="preserve"> to the management and administration of the court or tribunal’s registry and office resources. </w:t>
      </w:r>
      <w:r w:rsidR="003232DF">
        <w:t>It does</w:t>
      </w:r>
      <w:r w:rsidR="003232DF" w:rsidRPr="002A333A">
        <w:rPr>
          <w:bCs/>
        </w:rPr>
        <w:t xml:space="preserve"> </w:t>
      </w:r>
      <w:r w:rsidRPr="00BD672E">
        <w:t>not</w:t>
      </w:r>
      <w:r w:rsidRPr="001D5D98">
        <w:rPr>
          <w:b/>
        </w:rPr>
        <w:t xml:space="preserve"> </w:t>
      </w:r>
      <w:r>
        <w:t xml:space="preserve">apply to information relating to the proceedings or decision of a court or a tribunal, or to the exercise of the court’s judicial functions by an officer such as </w:t>
      </w:r>
      <w:r w:rsidR="00C5345E">
        <w:t>a</w:t>
      </w:r>
      <w:r>
        <w:t xml:space="preserve"> registrar. </w:t>
      </w:r>
    </w:p>
    <w:p w14:paraId="6B79790C" w14:textId="2672FA82" w:rsidR="00CB6F4F" w:rsidRDefault="00FF6161" w:rsidP="003232DF">
      <w:r>
        <w:t xml:space="preserve">This reflects an understanding that it is in the public interest to maintain judicial </w:t>
      </w:r>
      <w:r w:rsidR="00DA06ED">
        <w:t>independence and</w:t>
      </w:r>
      <w:r>
        <w:t xml:space="preserve"> ensure holder</w:t>
      </w:r>
      <w:r w:rsidR="00266AE3">
        <w:t>s</w:t>
      </w:r>
      <w:r>
        <w:t xml:space="preserve"> of judicial office can exercise authority ‘without fear or favour’.</w:t>
      </w:r>
      <w:r>
        <w:rPr>
          <w:rStyle w:val="FootnoteReference"/>
        </w:rPr>
        <w:footnoteReference w:id="37"/>
      </w:r>
      <w:r w:rsidR="003232DF">
        <w:t xml:space="preserve"> It also ensures that </w:t>
      </w:r>
      <w:r w:rsidR="00CB6F4F">
        <w:t xml:space="preserve">applicants </w:t>
      </w:r>
      <w:r w:rsidR="001D5D98">
        <w:t xml:space="preserve">do not </w:t>
      </w:r>
      <w:r w:rsidR="00CB6F4F">
        <w:t xml:space="preserve">bypass </w:t>
      </w:r>
      <w:r w:rsidR="003232DF">
        <w:t>a</w:t>
      </w:r>
      <w:r w:rsidR="00CB6F4F">
        <w:t xml:space="preserve">ppropriate </w:t>
      </w:r>
      <w:r w:rsidR="003232DF">
        <w:t xml:space="preserve">legal processes for accessing documents </w:t>
      </w:r>
      <w:r w:rsidR="00CB6F4F">
        <w:t>through the FOI Act.</w:t>
      </w:r>
    </w:p>
    <w:p w14:paraId="26942F1F" w14:textId="77777777" w:rsidR="00E71C33" w:rsidRPr="00CB6F4F" w:rsidRDefault="00E71C33" w:rsidP="00E71C33">
      <w:pPr>
        <w:pStyle w:val="Heading4"/>
      </w:pPr>
      <w:r w:rsidRPr="00CB6F4F">
        <w:t>Overview</w:t>
      </w:r>
    </w:p>
    <w:p w14:paraId="29D4C6FD" w14:textId="39932E38" w:rsidR="00CB6F4F" w:rsidRPr="004C2C17" w:rsidRDefault="00E71C33" w:rsidP="00EA44E0">
      <w:r w:rsidRPr="00CB6F4F">
        <w:t>Section 1.</w:t>
      </w:r>
      <w:r w:rsidR="00282CB2">
        <w:t>1A</w:t>
      </w:r>
      <w:r w:rsidRPr="00CB6F4F">
        <w:t xml:space="preserve"> </w:t>
      </w:r>
      <w:r w:rsidR="00684FC5">
        <w:t>provides that disclosure of</w:t>
      </w:r>
      <w:r w:rsidRPr="00CB6F4F">
        <w:t xml:space="preserve"> information is taken to be con</w:t>
      </w:r>
      <w:r w:rsidR="00CB6F4F" w:rsidRPr="00CB6F4F">
        <w:t xml:space="preserve">trary to the public interest if the information is in </w:t>
      </w:r>
      <w:r w:rsidR="00115271">
        <w:t xml:space="preserve">the </w:t>
      </w:r>
      <w:r w:rsidR="00CB6F4F" w:rsidRPr="00CB6F4F">
        <w:t>possession of a court o</w:t>
      </w:r>
      <w:r w:rsidR="00624CE0">
        <w:t>r</w:t>
      </w:r>
      <w:r w:rsidR="00CB6F4F" w:rsidRPr="00CB6F4F">
        <w:t xml:space="preserve"> tribunal </w:t>
      </w:r>
      <w:r w:rsidR="00CB6F4F" w:rsidRPr="00BD672E">
        <w:t>unless</w:t>
      </w:r>
      <w:r w:rsidR="00CB6F4F" w:rsidRPr="00CB6F4F">
        <w:t xml:space="preserve"> </w:t>
      </w:r>
      <w:r w:rsidR="008712A5">
        <w:t>it</w:t>
      </w:r>
      <w:r w:rsidR="00CB6F4F" w:rsidRPr="00CB6F4F">
        <w:t xml:space="preserve"> is </w:t>
      </w:r>
      <w:r w:rsidR="00CB6F4F">
        <w:t>of an administrative nature.</w:t>
      </w:r>
      <w:r w:rsidR="0029404E">
        <w:t xml:space="preserve"> </w:t>
      </w:r>
      <w:r w:rsidR="00CB6F4F">
        <w:t xml:space="preserve">The FOI Act defines a </w:t>
      </w:r>
      <w:r w:rsidR="006031BC">
        <w:t>‘</w:t>
      </w:r>
      <w:r w:rsidR="00CB6F4F" w:rsidRPr="006F08CA">
        <w:rPr>
          <w:i/>
          <w:iCs/>
        </w:rPr>
        <w:t>court</w:t>
      </w:r>
      <w:r w:rsidR="006031BC">
        <w:t>’</w:t>
      </w:r>
      <w:r w:rsidR="00CB6F4F">
        <w:t xml:space="preserve"> to </w:t>
      </w:r>
      <w:r w:rsidR="00CB6F4F" w:rsidRPr="004C2C17">
        <w:t>include:</w:t>
      </w:r>
    </w:p>
    <w:p w14:paraId="47C3BCB3" w14:textId="57C93B8E" w:rsidR="00CB6F4F" w:rsidRPr="004C2C17" w:rsidRDefault="00CB6F4F" w:rsidP="00BD672E">
      <w:pPr>
        <w:pStyle w:val="ListParagraph"/>
        <w:widowControl w:val="0"/>
        <w:numPr>
          <w:ilvl w:val="0"/>
          <w:numId w:val="85"/>
        </w:numPr>
        <w:ind w:left="357" w:hanging="357"/>
      </w:pPr>
      <w:r w:rsidRPr="004C2C17">
        <w:t>a registry or other office of a court o</w:t>
      </w:r>
      <w:r w:rsidR="00E4583B" w:rsidRPr="004C2C17">
        <w:t>r</w:t>
      </w:r>
      <w:r w:rsidR="00C4712D" w:rsidRPr="004C2C17">
        <w:t xml:space="preserve"> tribunal</w:t>
      </w:r>
    </w:p>
    <w:p w14:paraId="45F0F2B8" w14:textId="7755EC5F" w:rsidR="00CB6F4F" w:rsidRPr="004C2C17" w:rsidRDefault="00CB6F4F" w:rsidP="00BD672E">
      <w:pPr>
        <w:pStyle w:val="ListParagraph"/>
        <w:widowControl w:val="0"/>
        <w:numPr>
          <w:ilvl w:val="0"/>
          <w:numId w:val="85"/>
        </w:numPr>
        <w:ind w:left="357" w:hanging="357"/>
      </w:pPr>
      <w:r w:rsidRPr="004C2C17">
        <w:t>the staff of the registry or office.</w:t>
      </w:r>
      <w:r w:rsidRPr="004C2C17">
        <w:rPr>
          <w:rStyle w:val="FootnoteReference"/>
        </w:rPr>
        <w:footnoteReference w:id="38"/>
      </w:r>
    </w:p>
    <w:p w14:paraId="2FDA04B4" w14:textId="43F3E8B9" w:rsidR="003232DF" w:rsidRPr="004C2C17" w:rsidRDefault="003232DF" w:rsidP="003232DF">
      <w:r w:rsidRPr="004C2C17">
        <w:t xml:space="preserve">In </w:t>
      </w:r>
      <w:r w:rsidRPr="004C2C17">
        <w:rPr>
          <w:i/>
        </w:rPr>
        <w:t>Kline v Official Secretary to the Governor General</w:t>
      </w:r>
      <w:r w:rsidRPr="004C2C17">
        <w:t>,</w:t>
      </w:r>
      <w:r w:rsidR="00B0032C" w:rsidRPr="004C2C17">
        <w:rPr>
          <w:rStyle w:val="FootnoteReference"/>
        </w:rPr>
        <w:footnoteReference w:id="39"/>
      </w:r>
      <w:r w:rsidRPr="004C2C17">
        <w:t xml:space="preserve"> the High Court of Australia considered the meaning of the phrase</w:t>
      </w:r>
      <w:r w:rsidR="00115271" w:rsidRPr="004C2C17">
        <w:t xml:space="preserve"> ‘administrative nature’ </w:t>
      </w:r>
      <w:r w:rsidRPr="004C2C17">
        <w:t>and noted that information of an administrative nature would include ‘</w:t>
      </w:r>
      <w:r w:rsidRPr="004C2C17">
        <w:rPr>
          <w:rFonts w:cstheme="minorHAnsi"/>
          <w:color w:val="333333"/>
        </w:rPr>
        <w:t>those documents relating to the management and administration of registry and office resource</w:t>
      </w:r>
      <w:r w:rsidR="00115271" w:rsidRPr="004C2C17">
        <w:rPr>
          <w:rFonts w:cstheme="minorHAnsi"/>
          <w:color w:val="333333"/>
        </w:rPr>
        <w:t>s</w:t>
      </w:r>
      <w:r w:rsidR="00604E86" w:rsidRPr="004C2C17">
        <w:rPr>
          <w:rFonts w:cstheme="minorHAnsi"/>
          <w:color w:val="333333"/>
        </w:rPr>
        <w:t>.</w:t>
      </w:r>
      <w:r w:rsidRPr="004C2C17">
        <w:rPr>
          <w:rFonts w:cstheme="minorHAnsi"/>
          <w:color w:val="333333"/>
        </w:rPr>
        <w:t>’</w:t>
      </w:r>
    </w:p>
    <w:p w14:paraId="5331700A" w14:textId="77777777" w:rsidR="00FF6161" w:rsidRPr="004C2C17" w:rsidRDefault="00FF6161"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4C2C17">
        <w:rPr>
          <w:b/>
        </w:rPr>
        <w:t xml:space="preserve">Note: </w:t>
      </w:r>
    </w:p>
    <w:p w14:paraId="3A38146F" w14:textId="561BA6DE" w:rsidR="003232DF" w:rsidRPr="004C2C17" w:rsidRDefault="003232DF"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rsidRPr="004C2C17">
        <w:t xml:space="preserve">Section 1.1A is likely to </w:t>
      </w:r>
      <w:r w:rsidR="0067208F" w:rsidRPr="004C2C17">
        <w:t xml:space="preserve">only </w:t>
      </w:r>
      <w:r w:rsidRPr="004C2C17">
        <w:t xml:space="preserve">be relevant to courts or tribunals, as this provision does not apply in relation to any other copy of information </w:t>
      </w:r>
      <w:r w:rsidR="00E4583B" w:rsidRPr="004C2C17">
        <w:t>held or created by a court or</w:t>
      </w:r>
      <w:r w:rsidRPr="004C2C17">
        <w:t xml:space="preserve"> tribunal which may be in the possession of another territory directorate or authority. </w:t>
      </w:r>
    </w:p>
    <w:p w14:paraId="69F3A881" w14:textId="22093A11" w:rsidR="008712A5" w:rsidRPr="004C2C17" w:rsidRDefault="008712A5"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rsidRPr="004C2C17">
        <w:t xml:space="preserve">Such information </w:t>
      </w:r>
      <w:r w:rsidR="0067208F" w:rsidRPr="004C2C17">
        <w:t>may also</w:t>
      </w:r>
      <w:r w:rsidRPr="004C2C17">
        <w:t xml:space="preserve"> be considered contrary to the public interest </w:t>
      </w:r>
      <w:r w:rsidR="0067208F" w:rsidRPr="004C2C17">
        <w:t>to disclos</w:t>
      </w:r>
      <w:r w:rsidR="00C14A09" w:rsidRPr="004C2C17">
        <w:t>e</w:t>
      </w:r>
      <w:r w:rsidR="0067208F" w:rsidRPr="004C2C17">
        <w:t xml:space="preserve"> </w:t>
      </w:r>
      <w:r w:rsidRPr="004C2C17">
        <w:t xml:space="preserve">under other sections of the FOI Act </w:t>
      </w:r>
      <w:r w:rsidR="002236A0" w:rsidRPr="004C2C17">
        <w:rPr>
          <w:rFonts w:ascii="Calibri" w:hAnsi="Calibri" w:cs="Calibri"/>
        </w:rPr>
        <w:t xml:space="preserve">— </w:t>
      </w:r>
      <w:r w:rsidR="002236A0" w:rsidRPr="004C2C17">
        <w:t xml:space="preserve">see </w:t>
      </w:r>
      <w:r w:rsidR="00D920A5" w:rsidRPr="005F2609">
        <w:t>information disclosure of which would be in contempt of court</w:t>
      </w:r>
      <w:r w:rsidR="00295D06" w:rsidRPr="004C2C17">
        <w:t xml:space="preserve"> </w:t>
      </w:r>
      <w:r w:rsidR="005F2609">
        <w:t>[</w:t>
      </w:r>
      <w:hyperlink w:anchor="_Section_1.1_–" w:history="1">
        <w:r w:rsidR="005F2609" w:rsidRPr="005F2609">
          <w:rPr>
            <w:rStyle w:val="Hyperlink"/>
          </w:rPr>
          <w:t>5.2</w:t>
        </w:r>
      </w:hyperlink>
      <w:r w:rsidR="005F2609">
        <w:t xml:space="preserve">] </w:t>
      </w:r>
      <w:r w:rsidR="005B76D5">
        <w:t xml:space="preserve">above </w:t>
      </w:r>
      <w:r w:rsidR="00295D06" w:rsidRPr="004C2C17">
        <w:t>and</w:t>
      </w:r>
      <w:r w:rsidR="005F2609">
        <w:t xml:space="preserve"> </w:t>
      </w:r>
      <w:r w:rsidR="00FF30F8" w:rsidRPr="005F2609">
        <w:t>information subject to legal professional privilege</w:t>
      </w:r>
      <w:r w:rsidR="005F2609">
        <w:t xml:space="preserve"> [</w:t>
      </w:r>
      <w:hyperlink w:anchor="_Section_1.2_–_1" w:history="1">
        <w:r w:rsidR="005F2609" w:rsidRPr="005F2609">
          <w:rPr>
            <w:rStyle w:val="Hyperlink"/>
          </w:rPr>
          <w:t>5.5</w:t>
        </w:r>
      </w:hyperlink>
      <w:r w:rsidR="005F2609">
        <w:t xml:space="preserve">] below. </w:t>
      </w:r>
      <w:r w:rsidRPr="004C2C17">
        <w:t xml:space="preserve"> </w:t>
      </w:r>
    </w:p>
    <w:p w14:paraId="1F2D3525" w14:textId="05BD9B71" w:rsidR="008712A5" w:rsidRPr="004C2C17" w:rsidRDefault="008712A5"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rsidRPr="004C2C17">
        <w:t xml:space="preserve">For specific </w:t>
      </w:r>
      <w:r w:rsidR="00C14A09" w:rsidRPr="004C2C17">
        <w:t xml:space="preserve">guidance </w:t>
      </w:r>
      <w:r w:rsidRPr="004C2C17">
        <w:t xml:space="preserve">on the phrase ‘in possession of’ </w:t>
      </w:r>
      <w:r w:rsidR="002236A0" w:rsidRPr="004C2C17">
        <w:rPr>
          <w:rFonts w:ascii="Calibri" w:hAnsi="Calibri" w:cs="Calibri"/>
        </w:rPr>
        <w:t xml:space="preserve">— </w:t>
      </w:r>
      <w:r w:rsidR="002236A0" w:rsidRPr="004C2C17">
        <w:t xml:space="preserve">see </w:t>
      </w:r>
      <w:hyperlink w:anchor="_In_the_possession" w:history="1">
        <w:r w:rsidR="004A4C41" w:rsidRPr="004C2C17">
          <w:rPr>
            <w:rStyle w:val="Hyperlink"/>
          </w:rPr>
          <w:t>[4.3]</w:t>
        </w:r>
      </w:hyperlink>
      <w:r w:rsidR="007A1F36" w:rsidRPr="004C2C17">
        <w:t xml:space="preserve"> above. </w:t>
      </w:r>
    </w:p>
    <w:p w14:paraId="3A93A168" w14:textId="239ACE4F" w:rsidR="00576C96" w:rsidRPr="004C2C17" w:rsidRDefault="00576C96" w:rsidP="009B05C4">
      <w:pPr>
        <w:pStyle w:val="Heading2"/>
        <w:numPr>
          <w:ilvl w:val="1"/>
          <w:numId w:val="54"/>
        </w:numPr>
        <w:ind w:left="567" w:hanging="567"/>
      </w:pPr>
      <w:bookmarkStart w:id="648" w:name="_Section_1.3_–_1"/>
      <w:bookmarkStart w:id="649" w:name="_Section_1.1B_–"/>
      <w:bookmarkStart w:id="650" w:name="_Toc43385532"/>
      <w:bookmarkStart w:id="651" w:name="_Toc152067316"/>
      <w:bookmarkEnd w:id="648"/>
      <w:bookmarkEnd w:id="649"/>
      <w:r w:rsidRPr="004C2C17">
        <w:t xml:space="preserve">Section 1.1B – information </w:t>
      </w:r>
      <w:r w:rsidR="00931EA0" w:rsidRPr="004C2C17">
        <w:t>in possession of integrity commission or inspector of the integrity commission</w:t>
      </w:r>
      <w:bookmarkEnd w:id="650"/>
      <w:bookmarkEnd w:id="651"/>
    </w:p>
    <w:p w14:paraId="332541CE" w14:textId="33C81BA4" w:rsidR="00931EA0" w:rsidRPr="004C2C17" w:rsidRDefault="00931EA0" w:rsidP="00931EA0">
      <w:pPr>
        <w:pStyle w:val="Heading4"/>
      </w:pPr>
      <w:r w:rsidRPr="004C2C17">
        <w:t>Background</w:t>
      </w:r>
    </w:p>
    <w:p w14:paraId="535C3844" w14:textId="427ED5D3" w:rsidR="00FB311D" w:rsidRPr="004C2C17" w:rsidRDefault="00282CB2" w:rsidP="00931EA0">
      <w:r w:rsidRPr="004C2C17">
        <w:t xml:space="preserve">The ACT Integrity Commission </w:t>
      </w:r>
      <w:r w:rsidR="000F0251" w:rsidRPr="004C2C17">
        <w:t>(</w:t>
      </w:r>
      <w:r w:rsidR="003C1580">
        <w:t>‘</w:t>
      </w:r>
      <w:r w:rsidR="00FB311D" w:rsidRPr="004C2C17">
        <w:t>Commission</w:t>
      </w:r>
      <w:r w:rsidR="003C1580">
        <w:t>’</w:t>
      </w:r>
      <w:r w:rsidR="00FB311D" w:rsidRPr="004C2C17">
        <w:t xml:space="preserve">) </w:t>
      </w:r>
      <w:r w:rsidRPr="004C2C17">
        <w:t>has the power to investigate corruption in public administration and strengthen public confidence in government integrity.</w:t>
      </w:r>
      <w:r w:rsidR="00432A5C" w:rsidRPr="004C2C17">
        <w:t xml:space="preserve"> </w:t>
      </w:r>
    </w:p>
    <w:p w14:paraId="1ED930A8" w14:textId="393F04AE" w:rsidR="00931EA0" w:rsidRPr="004C2C17" w:rsidRDefault="00170C44" w:rsidP="00931EA0">
      <w:r w:rsidRPr="004C2C17">
        <w:t>The Inspector</w:t>
      </w:r>
      <w:r w:rsidR="00FB311D" w:rsidRPr="004C2C17">
        <w:t xml:space="preserve"> of the Integrity Commission</w:t>
      </w:r>
      <w:r w:rsidRPr="004C2C17">
        <w:t xml:space="preserve"> </w:t>
      </w:r>
      <w:r w:rsidR="000F0251" w:rsidRPr="004C2C17">
        <w:t>(</w:t>
      </w:r>
      <w:r w:rsidR="003C1580">
        <w:t>‘</w:t>
      </w:r>
      <w:r w:rsidR="00FB311D" w:rsidRPr="004C2C17">
        <w:t>Inspector</w:t>
      </w:r>
      <w:r w:rsidR="003C1580">
        <w:t>’</w:t>
      </w:r>
      <w:r w:rsidR="00FB311D" w:rsidRPr="004C2C17">
        <w:t xml:space="preserve">) </w:t>
      </w:r>
      <w:r w:rsidRPr="004C2C17">
        <w:t>undertakes the following functions:</w:t>
      </w:r>
    </w:p>
    <w:p w14:paraId="62B7F24F" w14:textId="77777777" w:rsidR="00170C44" w:rsidRPr="004C2C17" w:rsidRDefault="00170C44" w:rsidP="00170C44">
      <w:pPr>
        <w:pStyle w:val="ListParagraph"/>
        <w:numPr>
          <w:ilvl w:val="0"/>
          <w:numId w:val="137"/>
        </w:numPr>
        <w:ind w:left="426"/>
      </w:pPr>
      <w:r w:rsidRPr="004C2C17">
        <w:t>investigates and assesses complaints about the Commission and its staff</w:t>
      </w:r>
    </w:p>
    <w:p w14:paraId="35248E0C" w14:textId="77777777" w:rsidR="00170C44" w:rsidRPr="004C2C17" w:rsidRDefault="00170C44" w:rsidP="00170C44">
      <w:pPr>
        <w:pStyle w:val="ListParagraph"/>
        <w:numPr>
          <w:ilvl w:val="0"/>
          <w:numId w:val="137"/>
        </w:numPr>
        <w:ind w:left="426"/>
      </w:pPr>
      <w:r w:rsidRPr="004C2C17">
        <w:t>makes recommendations to the Commission</w:t>
      </w:r>
    </w:p>
    <w:p w14:paraId="64AC01D0" w14:textId="6BCB9F6A" w:rsidR="00170C44" w:rsidRPr="004C2C17" w:rsidRDefault="00170C44" w:rsidP="00170C44">
      <w:pPr>
        <w:pStyle w:val="ListParagraph"/>
        <w:numPr>
          <w:ilvl w:val="0"/>
          <w:numId w:val="137"/>
        </w:numPr>
        <w:ind w:left="426"/>
      </w:pPr>
      <w:r w:rsidRPr="004C2C17">
        <w:t xml:space="preserve">assesses and reports on the Commission’s compliance with the </w:t>
      </w:r>
      <w:r w:rsidRPr="00BD672E">
        <w:t>Integrity Commission Act.</w:t>
      </w:r>
    </w:p>
    <w:p w14:paraId="04E9675F" w14:textId="27B86FEB" w:rsidR="00931EA0" w:rsidRPr="004C2C17" w:rsidRDefault="00931EA0" w:rsidP="00931EA0">
      <w:pPr>
        <w:pStyle w:val="Heading4"/>
      </w:pPr>
      <w:r w:rsidRPr="004C2C17">
        <w:t>Overview</w:t>
      </w:r>
    </w:p>
    <w:p w14:paraId="4EA090B2" w14:textId="7C74FCDB" w:rsidR="00282CB2" w:rsidRPr="004C2C17" w:rsidRDefault="00282CB2" w:rsidP="00931EA0">
      <w:r w:rsidRPr="004C2C17">
        <w:t xml:space="preserve">Section 1.1B </w:t>
      </w:r>
      <w:r w:rsidR="00432A5C" w:rsidRPr="004C2C17">
        <w:t xml:space="preserve">provides that disclosure of information is taken to be contrary to the public interest if the information is in the possession of the Commission or </w:t>
      </w:r>
      <w:r w:rsidR="00FB311D" w:rsidRPr="004C2C17">
        <w:t xml:space="preserve">the </w:t>
      </w:r>
      <w:r w:rsidR="00432A5C" w:rsidRPr="004C2C17">
        <w:t xml:space="preserve">Inspector </w:t>
      </w:r>
      <w:r w:rsidR="00432A5C" w:rsidRPr="00BD672E">
        <w:t>unless</w:t>
      </w:r>
      <w:r w:rsidR="00432A5C" w:rsidRPr="004C2C17">
        <w:t xml:space="preserve"> it is of an administrative nature </w:t>
      </w:r>
      <w:r w:rsidR="00FB311D" w:rsidRPr="004C2C17">
        <w:t>(</w:t>
      </w:r>
      <w:r w:rsidR="00432A5C" w:rsidRPr="004C2C17">
        <w:t>e.g. management and administration of the Commission</w:t>
      </w:r>
      <w:r w:rsidR="00FB311D" w:rsidRPr="004C2C17">
        <w:t>)</w:t>
      </w:r>
      <w:r w:rsidR="00432A5C" w:rsidRPr="004C2C17">
        <w:t>.</w:t>
      </w:r>
    </w:p>
    <w:p w14:paraId="661DC886" w14:textId="77777777" w:rsidR="00FB311D" w:rsidRPr="004C2C17" w:rsidRDefault="00FB311D"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4C2C17">
        <w:rPr>
          <w:b/>
        </w:rPr>
        <w:t xml:space="preserve">Note: </w:t>
      </w:r>
    </w:p>
    <w:p w14:paraId="1FA2B218" w14:textId="3F35C8F4" w:rsidR="00FB311D" w:rsidRPr="004C2C17" w:rsidRDefault="00FB311D"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rsidRPr="004C2C17">
        <w:t>Section 1.1B is likely to only be relevant to the Commission</w:t>
      </w:r>
      <w:r w:rsidR="0028730D">
        <w:t xml:space="preserve"> or Inspector</w:t>
      </w:r>
      <w:r w:rsidRPr="004C2C17">
        <w:t>, as this provision does not apply in relation to any other copy of information held or created by the Commission</w:t>
      </w:r>
      <w:r w:rsidR="0028730D">
        <w:t xml:space="preserve"> or Inspector</w:t>
      </w:r>
      <w:r w:rsidRPr="004C2C17">
        <w:t xml:space="preserve"> which may be in the possession of another territory directorate or authority. </w:t>
      </w:r>
    </w:p>
    <w:p w14:paraId="21102411" w14:textId="7E4CCD8E" w:rsidR="00FB311D" w:rsidRPr="004C2C17" w:rsidRDefault="00FB311D"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rsidRPr="004C2C17">
        <w:t>For specific guidance on the phrase ‘in possession of’</w:t>
      </w:r>
      <w:r w:rsidR="00EF3771" w:rsidRPr="00BD672E">
        <w:rPr>
          <w:rFonts w:ascii="Calibri" w:hAnsi="Calibri"/>
        </w:rPr>
        <w:t xml:space="preserve"> </w:t>
      </w:r>
      <w:r w:rsidR="00C9117C" w:rsidRPr="004C2C17">
        <w:rPr>
          <w:rFonts w:ascii="Calibri" w:hAnsi="Calibri" w:cs="Calibri"/>
        </w:rPr>
        <w:t xml:space="preserve">— </w:t>
      </w:r>
      <w:r w:rsidR="00C9117C" w:rsidRPr="004C2C17">
        <w:t xml:space="preserve">see </w:t>
      </w:r>
      <w:hyperlink w:anchor="_In_the_possession" w:history="1">
        <w:r w:rsidR="00C9117C" w:rsidRPr="004C2C17">
          <w:rPr>
            <w:rStyle w:val="Hyperlink"/>
          </w:rPr>
          <w:t>[4.3]</w:t>
        </w:r>
      </w:hyperlink>
      <w:r w:rsidR="00C9117C" w:rsidRPr="004C2C17">
        <w:t xml:space="preserve"> above.</w:t>
      </w:r>
    </w:p>
    <w:p w14:paraId="1664FFB1" w14:textId="6792A13A" w:rsidR="00F71E05" w:rsidRPr="004C2C17" w:rsidRDefault="00F71E05" w:rsidP="009B05C4">
      <w:pPr>
        <w:pStyle w:val="Heading2"/>
        <w:numPr>
          <w:ilvl w:val="1"/>
          <w:numId w:val="54"/>
        </w:numPr>
        <w:ind w:left="567" w:hanging="567"/>
      </w:pPr>
      <w:bookmarkStart w:id="652" w:name="_Section_1.2_–_1"/>
      <w:bookmarkStart w:id="653" w:name="_Section__1.2"/>
      <w:bookmarkStart w:id="654" w:name="_Toc43385533"/>
      <w:bookmarkStart w:id="655" w:name="_Toc152067317"/>
      <w:bookmarkEnd w:id="652"/>
      <w:bookmarkEnd w:id="653"/>
      <w:r w:rsidRPr="004C2C17">
        <w:t>Section 1.</w:t>
      </w:r>
      <w:r w:rsidR="001D5D98" w:rsidRPr="004C2C17">
        <w:t>2</w:t>
      </w:r>
      <w:r w:rsidRPr="004C2C17">
        <w:t xml:space="preserve"> – </w:t>
      </w:r>
      <w:r w:rsidR="00517247" w:rsidRPr="004C2C17">
        <w:t>I</w:t>
      </w:r>
      <w:r w:rsidRPr="004C2C17">
        <w:t>nformation subject to legal professional privilege</w:t>
      </w:r>
      <w:bookmarkEnd w:id="654"/>
      <w:bookmarkEnd w:id="655"/>
    </w:p>
    <w:p w14:paraId="3BB1DD00" w14:textId="77777777" w:rsidR="00F71E05" w:rsidRPr="00B55795" w:rsidRDefault="00F71E05" w:rsidP="00F71E05">
      <w:pPr>
        <w:pStyle w:val="Heading4"/>
      </w:pPr>
      <w:r w:rsidRPr="00B55795">
        <w:t>Background</w:t>
      </w:r>
    </w:p>
    <w:p w14:paraId="1C405F4D" w14:textId="2778FB59" w:rsidR="003232DF" w:rsidRDefault="009F5737" w:rsidP="003232DF">
      <w:r>
        <w:t xml:space="preserve">It is considered to be in the public interest that </w:t>
      </w:r>
      <w:r w:rsidRPr="002B0F7E">
        <w:t xml:space="preserve">a client can make full and frank disclosure to their legal </w:t>
      </w:r>
      <w:r>
        <w:t>practitioner,</w:t>
      </w:r>
      <w:r w:rsidRPr="002B0F7E">
        <w:t xml:space="preserve"> who in turn can then fully advise them and represent them</w:t>
      </w:r>
      <w:r>
        <w:t>.</w:t>
      </w:r>
      <w:r>
        <w:rPr>
          <w:rStyle w:val="FootnoteReference"/>
        </w:rPr>
        <w:footnoteReference w:id="40"/>
      </w:r>
      <w:r w:rsidR="003232DF">
        <w:t xml:space="preserve"> </w:t>
      </w:r>
      <w:r w:rsidR="00AE5773">
        <w:br/>
      </w:r>
      <w:r w:rsidR="00AE5773">
        <w:br/>
      </w:r>
      <w:r w:rsidR="00AE5773">
        <w:br/>
        <w:t>A</w:t>
      </w:r>
      <w:r w:rsidR="003232DF">
        <w:t xml:space="preserve"> person can rely on </w:t>
      </w:r>
      <w:r w:rsidR="00B0032C">
        <w:t>l</w:t>
      </w:r>
      <w:r w:rsidR="003232DF">
        <w:t>e</w:t>
      </w:r>
      <w:r w:rsidR="00F71E05">
        <w:t xml:space="preserve">gal </w:t>
      </w:r>
      <w:r w:rsidR="00B0032C">
        <w:t>professional privilege (or client legal privilege) (</w:t>
      </w:r>
      <w:r w:rsidR="00E07277">
        <w:t>‘</w:t>
      </w:r>
      <w:r w:rsidR="00B0032C">
        <w:t>LPP</w:t>
      </w:r>
      <w:r w:rsidR="00E07277">
        <w:t>’</w:t>
      </w:r>
      <w:r w:rsidR="00B0032C">
        <w:t xml:space="preserve">) </w:t>
      </w:r>
      <w:r w:rsidR="003232DF">
        <w:t>to resist providing information, which would reveal confidential communications made in the context of a legal practitioner-client relationship.</w:t>
      </w:r>
      <w:r w:rsidR="00634426">
        <w:rPr>
          <w:rStyle w:val="FootnoteReference"/>
        </w:rPr>
        <w:footnoteReference w:id="41"/>
      </w:r>
    </w:p>
    <w:p w14:paraId="24A02459" w14:textId="77777777" w:rsidR="00F71E05" w:rsidRDefault="00F71E05" w:rsidP="00F71E05">
      <w:pPr>
        <w:pStyle w:val="Heading4"/>
      </w:pPr>
      <w:r>
        <w:t>Overview</w:t>
      </w:r>
    </w:p>
    <w:p w14:paraId="6DE7E676" w14:textId="6A4DD4CD" w:rsidR="003232DF" w:rsidRDefault="0027357D" w:rsidP="006A0C84">
      <w:r>
        <w:t>Section 1.2</w:t>
      </w:r>
      <w:r w:rsidR="00E71C33">
        <w:t xml:space="preserve"> provides disclosure </w:t>
      </w:r>
      <w:r w:rsidR="00684FC5">
        <w:t xml:space="preserve">of </w:t>
      </w:r>
      <w:r w:rsidR="00E71C33">
        <w:t xml:space="preserve">information is taken to be contrary to the public interest if </w:t>
      </w:r>
      <w:r w:rsidR="007772EF">
        <w:t>the information</w:t>
      </w:r>
      <w:r w:rsidR="00E71C33">
        <w:t xml:space="preserve"> would</w:t>
      </w:r>
      <w:r w:rsidR="00F71E05">
        <w:t xml:space="preserve"> be privileged from production or admission into evidence in a legal proceeding on the ground of</w:t>
      </w:r>
      <w:r w:rsidR="00E71C33">
        <w:t xml:space="preserve"> LPP</w:t>
      </w:r>
      <w:r w:rsidR="00F71E05">
        <w:t xml:space="preserve">. </w:t>
      </w:r>
      <w:r w:rsidR="00E71C33">
        <w:t>LPP</w:t>
      </w:r>
      <w:r w:rsidR="00F71E05">
        <w:t xml:space="preserve"> is not </w:t>
      </w:r>
      <w:r w:rsidR="00957BB0">
        <w:t xml:space="preserve">expressly </w:t>
      </w:r>
      <w:r w:rsidR="00F71E05">
        <w:t>defined in the FOI Act</w:t>
      </w:r>
      <w:r w:rsidR="00957BB0">
        <w:t>.</w:t>
      </w:r>
      <w:r w:rsidR="003C65DB">
        <w:t xml:space="preserve"> </w:t>
      </w:r>
      <w:r w:rsidR="00957BB0">
        <w:t xml:space="preserve">In </w:t>
      </w:r>
      <w:r w:rsidR="003C65DB">
        <w:t xml:space="preserve">accordance with </w:t>
      </w:r>
      <w:r w:rsidR="00F71E05">
        <w:t xml:space="preserve">common law </w:t>
      </w:r>
      <w:r w:rsidR="003C65DB">
        <w:t>principles</w:t>
      </w:r>
      <w:r w:rsidR="003232DF">
        <w:t>,</w:t>
      </w:r>
      <w:r w:rsidR="003C65DB">
        <w:t xml:space="preserve"> for LPP to apply:</w:t>
      </w:r>
    </w:p>
    <w:p w14:paraId="07D35A01" w14:textId="2D8A68A5" w:rsidR="003232DF" w:rsidRDefault="003232DF" w:rsidP="006A0C84">
      <w:pPr>
        <w:pStyle w:val="ListParagraph"/>
        <w:numPr>
          <w:ilvl w:val="0"/>
          <w:numId w:val="58"/>
        </w:numPr>
      </w:pPr>
      <w:r>
        <w:t xml:space="preserve">an independent </w:t>
      </w:r>
      <w:r w:rsidRPr="003C65DB">
        <w:rPr>
          <w:bCs/>
        </w:rPr>
        <w:t>legal</w:t>
      </w:r>
      <w:r>
        <w:t xml:space="preserve"> practitioner and client </w:t>
      </w:r>
      <w:r w:rsidRPr="007B49E2">
        <w:rPr>
          <w:b/>
        </w:rPr>
        <w:t>relationship</w:t>
      </w:r>
      <w:r>
        <w:t xml:space="preserve"> must exist</w:t>
      </w:r>
      <w:r w:rsidR="00403C9F">
        <w:t>, and</w:t>
      </w:r>
    </w:p>
    <w:p w14:paraId="52307EBA" w14:textId="36B587B4" w:rsidR="003232DF" w:rsidRDefault="003232DF" w:rsidP="006A0C84">
      <w:pPr>
        <w:pStyle w:val="ListParagraph"/>
        <w:numPr>
          <w:ilvl w:val="0"/>
          <w:numId w:val="58"/>
        </w:numPr>
      </w:pPr>
      <w:r>
        <w:t xml:space="preserve">the communication must have been made </w:t>
      </w:r>
      <w:r w:rsidRPr="005A6D19">
        <w:t>for the</w:t>
      </w:r>
      <w:r>
        <w:rPr>
          <w:b/>
        </w:rPr>
        <w:t> </w:t>
      </w:r>
      <w:r w:rsidRPr="007B49E2">
        <w:rPr>
          <w:b/>
        </w:rPr>
        <w:t>purpose</w:t>
      </w:r>
      <w:r>
        <w:t xml:space="preserve"> of giving or receiving legal advice, or for use in lit</w:t>
      </w:r>
      <w:r w:rsidR="008712A5">
        <w:t>igation (actual or anticipated), and</w:t>
      </w:r>
    </w:p>
    <w:p w14:paraId="7734F3DB" w14:textId="3BFC1BFA" w:rsidR="003C65DB" w:rsidRDefault="003232DF" w:rsidP="006A0C84">
      <w:pPr>
        <w:pStyle w:val="ListParagraph"/>
        <w:numPr>
          <w:ilvl w:val="0"/>
          <w:numId w:val="58"/>
        </w:numPr>
      </w:pPr>
      <w:r>
        <w:t xml:space="preserve">the advice must have been </w:t>
      </w:r>
      <w:r w:rsidRPr="007B49E2">
        <w:rPr>
          <w:b/>
        </w:rPr>
        <w:t>confidential</w:t>
      </w:r>
      <w:r w:rsidRPr="00BD672E">
        <w:t>.</w:t>
      </w:r>
      <w:r w:rsidR="003C65DB">
        <w:rPr>
          <w:rStyle w:val="FootnoteReference"/>
        </w:rPr>
        <w:footnoteReference w:id="42"/>
      </w:r>
    </w:p>
    <w:p w14:paraId="206B4B50" w14:textId="5D2DDE5F" w:rsidR="00700ADA" w:rsidRDefault="003C65DB" w:rsidP="006A0C84">
      <w:r>
        <w:t>Each of these elemen</w:t>
      </w:r>
      <w:r w:rsidR="002270FB">
        <w:t xml:space="preserve">ts </w:t>
      </w:r>
      <w:r w:rsidR="00957BB0">
        <w:t xml:space="preserve">is </w:t>
      </w:r>
      <w:r w:rsidR="002270FB">
        <w:t xml:space="preserve">discussed in detail below, as well as situations in which LPP will </w:t>
      </w:r>
      <w:r w:rsidR="002270FB" w:rsidRPr="00BD672E">
        <w:t>not</w:t>
      </w:r>
      <w:r w:rsidR="002270FB">
        <w:t xml:space="preserve"> a</w:t>
      </w:r>
      <w:r w:rsidR="003232DF">
        <w:t>pply because it has been waived or the communications were made for an improper purpose.</w:t>
      </w:r>
      <w:r w:rsidR="007636A8">
        <w:t xml:space="preserve"> </w:t>
      </w:r>
      <w:r w:rsidR="007636A8" w:rsidRPr="006356D1">
        <w:t>Whe</w:t>
      </w:r>
      <w:r w:rsidR="00CA4462">
        <w:t>re Schedule 1 s 1.2 is not relied on</w:t>
      </w:r>
      <w:r w:rsidR="007636A8" w:rsidRPr="006356D1">
        <w:t xml:space="preserve">, Schedule 2, s 2.2(b)(ii) may be relevant as a factor favouring non-disclosure when applying the public interest test (see </w:t>
      </w:r>
      <w:hyperlink w:anchor="_Section_2.2(b)(ii)_–_1" w:history="1">
        <w:r w:rsidR="00BD1B11" w:rsidRPr="006356D1">
          <w:rPr>
            <w:rStyle w:val="Hyperlink"/>
          </w:rPr>
          <w:t>[8.20]</w:t>
        </w:r>
      </w:hyperlink>
      <w:r w:rsidR="007636A8" w:rsidRPr="006356D1">
        <w:t xml:space="preserve"> below).</w:t>
      </w:r>
      <w:r w:rsidR="007636A8">
        <w:t xml:space="preserve"> </w:t>
      </w:r>
    </w:p>
    <w:p w14:paraId="4D62C93D" w14:textId="222FAE15" w:rsidR="007636A8" w:rsidRDefault="00FB2D58" w:rsidP="006A0C84">
      <w:r>
        <w:t xml:space="preserve">Unlike other categories of information listed in Schedule 1 subject to </w:t>
      </w:r>
      <w:r w:rsidRPr="005D12A3">
        <w:t>exceptions</w:t>
      </w:r>
      <w:r w:rsidR="005D12A3">
        <w:t xml:space="preserve"> (see </w:t>
      </w:r>
      <w:hyperlink w:anchor="_Exceptions" w:history="1">
        <w:r w:rsidR="00B80C79">
          <w:rPr>
            <w:rStyle w:val="Hyperlink"/>
          </w:rPr>
          <w:t>[5.1]</w:t>
        </w:r>
      </w:hyperlink>
      <w:r w:rsidR="005D12A3">
        <w:t xml:space="preserve"> above)</w:t>
      </w:r>
      <w:r>
        <w:t xml:space="preserve">, information subject to legal professional privilege </w:t>
      </w:r>
      <w:r w:rsidR="00646518">
        <w:t xml:space="preserve">is </w:t>
      </w:r>
      <w:r w:rsidR="00957BB0">
        <w:t xml:space="preserve">taken to be </w:t>
      </w:r>
      <w:r w:rsidR="00646518">
        <w:t xml:space="preserve">contrary to the public interest </w:t>
      </w:r>
      <w:r w:rsidR="00957BB0">
        <w:t>information</w:t>
      </w:r>
      <w:r w:rsidR="00646518">
        <w:t xml:space="preserve"> even if it identifies corruption, </w:t>
      </w:r>
      <w:r w:rsidR="00646518" w:rsidRPr="00646518">
        <w:t>or the commission of an offence by a public official, or that the scope of a law enforcement investigation has exceeded the limits imposed by law.</w:t>
      </w:r>
      <w:r w:rsidR="00DF0F09">
        <w:t xml:space="preserve"> This was not the case prior to the 2023 amendments.</w:t>
      </w:r>
      <w:r w:rsidR="00E30199">
        <w:rPr>
          <w:rStyle w:val="FootnoteReference"/>
        </w:rPr>
        <w:footnoteReference w:id="43"/>
      </w:r>
    </w:p>
    <w:p w14:paraId="58E9564D" w14:textId="66781306" w:rsidR="003C65DB" w:rsidRPr="003C65DB" w:rsidRDefault="003C65DB"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3C65DB">
        <w:rPr>
          <w:b/>
        </w:rPr>
        <w:t>Note</w:t>
      </w:r>
      <w:r>
        <w:rPr>
          <w:b/>
        </w:rPr>
        <w:t>:</w:t>
      </w:r>
    </w:p>
    <w:p w14:paraId="54610AB4" w14:textId="4BA7438A" w:rsidR="00BF3DAE" w:rsidRDefault="00BF3DAE" w:rsidP="00E0213F">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E2F3" w:themeFill="accent5" w:themeFillTint="33"/>
      </w:pPr>
      <w:r w:rsidRPr="00BF3DAE">
        <w:t>LPP must be considered in the context of the particular facts of the case. As the Queensland Information Commissioner has noted, ‘just because a certain document is subject to LPP in one case does not necessarily mean the same type of document will attract LPP in a different set of circumstances’.</w:t>
      </w:r>
      <w:r>
        <w:rPr>
          <w:rStyle w:val="FootnoteReference"/>
        </w:rPr>
        <w:footnoteReference w:id="44"/>
      </w:r>
    </w:p>
    <w:p w14:paraId="35150E57" w14:textId="441EF0CB" w:rsidR="00F71E05" w:rsidRDefault="00EE2FDB" w:rsidP="00E0213F">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E2F3" w:themeFill="accent5" w:themeFillTint="33"/>
      </w:pPr>
      <w:r>
        <w:t>The fact that a</w:t>
      </w:r>
      <w:r w:rsidR="00F71E05">
        <w:t xml:space="preserve"> document is marked ‘Legal-in-confidence’ might be indicative </w:t>
      </w:r>
      <w:r>
        <w:t xml:space="preserve">that LPP </w:t>
      </w:r>
      <w:r w:rsidR="00266AE3">
        <w:t>may apply</w:t>
      </w:r>
      <w:r w:rsidR="00F71E05">
        <w:t xml:space="preserve">, </w:t>
      </w:r>
      <w:r>
        <w:t xml:space="preserve">however </w:t>
      </w:r>
      <w:r w:rsidR="00F71E05">
        <w:t xml:space="preserve">it is not determinative. </w:t>
      </w:r>
      <w:r w:rsidR="003C65DB">
        <w:t xml:space="preserve">Decision-makers must consider </w:t>
      </w:r>
      <w:r w:rsidR="00F71E05">
        <w:t xml:space="preserve">whether all of the elements of LPP apply, and whether the privilege has been waived. </w:t>
      </w:r>
    </w:p>
    <w:p w14:paraId="7D7DA3CA" w14:textId="0184950C" w:rsidR="007636A8" w:rsidRPr="007636A8" w:rsidRDefault="003232DF" w:rsidP="007636A8">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E2F3" w:themeFill="accent5" w:themeFillTint="33"/>
      </w:pPr>
      <w:r>
        <w:t>Where a document contains some information to which LPP attaches and other information that is not privileged, information officers should consider whether the privileged information can be redacted.</w:t>
      </w:r>
      <w:r w:rsidR="00287E8C">
        <w:rPr>
          <w:rStyle w:val="FootnoteReference"/>
        </w:rPr>
        <w:footnoteReference w:id="45"/>
      </w:r>
      <w:r>
        <w:t xml:space="preserve"> </w:t>
      </w:r>
    </w:p>
    <w:p w14:paraId="2286419F" w14:textId="40010D9D" w:rsidR="00F71E05" w:rsidRDefault="00F71E05" w:rsidP="00F71E05">
      <w:pPr>
        <w:pStyle w:val="Heading4"/>
      </w:pPr>
      <w:r w:rsidRPr="009A3480">
        <w:t>Legal practitioner</w:t>
      </w:r>
      <w:r>
        <w:t xml:space="preserve">-client relationship </w:t>
      </w:r>
    </w:p>
    <w:p w14:paraId="13903566" w14:textId="234F18B9" w:rsidR="00F71E05" w:rsidRDefault="00FC28FC" w:rsidP="00FC28FC">
      <w:pPr>
        <w:ind w:right="119"/>
      </w:pPr>
      <w:r>
        <w:t>To determine whether s 1.2 is applicable, d</w:t>
      </w:r>
      <w:r w:rsidR="00A32F2E">
        <w:t>ecision-makers must</w:t>
      </w:r>
      <w:r>
        <w:t xml:space="preserve"> first </w:t>
      </w:r>
      <w:r w:rsidR="00A32F2E">
        <w:t xml:space="preserve">consider whether the information was created in the context of </w:t>
      </w:r>
      <w:r>
        <w:t xml:space="preserve">a </w:t>
      </w:r>
      <w:r w:rsidR="00A32F2E">
        <w:t>lega</w:t>
      </w:r>
      <w:r>
        <w:t>l</w:t>
      </w:r>
      <w:r w:rsidR="0027357D">
        <w:t xml:space="preserve"> </w:t>
      </w:r>
      <w:r w:rsidR="00A32F2E">
        <w:t>practitioner</w:t>
      </w:r>
      <w:r w:rsidR="0027357D">
        <w:t>-</w:t>
      </w:r>
      <w:r w:rsidR="00A32F2E">
        <w:t>client relationship</w:t>
      </w:r>
      <w:r>
        <w:t xml:space="preserve"> – that is, was the information sought from a legal practitioner in their professional capacity</w:t>
      </w:r>
      <w:r w:rsidR="00C1086D">
        <w:t>.</w:t>
      </w:r>
      <w:r w:rsidR="00F71E05">
        <w:rPr>
          <w:rStyle w:val="FootnoteReference"/>
        </w:rPr>
        <w:footnoteReference w:id="46"/>
      </w:r>
      <w:r w:rsidR="00A32F2E">
        <w:t xml:space="preserve"> </w:t>
      </w:r>
    </w:p>
    <w:p w14:paraId="321AE1CC" w14:textId="77777777" w:rsidR="008712A5" w:rsidRPr="008712A5" w:rsidRDefault="008712A5"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8712A5">
        <w:rPr>
          <w:b/>
        </w:rPr>
        <w:t>Note:</w:t>
      </w:r>
    </w:p>
    <w:p w14:paraId="2681936C" w14:textId="77777777" w:rsidR="008712A5" w:rsidRDefault="008712A5" w:rsidP="00E0213F">
      <w:pPr>
        <w:pStyle w:val="ListParagraph"/>
        <w:keepNext/>
        <w:keepLines/>
        <w:numPr>
          <w:ilvl w:val="0"/>
          <w:numId w:val="119"/>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It is not necessary for the legal practitioner to hold a practising certificate.</w:t>
      </w:r>
      <w:r>
        <w:rPr>
          <w:rStyle w:val="FootnoteReference"/>
        </w:rPr>
        <w:footnoteReference w:id="47"/>
      </w:r>
    </w:p>
    <w:p w14:paraId="7C41C2BA" w14:textId="67260F17" w:rsidR="00F71E05" w:rsidRDefault="00FC28FC" w:rsidP="00E0213F">
      <w:pPr>
        <w:pStyle w:val="ListParagraph"/>
        <w:keepNext/>
        <w:keepLines/>
        <w:numPr>
          <w:ilvl w:val="0"/>
          <w:numId w:val="119"/>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 xml:space="preserve">The legal advice can be provided by </w:t>
      </w:r>
      <w:r w:rsidR="00F71E05">
        <w:t xml:space="preserve">a legal practitioner who is </w:t>
      </w:r>
      <w:r>
        <w:t>an</w:t>
      </w:r>
      <w:r w:rsidR="00A32F2E">
        <w:t xml:space="preserve"> </w:t>
      </w:r>
      <w:r w:rsidR="00F71E05">
        <w:t>employee or contractor</w:t>
      </w:r>
      <w:r>
        <w:t xml:space="preserve"> as long as </w:t>
      </w:r>
      <w:r w:rsidR="00F71E05">
        <w:t>the practitioner acts independently</w:t>
      </w:r>
      <w:r w:rsidR="00F71E05">
        <w:rPr>
          <w:rStyle w:val="FootnoteReference"/>
        </w:rPr>
        <w:footnoteReference w:id="48"/>
      </w:r>
      <w:r w:rsidR="00DB3340">
        <w:rPr>
          <w:rFonts w:ascii="Calibri" w:hAnsi="Calibri" w:cs="Calibri"/>
        </w:rPr>
        <w:t>—</w:t>
      </w:r>
      <w:r w:rsidR="00A32F2E">
        <w:t xml:space="preserve">that is, </w:t>
      </w:r>
      <w:r w:rsidR="008712A5">
        <w:t xml:space="preserve">they </w:t>
      </w:r>
      <w:r w:rsidR="00F71E05">
        <w:t xml:space="preserve">bring a disinterested mind to the subject matter of the legal advice, and do not let </w:t>
      </w:r>
      <w:r w:rsidR="008712A5">
        <w:t xml:space="preserve">their </w:t>
      </w:r>
      <w:r w:rsidR="00F71E05">
        <w:t>personal loyalties, duties or interests influence the advice given.</w:t>
      </w:r>
      <w:r w:rsidR="00F71E05">
        <w:rPr>
          <w:rStyle w:val="FootnoteReference"/>
        </w:rPr>
        <w:footnoteReference w:id="49"/>
      </w:r>
      <w:r w:rsidR="003232DF">
        <w:t xml:space="preserve"> </w:t>
      </w:r>
    </w:p>
    <w:p w14:paraId="01D8573B" w14:textId="60C4189B" w:rsidR="00F71E05" w:rsidRDefault="00A90227" w:rsidP="00713CFE">
      <w:pPr>
        <w:pStyle w:val="Heading4"/>
        <w:keepNext w:val="0"/>
        <w:keepLines w:val="0"/>
      </w:pPr>
      <w:r>
        <w:t>Purpose of creating the information</w:t>
      </w:r>
    </w:p>
    <w:p w14:paraId="5ABDF049" w14:textId="6C9348E4" w:rsidR="00846D9E" w:rsidRDefault="00FC28FC" w:rsidP="00713CFE">
      <w:pPr>
        <w:rPr>
          <w:rFonts w:cs="Arial"/>
          <w:color w:val="000000"/>
        </w:rPr>
      </w:pPr>
      <w:r>
        <w:t xml:space="preserve">Once decision-makers have established that </w:t>
      </w:r>
      <w:r w:rsidR="005354FE">
        <w:t xml:space="preserve">a </w:t>
      </w:r>
      <w:r>
        <w:t>legal</w:t>
      </w:r>
      <w:r>
        <w:noBreakHyphen/>
        <w:t>practitioner client relationship exist</w:t>
      </w:r>
      <w:r w:rsidR="005354FE">
        <w:t>ed</w:t>
      </w:r>
      <w:r>
        <w:t xml:space="preserve">, they should then consider what </w:t>
      </w:r>
      <w:r w:rsidRPr="001559AE">
        <w:rPr>
          <w:rFonts w:cs="Arial"/>
          <w:color w:val="000000"/>
        </w:rPr>
        <w:t>the intended use (or uses) of the</w:t>
      </w:r>
      <w:r>
        <w:rPr>
          <w:rFonts w:cs="Arial"/>
          <w:color w:val="000000"/>
        </w:rPr>
        <w:t xml:space="preserve"> information </w:t>
      </w:r>
      <w:r w:rsidR="009F5737">
        <w:rPr>
          <w:rFonts w:cs="Arial"/>
          <w:color w:val="000000"/>
        </w:rPr>
        <w:t>was</w:t>
      </w:r>
      <w:r w:rsidR="00466D15">
        <w:rPr>
          <w:rFonts w:cs="Arial"/>
          <w:color w:val="000000"/>
        </w:rPr>
        <w:t xml:space="preserve"> at the time </w:t>
      </w:r>
      <w:r w:rsidR="008712A5">
        <w:rPr>
          <w:rFonts w:cs="Arial"/>
          <w:color w:val="000000"/>
        </w:rPr>
        <w:t xml:space="preserve">it </w:t>
      </w:r>
      <w:r w:rsidR="00466D15">
        <w:rPr>
          <w:rFonts w:cs="Arial"/>
          <w:color w:val="000000"/>
        </w:rPr>
        <w:t>was created</w:t>
      </w:r>
      <w:r w:rsidRPr="001559AE">
        <w:rPr>
          <w:rFonts w:cs="Arial"/>
          <w:color w:val="000000"/>
        </w:rPr>
        <w:t>.</w:t>
      </w:r>
      <w:r>
        <w:rPr>
          <w:rStyle w:val="FootnoteReference"/>
          <w:rFonts w:cs="Arial"/>
          <w:color w:val="000000"/>
          <w:sz w:val="20"/>
          <w:szCs w:val="20"/>
        </w:rPr>
        <w:footnoteReference w:id="50"/>
      </w:r>
      <w:r w:rsidR="00846D9E">
        <w:rPr>
          <w:rFonts w:cs="Arial"/>
          <w:color w:val="000000"/>
        </w:rPr>
        <w:t xml:space="preserve"> </w:t>
      </w:r>
    </w:p>
    <w:p w14:paraId="63971712" w14:textId="6E9B07F5" w:rsidR="00F71E05" w:rsidRDefault="00FC28FC" w:rsidP="00713CFE">
      <w:r>
        <w:t xml:space="preserve">This is because </w:t>
      </w:r>
      <w:r w:rsidR="00F71E05">
        <w:t xml:space="preserve">LPP only attaches to communications that are made for the </w:t>
      </w:r>
      <w:r w:rsidR="00F71E05" w:rsidRPr="00C52C70">
        <w:t>purpose</w:t>
      </w:r>
      <w:r w:rsidR="00F71E05" w:rsidRPr="00700ADA">
        <w:rPr>
          <w:bCs/>
        </w:rPr>
        <w:t xml:space="preserve"> </w:t>
      </w:r>
      <w:r w:rsidR="00F71E05">
        <w:t>of:</w:t>
      </w:r>
    </w:p>
    <w:p w14:paraId="365D06ED" w14:textId="77777777" w:rsidR="00F71E05" w:rsidRDefault="00F71E05" w:rsidP="00713CFE">
      <w:pPr>
        <w:pStyle w:val="ListParagraph"/>
        <w:numPr>
          <w:ilvl w:val="0"/>
          <w:numId w:val="3"/>
        </w:numPr>
      </w:pPr>
      <w:r>
        <w:t xml:space="preserve">giving or obtaining legal advice, or </w:t>
      </w:r>
    </w:p>
    <w:p w14:paraId="29DF8678" w14:textId="77777777" w:rsidR="00F71E05" w:rsidRDefault="00F71E05" w:rsidP="00713CFE">
      <w:pPr>
        <w:pStyle w:val="ListParagraph"/>
        <w:numPr>
          <w:ilvl w:val="0"/>
          <w:numId w:val="3"/>
        </w:numPr>
      </w:pPr>
      <w:r>
        <w:t>preparing for, or use in, current or reasonably anticipated legal proceedings.</w:t>
      </w:r>
      <w:r>
        <w:rPr>
          <w:rStyle w:val="FootnoteReference"/>
        </w:rPr>
        <w:footnoteReference w:id="51"/>
      </w:r>
    </w:p>
    <w:p w14:paraId="3D822CA4" w14:textId="1172AE64" w:rsidR="003232DF" w:rsidRDefault="00A90227" w:rsidP="00846D9E">
      <w:pPr>
        <w:keepNext/>
        <w:keepLines/>
      </w:pPr>
      <w:r>
        <w:t>It does not need to be</w:t>
      </w:r>
      <w:r w:rsidR="00F71E05">
        <w:t xml:space="preserve"> the primary or substantial purpose, but the ‘ruling, prevailing or most influential purpose’.</w:t>
      </w:r>
      <w:r w:rsidR="00F71E05">
        <w:rPr>
          <w:rStyle w:val="FootnoteReference"/>
        </w:rPr>
        <w:footnoteReference w:id="52"/>
      </w:r>
      <w:r w:rsidR="00F71E05">
        <w:t xml:space="preserve"> </w:t>
      </w:r>
      <w:r w:rsidR="003232DF">
        <w:t>As the Queensland Information Commissioner has noted</w:t>
      </w:r>
      <w:r w:rsidR="00B23722">
        <w:t>,</w:t>
      </w:r>
      <w:r w:rsidR="003232DF">
        <w:t xml:space="preserve"> this reflects </w:t>
      </w:r>
      <w:r w:rsidR="00B23722">
        <w:t xml:space="preserve">the fact </w:t>
      </w:r>
      <w:r w:rsidR="003232DF">
        <w:t xml:space="preserve">that legal advice can involve more than just advising the client about the </w:t>
      </w:r>
      <w:r w:rsidR="000918BB">
        <w:t>law and</w:t>
      </w:r>
      <w:r w:rsidR="00B23722">
        <w:t xml:space="preserve"> may also include</w:t>
      </w:r>
      <w:r w:rsidR="003232DF">
        <w:t xml:space="preserve"> advice about what can sensibly be done in the relevant legal context.</w:t>
      </w:r>
      <w:r w:rsidR="003232DF">
        <w:rPr>
          <w:rStyle w:val="FootnoteReference"/>
        </w:rPr>
        <w:footnoteReference w:id="53"/>
      </w:r>
      <w:r w:rsidR="003232DF">
        <w:t xml:space="preserve"> </w:t>
      </w:r>
    </w:p>
    <w:p w14:paraId="5E347C3B" w14:textId="576EC716" w:rsidR="003232DF" w:rsidRDefault="00A90227" w:rsidP="003232DF">
      <w:r>
        <w:t>Decision-makers</w:t>
      </w:r>
      <w:r w:rsidR="003232DF">
        <w:t xml:space="preserve"> should consider whether the advice </w:t>
      </w:r>
      <w:r w:rsidR="008712A5">
        <w:t>wa</w:t>
      </w:r>
      <w:r w:rsidR="003232DF">
        <w:t>s provide</w:t>
      </w:r>
      <w:r w:rsidR="008712A5">
        <w:t>d</w:t>
      </w:r>
      <w:r w:rsidR="003232DF">
        <w:t xml:space="preserve"> for a legal purpose</w:t>
      </w:r>
      <w:r w:rsidR="00421030">
        <w:rPr>
          <w:rFonts w:ascii="Calibri" w:hAnsi="Calibri" w:cs="Calibri"/>
        </w:rPr>
        <w:t>—</w:t>
      </w:r>
      <w:r w:rsidR="003232DF">
        <w:t>as opposed to another purpose, such as an administrative, financial, personal, commercial or public relations purpose.</w:t>
      </w:r>
    </w:p>
    <w:p w14:paraId="611D6C11" w14:textId="30BFDEFB" w:rsidR="002270FB" w:rsidRDefault="002270FB" w:rsidP="00F71E05">
      <w:r>
        <w:t>Examples of documents likely to be covered by LPP include:</w:t>
      </w:r>
    </w:p>
    <w:p w14:paraId="1D3E4D9F" w14:textId="59BCA676" w:rsidR="002270FB" w:rsidRDefault="002270FB" w:rsidP="00AA5202">
      <w:pPr>
        <w:pStyle w:val="ListParagraph"/>
        <w:numPr>
          <w:ilvl w:val="0"/>
          <w:numId w:val="3"/>
        </w:numPr>
      </w:pPr>
      <w:r>
        <w:t xml:space="preserve">legal advice provided regarding a particular case </w:t>
      </w:r>
    </w:p>
    <w:p w14:paraId="6F51F0FA" w14:textId="77777777" w:rsidR="002270FB" w:rsidRDefault="002270FB" w:rsidP="00AA5202">
      <w:pPr>
        <w:pStyle w:val="ListParagraph"/>
        <w:numPr>
          <w:ilvl w:val="0"/>
          <w:numId w:val="3"/>
        </w:numPr>
      </w:pPr>
      <w:r>
        <w:t>legal advice provided regarding possible legislative changes</w:t>
      </w:r>
    </w:p>
    <w:p w14:paraId="0497C1AF" w14:textId="77777777" w:rsidR="002270FB" w:rsidRDefault="002270FB" w:rsidP="00AA5202">
      <w:pPr>
        <w:pStyle w:val="ListParagraph"/>
        <w:numPr>
          <w:ilvl w:val="0"/>
          <w:numId w:val="3"/>
        </w:numPr>
      </w:pPr>
      <w:r>
        <w:t>advice provided regarding prospects of success, or particular steps in litigation</w:t>
      </w:r>
    </w:p>
    <w:p w14:paraId="36B497FD" w14:textId="6A30EEEE" w:rsidR="002270FB" w:rsidRDefault="002270FB" w:rsidP="00AA5202">
      <w:pPr>
        <w:pStyle w:val="ListParagraph"/>
        <w:numPr>
          <w:ilvl w:val="0"/>
          <w:numId w:val="3"/>
        </w:numPr>
      </w:pPr>
      <w:r>
        <w:t xml:space="preserve">draft court documents prepared by the lawyer for the client’s consideration </w:t>
      </w:r>
    </w:p>
    <w:p w14:paraId="28A11D6E" w14:textId="56150E16" w:rsidR="002270FB" w:rsidRPr="00347980" w:rsidRDefault="002270FB" w:rsidP="00AA5202">
      <w:pPr>
        <w:pStyle w:val="ListParagraph"/>
        <w:numPr>
          <w:ilvl w:val="0"/>
          <w:numId w:val="3"/>
        </w:numPr>
      </w:pPr>
      <w:r>
        <w:t>summaries of specific legal advice, or other information that may enable a person to infer the nature of the advice sought or given.</w:t>
      </w:r>
      <w:r>
        <w:rPr>
          <w:rStyle w:val="FootnoteReference"/>
        </w:rPr>
        <w:footnoteReference w:id="54"/>
      </w:r>
    </w:p>
    <w:p w14:paraId="1699470E" w14:textId="7D6B4CEA" w:rsidR="00466D15" w:rsidRDefault="00F2120E" w:rsidP="00466D15">
      <w:pPr>
        <w:ind w:right="-448"/>
      </w:pPr>
      <w:r>
        <w:t xml:space="preserve">LPP </w:t>
      </w:r>
      <w:r w:rsidR="00736AF5">
        <w:t>may not</w:t>
      </w:r>
      <w:r>
        <w:t xml:space="preserve"> attach to reports that only reference legal matters, </w:t>
      </w:r>
      <w:r w:rsidR="00736AF5">
        <w:t>but do not</w:t>
      </w:r>
      <w:r>
        <w:t xml:space="preserve"> record actual communications with a legal adviser. General summaries of the law </w:t>
      </w:r>
      <w:r w:rsidR="002270FB">
        <w:t>that are not client-specific and</w:t>
      </w:r>
      <w:r>
        <w:t xml:space="preserve"> administrative communications with a lawyer </w:t>
      </w:r>
      <w:r w:rsidR="00736AF5">
        <w:t xml:space="preserve">may </w:t>
      </w:r>
      <w:r>
        <w:t xml:space="preserve">also </w:t>
      </w:r>
      <w:r w:rsidR="00A20B71">
        <w:t>not be privileged</w:t>
      </w:r>
      <w:r>
        <w:t>.</w:t>
      </w:r>
    </w:p>
    <w:p w14:paraId="1494CD06" w14:textId="6AF3E03E" w:rsidR="002270FB" w:rsidRDefault="00466D15" w:rsidP="003232DF">
      <w:pPr>
        <w:ind w:right="-22"/>
      </w:pPr>
      <w:r>
        <w:t>Similarly, non-legal documents copied to a legal adviser for their information, will not be subject to LPP simply because they were provided to a lawyer.</w:t>
      </w:r>
      <w:r>
        <w:rPr>
          <w:rStyle w:val="FootnoteReference"/>
        </w:rPr>
        <w:footnoteReference w:id="55"/>
      </w:r>
      <w:r>
        <w:t xml:space="preserve"> The test is whether disclosure would reveal a privileged communication. </w:t>
      </w:r>
    </w:p>
    <w:p w14:paraId="67EA4F3D" w14:textId="56759871" w:rsidR="00466D15" w:rsidRDefault="00466D15" w:rsidP="00FB311D">
      <w:pPr>
        <w:keepNext/>
        <w:keepLines/>
      </w:pPr>
      <w:r>
        <w:t xml:space="preserve">The communication does </w:t>
      </w:r>
      <w:r w:rsidRPr="00C52C70">
        <w:t>not</w:t>
      </w:r>
      <w:r>
        <w:t xml:space="preserve">, however, have to be </w:t>
      </w:r>
      <w:r w:rsidR="003232DF">
        <w:t xml:space="preserve">directly </w:t>
      </w:r>
      <w:r>
        <w:t xml:space="preserve">between </w:t>
      </w:r>
      <w:r w:rsidR="003232DF">
        <w:t>a</w:t>
      </w:r>
      <w:r>
        <w:t xml:space="preserve"> client and their legal practitioner. LPP may also attach to:</w:t>
      </w:r>
    </w:p>
    <w:p w14:paraId="22EED784" w14:textId="46F2E633" w:rsidR="00466D15" w:rsidRDefault="00466D15" w:rsidP="00FB311D">
      <w:pPr>
        <w:pStyle w:val="ListParagraph"/>
        <w:keepNext/>
        <w:keepLines/>
        <w:numPr>
          <w:ilvl w:val="0"/>
          <w:numId w:val="3"/>
        </w:numPr>
      </w:pPr>
      <w:r>
        <w:t>communications between legal practitioners (e.g. memos, summaries)</w:t>
      </w:r>
      <w:r w:rsidR="001920C9">
        <w:t xml:space="preserve">. </w:t>
      </w:r>
      <w:r>
        <w:t xml:space="preserve"> </w:t>
      </w:r>
    </w:p>
    <w:p w14:paraId="3FCE9C33" w14:textId="774598D2" w:rsidR="00466D15" w:rsidRDefault="00466D15" w:rsidP="00FB311D">
      <w:pPr>
        <w:pStyle w:val="ListParagraph"/>
        <w:keepNext/>
        <w:keepLines/>
        <w:numPr>
          <w:ilvl w:val="0"/>
          <w:numId w:val="3"/>
        </w:numPr>
      </w:pPr>
      <w:r>
        <w:t>communications between a third party</w:t>
      </w:r>
      <w:r w:rsidR="006C6486">
        <w:t>, such as a potential witness,</w:t>
      </w:r>
      <w:r>
        <w:t xml:space="preserve"> and the legal practitioner or client</w:t>
      </w:r>
      <w:r w:rsidR="006C6486">
        <w:t xml:space="preserve"> (for example, a transcript of an interview between the lawyer and a witness for the purpose of preparing the evidence of the witness)</w:t>
      </w:r>
      <w:r w:rsidR="001920C9">
        <w:t>.</w:t>
      </w:r>
      <w:r w:rsidRPr="008712A5">
        <w:rPr>
          <w:vertAlign w:val="superscript"/>
        </w:rPr>
        <w:footnoteReference w:id="56"/>
      </w:r>
    </w:p>
    <w:p w14:paraId="744B21AC" w14:textId="44049BE3" w:rsidR="00466D15" w:rsidRDefault="00466D15" w:rsidP="00E355C9">
      <w:pPr>
        <w:pStyle w:val="ListParagraph"/>
        <w:numPr>
          <w:ilvl w:val="0"/>
          <w:numId w:val="3"/>
        </w:numPr>
      </w:pPr>
      <w:r>
        <w:t>internal emails between officers of an agency, for example where those officers are discussing the practical implications of certain legal advice obtained</w:t>
      </w:r>
      <w:r w:rsidR="00C4712D">
        <w:t>.</w:t>
      </w:r>
      <w:r w:rsidR="004036BF" w:rsidRPr="004036BF">
        <w:rPr>
          <w:vertAlign w:val="superscript"/>
        </w:rPr>
        <w:t xml:space="preserve"> </w:t>
      </w:r>
      <w:r w:rsidR="004036BF" w:rsidRPr="008712A5">
        <w:rPr>
          <w:vertAlign w:val="superscript"/>
        </w:rPr>
        <w:footnoteReference w:id="57"/>
      </w:r>
    </w:p>
    <w:p w14:paraId="24C98E1F" w14:textId="15F450D7" w:rsidR="008712A5" w:rsidRPr="008712A5" w:rsidRDefault="008712A5"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712A5">
        <w:rPr>
          <w:b/>
        </w:rPr>
        <w:t>Note:</w:t>
      </w:r>
    </w:p>
    <w:p w14:paraId="748CFAB2" w14:textId="2C49C2F9" w:rsidR="002270FB" w:rsidRDefault="002270FB" w:rsidP="00E0213F">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E2F3" w:themeFill="accent5" w:themeFillTint="33"/>
      </w:pPr>
      <w:r>
        <w:t>Legal proceedings are ‘reasonably anticipated’ if there is a real prospect of litigation, as distinct from a mere possibility.</w:t>
      </w:r>
      <w:r>
        <w:rPr>
          <w:rStyle w:val="FootnoteReference"/>
        </w:rPr>
        <w:footnoteReference w:id="58"/>
      </w:r>
      <w:r>
        <w:t xml:space="preserve"> </w:t>
      </w:r>
    </w:p>
    <w:p w14:paraId="164088E6" w14:textId="64090192" w:rsidR="00F71E05" w:rsidRDefault="00F71E05" w:rsidP="006A0C84">
      <w:pPr>
        <w:pStyle w:val="Heading4"/>
      </w:pPr>
      <w:r w:rsidRPr="00827CC1">
        <w:t>Confidential communication</w:t>
      </w:r>
    </w:p>
    <w:p w14:paraId="44D0A4A3" w14:textId="69F178AA" w:rsidR="00F71E05" w:rsidRDefault="002270FB" w:rsidP="006A0C84">
      <w:pPr>
        <w:keepNext/>
        <w:keepLines/>
      </w:pPr>
      <w:r>
        <w:t xml:space="preserve">The final element decision-makers must </w:t>
      </w:r>
      <w:r w:rsidR="00E6296B">
        <w:t xml:space="preserve">consider </w:t>
      </w:r>
      <w:r>
        <w:t xml:space="preserve">is whether or not the information was communicated in confidence. This is because </w:t>
      </w:r>
      <w:r w:rsidR="00F71E05">
        <w:t>LPP only applies to communications that are confidential.</w:t>
      </w:r>
    </w:p>
    <w:p w14:paraId="40F4353A" w14:textId="6D3A4261" w:rsidR="001D5D98" w:rsidRPr="00D24BA1" w:rsidRDefault="001D5D98" w:rsidP="003232DF">
      <w:pPr>
        <w:keepNext/>
        <w:keepLines/>
      </w:pPr>
      <w:r w:rsidRPr="00E63802">
        <w:t xml:space="preserve">Information </w:t>
      </w:r>
      <w:r>
        <w:t xml:space="preserve">is </w:t>
      </w:r>
      <w:r w:rsidRPr="00E63802">
        <w:t xml:space="preserve">provided on a ‘confidential’ basis if there is an express agreement that the </w:t>
      </w:r>
      <w:r w:rsidR="00E6296B">
        <w:t xml:space="preserve">information will </w:t>
      </w:r>
      <w:r w:rsidR="00E6296B" w:rsidRPr="00D24BA1">
        <w:t>be</w:t>
      </w:r>
      <w:r w:rsidRPr="00D24BA1">
        <w:t xml:space="preserve"> kept confidential or the surrounding circumstances indicate that there was an implied mutual understanding of confidentiality, for example</w:t>
      </w:r>
      <w:r w:rsidR="00EE76FE" w:rsidRPr="00D24BA1">
        <w:t>, that the information is marked ‘confidential’.</w:t>
      </w:r>
      <w:r w:rsidRPr="00D24BA1">
        <w:t xml:space="preserve"> </w:t>
      </w:r>
    </w:p>
    <w:p w14:paraId="3FAB4C55" w14:textId="6E02CC43" w:rsidR="003232DF" w:rsidRPr="00D24BA1" w:rsidRDefault="00BF3DAE" w:rsidP="00E0213F">
      <w:pPr>
        <w:pBdr>
          <w:top w:val="single" w:sz="4" w:space="1" w:color="auto"/>
          <w:left w:val="single" w:sz="4" w:space="4" w:color="auto"/>
          <w:bottom w:val="single" w:sz="4" w:space="1" w:color="auto"/>
          <w:right w:val="single" w:sz="4" w:space="4" w:color="auto"/>
        </w:pBdr>
        <w:shd w:val="clear" w:color="auto" w:fill="D9E2F3" w:themeFill="accent5" w:themeFillTint="33"/>
      </w:pPr>
      <w:r w:rsidRPr="00D24BA1">
        <w:rPr>
          <w:b/>
        </w:rPr>
        <w:t>Note:</w:t>
      </w:r>
      <w:r w:rsidRPr="00D24BA1">
        <w:t xml:space="preserve"> </w:t>
      </w:r>
    </w:p>
    <w:p w14:paraId="02ACAF8D" w14:textId="7C630DE3" w:rsidR="003232DF" w:rsidRPr="00D24BA1" w:rsidRDefault="003232DF" w:rsidP="00E0213F">
      <w:pPr>
        <w:pStyle w:val="ListParagraph"/>
        <w:numPr>
          <w:ilvl w:val="0"/>
          <w:numId w:val="105"/>
        </w:numPr>
        <w:pBdr>
          <w:top w:val="single" w:sz="4" w:space="1" w:color="auto"/>
          <w:left w:val="single" w:sz="4" w:space="4" w:color="auto"/>
          <w:bottom w:val="single" w:sz="4" w:space="1" w:color="auto"/>
          <w:right w:val="single" w:sz="4" w:space="4" w:color="auto"/>
        </w:pBdr>
        <w:shd w:val="clear" w:color="auto" w:fill="D9E2F3" w:themeFill="accent5" w:themeFillTint="33"/>
      </w:pPr>
      <w:r w:rsidRPr="00D24BA1">
        <w:t xml:space="preserve">Emails between </w:t>
      </w:r>
      <w:r w:rsidR="00851D20" w:rsidRPr="00D24BA1">
        <w:t xml:space="preserve">agency staff </w:t>
      </w:r>
      <w:r w:rsidRPr="00D24BA1">
        <w:t>and in-house lawyers can generally be considered to be confidential where there is no evidence that such emails have been disclosed to an outside party.</w:t>
      </w:r>
    </w:p>
    <w:p w14:paraId="6FC01A75" w14:textId="22473555" w:rsidR="00F71E05" w:rsidRPr="00D24BA1" w:rsidRDefault="00F71E05" w:rsidP="00FB311D">
      <w:pPr>
        <w:pStyle w:val="Heading4"/>
        <w:keepNext w:val="0"/>
        <w:keepLines w:val="0"/>
      </w:pPr>
      <w:r w:rsidRPr="00D24BA1">
        <w:t>Waiver</w:t>
      </w:r>
    </w:p>
    <w:p w14:paraId="37C3FA68" w14:textId="3AE59297" w:rsidR="00F71E05" w:rsidRPr="00D24BA1" w:rsidRDefault="00F71E05" w:rsidP="00FB311D">
      <w:pPr>
        <w:ind w:right="-188"/>
      </w:pPr>
      <w:r w:rsidRPr="00D24BA1">
        <w:t>L</w:t>
      </w:r>
      <w:r w:rsidR="009D70E4" w:rsidRPr="00D24BA1">
        <w:t>P</w:t>
      </w:r>
      <w:r w:rsidRPr="00D24BA1">
        <w:t xml:space="preserve">P </w:t>
      </w:r>
      <w:r w:rsidR="00CC723C" w:rsidRPr="00D24BA1">
        <w:t xml:space="preserve">will </w:t>
      </w:r>
      <w:r w:rsidRPr="00D24BA1">
        <w:t>not apply if it has been expressly or impliedly waived by the client</w:t>
      </w:r>
      <w:r w:rsidRPr="00D24BA1">
        <w:rPr>
          <w:rStyle w:val="FootnoteReference"/>
        </w:rPr>
        <w:footnoteReference w:id="59"/>
      </w:r>
      <w:r w:rsidR="004A2756" w:rsidRPr="00D24BA1">
        <w:rPr>
          <w:rFonts w:ascii="Calibri" w:hAnsi="Calibri" w:cs="Calibri"/>
        </w:rPr>
        <w:t>—</w:t>
      </w:r>
      <w:r w:rsidR="00CC723C" w:rsidRPr="00D24BA1">
        <w:t>that is where:</w:t>
      </w:r>
    </w:p>
    <w:p w14:paraId="168D56B4" w14:textId="77777777" w:rsidR="009F5737" w:rsidRDefault="00F71E05" w:rsidP="00FB311D">
      <w:pPr>
        <w:pStyle w:val="ListParagraph"/>
        <w:numPr>
          <w:ilvl w:val="0"/>
          <w:numId w:val="60"/>
        </w:numPr>
        <w:ind w:right="-188"/>
      </w:pPr>
      <w:r w:rsidRPr="00D24BA1">
        <w:t>the client (or the</w:t>
      </w:r>
      <w:r w:rsidR="00CC723C" w:rsidRPr="00D24BA1">
        <w:t>ir</w:t>
      </w:r>
      <w:r w:rsidRPr="00D24BA1">
        <w:t xml:space="preserve"> legal practitioner with the</w:t>
      </w:r>
      <w:r w:rsidR="00CC723C" w:rsidRPr="00D24BA1">
        <w:t>ir</w:t>
      </w:r>
      <w:r w:rsidRPr="00D24BA1">
        <w:t xml:space="preserve"> authority) intentionally discloses the relevant communications, ei</w:t>
      </w:r>
      <w:r>
        <w:t xml:space="preserve">ther </w:t>
      </w:r>
      <w:r w:rsidR="009F5737">
        <w:t>to:</w:t>
      </w:r>
    </w:p>
    <w:p w14:paraId="382CF888" w14:textId="5612481F" w:rsidR="009F5737" w:rsidRDefault="009F5737" w:rsidP="00FB311D">
      <w:pPr>
        <w:pStyle w:val="ListParagraph"/>
        <w:numPr>
          <w:ilvl w:val="1"/>
          <w:numId w:val="60"/>
        </w:numPr>
        <w:ind w:right="-188"/>
      </w:pPr>
      <w:r>
        <w:t>the public at large</w:t>
      </w:r>
      <w:r w:rsidR="00787FB0">
        <w:t xml:space="preserve">, or </w:t>
      </w:r>
      <w:r w:rsidR="00466D15">
        <w:t xml:space="preserve"> </w:t>
      </w:r>
    </w:p>
    <w:p w14:paraId="623F0038" w14:textId="187B4059" w:rsidR="009F5737" w:rsidRDefault="00F71E05" w:rsidP="00FB311D">
      <w:pPr>
        <w:pStyle w:val="ListParagraph"/>
        <w:numPr>
          <w:ilvl w:val="1"/>
          <w:numId w:val="60"/>
        </w:numPr>
        <w:ind w:right="-188"/>
      </w:pPr>
      <w:r>
        <w:t>a thir</w:t>
      </w:r>
      <w:r w:rsidR="00CC723C">
        <w:t>d</w:t>
      </w:r>
      <w:r w:rsidR="009F5737">
        <w:t xml:space="preserve"> party (unless </w:t>
      </w:r>
      <w:r w:rsidR="00466D15">
        <w:t xml:space="preserve">disclosure occurs </w:t>
      </w:r>
      <w:r w:rsidR="009F5737">
        <w:t xml:space="preserve">on the </w:t>
      </w:r>
      <w:r w:rsidR="00466D15">
        <w:t>basis</w:t>
      </w:r>
      <w:r w:rsidR="009F5737">
        <w:t xml:space="preserve"> that the informa</w:t>
      </w:r>
      <w:r w:rsidR="00466D15">
        <w:t xml:space="preserve">tion be treated as </w:t>
      </w:r>
      <w:r w:rsidR="009A23F0">
        <w:t>confidential</w:t>
      </w:r>
      <w:r w:rsidR="009A23F0">
        <w:rPr>
          <w:rFonts w:ascii="Calibri" w:hAnsi="Calibri" w:cs="Calibri"/>
        </w:rPr>
        <w:t>—</w:t>
      </w:r>
      <w:r w:rsidR="00466D15">
        <w:t>that is, disclosure is limited and for a specific purpose)</w:t>
      </w:r>
      <w:r w:rsidR="009F5737">
        <w:t>.</w:t>
      </w:r>
      <w:r w:rsidR="009F5737">
        <w:rPr>
          <w:rStyle w:val="FootnoteReference"/>
        </w:rPr>
        <w:footnoteReference w:id="60"/>
      </w:r>
    </w:p>
    <w:p w14:paraId="6F3C7B4F" w14:textId="23D4EDDC" w:rsidR="00CC723C" w:rsidRDefault="00CC723C" w:rsidP="00FB311D">
      <w:pPr>
        <w:pStyle w:val="ListParagraph"/>
        <w:numPr>
          <w:ilvl w:val="0"/>
          <w:numId w:val="61"/>
        </w:numPr>
        <w:ind w:right="-448"/>
      </w:pPr>
      <w:r>
        <w:t>the client acts in a manner that is inconsistent with maintaining the confidentiality of the communication</w:t>
      </w:r>
      <w:r>
        <w:rPr>
          <w:rStyle w:val="FootnoteReference"/>
        </w:rPr>
        <w:footnoteReference w:id="61"/>
      </w:r>
    </w:p>
    <w:p w14:paraId="3499264B" w14:textId="7C847BE5" w:rsidR="00CC723C" w:rsidRPr="00365179" w:rsidRDefault="00CC723C" w:rsidP="00FB311D">
      <w:pPr>
        <w:pStyle w:val="ListParagraph"/>
        <w:numPr>
          <w:ilvl w:val="1"/>
          <w:numId w:val="61"/>
        </w:numPr>
        <w:ind w:right="-188"/>
      </w:pPr>
      <w:r>
        <w:t>For example, LPP may be lost where a client states</w:t>
      </w:r>
      <w:r w:rsidR="00466D15">
        <w:t xml:space="preserve"> in a media interview </w:t>
      </w:r>
      <w:r>
        <w:t>that they are relying on legal advice in a manner that discloses the substance of the advice.</w:t>
      </w:r>
      <w:r>
        <w:rPr>
          <w:rStyle w:val="FootnoteReference"/>
        </w:rPr>
        <w:footnoteReference w:id="62"/>
      </w:r>
      <w:r>
        <w:t xml:space="preserve">  </w:t>
      </w:r>
    </w:p>
    <w:p w14:paraId="549EC329" w14:textId="77777777" w:rsidR="00CC723C" w:rsidRDefault="00CC723C"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right="-187"/>
      </w:pPr>
      <w:r w:rsidRPr="00CC723C">
        <w:rPr>
          <w:b/>
        </w:rPr>
        <w:t xml:space="preserve">Note: </w:t>
      </w:r>
    </w:p>
    <w:p w14:paraId="1DD98841" w14:textId="20D5D506" w:rsidR="003232DF" w:rsidRDefault="003232DF" w:rsidP="00E0213F">
      <w:pPr>
        <w:pStyle w:val="ListParagraph"/>
        <w:keepNext/>
        <w:keepLines/>
        <w:numPr>
          <w:ilvl w:val="0"/>
          <w:numId w:val="60"/>
        </w:numPr>
        <w:pBdr>
          <w:top w:val="single" w:sz="4" w:space="1" w:color="auto"/>
          <w:left w:val="single" w:sz="4" w:space="4" w:color="auto"/>
          <w:bottom w:val="single" w:sz="4" w:space="1" w:color="auto"/>
          <w:right w:val="single" w:sz="4" w:space="4" w:color="auto"/>
        </w:pBdr>
        <w:shd w:val="clear" w:color="auto" w:fill="D9E2F3" w:themeFill="accent5" w:themeFillTint="33"/>
        <w:ind w:right="-187"/>
      </w:pPr>
      <w:r>
        <w:t>The Ombudsman would not consider communication of privileged legal advice internally within an agency to amount to a waiver of LPP.</w:t>
      </w:r>
    </w:p>
    <w:p w14:paraId="22E663C1" w14:textId="28A5AB92" w:rsidR="0046072F" w:rsidRDefault="0046072F" w:rsidP="00E0213F">
      <w:pPr>
        <w:pStyle w:val="ListParagraph"/>
        <w:keepNext/>
        <w:keepLines/>
        <w:numPr>
          <w:ilvl w:val="0"/>
          <w:numId w:val="60"/>
        </w:numPr>
        <w:pBdr>
          <w:top w:val="single" w:sz="4" w:space="1" w:color="auto"/>
          <w:left w:val="single" w:sz="4" w:space="4" w:color="auto"/>
          <w:bottom w:val="single" w:sz="4" w:space="1" w:color="auto"/>
          <w:right w:val="single" w:sz="4" w:space="4" w:color="auto"/>
        </w:pBdr>
        <w:shd w:val="clear" w:color="auto" w:fill="D9E2F3" w:themeFill="accent5" w:themeFillTint="33"/>
        <w:ind w:right="-187"/>
      </w:pPr>
      <w:r>
        <w:t xml:space="preserve">Disclosure within government also does not necessarily amount to a waiver, providing it is </w:t>
      </w:r>
      <w:r w:rsidR="0096566E">
        <w:t>still treated as confidential,</w:t>
      </w:r>
      <w:r>
        <w:t xml:space="preserve"> most government agencies are part of the same legal entity.</w:t>
      </w:r>
    </w:p>
    <w:p w14:paraId="746A4404" w14:textId="58CF255F" w:rsidR="00F71E05" w:rsidRDefault="00F71E05" w:rsidP="00E0213F">
      <w:pPr>
        <w:pStyle w:val="ListParagraph"/>
        <w:keepNext/>
        <w:keepLines/>
        <w:numPr>
          <w:ilvl w:val="0"/>
          <w:numId w:val="60"/>
        </w:numPr>
        <w:pBdr>
          <w:top w:val="single" w:sz="4" w:space="1" w:color="auto"/>
          <w:left w:val="single" w:sz="4" w:space="4" w:color="auto"/>
          <w:bottom w:val="single" w:sz="4" w:space="1" w:color="auto"/>
          <w:right w:val="single" w:sz="4" w:space="4" w:color="auto"/>
        </w:pBdr>
        <w:shd w:val="clear" w:color="auto" w:fill="D9E2F3" w:themeFill="accent5" w:themeFillTint="33"/>
        <w:ind w:right="-187"/>
      </w:pPr>
      <w:r>
        <w:t>Where confidential communications are accidentally disclosed, LPP still attaches if a reasonable person in the recipient’s position would have realised the communication was mistakenly disclosed.</w:t>
      </w:r>
      <w:r>
        <w:rPr>
          <w:rStyle w:val="FootnoteReference"/>
        </w:rPr>
        <w:footnoteReference w:id="63"/>
      </w:r>
    </w:p>
    <w:p w14:paraId="175949AF" w14:textId="6AEED834" w:rsidR="00466D15" w:rsidRDefault="00466D15" w:rsidP="00E0213F">
      <w:pPr>
        <w:pStyle w:val="ListParagraph"/>
        <w:keepNext/>
        <w:keepLines/>
        <w:numPr>
          <w:ilvl w:val="0"/>
          <w:numId w:val="60"/>
        </w:numPr>
        <w:pBdr>
          <w:top w:val="single" w:sz="4" w:space="1" w:color="auto"/>
          <w:left w:val="single" w:sz="4" w:space="4" w:color="auto"/>
          <w:bottom w:val="single" w:sz="4" w:space="1" w:color="auto"/>
          <w:right w:val="single" w:sz="4" w:space="4" w:color="auto"/>
        </w:pBdr>
        <w:shd w:val="clear" w:color="auto" w:fill="D9E2F3" w:themeFill="accent5" w:themeFillTint="33"/>
        <w:ind w:right="-187"/>
      </w:pPr>
      <w:r>
        <w:t>Just because a privileged document is copied, it does not follo</w:t>
      </w:r>
      <w:r w:rsidR="00FB0F91">
        <w:t>w that privilege has been lost.</w:t>
      </w:r>
      <w:r w:rsidR="00FB0F91">
        <w:br/>
      </w:r>
      <w:r>
        <w:t>The question is whether LPP has been expressly or impliedly waived.</w:t>
      </w:r>
      <w:r>
        <w:rPr>
          <w:rStyle w:val="FootnoteReference"/>
        </w:rPr>
        <w:footnoteReference w:id="64"/>
      </w:r>
    </w:p>
    <w:p w14:paraId="67D0B0C7" w14:textId="43553286" w:rsidR="003232DF" w:rsidRDefault="003232DF" w:rsidP="003232DF">
      <w:pPr>
        <w:pStyle w:val="Heading4"/>
      </w:pPr>
      <w:bookmarkStart w:id="656" w:name="_Section_1.3_–"/>
      <w:bookmarkEnd w:id="656"/>
      <w:r>
        <w:t>Improper purpose exception</w:t>
      </w:r>
    </w:p>
    <w:p w14:paraId="4C1AC21F" w14:textId="3549C123" w:rsidR="003232DF" w:rsidRDefault="003232DF" w:rsidP="003232DF">
      <w:pPr>
        <w:ind w:right="-188"/>
      </w:pPr>
      <w:r>
        <w:t>LLP will not apply if the relevant commun</w:t>
      </w:r>
      <w:r w:rsidR="00C07EC2">
        <w:t>ications were made to further an il</w:t>
      </w:r>
      <w:r>
        <w:t>legal or improper purpose</w:t>
      </w:r>
      <w:r w:rsidR="00FC0CCD">
        <w:rPr>
          <w:rFonts w:ascii="Calibri" w:hAnsi="Calibri" w:cs="Calibri"/>
        </w:rPr>
        <w:t>—</w:t>
      </w:r>
      <w:r>
        <w:t>that is, they were made in progressing a fraud or crime, and with knowledge that the proposed actions were contrary to the law. There would need to be evidence available to support such a claim for LPP not to apply.</w:t>
      </w:r>
    </w:p>
    <w:p w14:paraId="0922B25E" w14:textId="7FDD328C" w:rsidR="00F71E05" w:rsidRPr="00FA5EB1" w:rsidRDefault="00F71E05" w:rsidP="006A0C84">
      <w:pPr>
        <w:pStyle w:val="Heading2"/>
        <w:numPr>
          <w:ilvl w:val="1"/>
          <w:numId w:val="54"/>
        </w:numPr>
        <w:ind w:left="567" w:hanging="567"/>
      </w:pPr>
      <w:bookmarkStart w:id="657" w:name="_Section_1.3_–_2"/>
      <w:bookmarkStart w:id="658" w:name="_Ref15381724"/>
      <w:bookmarkStart w:id="659" w:name="_Ref15381730"/>
      <w:bookmarkStart w:id="660" w:name="_Ref15381733"/>
      <w:bookmarkStart w:id="661" w:name="_Ref15381744"/>
      <w:bookmarkStart w:id="662" w:name="_Ref15381748"/>
      <w:bookmarkStart w:id="663" w:name="_Toc43385534"/>
      <w:bookmarkStart w:id="664" w:name="_Toc152067318"/>
      <w:bookmarkEnd w:id="657"/>
      <w:r w:rsidRPr="00FA5EB1">
        <w:t xml:space="preserve">Section 1.3 – </w:t>
      </w:r>
      <w:r w:rsidR="00927C62">
        <w:t>I</w:t>
      </w:r>
      <w:r w:rsidRPr="00FA5EB1">
        <w:t xml:space="preserve">nformation disclosure of which is prohibited </w:t>
      </w:r>
      <w:r w:rsidR="007718E0" w:rsidRPr="00FA5EB1">
        <w:t xml:space="preserve">under </w:t>
      </w:r>
      <w:r w:rsidRPr="00FA5EB1">
        <w:t>law</w:t>
      </w:r>
      <w:bookmarkEnd w:id="658"/>
      <w:bookmarkEnd w:id="659"/>
      <w:bookmarkEnd w:id="660"/>
      <w:bookmarkEnd w:id="661"/>
      <w:bookmarkEnd w:id="662"/>
      <w:bookmarkEnd w:id="663"/>
      <w:bookmarkEnd w:id="664"/>
    </w:p>
    <w:p w14:paraId="132181F0" w14:textId="77777777" w:rsidR="00F71E05" w:rsidRDefault="00F71E05" w:rsidP="006A0C84">
      <w:pPr>
        <w:pStyle w:val="Heading4"/>
      </w:pPr>
      <w:r>
        <w:t>Background</w:t>
      </w:r>
    </w:p>
    <w:p w14:paraId="07829A19" w14:textId="529FC195" w:rsidR="00F71E05" w:rsidRDefault="00A05F81" w:rsidP="00713CFE">
      <w:pPr>
        <w:keepNext/>
        <w:keepLines/>
      </w:pPr>
      <w:r>
        <w:t xml:space="preserve">The FOI Act is not intended to displace other laws which prohibit disclosure, and in some cases may be enforced by significant penalties. As a result, there are additional provisions in place to protect information which is collected </w:t>
      </w:r>
      <w:r w:rsidR="00F71E05">
        <w:t xml:space="preserve">under particular legislation. There are good reasons for this, for example, where there is need to protect a child or young person in care. </w:t>
      </w:r>
    </w:p>
    <w:p w14:paraId="1AF95475" w14:textId="77777777" w:rsidR="00F71E05" w:rsidRDefault="00F71E05" w:rsidP="00F71E05">
      <w:pPr>
        <w:pStyle w:val="Heading4"/>
      </w:pPr>
      <w:r>
        <w:t xml:space="preserve">Overview </w:t>
      </w:r>
    </w:p>
    <w:p w14:paraId="7A05158B" w14:textId="32DAE90F" w:rsidR="00A05F81" w:rsidRDefault="00A05F81" w:rsidP="00A05F81">
      <w:r>
        <w:t>Section 1.3 provides that disclosure of the information is taken to be contrary to the public interest if it is prohibited by a secrecy provision</w:t>
      </w:r>
      <w:r w:rsidR="00165FBB">
        <w:t xml:space="preserve"> or certain other laws</w:t>
      </w:r>
      <w:r>
        <w:t xml:space="preserve">. </w:t>
      </w:r>
    </w:p>
    <w:p w14:paraId="0F9C6FB8" w14:textId="220EBC78" w:rsidR="00A05F81" w:rsidRDefault="00A05F81" w:rsidP="00846D9E">
      <w:pPr>
        <w:keepNext/>
        <w:keepLines/>
      </w:pPr>
      <w:r>
        <w:t xml:space="preserve">The </w:t>
      </w:r>
      <w:r w:rsidR="000D172F">
        <w:t xml:space="preserve">FOI </w:t>
      </w:r>
      <w:r>
        <w:t>Act specifies certa</w:t>
      </w:r>
      <w:r w:rsidR="009F5737">
        <w:t xml:space="preserve">in </w:t>
      </w:r>
      <w:r w:rsidR="00F7398D">
        <w:t xml:space="preserve">provisions </w:t>
      </w:r>
      <w:r w:rsidR="009F5737">
        <w:t xml:space="preserve">which are relevant here, and </w:t>
      </w:r>
      <w:r w:rsidR="00736AF5">
        <w:t xml:space="preserve">each </w:t>
      </w:r>
      <w:r w:rsidR="009F5737">
        <w:t>are discussed in detail below:</w:t>
      </w:r>
    </w:p>
    <w:p w14:paraId="2D7A985B" w14:textId="2B6EFC9F" w:rsidR="00A05F81" w:rsidRPr="00A05F81" w:rsidRDefault="00E12C0A" w:rsidP="00846D9E">
      <w:pPr>
        <w:pStyle w:val="ListParagraph"/>
        <w:keepNext/>
        <w:keepLines/>
        <w:numPr>
          <w:ilvl w:val="0"/>
          <w:numId w:val="62"/>
        </w:numPr>
        <w:rPr>
          <w:i/>
        </w:rPr>
      </w:pPr>
      <w:hyperlink r:id="rId30" w:history="1">
        <w:r w:rsidR="00A05F81" w:rsidRPr="00C6621D">
          <w:rPr>
            <w:rStyle w:val="Hyperlink"/>
            <w:i/>
          </w:rPr>
          <w:t>Adoption Act 1993</w:t>
        </w:r>
      </w:hyperlink>
      <w:r w:rsidR="002C5806">
        <w:rPr>
          <w:i/>
        </w:rPr>
        <w:t xml:space="preserve"> </w:t>
      </w:r>
      <w:r w:rsidR="00302182">
        <w:t>(</w:t>
      </w:r>
      <w:r w:rsidR="006F5642">
        <w:t>‘</w:t>
      </w:r>
      <w:r w:rsidR="00302182">
        <w:t>Adoption Act</w:t>
      </w:r>
      <w:r w:rsidR="006F5642">
        <w:t>’</w:t>
      </w:r>
      <w:r w:rsidR="00302182">
        <w:t>)</w:t>
      </w:r>
      <w:r w:rsidR="00F7398D">
        <w:t xml:space="preserve"> </w:t>
      </w:r>
      <w:r w:rsidR="00F7398D" w:rsidRPr="00E355C9">
        <w:t xml:space="preserve">s </w:t>
      </w:r>
      <w:r w:rsidR="003E401B" w:rsidRPr="00EA44E0">
        <w:t>60</w:t>
      </w:r>
    </w:p>
    <w:p w14:paraId="2BFA6757" w14:textId="76D3406F" w:rsidR="006A10FA" w:rsidRPr="0087462C" w:rsidRDefault="00E12C0A" w:rsidP="006A10FA">
      <w:pPr>
        <w:pStyle w:val="ListParagraph"/>
        <w:keepNext/>
        <w:keepLines/>
        <w:numPr>
          <w:ilvl w:val="0"/>
          <w:numId w:val="62"/>
        </w:numPr>
        <w:rPr>
          <w:i/>
        </w:rPr>
      </w:pPr>
      <w:hyperlink r:id="rId31" w:history="1">
        <w:r w:rsidR="00A05F81" w:rsidRPr="00E6375E">
          <w:rPr>
            <w:rStyle w:val="Hyperlink"/>
            <w:i/>
          </w:rPr>
          <w:t>Children and Young People Act 2008</w:t>
        </w:r>
      </w:hyperlink>
      <w:r w:rsidR="009D2CFE">
        <w:rPr>
          <w:i/>
        </w:rPr>
        <w:t xml:space="preserve"> </w:t>
      </w:r>
      <w:r w:rsidR="009D2CFE">
        <w:rPr>
          <w:iCs/>
        </w:rPr>
        <w:t>(</w:t>
      </w:r>
      <w:r w:rsidR="00E619DC">
        <w:rPr>
          <w:iCs/>
        </w:rPr>
        <w:t>‘</w:t>
      </w:r>
      <w:r w:rsidR="009D2CFE">
        <w:rPr>
          <w:iCs/>
        </w:rPr>
        <w:t>CYP Act</w:t>
      </w:r>
      <w:r w:rsidR="00E619DC">
        <w:rPr>
          <w:iCs/>
        </w:rPr>
        <w:t>’</w:t>
      </w:r>
      <w:r w:rsidR="009D2CFE">
        <w:rPr>
          <w:iCs/>
        </w:rPr>
        <w:t>)</w:t>
      </w:r>
      <w:r w:rsidR="00F7398D">
        <w:t xml:space="preserve"> s </w:t>
      </w:r>
      <w:r w:rsidR="003E401B" w:rsidRPr="00EA44E0">
        <w:t>844</w:t>
      </w:r>
      <w:r w:rsidR="0087462C" w:rsidRPr="0087462C">
        <w:rPr>
          <w:rStyle w:val="Hyperlink"/>
          <w:color w:val="auto"/>
          <w:u w:val="none"/>
        </w:rPr>
        <w:t xml:space="preserve">, other than </w:t>
      </w:r>
      <w:r w:rsidR="0087462C">
        <w:rPr>
          <w:rStyle w:val="Hyperlink"/>
          <w:color w:val="auto"/>
          <w:u w:val="none"/>
        </w:rPr>
        <w:t xml:space="preserve">information that is disclosed to a person to whom it relates, and is not sensitive information under the CYP Act s 845 </w:t>
      </w:r>
    </w:p>
    <w:p w14:paraId="3A687678" w14:textId="5C08927B" w:rsidR="00A05F81" w:rsidRDefault="00E12C0A" w:rsidP="00846D9E">
      <w:pPr>
        <w:pStyle w:val="ListParagraph"/>
        <w:keepNext/>
        <w:keepLines/>
        <w:numPr>
          <w:ilvl w:val="0"/>
          <w:numId w:val="62"/>
        </w:numPr>
        <w:rPr>
          <w:i/>
        </w:rPr>
      </w:pPr>
      <w:hyperlink r:id="rId32" w:history="1">
        <w:r w:rsidR="00A05F81" w:rsidRPr="000E4202">
          <w:rPr>
            <w:rStyle w:val="Hyperlink"/>
            <w:i/>
          </w:rPr>
          <w:t>Crimes (Child Sex Offenders</w:t>
        </w:r>
        <w:r w:rsidR="00F7398D" w:rsidRPr="000E4202">
          <w:rPr>
            <w:rStyle w:val="Hyperlink"/>
            <w:i/>
          </w:rPr>
          <w:t>)</w:t>
        </w:r>
        <w:r w:rsidR="00A05F81" w:rsidRPr="000E4202">
          <w:rPr>
            <w:rStyle w:val="Hyperlink"/>
            <w:i/>
          </w:rPr>
          <w:t xml:space="preserve"> Act 2005</w:t>
        </w:r>
      </w:hyperlink>
      <w:r w:rsidR="001E5661">
        <w:rPr>
          <w:iCs/>
        </w:rPr>
        <w:t xml:space="preserve"> (</w:t>
      </w:r>
      <w:r w:rsidR="006F5642">
        <w:rPr>
          <w:iCs/>
        </w:rPr>
        <w:t>‘</w:t>
      </w:r>
      <w:r w:rsidR="001E5661" w:rsidRPr="00B81FF6">
        <w:t>Crimes CSO Act</w:t>
      </w:r>
      <w:r w:rsidR="006F5642">
        <w:t>’</w:t>
      </w:r>
      <w:r w:rsidR="001E5661">
        <w:t>)</w:t>
      </w:r>
      <w:r w:rsidR="00F7398D">
        <w:t xml:space="preserve"> s </w:t>
      </w:r>
      <w:r w:rsidR="003E401B" w:rsidRPr="00EA44E0">
        <w:t>133A</w:t>
      </w:r>
    </w:p>
    <w:p w14:paraId="31D9D5AD" w14:textId="23169DCA" w:rsidR="00A05F81" w:rsidRDefault="00E12C0A" w:rsidP="00846D9E">
      <w:pPr>
        <w:pStyle w:val="ListParagraph"/>
        <w:keepNext/>
        <w:keepLines/>
        <w:numPr>
          <w:ilvl w:val="0"/>
          <w:numId w:val="62"/>
        </w:numPr>
        <w:rPr>
          <w:i/>
        </w:rPr>
      </w:pPr>
      <w:hyperlink r:id="rId33" w:history="1">
        <w:r w:rsidR="00A05F81" w:rsidRPr="000E4202">
          <w:rPr>
            <w:rStyle w:val="Hyperlink"/>
            <w:i/>
          </w:rPr>
          <w:t>Crimes (Restorative Justice) Act 2004</w:t>
        </w:r>
      </w:hyperlink>
      <w:r w:rsidR="001C5BFC">
        <w:t xml:space="preserve"> (</w:t>
      </w:r>
      <w:r w:rsidR="006F5642">
        <w:t>‘</w:t>
      </w:r>
      <w:r w:rsidR="001C5BFC" w:rsidRPr="00B81FF6">
        <w:t>Crimes RJ Act</w:t>
      </w:r>
      <w:r w:rsidR="006F5642">
        <w:t>’</w:t>
      </w:r>
      <w:r w:rsidR="001C5BFC">
        <w:t>)</w:t>
      </w:r>
      <w:r w:rsidR="00576861">
        <w:t xml:space="preserve"> </w:t>
      </w:r>
      <w:r w:rsidR="00F7398D">
        <w:t xml:space="preserve">s </w:t>
      </w:r>
      <w:r w:rsidR="003E401B" w:rsidRPr="00EA44E0">
        <w:t>64</w:t>
      </w:r>
      <w:r w:rsidR="00F7398D">
        <w:t xml:space="preserve"> </w:t>
      </w:r>
    </w:p>
    <w:p w14:paraId="1A2DC652" w14:textId="3C300780" w:rsidR="00A05F81" w:rsidRDefault="00E12C0A" w:rsidP="00846D9E">
      <w:pPr>
        <w:pStyle w:val="ListParagraph"/>
        <w:keepNext/>
        <w:keepLines/>
        <w:numPr>
          <w:ilvl w:val="0"/>
          <w:numId w:val="62"/>
        </w:numPr>
        <w:rPr>
          <w:i/>
        </w:rPr>
      </w:pPr>
      <w:hyperlink r:id="rId34" w:history="1">
        <w:r w:rsidR="00A05F81" w:rsidRPr="003C56F9">
          <w:rPr>
            <w:rStyle w:val="Hyperlink"/>
            <w:i/>
          </w:rPr>
          <w:t>Housing Assistance Act 2007</w:t>
        </w:r>
      </w:hyperlink>
      <w:r w:rsidR="00024E1F">
        <w:rPr>
          <w:i/>
        </w:rPr>
        <w:t xml:space="preserve"> </w:t>
      </w:r>
      <w:r w:rsidR="00024E1F">
        <w:rPr>
          <w:iCs/>
        </w:rPr>
        <w:t>(</w:t>
      </w:r>
      <w:r w:rsidR="006F5642">
        <w:rPr>
          <w:iCs/>
        </w:rPr>
        <w:t>‘</w:t>
      </w:r>
      <w:r w:rsidR="00024E1F">
        <w:t>HA Act</w:t>
      </w:r>
      <w:r w:rsidR="006F5642">
        <w:t>’</w:t>
      </w:r>
      <w:r w:rsidR="00024E1F">
        <w:t>)</w:t>
      </w:r>
      <w:r w:rsidR="00F7398D">
        <w:t xml:space="preserve"> s </w:t>
      </w:r>
      <w:r w:rsidR="003E401B" w:rsidRPr="00EA44E0">
        <w:t>28</w:t>
      </w:r>
      <w:r w:rsidR="0087462C" w:rsidRPr="0087462C">
        <w:rPr>
          <w:rStyle w:val="Hyperlink"/>
          <w:color w:val="auto"/>
          <w:u w:val="none"/>
        </w:rPr>
        <w:t xml:space="preserve">, other than </w:t>
      </w:r>
      <w:r w:rsidR="0087462C">
        <w:rPr>
          <w:rStyle w:val="Hyperlink"/>
          <w:color w:val="auto"/>
          <w:u w:val="none"/>
        </w:rPr>
        <w:t xml:space="preserve">information disclosed to a person to whom the information relates. </w:t>
      </w:r>
    </w:p>
    <w:p w14:paraId="384E874D" w14:textId="4B8A4C15" w:rsidR="00A05F81" w:rsidRDefault="00A05F81" w:rsidP="00794CB3">
      <w:pPr>
        <w:ind w:right="-306"/>
      </w:pPr>
      <w:r>
        <w:t>Section 1.3(6) provide</w:t>
      </w:r>
      <w:r w:rsidR="00EE251D">
        <w:t>s</w:t>
      </w:r>
      <w:r>
        <w:t xml:space="preserve"> coverage for ‘any other information the disclosure of which is prohibited by a secrecy provision of a law’.</w:t>
      </w:r>
      <w:r w:rsidR="00794CB3">
        <w:t xml:space="preserve"> </w:t>
      </w:r>
      <w:r>
        <w:t xml:space="preserve">Section 1.3(7) </w:t>
      </w:r>
      <w:r w:rsidR="00794CB3">
        <w:t xml:space="preserve">then specifies </w:t>
      </w:r>
      <w:r>
        <w:t xml:space="preserve">a secrecy provision </w:t>
      </w:r>
      <w:r w:rsidR="00794CB3">
        <w:t>is one which</w:t>
      </w:r>
      <w:r>
        <w:t xml:space="preserve">: </w:t>
      </w:r>
    </w:p>
    <w:p w14:paraId="37A97089" w14:textId="5DBDDF33" w:rsidR="00A05F81" w:rsidRPr="00C245C2" w:rsidRDefault="00A05F81" w:rsidP="00AA5202">
      <w:pPr>
        <w:pStyle w:val="ListParagraph"/>
        <w:numPr>
          <w:ilvl w:val="0"/>
          <w:numId w:val="3"/>
        </w:numPr>
        <w:spacing w:after="0"/>
        <w:ind w:left="357" w:hanging="357"/>
        <w:contextualSpacing w:val="0"/>
      </w:pPr>
      <w:r w:rsidRPr="00C245C2">
        <w:t>applies to information obtained in the exercise of a function under the law</w:t>
      </w:r>
      <w:r w:rsidR="00C65704">
        <w:t xml:space="preserve">, and </w:t>
      </w:r>
    </w:p>
    <w:p w14:paraId="7A4F1042" w14:textId="77777777" w:rsidR="00A05F81" w:rsidRDefault="00A05F81" w:rsidP="00AA5202">
      <w:pPr>
        <w:pStyle w:val="ListParagraph"/>
        <w:numPr>
          <w:ilvl w:val="0"/>
          <w:numId w:val="3"/>
        </w:numPr>
        <w:spacing w:after="0"/>
        <w:ind w:left="357" w:hanging="357"/>
        <w:contextualSpacing w:val="0"/>
      </w:pPr>
      <w:r w:rsidRPr="00C245C2">
        <w:t xml:space="preserve">prohibits people mentioned in the provision from disclosing the information, whether the prohibition is absolute or subject to stated exceptions or qualifications. </w:t>
      </w:r>
    </w:p>
    <w:p w14:paraId="462FA1AC" w14:textId="3AC7A903" w:rsidR="00A05F81" w:rsidRDefault="00A05F81" w:rsidP="00FB311D">
      <w:pPr>
        <w:keepNext/>
        <w:keepLines/>
        <w:spacing w:before="160" w:line="257" w:lineRule="auto"/>
      </w:pPr>
      <w:r>
        <w:t xml:space="preserve">Other </w:t>
      </w:r>
      <w:r w:rsidR="007476BC">
        <w:t>secrecy provisions included in</w:t>
      </w:r>
      <w:r>
        <w:t xml:space="preserve"> legislation that may be relevant here include:</w:t>
      </w:r>
    </w:p>
    <w:p w14:paraId="2C5A1A54" w14:textId="254EF37B" w:rsidR="00A05F81" w:rsidRPr="005203CD" w:rsidRDefault="00E12C0A" w:rsidP="00FB311D">
      <w:pPr>
        <w:pStyle w:val="ListParagraph"/>
        <w:keepNext/>
        <w:keepLines/>
        <w:numPr>
          <w:ilvl w:val="0"/>
          <w:numId w:val="5"/>
        </w:numPr>
        <w:spacing w:before="160" w:line="257" w:lineRule="auto"/>
        <w:ind w:left="426" w:hanging="426"/>
      </w:pPr>
      <w:hyperlink r:id="rId35" w:history="1">
        <w:r w:rsidR="00A05F81" w:rsidRPr="00EF26F9">
          <w:rPr>
            <w:rStyle w:val="Hyperlink"/>
            <w:i/>
            <w:iCs/>
          </w:rPr>
          <w:t>Associations Incorporation Act 1991</w:t>
        </w:r>
      </w:hyperlink>
      <w:r w:rsidR="00A05F81">
        <w:rPr>
          <w:i/>
          <w:iCs/>
        </w:rPr>
        <w:t>,</w:t>
      </w:r>
      <w:r w:rsidR="00A05F81" w:rsidRPr="005203CD">
        <w:rPr>
          <w:i/>
          <w:iCs/>
        </w:rPr>
        <w:t xml:space="preserve"> </w:t>
      </w:r>
      <w:r w:rsidR="00A05F81" w:rsidRPr="005203CD">
        <w:t xml:space="preserve">s </w:t>
      </w:r>
      <w:r w:rsidR="00A05F81" w:rsidRPr="0036064B">
        <w:t>100</w:t>
      </w:r>
      <w:r w:rsidR="00A05F81" w:rsidRPr="005203CD">
        <w:t xml:space="preserve"> </w:t>
      </w:r>
    </w:p>
    <w:p w14:paraId="17B0D000" w14:textId="77676954" w:rsidR="00A05F81" w:rsidRPr="005203CD" w:rsidRDefault="00E12C0A" w:rsidP="00FB311D">
      <w:pPr>
        <w:pStyle w:val="ListParagraph"/>
        <w:keepNext/>
        <w:keepLines/>
        <w:numPr>
          <w:ilvl w:val="0"/>
          <w:numId w:val="5"/>
        </w:numPr>
        <w:spacing w:before="160" w:line="257" w:lineRule="auto"/>
        <w:ind w:left="426" w:hanging="426"/>
      </w:pPr>
      <w:hyperlink r:id="rId36" w:history="1">
        <w:r w:rsidR="00A05F81" w:rsidRPr="0053578C">
          <w:rPr>
            <w:rStyle w:val="Hyperlink"/>
            <w:i/>
            <w:iCs/>
          </w:rPr>
          <w:t>Discrimination Act 1991</w:t>
        </w:r>
      </w:hyperlink>
      <w:r w:rsidR="00A05F81">
        <w:rPr>
          <w:i/>
          <w:iCs/>
        </w:rPr>
        <w:t>,</w:t>
      </w:r>
      <w:r w:rsidR="00A05F81" w:rsidRPr="005203CD">
        <w:rPr>
          <w:i/>
          <w:iCs/>
        </w:rPr>
        <w:t xml:space="preserve"> </w:t>
      </w:r>
      <w:r w:rsidR="00A05F81" w:rsidRPr="005203CD">
        <w:t xml:space="preserve">s </w:t>
      </w:r>
      <w:r w:rsidR="00A05F81" w:rsidRPr="0036064B">
        <w:t>121</w:t>
      </w:r>
      <w:r w:rsidR="00A05F81" w:rsidRPr="005203CD">
        <w:t xml:space="preserve"> </w:t>
      </w:r>
    </w:p>
    <w:p w14:paraId="75284E6A" w14:textId="2E857E24" w:rsidR="00A05F81" w:rsidRPr="005203CD" w:rsidRDefault="00E12C0A" w:rsidP="00FB311D">
      <w:pPr>
        <w:pStyle w:val="ListParagraph"/>
        <w:keepNext/>
        <w:keepLines/>
        <w:numPr>
          <w:ilvl w:val="0"/>
          <w:numId w:val="5"/>
        </w:numPr>
        <w:spacing w:before="160" w:line="257" w:lineRule="auto"/>
        <w:ind w:left="426" w:hanging="426"/>
      </w:pPr>
      <w:hyperlink r:id="rId37" w:history="1">
        <w:r w:rsidR="00A05F81" w:rsidRPr="00F05FCF">
          <w:rPr>
            <w:rStyle w:val="Hyperlink"/>
            <w:i/>
            <w:iCs/>
          </w:rPr>
          <w:t>Health Act 1993</w:t>
        </w:r>
      </w:hyperlink>
      <w:r w:rsidR="00A05F81">
        <w:rPr>
          <w:i/>
          <w:iCs/>
        </w:rPr>
        <w:t>,</w:t>
      </w:r>
      <w:r w:rsidR="00A05F81" w:rsidRPr="005203CD">
        <w:rPr>
          <w:i/>
          <w:iCs/>
        </w:rPr>
        <w:t xml:space="preserve"> </w:t>
      </w:r>
      <w:r w:rsidR="00A05F81" w:rsidRPr="005203CD">
        <w:t xml:space="preserve">s </w:t>
      </w:r>
      <w:r w:rsidR="00A05F81" w:rsidRPr="0036064B">
        <w:t>125</w:t>
      </w:r>
      <w:r w:rsidR="00A05F81" w:rsidRPr="005203CD">
        <w:t xml:space="preserve"> </w:t>
      </w:r>
    </w:p>
    <w:p w14:paraId="26551E1D" w14:textId="3D28198D" w:rsidR="00A05F81" w:rsidRPr="005203CD" w:rsidRDefault="00E12C0A" w:rsidP="00FB311D">
      <w:pPr>
        <w:pStyle w:val="ListParagraph"/>
        <w:keepNext/>
        <w:keepLines/>
        <w:numPr>
          <w:ilvl w:val="0"/>
          <w:numId w:val="5"/>
        </w:numPr>
        <w:spacing w:before="160" w:line="257" w:lineRule="auto"/>
        <w:ind w:left="426" w:hanging="426"/>
      </w:pPr>
      <w:hyperlink r:id="rId38" w:history="1">
        <w:r w:rsidR="00A05F81" w:rsidRPr="00F05FCF">
          <w:rPr>
            <w:rStyle w:val="Hyperlink"/>
            <w:i/>
            <w:iCs/>
          </w:rPr>
          <w:t>Planning and Development Act 2007</w:t>
        </w:r>
      </w:hyperlink>
      <w:r w:rsidR="00A05F81">
        <w:rPr>
          <w:i/>
          <w:iCs/>
        </w:rPr>
        <w:t>,</w:t>
      </w:r>
      <w:r w:rsidR="00A05F81" w:rsidRPr="005203CD">
        <w:rPr>
          <w:i/>
          <w:iCs/>
        </w:rPr>
        <w:t xml:space="preserve"> </w:t>
      </w:r>
      <w:r w:rsidR="00A05F81" w:rsidRPr="005203CD">
        <w:t xml:space="preserve">s </w:t>
      </w:r>
      <w:r w:rsidR="00A05F81" w:rsidRPr="0036064B">
        <w:t>418</w:t>
      </w:r>
      <w:r w:rsidR="00A05F81" w:rsidRPr="005203CD">
        <w:t xml:space="preserve"> </w:t>
      </w:r>
    </w:p>
    <w:p w14:paraId="2A70FDB4" w14:textId="481B61AA" w:rsidR="00A05F81" w:rsidRPr="005203CD" w:rsidRDefault="00E12C0A" w:rsidP="00FB311D">
      <w:pPr>
        <w:pStyle w:val="ListParagraph"/>
        <w:keepNext/>
        <w:keepLines/>
        <w:numPr>
          <w:ilvl w:val="0"/>
          <w:numId w:val="5"/>
        </w:numPr>
        <w:spacing w:before="160" w:line="257" w:lineRule="auto"/>
        <w:ind w:left="426" w:hanging="426"/>
      </w:pPr>
      <w:hyperlink r:id="rId39" w:history="1">
        <w:r w:rsidR="00A05F81" w:rsidRPr="00FD123C">
          <w:rPr>
            <w:rStyle w:val="Hyperlink"/>
            <w:i/>
            <w:iCs/>
          </w:rPr>
          <w:t>Public Trustee and Guardian Act 1985</w:t>
        </w:r>
      </w:hyperlink>
      <w:r w:rsidR="00A05F81">
        <w:rPr>
          <w:i/>
          <w:iCs/>
        </w:rPr>
        <w:t>,</w:t>
      </w:r>
      <w:r w:rsidR="00A05F81" w:rsidRPr="005203CD">
        <w:rPr>
          <w:i/>
          <w:iCs/>
        </w:rPr>
        <w:t xml:space="preserve"> </w:t>
      </w:r>
      <w:r w:rsidR="00A05F81" w:rsidRPr="005203CD">
        <w:t xml:space="preserve">s </w:t>
      </w:r>
      <w:r w:rsidR="00A05F81" w:rsidRPr="0036064B">
        <w:t>65A</w:t>
      </w:r>
      <w:r w:rsidR="00A05F81" w:rsidRPr="005203CD">
        <w:t xml:space="preserve"> </w:t>
      </w:r>
    </w:p>
    <w:p w14:paraId="5CE4C1EC" w14:textId="5C612509" w:rsidR="008E3389" w:rsidRDefault="00E12C0A" w:rsidP="00EA44E0">
      <w:pPr>
        <w:pStyle w:val="ListParagraph"/>
        <w:numPr>
          <w:ilvl w:val="0"/>
          <w:numId w:val="5"/>
        </w:numPr>
        <w:spacing w:before="160" w:line="257" w:lineRule="auto"/>
        <w:ind w:left="425" w:hanging="425"/>
      </w:pPr>
      <w:hyperlink r:id="rId40" w:history="1">
        <w:r w:rsidR="00A05F81" w:rsidRPr="003E3B5E">
          <w:rPr>
            <w:rStyle w:val="Hyperlink"/>
            <w:i/>
          </w:rPr>
          <w:t>Taxation Administration Act 1999</w:t>
        </w:r>
      </w:hyperlink>
      <w:r w:rsidR="00A05F81">
        <w:rPr>
          <w:i/>
        </w:rPr>
        <w:t>,</w:t>
      </w:r>
      <w:r w:rsidR="00A05F81">
        <w:t xml:space="preserve"> s </w:t>
      </w:r>
      <w:r w:rsidR="00A05F81" w:rsidRPr="0036064B">
        <w:t>95(2)</w:t>
      </w:r>
      <w:r w:rsidR="007C3A10">
        <w:rPr>
          <w:rFonts w:ascii="Calibri" w:hAnsi="Calibri" w:cs="Calibri"/>
        </w:rPr>
        <w:t>—</w:t>
      </w:r>
      <w:r w:rsidR="00B81FF6">
        <w:t>see case study example below.</w:t>
      </w:r>
    </w:p>
    <w:p w14:paraId="61FCFDB9" w14:textId="77777777" w:rsidR="009F5737" w:rsidRPr="009F5737" w:rsidRDefault="009F5737"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9F5737">
        <w:rPr>
          <w:b/>
        </w:rPr>
        <w:t>Note:</w:t>
      </w:r>
    </w:p>
    <w:p w14:paraId="07D607B4" w14:textId="31344F5C" w:rsidR="009F5737" w:rsidRDefault="009F5737"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w:t>
      </w:r>
      <w:r w:rsidR="00F257E7">
        <w:t>Ombudsman takes the view that s 1.3(6)</w:t>
      </w:r>
      <w:r>
        <w:t xml:space="preserve"> is </w:t>
      </w:r>
      <w:r w:rsidRPr="00794CB3">
        <w:rPr>
          <w:b/>
        </w:rPr>
        <w:t>not</w:t>
      </w:r>
      <w:r>
        <w:t xml:space="preserve"> limited to secrecy laws in ACT legislation and extends to secrecy provisions in Commonwealth, State and Northern Territory legislation to the extent that those provisions would apply to information held by ACT agencies or Ministers. </w:t>
      </w:r>
    </w:p>
    <w:p w14:paraId="7D99BB0C" w14:textId="1F270C14" w:rsidR="006D0AC6" w:rsidRPr="00D24BA1" w:rsidRDefault="00466D15"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Decision-makers who identify applicable secrecy </w:t>
      </w:r>
      <w:r w:rsidR="00F7398D">
        <w:t xml:space="preserve">provisions </w:t>
      </w:r>
      <w:r>
        <w:t xml:space="preserve">need to carefully consider the relevant </w:t>
      </w:r>
      <w:r w:rsidR="00F7398D" w:rsidRPr="00D24BA1">
        <w:t xml:space="preserve">legislation </w:t>
      </w:r>
      <w:r w:rsidRPr="00D24BA1">
        <w:t>when deciding whether or</w:t>
      </w:r>
      <w:r w:rsidR="006D0AC6" w:rsidRPr="00D24BA1">
        <w:t xml:space="preserve"> not to release the information – as the legislation is unlikely to include a blanket prohibition on </w:t>
      </w:r>
      <w:r w:rsidR="000B34FB" w:rsidRPr="00D24BA1">
        <w:t>disclosure and</w:t>
      </w:r>
      <w:r w:rsidR="006D0AC6" w:rsidRPr="00D24BA1">
        <w:t xml:space="preserve"> may allow for disclosure in certain circumstances. </w:t>
      </w:r>
    </w:p>
    <w:p w14:paraId="469F8B84" w14:textId="549DE092" w:rsidR="00EF5225" w:rsidRPr="00D24BA1" w:rsidRDefault="00EF5225"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rsidRPr="00D24BA1">
        <w:t>The Ombudsman encourages agencies to consider releasing information, where possible, consistent with the pro-disclosure objectives of the FOI Act.</w:t>
      </w:r>
    </w:p>
    <w:p w14:paraId="7B1F0C07" w14:textId="77777777" w:rsidR="00466D15" w:rsidRDefault="00466D15"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rsidRPr="00D24BA1">
        <w:t xml:space="preserve">It is not feasible for this guideline to provide detailed </w:t>
      </w:r>
      <w:r w:rsidR="009E5D8C" w:rsidRPr="00D24BA1">
        <w:t>guidance</w:t>
      </w:r>
      <w:r>
        <w:t xml:space="preserve"> regarding all relevant legislation in this space. Agencies are, however, welcome to seek further additions to these guidelines where particular secrecy provisions are found to regularly be relevant in the context of their decisions under the FOI Act. </w:t>
      </w:r>
    </w:p>
    <w:p w14:paraId="4B024395" w14:textId="46354148" w:rsidR="003E3940" w:rsidRDefault="003E3940"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t>It is noted that where the relevant secrecy provision provides some discretion in terms of permitted disclosure, it will be outside of the scope of an FOI Ombudsman review for the Ombudsman to determine whether or not an appropriate decision has been made under the relevant legislation.</w:t>
      </w:r>
      <w:r>
        <w:rPr>
          <w:rStyle w:val="FootnoteReference"/>
        </w:rPr>
        <w:footnoteReference w:id="65"/>
      </w:r>
    </w:p>
    <w:p w14:paraId="2E7B0E88" w14:textId="6945569B" w:rsidR="0016535A" w:rsidRDefault="00EF5225"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Where Schedule 1, s </w:t>
      </w:r>
      <w:r w:rsidR="0016535A">
        <w:t xml:space="preserve">1.3 is found </w:t>
      </w:r>
      <w:r w:rsidR="0016535A" w:rsidRPr="0016535A">
        <w:rPr>
          <w:b/>
        </w:rPr>
        <w:t>not</w:t>
      </w:r>
      <w:r w:rsidR="0016535A">
        <w:t xml:space="preserve"> to apply, </w:t>
      </w:r>
      <w:r w:rsidR="0016535A" w:rsidRPr="001050B9">
        <w:t>s 2.2(b)(iv)</w:t>
      </w:r>
      <w:r w:rsidR="0016535A">
        <w:t xml:space="preserve"> </w:t>
      </w:r>
      <w:r w:rsidR="00A60149">
        <w:t xml:space="preserve">of Schedule 2 </w:t>
      </w:r>
      <w:r w:rsidR="0016535A">
        <w:t>may still be relevant as a factor against disclosure when applying the public interest test under s</w:t>
      </w:r>
      <w:r w:rsidR="00947300">
        <w:t xml:space="preserve"> </w:t>
      </w:r>
      <w:r w:rsidR="0016535A">
        <w:t>17</w:t>
      </w:r>
      <w:r w:rsidR="001050B9">
        <w:t xml:space="preserve"> (see </w:t>
      </w:r>
      <w:hyperlink w:anchor="_Section_2.2(b)(iv)_–" w:history="1">
        <w:r w:rsidR="001050B9">
          <w:rPr>
            <w:rStyle w:val="Hyperlink"/>
          </w:rPr>
          <w:t>[8.22]</w:t>
        </w:r>
      </w:hyperlink>
      <w:r w:rsidR="001050B9">
        <w:t xml:space="preserve"> below). </w:t>
      </w:r>
    </w:p>
    <w:p w14:paraId="6826060A" w14:textId="4A3C8800" w:rsidR="00466D15" w:rsidRPr="00250C79" w:rsidRDefault="00466D15" w:rsidP="002530AE">
      <w:pPr>
        <w:spacing w:after="0"/>
      </w:pPr>
    </w:p>
    <w:p w14:paraId="7191139D" w14:textId="0F429303" w:rsidR="00A05F81" w:rsidRPr="00474428" w:rsidRDefault="00B81FF6"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bCs/>
        </w:rPr>
      </w:pPr>
      <w:r w:rsidRPr="00D155C3">
        <w:rPr>
          <w:b/>
          <w:bCs/>
          <w:iCs/>
        </w:rPr>
        <w:t>Case study:</w:t>
      </w:r>
      <w:r>
        <w:rPr>
          <w:b/>
          <w:bCs/>
          <w:i/>
          <w:iCs/>
        </w:rPr>
        <w:t xml:space="preserve"> </w:t>
      </w:r>
      <w:r w:rsidR="00A05F81" w:rsidRPr="00474428">
        <w:rPr>
          <w:b/>
          <w:bCs/>
          <w:i/>
          <w:iCs/>
        </w:rPr>
        <w:t>Perpetual Corporate Trust and Chief Minister, Treasur</w:t>
      </w:r>
      <w:r w:rsidR="00A05F81">
        <w:rPr>
          <w:b/>
          <w:bCs/>
          <w:i/>
          <w:iCs/>
        </w:rPr>
        <w:t>y</w:t>
      </w:r>
      <w:r w:rsidR="00A05F81" w:rsidRPr="00474428">
        <w:rPr>
          <w:b/>
          <w:bCs/>
          <w:i/>
          <w:iCs/>
        </w:rPr>
        <w:t xml:space="preserve"> and Economic Development Directorate</w:t>
      </w:r>
      <w:r w:rsidR="006173A2">
        <w:rPr>
          <w:rStyle w:val="FootnoteReference"/>
          <w:b/>
          <w:bCs/>
          <w:i/>
          <w:iCs/>
        </w:rPr>
        <w:footnoteReference w:id="66"/>
      </w:r>
      <w:r w:rsidR="00A05F81" w:rsidRPr="00474428">
        <w:rPr>
          <w:b/>
          <w:bCs/>
        </w:rPr>
        <w:t xml:space="preserve"> </w:t>
      </w:r>
    </w:p>
    <w:p w14:paraId="65AA7401" w14:textId="1784377F" w:rsidR="00A05F81" w:rsidRDefault="00A05F81"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applicant sought access to documents relating to land valuation. The agency disclosed some documents but refused access to others stating that the information was taken to be contrary to the public interest to disclose as disclosure was prohibited by a secrecy provision of a law (s 95(2) of the </w:t>
      </w:r>
      <w:r>
        <w:rPr>
          <w:i/>
        </w:rPr>
        <w:t>Taxation Administration Act 1999</w:t>
      </w:r>
      <w:r>
        <w:t>) (Schedule 1, s 1.3(6)).</w:t>
      </w:r>
    </w:p>
    <w:p w14:paraId="573141DF" w14:textId="49785AF5" w:rsidR="00A05F81" w:rsidRDefault="00A05F81"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found that s 95(2) of the </w:t>
      </w:r>
      <w:r>
        <w:rPr>
          <w:i/>
        </w:rPr>
        <w:t>Taxation Administration Act 1999</w:t>
      </w:r>
      <w:r>
        <w:t xml:space="preserve"> was a relevant secrecy provision and disclosure of the information was prohibited unless permitted by s 96 or 97 of that Act. On</w:t>
      </w:r>
      <w:r w:rsidR="00B81FF6">
        <w:t> </w:t>
      </w:r>
      <w:r>
        <w:t xml:space="preserve">the facts of the case, s 96(1) did not apply and the agency had declined to exercise its discretionary power under s 97 to disclose the information.  Therefore, disclosure of the information sought was prohibited by the secrecy provision in s 95(2) and on that basis was information taken to be contrary to the public interest to disclose under </w:t>
      </w:r>
      <w:r w:rsidR="002C7F53">
        <w:t>S</w:t>
      </w:r>
      <w:r>
        <w:t>chedule 1, s 1.3(6).</w:t>
      </w:r>
    </w:p>
    <w:p w14:paraId="2F0F0DD8" w14:textId="3702EC21" w:rsidR="00F71E05" w:rsidRPr="00237DE4" w:rsidRDefault="00F71E05" w:rsidP="002530AE">
      <w:pPr>
        <w:pStyle w:val="Heading4"/>
      </w:pPr>
      <w:r>
        <w:t xml:space="preserve">Adoption Act 1993 </w:t>
      </w:r>
    </w:p>
    <w:p w14:paraId="58565ABB" w14:textId="59757C59" w:rsidR="00F71E05" w:rsidRDefault="00B81FF6" w:rsidP="001B1A52">
      <w:pPr>
        <w:keepNext/>
        <w:keepLines/>
      </w:pPr>
      <w:r>
        <w:t xml:space="preserve">Decision-makers assessing information related to adoption for potential release should consider whether the information may be </w:t>
      </w:r>
      <w:r w:rsidR="00003559">
        <w:t>with</w:t>
      </w:r>
      <w:r>
        <w:t xml:space="preserve">in </w:t>
      </w:r>
      <w:r w:rsidR="00003559">
        <w:t xml:space="preserve">the </w:t>
      </w:r>
      <w:r>
        <w:t xml:space="preserve">scope of </w:t>
      </w:r>
      <w:r w:rsidR="009071E1">
        <w:t xml:space="preserve">s </w:t>
      </w:r>
      <w:r w:rsidR="009071E1" w:rsidRPr="0036064B">
        <w:t>60</w:t>
      </w:r>
      <w:r w:rsidR="00F71E05" w:rsidRPr="002B343A">
        <w:t xml:space="preserve"> of the </w:t>
      </w:r>
      <w:r w:rsidR="00F71E05" w:rsidRPr="00B51694">
        <w:t>Adoption Act</w:t>
      </w:r>
      <w:r>
        <w:rPr>
          <w:i/>
        </w:rPr>
        <w:t>.</w:t>
      </w:r>
      <w:r w:rsidR="002C7F53">
        <w:rPr>
          <w:i/>
        </w:rPr>
        <w:t xml:space="preserve"> </w:t>
      </w:r>
      <w:r>
        <w:t xml:space="preserve">This provision </w:t>
      </w:r>
      <w:r w:rsidR="00F71E05">
        <w:t>prohibits certain confidential records from being made available</w:t>
      </w:r>
      <w:r w:rsidR="00A05F81">
        <w:t>,</w:t>
      </w:r>
      <w:r w:rsidR="00F71E05">
        <w:t xml:space="preserve"> or inspected</w:t>
      </w:r>
      <w:r w:rsidR="00A05F81">
        <w:t>,</w:t>
      </w:r>
      <w:r w:rsidR="00F71E05">
        <w:t xml:space="preserve"> except as provided for in Part 5 of </w:t>
      </w:r>
      <w:r w:rsidR="004D2173">
        <w:t>the Adoption</w:t>
      </w:r>
      <w:r w:rsidR="00F71E05">
        <w:t xml:space="preserve"> Act</w:t>
      </w:r>
      <w:r w:rsidR="009071E1">
        <w:t>.</w:t>
      </w:r>
      <w:r w:rsidR="00A05F81">
        <w:t xml:space="preserve"> </w:t>
      </w:r>
      <w:r>
        <w:t>Such records include the following:</w:t>
      </w:r>
      <w:r w:rsidR="001969FB" w:rsidRPr="001969FB">
        <w:rPr>
          <w:rStyle w:val="FootnoteReference"/>
        </w:rPr>
        <w:t xml:space="preserve"> </w:t>
      </w:r>
      <w:r w:rsidR="001969FB">
        <w:rPr>
          <w:rStyle w:val="FootnoteReference"/>
        </w:rPr>
        <w:footnoteReference w:id="67"/>
      </w:r>
    </w:p>
    <w:p w14:paraId="57CB928C" w14:textId="3C0AF781" w:rsidR="00A05F81" w:rsidRDefault="00B81FF6" w:rsidP="00AA5202">
      <w:pPr>
        <w:pStyle w:val="ListParagraph"/>
        <w:numPr>
          <w:ilvl w:val="0"/>
          <w:numId w:val="3"/>
        </w:numPr>
      </w:pPr>
      <w:r>
        <w:t xml:space="preserve">those in the possession, </w:t>
      </w:r>
      <w:r w:rsidR="00A05F81">
        <w:t>or under the control</w:t>
      </w:r>
      <w:r>
        <w:t>,</w:t>
      </w:r>
      <w:r w:rsidR="00A05F81">
        <w:t xml:space="preserve"> of the Director-</w:t>
      </w:r>
      <w:r w:rsidR="00A05F81" w:rsidRPr="002B343A">
        <w:t>General or</w:t>
      </w:r>
      <w:r w:rsidR="00A05F81">
        <w:t xml:space="preserve"> a private adoption agency relating to an adoption</w:t>
      </w:r>
    </w:p>
    <w:p w14:paraId="37C1E358" w14:textId="77777777" w:rsidR="00A05F81" w:rsidRDefault="00A05F81" w:rsidP="00AA5202">
      <w:pPr>
        <w:pStyle w:val="ListParagraph"/>
        <w:numPr>
          <w:ilvl w:val="0"/>
          <w:numId w:val="3"/>
        </w:numPr>
      </w:pPr>
      <w:r>
        <w:t>records of the court (other than an order or decision of the court) relating to proceedings on an application for an adoption order</w:t>
      </w:r>
    </w:p>
    <w:p w14:paraId="243B82AF" w14:textId="77777777" w:rsidR="00A05F81" w:rsidRDefault="00A05F81" w:rsidP="00AA5202">
      <w:pPr>
        <w:pStyle w:val="ListParagraph"/>
        <w:numPr>
          <w:ilvl w:val="0"/>
          <w:numId w:val="3"/>
        </w:numPr>
      </w:pPr>
      <w:r>
        <w:t>entries in the register of births relating to the birth of an adopted person, or a copy of, or extract from, such an entry.</w:t>
      </w:r>
    </w:p>
    <w:p w14:paraId="03E39094" w14:textId="7032C610" w:rsidR="00F71E05" w:rsidRDefault="00F71E05" w:rsidP="001733F2">
      <w:pPr>
        <w:pStyle w:val="Heading4"/>
      </w:pPr>
      <w:bookmarkStart w:id="665" w:name="_Children_and_Young"/>
      <w:bookmarkEnd w:id="665"/>
      <w:r>
        <w:t>Children and Young People Act 2008</w:t>
      </w:r>
    </w:p>
    <w:p w14:paraId="63C64C74" w14:textId="72A5B928" w:rsidR="000B34FB" w:rsidRDefault="00B81FF6" w:rsidP="0080118F">
      <w:r>
        <w:t>Decision-makers assessing information which relates to children and young people should consider whether</w:t>
      </w:r>
      <w:r w:rsidR="009F5737">
        <w:t xml:space="preserve"> it is </w:t>
      </w:r>
      <w:r w:rsidR="00A05F81">
        <w:t xml:space="preserve">‘protected information’ under s </w:t>
      </w:r>
      <w:r w:rsidR="00A05F81" w:rsidRPr="0036064B">
        <w:t>844</w:t>
      </w:r>
      <w:r w:rsidR="00A05F81">
        <w:t xml:space="preserve"> of the </w:t>
      </w:r>
      <w:r w:rsidR="001733F2" w:rsidRPr="001733F2">
        <w:t>CYP Act</w:t>
      </w:r>
      <w:r w:rsidR="00A05F81">
        <w:rPr>
          <w:i/>
        </w:rPr>
        <w:t>.</w:t>
      </w:r>
      <w:r w:rsidR="00A05F81">
        <w:t xml:space="preserve"> </w:t>
      </w:r>
      <w:r w:rsidR="00B90733">
        <w:t>‘</w:t>
      </w:r>
      <w:r w:rsidR="005A2D30">
        <w:t>I</w:t>
      </w:r>
      <w:r w:rsidR="005A2D30" w:rsidRPr="005A2D30">
        <w:t>nformation is ‘protected information’ if it is information about a person that is disclosed to, or obtained by, an information holder because the information holder is, or has been an information holder</w:t>
      </w:r>
      <w:r w:rsidR="005A2D30">
        <w:t xml:space="preserve"> under the</w:t>
      </w:r>
      <w:r w:rsidR="00090306">
        <w:t xml:space="preserve"> </w:t>
      </w:r>
      <w:r w:rsidR="004425B5">
        <w:t>CYP</w:t>
      </w:r>
      <w:r w:rsidR="005A2D30">
        <w:t xml:space="preserve"> Act. </w:t>
      </w:r>
    </w:p>
    <w:p w14:paraId="7ADFE482" w14:textId="6961B0BE" w:rsidR="00A05F81" w:rsidRDefault="00B81FF6" w:rsidP="00C52C70">
      <w:r>
        <w:t xml:space="preserve">Protected information includes </w:t>
      </w:r>
      <w:r w:rsidR="00A05F81">
        <w:t>the following ‘sensitive information’:</w:t>
      </w:r>
    </w:p>
    <w:p w14:paraId="11490F62" w14:textId="62A16AC1" w:rsidR="00A05F81" w:rsidRDefault="00A05F81" w:rsidP="0080118F">
      <w:pPr>
        <w:pStyle w:val="ListParagraph"/>
        <w:numPr>
          <w:ilvl w:val="0"/>
          <w:numId w:val="3"/>
        </w:numPr>
      </w:pPr>
      <w:r>
        <w:t>care and protection report</w:t>
      </w:r>
      <w:r w:rsidR="009A7D48">
        <w:t xml:space="preserve"> and appraisal</w:t>
      </w:r>
      <w:r>
        <w:t xml:space="preserve"> information</w:t>
      </w:r>
    </w:p>
    <w:p w14:paraId="4E2F310C" w14:textId="77777777" w:rsidR="00A05F81" w:rsidRDefault="00A05F81" w:rsidP="0080118F">
      <w:pPr>
        <w:pStyle w:val="ListParagraph"/>
        <w:numPr>
          <w:ilvl w:val="0"/>
          <w:numId w:val="3"/>
        </w:numPr>
      </w:pPr>
      <w:r>
        <w:t xml:space="preserve">interstate care and protection information </w:t>
      </w:r>
    </w:p>
    <w:p w14:paraId="33F64A96" w14:textId="002608E0" w:rsidR="00A05F81" w:rsidRDefault="00A05F81" w:rsidP="0080118F">
      <w:pPr>
        <w:pStyle w:val="ListParagraph"/>
        <w:numPr>
          <w:ilvl w:val="0"/>
          <w:numId w:val="3"/>
        </w:numPr>
      </w:pPr>
      <w:r>
        <w:t>family group conference information</w:t>
      </w:r>
    </w:p>
    <w:p w14:paraId="3FB251F2" w14:textId="246B7B61" w:rsidR="007C1BE7" w:rsidRDefault="00A05F81" w:rsidP="0080118F">
      <w:pPr>
        <w:pStyle w:val="ListParagraph"/>
        <w:numPr>
          <w:ilvl w:val="0"/>
          <w:numId w:val="3"/>
        </w:numPr>
      </w:pPr>
      <w:r>
        <w:t xml:space="preserve">contravention report information, </w:t>
      </w:r>
    </w:p>
    <w:p w14:paraId="0A983DE7" w14:textId="09480434" w:rsidR="00A05F81" w:rsidRDefault="007C1BE7" w:rsidP="0080118F">
      <w:pPr>
        <w:pStyle w:val="ListParagraph"/>
        <w:numPr>
          <w:ilvl w:val="0"/>
          <w:numId w:val="3"/>
        </w:numPr>
      </w:pPr>
      <w:r>
        <w:t>prenatal report information</w:t>
      </w:r>
      <w:r w:rsidR="002A4F3C">
        <w:rPr>
          <w:rStyle w:val="FootnoteReference"/>
        </w:rPr>
        <w:footnoteReference w:id="68"/>
      </w:r>
      <w:r>
        <w:t xml:space="preserve">, </w:t>
      </w:r>
      <w:r w:rsidR="00A05F81">
        <w:t>and</w:t>
      </w:r>
    </w:p>
    <w:p w14:paraId="09F8BF46" w14:textId="77777777" w:rsidR="00A05F81" w:rsidRDefault="00A05F81" w:rsidP="0080118F">
      <w:pPr>
        <w:pStyle w:val="ListParagraph"/>
        <w:numPr>
          <w:ilvl w:val="0"/>
          <w:numId w:val="3"/>
        </w:numPr>
      </w:pPr>
      <w:r>
        <w:t>information prescribed by regulation.</w:t>
      </w:r>
      <w:r>
        <w:rPr>
          <w:rStyle w:val="FootnoteReference"/>
        </w:rPr>
        <w:footnoteReference w:id="69"/>
      </w:r>
      <w:r>
        <w:t xml:space="preserve"> </w:t>
      </w:r>
    </w:p>
    <w:p w14:paraId="1E778572" w14:textId="45A96ED6" w:rsidR="00F71E05" w:rsidRDefault="00A05F81" w:rsidP="0080118F">
      <w:r>
        <w:t xml:space="preserve">It is an offence under </w:t>
      </w:r>
      <w:r w:rsidR="001733F2">
        <w:t xml:space="preserve">s </w:t>
      </w:r>
      <w:r w:rsidR="001733F2" w:rsidRPr="0036064B">
        <w:t>846</w:t>
      </w:r>
      <w:r w:rsidR="001733F2">
        <w:t xml:space="preserve"> of the CYP Act </w:t>
      </w:r>
      <w:r w:rsidR="00F71E05">
        <w:t xml:space="preserve">for </w:t>
      </w:r>
      <w:r w:rsidR="00B81FF6">
        <w:t>such information to be divulged except where</w:t>
      </w:r>
      <w:r w:rsidR="00F71E05">
        <w:t>:</w:t>
      </w:r>
    </w:p>
    <w:p w14:paraId="6A4722E1" w14:textId="55424E5E" w:rsidR="00F71E05" w:rsidRDefault="00F71E05" w:rsidP="0080118F">
      <w:pPr>
        <w:pStyle w:val="ListParagraph"/>
        <w:numPr>
          <w:ilvl w:val="0"/>
          <w:numId w:val="3"/>
        </w:numPr>
      </w:pPr>
      <w:r>
        <w:t xml:space="preserve">the information is </w:t>
      </w:r>
      <w:r w:rsidR="00736AF5">
        <w:t xml:space="preserve">protected information under the CYP Act and is </w:t>
      </w:r>
      <w:r>
        <w:t xml:space="preserve">divulged under the </w:t>
      </w:r>
      <w:r w:rsidR="0044568E">
        <w:t xml:space="preserve">CYP </w:t>
      </w:r>
      <w:r>
        <w:t>Act or in the exercise of a function</w:t>
      </w:r>
      <w:r w:rsidR="001733F2">
        <w:t xml:space="preserve">, as an information holder, </w:t>
      </w:r>
      <w:r>
        <w:t xml:space="preserve">under the </w:t>
      </w:r>
      <w:r w:rsidR="00140A83">
        <w:t xml:space="preserve">CYP </w:t>
      </w:r>
      <w:r>
        <w:t>Act</w:t>
      </w:r>
      <w:r w:rsidRPr="00A05F81">
        <w:rPr>
          <w:vertAlign w:val="superscript"/>
        </w:rPr>
        <w:footnoteReference w:id="70"/>
      </w:r>
      <w:r w:rsidRPr="00A05F81">
        <w:rPr>
          <w:vertAlign w:val="superscript"/>
        </w:rPr>
        <w:t xml:space="preserve"> </w:t>
      </w:r>
    </w:p>
    <w:p w14:paraId="02D21920" w14:textId="444006D0" w:rsidR="00FC7714" w:rsidRDefault="00F71E05" w:rsidP="0080118F">
      <w:pPr>
        <w:pStyle w:val="ListParagraph"/>
        <w:numPr>
          <w:ilvl w:val="0"/>
          <w:numId w:val="3"/>
        </w:numPr>
      </w:pPr>
      <w:r>
        <w:t xml:space="preserve">the information is </w:t>
      </w:r>
      <w:r w:rsidRPr="006A0C84">
        <w:rPr>
          <w:b/>
        </w:rPr>
        <w:t>not</w:t>
      </w:r>
      <w:r>
        <w:t xml:space="preserve"> sensitive information, and the information is divulged under another territory law or in the exercise of a function as an information holder under another territory law</w:t>
      </w:r>
      <w:r w:rsidRPr="00A05F81">
        <w:rPr>
          <w:vertAlign w:val="superscript"/>
        </w:rPr>
        <w:footnoteReference w:id="71"/>
      </w:r>
      <w:r w:rsidRPr="0044568E">
        <w:rPr>
          <w:vertAlign w:val="superscript"/>
        </w:rPr>
        <w:t xml:space="preserve"> </w:t>
      </w:r>
      <w:r>
        <w:t>or</w:t>
      </w:r>
      <w:r w:rsidR="0044568E">
        <w:t xml:space="preserve"> </w:t>
      </w:r>
      <w:r>
        <w:t>is divulged with the person’s consent.</w:t>
      </w:r>
      <w:r>
        <w:rPr>
          <w:rStyle w:val="FootnoteReference"/>
        </w:rPr>
        <w:footnoteReference w:id="72"/>
      </w:r>
      <w:r>
        <w:t xml:space="preserve"> </w:t>
      </w:r>
    </w:p>
    <w:p w14:paraId="4C6984C6" w14:textId="51981B8F" w:rsidR="00A05F81" w:rsidRPr="00A05F81" w:rsidRDefault="001733F2" w:rsidP="0080118F">
      <w:pPr>
        <w:keepNext/>
        <w:pBdr>
          <w:top w:val="single" w:sz="4" w:space="1" w:color="auto"/>
          <w:left w:val="single" w:sz="4" w:space="4" w:color="auto"/>
          <w:bottom w:val="single" w:sz="4" w:space="1" w:color="auto"/>
          <w:right w:val="single" w:sz="4" w:space="4" w:color="auto"/>
        </w:pBdr>
        <w:shd w:val="clear" w:color="auto" w:fill="D9E2F3" w:themeFill="accent5" w:themeFillTint="33"/>
        <w:rPr>
          <w:b/>
        </w:rPr>
      </w:pPr>
      <w:r>
        <w:rPr>
          <w:b/>
        </w:rPr>
        <w:t>Important:</w:t>
      </w:r>
    </w:p>
    <w:p w14:paraId="67C29C09" w14:textId="77777777" w:rsidR="00995742" w:rsidRDefault="001733F2" w:rsidP="0080118F">
      <w:pPr>
        <w:pStyle w:val="ListParagraph"/>
        <w:keepNext/>
        <w:numPr>
          <w:ilvl w:val="0"/>
          <w:numId w:val="63"/>
        </w:numPr>
        <w:pBdr>
          <w:top w:val="single" w:sz="4" w:space="1" w:color="auto"/>
          <w:left w:val="single" w:sz="4" w:space="4" w:color="auto"/>
          <w:bottom w:val="single" w:sz="4" w:space="1" w:color="auto"/>
          <w:right w:val="single" w:sz="4" w:space="4" w:color="auto"/>
        </w:pBdr>
        <w:shd w:val="clear" w:color="auto" w:fill="D9E2F3" w:themeFill="accent5" w:themeFillTint="33"/>
      </w:pPr>
      <w:r>
        <w:t>The secrecy provisions in the CYP</w:t>
      </w:r>
      <w:r w:rsidR="009071E1">
        <w:t xml:space="preserve"> Act</w:t>
      </w:r>
      <w:r>
        <w:t xml:space="preserve"> cover </w:t>
      </w:r>
      <w:r w:rsidR="00F71E05">
        <w:t>disclosure of information about a young person</w:t>
      </w:r>
      <w:r w:rsidR="00B81FF6">
        <w:t>,</w:t>
      </w:r>
      <w:r w:rsidR="00F71E05">
        <w:t xml:space="preserve"> </w:t>
      </w:r>
      <w:r w:rsidR="00F71E05" w:rsidRPr="00A05F81">
        <w:rPr>
          <w:i/>
        </w:rPr>
        <w:t>to</w:t>
      </w:r>
      <w:r w:rsidR="00B81FF6">
        <w:rPr>
          <w:i/>
        </w:rPr>
        <w:t> </w:t>
      </w:r>
      <w:r w:rsidR="00F71E05" w:rsidRPr="00A05F81">
        <w:rPr>
          <w:i/>
        </w:rPr>
        <w:t>that young person</w:t>
      </w:r>
      <w:r>
        <w:rPr>
          <w:i/>
        </w:rPr>
        <w:t xml:space="preserve">. </w:t>
      </w:r>
      <w:r w:rsidR="00F71E05">
        <w:t xml:space="preserve">This is unlike </w:t>
      </w:r>
      <w:r w:rsidR="0044568E">
        <w:t xml:space="preserve">most </w:t>
      </w:r>
      <w:r w:rsidR="00F71E05">
        <w:t>other secrecy provisions</w:t>
      </w:r>
      <w:r w:rsidR="009F5737">
        <w:t xml:space="preserve"> that </w:t>
      </w:r>
      <w:r w:rsidR="00F71E05">
        <w:t xml:space="preserve">only prohibit the disclosure of information about an individual </w:t>
      </w:r>
      <w:r w:rsidR="00F71E05" w:rsidRPr="006A0C84">
        <w:rPr>
          <w:i/>
        </w:rPr>
        <w:t>to another person</w:t>
      </w:r>
      <w:r w:rsidR="00F71E05">
        <w:t>.</w:t>
      </w:r>
      <w:r w:rsidR="00F71E05">
        <w:rPr>
          <w:rStyle w:val="FootnoteReference"/>
        </w:rPr>
        <w:footnoteReference w:id="73"/>
      </w:r>
      <w:r w:rsidR="009A62F7">
        <w:t xml:space="preserve"> </w:t>
      </w:r>
    </w:p>
    <w:p w14:paraId="12B09773" w14:textId="7FF59E66" w:rsidR="001733F2" w:rsidRDefault="001733F2" w:rsidP="0080118F">
      <w:pPr>
        <w:pStyle w:val="ListParagraph"/>
        <w:keepNext/>
        <w:numPr>
          <w:ilvl w:val="0"/>
          <w:numId w:val="63"/>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Under s </w:t>
      </w:r>
      <w:r w:rsidRPr="00DC2008">
        <w:t>529L</w:t>
      </w:r>
      <w:r>
        <w:t xml:space="preserve"> of the CYP</w:t>
      </w:r>
      <w:r w:rsidR="009071E1">
        <w:t xml:space="preserve"> Act</w:t>
      </w:r>
      <w:r>
        <w:t>, the Director-General must be satisfied on reasonable grounds that it is in a young person’s best interest</w:t>
      </w:r>
      <w:r w:rsidR="009F5737">
        <w:t>s</w:t>
      </w:r>
      <w:r>
        <w:t xml:space="preserve"> for protected information about them to be disclosed to them.</w:t>
      </w:r>
    </w:p>
    <w:p w14:paraId="11735B61" w14:textId="301D8D38" w:rsidR="00F71E05" w:rsidRDefault="00F71E05" w:rsidP="001733F2">
      <w:pPr>
        <w:pStyle w:val="Heading4"/>
      </w:pPr>
      <w:r>
        <w:t>Crimes (Child Sex Offenders) Act 2005</w:t>
      </w:r>
    </w:p>
    <w:p w14:paraId="5D47BED3" w14:textId="4EEDF540" w:rsidR="00F257E7" w:rsidRDefault="00B81FF6" w:rsidP="00C4712D">
      <w:pPr>
        <w:pStyle w:val="ListParagraph"/>
        <w:spacing w:line="257" w:lineRule="auto"/>
        <w:ind w:left="0" w:right="-22"/>
      </w:pPr>
      <w:r>
        <w:t>Decision-makers assessing information which was obtained</w:t>
      </w:r>
      <w:r w:rsidRPr="00B81FF6">
        <w:t xml:space="preserve"> </w:t>
      </w:r>
      <w:r>
        <w:t>or created</w:t>
      </w:r>
      <w:r w:rsidR="00E40871">
        <w:t xml:space="preserve"> because of the exercise of a function</w:t>
      </w:r>
      <w:r>
        <w:t xml:space="preserve"> under the </w:t>
      </w:r>
      <w:r w:rsidRPr="00C52C70">
        <w:t xml:space="preserve">Crimes </w:t>
      </w:r>
      <w:r w:rsidRPr="00B81FF6">
        <w:t>CSO Act</w:t>
      </w:r>
      <w:r w:rsidRPr="00B81FF6">
        <w:rPr>
          <w:b/>
          <w:i/>
        </w:rPr>
        <w:t xml:space="preserve"> </w:t>
      </w:r>
      <w:r>
        <w:t xml:space="preserve">should consider whether it is within </w:t>
      </w:r>
      <w:r w:rsidR="00E40871">
        <w:t xml:space="preserve">the </w:t>
      </w:r>
      <w:r>
        <w:t>scope of s</w:t>
      </w:r>
      <w:r w:rsidR="009071E1">
        <w:t xml:space="preserve"> </w:t>
      </w:r>
      <w:r w:rsidRPr="00DC2008">
        <w:t>133A</w:t>
      </w:r>
      <w:r>
        <w:t xml:space="preserve"> of this Act</w:t>
      </w:r>
      <w:r w:rsidR="00F257E7">
        <w:t>.</w:t>
      </w:r>
    </w:p>
    <w:p w14:paraId="10335956" w14:textId="133BCD97" w:rsidR="009F5737" w:rsidRPr="003465A4" w:rsidRDefault="00F257E7" w:rsidP="00C52C70">
      <w:pPr>
        <w:spacing w:line="257" w:lineRule="auto"/>
        <w:ind w:right="-306"/>
        <w:rPr>
          <w:rFonts w:asciiTheme="majorHAnsi" w:eastAsiaTheme="majorEastAsia" w:hAnsiTheme="majorHAnsi" w:cstheme="majorBidi"/>
          <w:i/>
          <w:iCs/>
        </w:rPr>
      </w:pPr>
      <w:r w:rsidRPr="00F257E7">
        <w:t xml:space="preserve">For example, where the information includes </w:t>
      </w:r>
      <w:r w:rsidR="009F5737" w:rsidRPr="00F257E7">
        <w:t>details of a listed offender’s motor vehicle or address.</w:t>
      </w:r>
    </w:p>
    <w:p w14:paraId="71707119" w14:textId="18D2C7BF" w:rsidR="00B81FF6" w:rsidRDefault="00B81FF6" w:rsidP="00901EFF">
      <w:r>
        <w:t>This</w:t>
      </w:r>
      <w:r w:rsidR="009F5737">
        <w:t xml:space="preserve"> secrecy </w:t>
      </w:r>
      <w:r>
        <w:t>provision prohibits disclosure unless it occurs:</w:t>
      </w:r>
    </w:p>
    <w:p w14:paraId="01AFC6D2" w14:textId="77777777" w:rsidR="00B81FF6" w:rsidRDefault="00B81FF6" w:rsidP="00AA5202">
      <w:pPr>
        <w:pStyle w:val="ListParagraph"/>
        <w:numPr>
          <w:ilvl w:val="0"/>
          <w:numId w:val="3"/>
        </w:numPr>
      </w:pPr>
      <w:r>
        <w:t xml:space="preserve">under, or in relation to the exercise of a function under, the </w:t>
      </w:r>
      <w:r w:rsidRPr="001733F2">
        <w:t>Crimes CSO Act</w:t>
      </w:r>
      <w:r w:rsidRPr="001B1BBF">
        <w:t xml:space="preserve"> </w:t>
      </w:r>
      <w:r>
        <w:t>or another territory law</w:t>
      </w:r>
      <w:r>
        <w:rPr>
          <w:rStyle w:val="FootnoteReference"/>
        </w:rPr>
        <w:footnoteReference w:id="74"/>
      </w:r>
    </w:p>
    <w:p w14:paraId="4F6B07C8" w14:textId="16F1A9AB" w:rsidR="00B81FF6" w:rsidRDefault="00B81FF6" w:rsidP="00AA5202">
      <w:pPr>
        <w:pStyle w:val="ListParagraph"/>
        <w:numPr>
          <w:ilvl w:val="0"/>
          <w:numId w:val="3"/>
        </w:numPr>
      </w:pPr>
      <w:r>
        <w:t>with the person’s consent</w:t>
      </w:r>
      <w:r w:rsidR="009071E1">
        <w:t>,</w:t>
      </w:r>
      <w:r>
        <w:rPr>
          <w:rStyle w:val="FootnoteReference"/>
        </w:rPr>
        <w:footnoteReference w:id="75"/>
      </w:r>
      <w:r>
        <w:t xml:space="preserve"> or</w:t>
      </w:r>
    </w:p>
    <w:p w14:paraId="581664EA" w14:textId="5006C32A" w:rsidR="00B81FF6" w:rsidRDefault="00B81FF6" w:rsidP="00AA5202">
      <w:pPr>
        <w:pStyle w:val="ListParagraph"/>
        <w:numPr>
          <w:ilvl w:val="0"/>
          <w:numId w:val="3"/>
        </w:numPr>
        <w:ind w:right="-589"/>
      </w:pPr>
      <w:r>
        <w:t>for law enforcement functions or activities (and then only to an entity prescribed by regulation)</w:t>
      </w:r>
      <w:r w:rsidR="009071E1">
        <w:t>.</w:t>
      </w:r>
      <w:r>
        <w:rPr>
          <w:rStyle w:val="FootnoteReference"/>
        </w:rPr>
        <w:footnoteReference w:id="76"/>
      </w:r>
    </w:p>
    <w:p w14:paraId="2B16B2D6" w14:textId="089B4730" w:rsidR="00F71E05" w:rsidRDefault="00F71E05" w:rsidP="00713CFE">
      <w:pPr>
        <w:pStyle w:val="Heading4"/>
      </w:pPr>
      <w:r>
        <w:t>Crimes (Restorative Justice) Act 2004</w:t>
      </w:r>
    </w:p>
    <w:p w14:paraId="157606FC" w14:textId="718F66DB" w:rsidR="00B81FF6" w:rsidRDefault="00B81FF6" w:rsidP="007871D5">
      <w:pPr>
        <w:pStyle w:val="ListParagraph"/>
        <w:keepNext/>
        <w:keepLines/>
        <w:spacing w:line="257" w:lineRule="auto"/>
        <w:ind w:left="0" w:right="545"/>
      </w:pPr>
      <w:r>
        <w:t>Decision-makers assessing information which was obtained</w:t>
      </w:r>
      <w:r w:rsidRPr="00B81FF6">
        <w:t xml:space="preserve"> </w:t>
      </w:r>
      <w:r>
        <w:t xml:space="preserve">or created </w:t>
      </w:r>
      <w:r w:rsidR="00E40871">
        <w:t xml:space="preserve">because of the exercise of a function </w:t>
      </w:r>
      <w:r>
        <w:t xml:space="preserve">under </w:t>
      </w:r>
      <w:r w:rsidR="001C5BFC">
        <w:t xml:space="preserve">the </w:t>
      </w:r>
      <w:r w:rsidRPr="00B81FF6">
        <w:t>Crimes RJ Act</w:t>
      </w:r>
      <w:r w:rsidRPr="00B81FF6">
        <w:rPr>
          <w:b/>
          <w:i/>
        </w:rPr>
        <w:t xml:space="preserve"> </w:t>
      </w:r>
      <w:r>
        <w:t xml:space="preserve">should consider whether it is within </w:t>
      </w:r>
      <w:r w:rsidR="00E40871">
        <w:t xml:space="preserve">the </w:t>
      </w:r>
      <w:r>
        <w:t>scope of s</w:t>
      </w:r>
      <w:r w:rsidR="009071E1">
        <w:t xml:space="preserve"> </w:t>
      </w:r>
      <w:r w:rsidRPr="007C129C">
        <w:t>64</w:t>
      </w:r>
      <w:r>
        <w:t xml:space="preserve"> of this Act.</w:t>
      </w:r>
      <w:r w:rsidR="007871D5">
        <w:t xml:space="preserve"> </w:t>
      </w:r>
      <w:r>
        <w:t xml:space="preserve">This </w:t>
      </w:r>
      <w:r w:rsidR="009F5737">
        <w:t xml:space="preserve">secrecy </w:t>
      </w:r>
      <w:r>
        <w:t>provision prohibits disclosure unless it occurs:</w:t>
      </w:r>
    </w:p>
    <w:p w14:paraId="3577852C" w14:textId="6FF4514D" w:rsidR="00B81FF6" w:rsidRDefault="00B81FF6" w:rsidP="00846D9E">
      <w:pPr>
        <w:pStyle w:val="ListParagraph"/>
        <w:numPr>
          <w:ilvl w:val="0"/>
          <w:numId w:val="3"/>
        </w:numPr>
        <w:spacing w:before="120" w:after="0"/>
        <w:ind w:left="357" w:hanging="357"/>
        <w:contextualSpacing w:val="0"/>
      </w:pPr>
      <w:r>
        <w:t xml:space="preserve">under, or in relation to the exercise of a function under, </w:t>
      </w:r>
      <w:r w:rsidRPr="001B1BBF">
        <w:t xml:space="preserve">the </w:t>
      </w:r>
      <w:r w:rsidRPr="00B81FF6">
        <w:t>Crimes RJ Act</w:t>
      </w:r>
      <w:r>
        <w:t xml:space="preserve"> or any other Act</w:t>
      </w:r>
      <w:r w:rsidRPr="001733F2">
        <w:rPr>
          <w:vertAlign w:val="superscript"/>
        </w:rPr>
        <w:footnoteReference w:id="77"/>
      </w:r>
    </w:p>
    <w:p w14:paraId="453CBF87" w14:textId="7ACB60F2" w:rsidR="00B81FF6" w:rsidRDefault="00B81FF6" w:rsidP="00846D9E">
      <w:pPr>
        <w:pStyle w:val="ListParagraph"/>
        <w:numPr>
          <w:ilvl w:val="0"/>
          <w:numId w:val="3"/>
        </w:numPr>
        <w:ind w:left="357" w:hanging="357"/>
        <w:contextualSpacing w:val="0"/>
      </w:pPr>
      <w:r>
        <w:t>with the consent of the person to whom the information relates.</w:t>
      </w:r>
      <w:r>
        <w:rPr>
          <w:rStyle w:val="FootnoteReference"/>
        </w:rPr>
        <w:footnoteReference w:id="78"/>
      </w:r>
      <w:r>
        <w:t xml:space="preserve"> </w:t>
      </w:r>
    </w:p>
    <w:p w14:paraId="171C8227" w14:textId="77777777" w:rsidR="00B81FF6" w:rsidRDefault="00B81FF6" w:rsidP="00846D9E">
      <w:pPr>
        <w:pStyle w:val="ListParagraph"/>
        <w:keepNext/>
        <w:keepLines/>
        <w:spacing w:line="257" w:lineRule="auto"/>
        <w:ind w:left="0" w:right="-306"/>
      </w:pPr>
      <w:r>
        <w:t>Such information could include:</w:t>
      </w:r>
    </w:p>
    <w:p w14:paraId="1CF3C660" w14:textId="174F5686" w:rsidR="00B81FF6" w:rsidRPr="00B81FF6" w:rsidRDefault="00B81FF6" w:rsidP="00846D9E">
      <w:pPr>
        <w:pStyle w:val="ListParagraph"/>
        <w:keepNext/>
        <w:keepLines/>
        <w:numPr>
          <w:ilvl w:val="0"/>
          <w:numId w:val="3"/>
        </w:numPr>
        <w:spacing w:after="0"/>
        <w:ind w:left="357" w:hanging="357"/>
        <w:contextualSpacing w:val="0"/>
      </w:pPr>
      <w:r w:rsidRPr="00B81FF6">
        <w:t xml:space="preserve">information obtained by a referring entity or the </w:t>
      </w:r>
      <w:r>
        <w:t>D</w:t>
      </w:r>
      <w:r w:rsidRPr="00B81FF6">
        <w:t>irector-</w:t>
      </w:r>
      <w:r>
        <w:t>G</w:t>
      </w:r>
      <w:r w:rsidRPr="00B81FF6">
        <w:t xml:space="preserve">eneral in assessing the eligibility of a victim, parent or offender for restorative justice </w:t>
      </w:r>
    </w:p>
    <w:p w14:paraId="1A6D5203" w14:textId="50ABB59F" w:rsidR="00B81FF6" w:rsidRDefault="00B81FF6" w:rsidP="00846D9E">
      <w:pPr>
        <w:pStyle w:val="ListParagraph"/>
        <w:keepNext/>
        <w:keepLines/>
        <w:numPr>
          <w:ilvl w:val="0"/>
          <w:numId w:val="3"/>
        </w:numPr>
        <w:spacing w:after="0"/>
        <w:ind w:left="357" w:hanging="357"/>
        <w:contextualSpacing w:val="0"/>
      </w:pPr>
      <w:r w:rsidRPr="00B81FF6">
        <w:t>information obtained by the convenor of a restor</w:t>
      </w:r>
      <w:r>
        <w:t xml:space="preserve">ative justice conference in </w:t>
      </w:r>
      <w:r w:rsidRPr="00B81FF6">
        <w:t xml:space="preserve">preparing </w:t>
      </w:r>
      <w:r w:rsidR="005F0108">
        <w:t xml:space="preserve">for </w:t>
      </w:r>
      <w:r w:rsidRPr="00B81FF6">
        <w:t>the conference</w:t>
      </w:r>
    </w:p>
    <w:p w14:paraId="18EBB640" w14:textId="1A7CB5F1" w:rsidR="00B81FF6" w:rsidRPr="00B81FF6" w:rsidRDefault="00B81FF6" w:rsidP="00846D9E">
      <w:pPr>
        <w:pStyle w:val="ListParagraph"/>
        <w:keepNext/>
        <w:keepLines/>
        <w:numPr>
          <w:ilvl w:val="0"/>
          <w:numId w:val="3"/>
        </w:numPr>
        <w:spacing w:after="120"/>
        <w:ind w:left="357" w:hanging="357"/>
        <w:contextualSpacing w:val="0"/>
      </w:pPr>
      <w:r w:rsidRPr="00B81FF6">
        <w:t>a transcr</w:t>
      </w:r>
      <w:r>
        <w:t>i</w:t>
      </w:r>
      <w:r w:rsidRPr="00B81FF6">
        <w:t xml:space="preserve">pt (or other record) of what is said during a restorative justice conference that is kept by the convenor or the </w:t>
      </w:r>
      <w:r>
        <w:t>D</w:t>
      </w:r>
      <w:r w:rsidRPr="00B81FF6">
        <w:t>irector-</w:t>
      </w:r>
      <w:r>
        <w:t>G</w:t>
      </w:r>
      <w:r w:rsidRPr="00B81FF6">
        <w:t>eneral</w:t>
      </w:r>
      <w:r>
        <w:t>.</w:t>
      </w:r>
    </w:p>
    <w:p w14:paraId="5F5618E3" w14:textId="76BB772F" w:rsidR="00B81FF6" w:rsidRDefault="00B81FF6" w:rsidP="00B81FF6">
      <w:pPr>
        <w:pStyle w:val="ListParagraph"/>
        <w:spacing w:line="257" w:lineRule="auto"/>
        <w:ind w:left="0" w:right="-306"/>
      </w:pPr>
      <w:r>
        <w:t xml:space="preserve">The following types of information are, however, specifically excluded from </w:t>
      </w:r>
      <w:r w:rsidR="00E40871">
        <w:t>the application of s 64</w:t>
      </w:r>
      <w:r>
        <w:t>:</w:t>
      </w:r>
    </w:p>
    <w:p w14:paraId="0505A644" w14:textId="77777777" w:rsidR="00B81FF6" w:rsidRDefault="00B81FF6" w:rsidP="00AA5202">
      <w:pPr>
        <w:pStyle w:val="ListParagraph"/>
        <w:numPr>
          <w:ilvl w:val="0"/>
          <w:numId w:val="3"/>
        </w:numPr>
      </w:pPr>
      <w:r>
        <w:t>information in a restorative justice agreement</w:t>
      </w:r>
    </w:p>
    <w:p w14:paraId="44C84476" w14:textId="77777777" w:rsidR="00B81FF6" w:rsidRDefault="00B81FF6" w:rsidP="00AA5202">
      <w:pPr>
        <w:pStyle w:val="ListParagraph"/>
        <w:numPr>
          <w:ilvl w:val="0"/>
          <w:numId w:val="3"/>
        </w:numPr>
      </w:pPr>
      <w:r>
        <w:t xml:space="preserve">information disclosing who attended a restorative justice conference, or </w:t>
      </w:r>
    </w:p>
    <w:p w14:paraId="51F740D4" w14:textId="02BDC9EB" w:rsidR="00B81FF6" w:rsidRDefault="00B81FF6" w:rsidP="00AA5202">
      <w:pPr>
        <w:pStyle w:val="ListParagraph"/>
        <w:numPr>
          <w:ilvl w:val="0"/>
          <w:numId w:val="3"/>
        </w:numPr>
        <w:spacing w:before="120"/>
        <w:ind w:left="357" w:hanging="357"/>
        <w:contextualSpacing w:val="0"/>
      </w:pPr>
      <w:r>
        <w:t xml:space="preserve">a written record of consent made under s </w:t>
      </w:r>
      <w:r w:rsidRPr="00DC2008">
        <w:t>52(3)</w:t>
      </w:r>
      <w:r>
        <w:t xml:space="preserve"> of the </w:t>
      </w:r>
      <w:r w:rsidR="00DE193B">
        <w:t xml:space="preserve">Crimes RJ </w:t>
      </w:r>
      <w:r>
        <w:t>Act</w:t>
      </w:r>
      <w:r w:rsidR="006D241B">
        <w:rPr>
          <w:rFonts w:ascii="Calibri" w:hAnsi="Calibri" w:cs="Calibri"/>
        </w:rPr>
        <w:t>—</w:t>
      </w:r>
      <w:r>
        <w:t>that is, a written record of oral</w:t>
      </w:r>
      <w:r w:rsidR="009F5737">
        <w:t>,</w:t>
      </w:r>
      <w:r>
        <w:t xml:space="preserve"> or other consent</w:t>
      </w:r>
      <w:r w:rsidR="009F5737">
        <w:t>,</w:t>
      </w:r>
      <w:r>
        <w:t xml:space="preserve"> to a restorative justice agreement </w:t>
      </w:r>
      <w:r w:rsidR="009F5737">
        <w:t xml:space="preserve">that is made on behalf of </w:t>
      </w:r>
      <w:r>
        <w:t>a participa</w:t>
      </w:r>
      <w:r w:rsidR="009F5737">
        <w:t>n</w:t>
      </w:r>
      <w:r>
        <w:t>t who is not able to sign the agreement.</w:t>
      </w:r>
      <w:r>
        <w:rPr>
          <w:rStyle w:val="FootnoteReference"/>
        </w:rPr>
        <w:footnoteReference w:id="79"/>
      </w:r>
      <w:r>
        <w:t xml:space="preserve"> </w:t>
      </w:r>
    </w:p>
    <w:p w14:paraId="32DB057F" w14:textId="7553C5CA" w:rsidR="00F71E05" w:rsidRDefault="00F71E05" w:rsidP="001733F2">
      <w:pPr>
        <w:pStyle w:val="Heading4"/>
      </w:pPr>
      <w:r>
        <w:t>Housing Assistance Act 2007</w:t>
      </w:r>
    </w:p>
    <w:p w14:paraId="104C2A5F" w14:textId="75E1ED26" w:rsidR="0077359F" w:rsidRDefault="00617F76" w:rsidP="0077359F">
      <w:pPr>
        <w:pStyle w:val="ListParagraph"/>
        <w:spacing w:line="257" w:lineRule="auto"/>
        <w:ind w:left="0" w:right="-589"/>
      </w:pPr>
      <w:r>
        <w:t xml:space="preserve">Decision-makers assessing information relating to housing assistance should consider whether it is ‘protected information’ within the meaning of s </w:t>
      </w:r>
      <w:r w:rsidRPr="00DC2008">
        <w:t>28</w:t>
      </w:r>
      <w:r>
        <w:t xml:space="preserve"> of the </w:t>
      </w:r>
      <w:r w:rsidR="00F50F09">
        <w:t>HA A</w:t>
      </w:r>
      <w:r w:rsidR="0077359F">
        <w:t xml:space="preserve">ct. </w:t>
      </w:r>
    </w:p>
    <w:p w14:paraId="6803C566" w14:textId="77777777" w:rsidR="0077359F" w:rsidRPr="00A05F81" w:rsidRDefault="0077359F" w:rsidP="0077359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Pr>
          <w:b/>
        </w:rPr>
        <w:t>Important:</w:t>
      </w:r>
    </w:p>
    <w:p w14:paraId="73B8CFEA" w14:textId="364F7DBF" w:rsidR="0077359F" w:rsidRDefault="0077359F" w:rsidP="00C52C70">
      <w:pPr>
        <w:pStyle w:val="ListParagraph"/>
        <w:numPr>
          <w:ilvl w:val="0"/>
          <w:numId w:val="63"/>
        </w:numPr>
        <w:pBdr>
          <w:top w:val="single" w:sz="4" w:space="1" w:color="auto"/>
          <w:left w:val="single" w:sz="4" w:space="4" w:color="auto"/>
          <w:bottom w:val="single" w:sz="4" w:space="1" w:color="auto"/>
          <w:right w:val="single" w:sz="4" w:space="4" w:color="auto"/>
        </w:pBdr>
        <w:shd w:val="clear" w:color="auto" w:fill="D9E2F3" w:themeFill="accent5" w:themeFillTint="33"/>
      </w:pPr>
      <w:r>
        <w:t>If the protected information under consideration would be disclosed to a person to whom the information relates, the infor</w:t>
      </w:r>
      <w:r w:rsidR="00685E62">
        <w:t xml:space="preserve">mation is not taken to be contrary to the public interest under Schedule 1, s 1.3(5). </w:t>
      </w:r>
    </w:p>
    <w:p w14:paraId="0B620AB0" w14:textId="77777777" w:rsidR="0077359F" w:rsidRDefault="0077359F" w:rsidP="0077359F">
      <w:pPr>
        <w:pStyle w:val="ListParagraph"/>
        <w:spacing w:line="257" w:lineRule="auto"/>
        <w:ind w:left="0" w:right="-589"/>
      </w:pPr>
    </w:p>
    <w:p w14:paraId="05C7ABA2" w14:textId="0E05B0F3" w:rsidR="0077359F" w:rsidRDefault="00617F76" w:rsidP="00C52C70">
      <w:pPr>
        <w:pStyle w:val="ListParagraph"/>
        <w:spacing w:line="257" w:lineRule="auto"/>
        <w:ind w:left="0" w:right="-589"/>
      </w:pPr>
      <w:r>
        <w:t>This provision provides that ‘protected information’</w:t>
      </w:r>
      <w:r w:rsidR="00CA3A03">
        <w:t xml:space="preserve"> includes</w:t>
      </w:r>
      <w:r>
        <w:t>:</w:t>
      </w:r>
    </w:p>
    <w:p w14:paraId="73ECADA7" w14:textId="578E3658" w:rsidR="00617F76" w:rsidRDefault="00617F76" w:rsidP="00C52C70">
      <w:pPr>
        <w:pStyle w:val="ListParagraph"/>
        <w:numPr>
          <w:ilvl w:val="0"/>
          <w:numId w:val="135"/>
        </w:numPr>
        <w:spacing w:line="257" w:lineRule="auto"/>
        <w:ind w:left="357" w:right="-590" w:hanging="357"/>
      </w:pPr>
      <w:r>
        <w:t xml:space="preserve">information that identifies </w:t>
      </w:r>
      <w:r w:rsidR="00CA3A03">
        <w:t xml:space="preserve">an applicant for </w:t>
      </w:r>
      <w:r>
        <w:t xml:space="preserve">housing assistance </w:t>
      </w:r>
    </w:p>
    <w:p w14:paraId="6C788D7C" w14:textId="3E19A4F1" w:rsidR="00617F76" w:rsidRDefault="00617F76" w:rsidP="00C52C70">
      <w:pPr>
        <w:pStyle w:val="ListParagraph"/>
        <w:numPr>
          <w:ilvl w:val="0"/>
          <w:numId w:val="135"/>
        </w:numPr>
        <w:spacing w:line="257" w:lineRule="auto"/>
        <w:ind w:left="357" w:right="-590" w:hanging="357"/>
      </w:pPr>
      <w:r>
        <w:t>information that identifies a housing assistance recipient or former housing assistance recipient</w:t>
      </w:r>
    </w:p>
    <w:p w14:paraId="67D8B24D" w14:textId="4D7784FB" w:rsidR="00617F76" w:rsidRDefault="00CA3A03" w:rsidP="00C52C70">
      <w:pPr>
        <w:pStyle w:val="ListParagraph"/>
        <w:numPr>
          <w:ilvl w:val="0"/>
          <w:numId w:val="135"/>
        </w:numPr>
        <w:spacing w:line="257" w:lineRule="auto"/>
        <w:ind w:left="357" w:right="-590" w:hanging="357"/>
      </w:pPr>
      <w:r>
        <w:t>information that i</w:t>
      </w:r>
      <w:r w:rsidR="00617F76">
        <w:t xml:space="preserve">dentifies a housing assistance property </w:t>
      </w:r>
    </w:p>
    <w:p w14:paraId="7F3D0F4F" w14:textId="5030FA3F" w:rsidR="00617F76" w:rsidRPr="00D24BA1" w:rsidRDefault="00617F76" w:rsidP="00C52C70">
      <w:pPr>
        <w:pStyle w:val="ListParagraph"/>
        <w:numPr>
          <w:ilvl w:val="0"/>
          <w:numId w:val="135"/>
        </w:numPr>
        <w:spacing w:line="257" w:lineRule="auto"/>
        <w:ind w:left="357" w:right="-590" w:hanging="357"/>
      </w:pPr>
      <w:r>
        <w:t>per</w:t>
      </w:r>
      <w:r w:rsidRPr="00D24BA1">
        <w:t xml:space="preserve">sonal information about </w:t>
      </w:r>
      <w:r w:rsidR="00CA3A03" w:rsidRPr="00D24BA1">
        <w:t xml:space="preserve">an applicant </w:t>
      </w:r>
      <w:r w:rsidRPr="00D24BA1">
        <w:t>for housing assistance</w:t>
      </w:r>
    </w:p>
    <w:p w14:paraId="648133A5" w14:textId="4D2EF4EF" w:rsidR="00617F76" w:rsidRPr="00D24BA1" w:rsidRDefault="00617F76" w:rsidP="00C52C70">
      <w:pPr>
        <w:pStyle w:val="ListParagraph"/>
        <w:numPr>
          <w:ilvl w:val="0"/>
          <w:numId w:val="135"/>
        </w:numPr>
        <w:spacing w:line="257" w:lineRule="auto"/>
        <w:ind w:left="357" w:right="-590" w:hanging="357"/>
      </w:pPr>
      <w:r w:rsidRPr="00D24BA1">
        <w:t>information prescribed by regulation</w:t>
      </w:r>
      <w:r w:rsidR="000C670F">
        <w:t>.</w:t>
      </w:r>
      <w:r w:rsidRPr="00D24BA1">
        <w:t xml:space="preserve"> </w:t>
      </w:r>
    </w:p>
    <w:p w14:paraId="0E003FBD" w14:textId="40B77FC0" w:rsidR="00F71E05" w:rsidRPr="00D24BA1" w:rsidRDefault="00F71E05" w:rsidP="009B05C4">
      <w:pPr>
        <w:pStyle w:val="Heading2"/>
        <w:numPr>
          <w:ilvl w:val="1"/>
          <w:numId w:val="54"/>
        </w:numPr>
        <w:ind w:left="567" w:hanging="567"/>
      </w:pPr>
      <w:bookmarkStart w:id="666" w:name="_Section_1.4_–"/>
      <w:bookmarkStart w:id="667" w:name="_Toc43385535"/>
      <w:bookmarkStart w:id="668" w:name="_Toc152067319"/>
      <w:bookmarkEnd w:id="666"/>
      <w:r w:rsidRPr="00D24BA1">
        <w:t xml:space="preserve">Section 1.4 – </w:t>
      </w:r>
      <w:r w:rsidR="002C5731">
        <w:t>S</w:t>
      </w:r>
      <w:r w:rsidRPr="00D24BA1">
        <w:t>ensitive information</w:t>
      </w:r>
      <w:bookmarkEnd w:id="667"/>
      <w:bookmarkEnd w:id="668"/>
      <w:r w:rsidRPr="00D24BA1">
        <w:t xml:space="preserve"> </w:t>
      </w:r>
    </w:p>
    <w:p w14:paraId="3A99EB4F" w14:textId="77777777" w:rsidR="00F71E05" w:rsidRDefault="00F71E05" w:rsidP="002530AE">
      <w:pPr>
        <w:pStyle w:val="Heading4"/>
      </w:pPr>
      <w:r>
        <w:t>Background</w:t>
      </w:r>
    </w:p>
    <w:p w14:paraId="17E26F30" w14:textId="5644D442" w:rsidR="00F71E05" w:rsidRDefault="00F71E05" w:rsidP="002530AE">
      <w:pPr>
        <w:keepNext/>
        <w:keepLines/>
      </w:pPr>
      <w:r>
        <w:t xml:space="preserve">The </w:t>
      </w:r>
      <w:hyperlink r:id="rId41" w:history="1">
        <w:r w:rsidR="003C3D89" w:rsidRPr="00BE74A1">
          <w:rPr>
            <w:rStyle w:val="Hyperlink"/>
            <w:i/>
            <w:iCs/>
          </w:rPr>
          <w:t xml:space="preserve">Information Privacy Act 2014 </w:t>
        </w:r>
      </w:hyperlink>
      <w:r w:rsidR="00AA5202" w:rsidRPr="00AA5202">
        <w:t>(</w:t>
      </w:r>
      <w:r w:rsidR="00BE74A1">
        <w:t>‘</w:t>
      </w:r>
      <w:r w:rsidR="00AA5202" w:rsidRPr="00AA5202">
        <w:t>IP Act</w:t>
      </w:r>
      <w:r w:rsidR="00BE74A1">
        <w:t>’</w:t>
      </w:r>
      <w:r w:rsidR="00AA5202" w:rsidRPr="00AA5202">
        <w:t>)</w:t>
      </w:r>
      <w:r>
        <w:t xml:space="preserve"> provides that certain types of ‘personal information’ are ‘sensitive information’. These types of personal information are afforded a higher level of privacy protection</w:t>
      </w:r>
      <w:r w:rsidR="00562AED">
        <w:t xml:space="preserve"> </w:t>
      </w:r>
      <w:r>
        <w:t>because inappropriate handling of this information is more likely to have adverse consequences for the relevant individual.</w:t>
      </w:r>
      <w:r w:rsidR="00AA5202">
        <w:t xml:space="preserve"> </w:t>
      </w:r>
    </w:p>
    <w:p w14:paraId="42409CAD" w14:textId="75A85654" w:rsidR="00AA5202" w:rsidRDefault="00AA5202" w:rsidP="00AA5202">
      <w:r>
        <w:t xml:space="preserve">The FOI Act, unlike </w:t>
      </w:r>
      <w:r w:rsidR="000918BB">
        <w:t xml:space="preserve">in </w:t>
      </w:r>
      <w:r>
        <w:t>other jurisdiction</w:t>
      </w:r>
      <w:r w:rsidR="009F5737">
        <w:t>s</w:t>
      </w:r>
      <w:r>
        <w:t>, specifically recognises that the ACT Government collects and holds ‘sensitive information’ about individuals</w:t>
      </w:r>
      <w:r w:rsidR="000D260F">
        <w:t>,</w:t>
      </w:r>
      <w:r>
        <w:t xml:space="preserve"> which </w:t>
      </w:r>
      <w:r w:rsidR="000D260F">
        <w:t xml:space="preserve">similarly </w:t>
      </w:r>
      <w:r>
        <w:t>requires additional protections to prevent unreasonable invasion of an individual’s privacy.</w:t>
      </w:r>
    </w:p>
    <w:p w14:paraId="64D03729" w14:textId="77777777" w:rsidR="00F71E05" w:rsidRDefault="00F71E05" w:rsidP="00F71E05">
      <w:pPr>
        <w:pStyle w:val="Heading4"/>
      </w:pPr>
      <w:r>
        <w:t>Overview</w:t>
      </w:r>
    </w:p>
    <w:p w14:paraId="27221EA2" w14:textId="197B6008" w:rsidR="00AA5202" w:rsidRDefault="00AA5202" w:rsidP="00AA5202">
      <w:r>
        <w:t>Section 1.4 provides that disclosure of the information is taken to be contrary to the public interest if it</w:t>
      </w:r>
      <w:r w:rsidR="00F71E05">
        <w:t xml:space="preserve"> would involve the unreasonable disclosure of sensitive information about any individual (including a deceased person). </w:t>
      </w:r>
      <w:r>
        <w:t>To come within the scope of s</w:t>
      </w:r>
      <w:r w:rsidR="007C3031">
        <w:t xml:space="preserve"> </w:t>
      </w:r>
      <w:r>
        <w:t>1.4</w:t>
      </w:r>
      <w:r w:rsidR="00F257E7">
        <w:t>:</w:t>
      </w:r>
    </w:p>
    <w:p w14:paraId="3F43F606" w14:textId="172F362F" w:rsidR="00AA5202" w:rsidRDefault="00AA5202" w:rsidP="009B05C4">
      <w:pPr>
        <w:pStyle w:val="ListParagraph"/>
        <w:numPr>
          <w:ilvl w:val="0"/>
          <w:numId w:val="64"/>
        </w:numPr>
      </w:pPr>
      <w:r>
        <w:t xml:space="preserve">the information must be </w:t>
      </w:r>
      <w:r w:rsidRPr="00AA5202">
        <w:rPr>
          <w:b/>
        </w:rPr>
        <w:t>sensitive information</w:t>
      </w:r>
    </w:p>
    <w:p w14:paraId="2C6C7657" w14:textId="3A8A20CF" w:rsidR="00AA5202" w:rsidRPr="00AA5202" w:rsidRDefault="00AA5202" w:rsidP="009B05C4">
      <w:pPr>
        <w:pStyle w:val="ListParagraph"/>
        <w:numPr>
          <w:ilvl w:val="0"/>
          <w:numId w:val="64"/>
        </w:numPr>
      </w:pPr>
      <w:r>
        <w:t>the disclosure</w:t>
      </w:r>
      <w:r w:rsidR="007C3031">
        <w:t xml:space="preserve"> must be</w:t>
      </w:r>
      <w:r>
        <w:t xml:space="preserve"> </w:t>
      </w:r>
      <w:r w:rsidRPr="00AA5202">
        <w:rPr>
          <w:b/>
        </w:rPr>
        <w:t>unreasonable</w:t>
      </w:r>
    </w:p>
    <w:p w14:paraId="67362A8E" w14:textId="240B6C58" w:rsidR="007871D5" w:rsidRPr="00AA5202" w:rsidRDefault="00AA5202" w:rsidP="00D876D7">
      <w:r w:rsidRPr="00AA5202">
        <w:t>These two elements are discussed below.</w:t>
      </w:r>
    </w:p>
    <w:p w14:paraId="322ABF6B" w14:textId="020654B9" w:rsidR="00AA5202" w:rsidRDefault="00AA5202" w:rsidP="00C52C70">
      <w:pPr>
        <w:pStyle w:val="Heading4"/>
        <w:keepNext w:val="0"/>
        <w:keepLines w:val="0"/>
      </w:pPr>
      <w:r>
        <w:t>What is sensitive information?</w:t>
      </w:r>
    </w:p>
    <w:p w14:paraId="323CF393" w14:textId="210AA764" w:rsidR="00F71E05" w:rsidRPr="00BA51ED" w:rsidRDefault="00AA5202" w:rsidP="00C52C70">
      <w:pPr>
        <w:ind w:right="261"/>
      </w:pPr>
      <w:r>
        <w:t xml:space="preserve">The </w:t>
      </w:r>
      <w:r w:rsidR="00FF41F8">
        <w:t xml:space="preserve">Dictionary to the </w:t>
      </w:r>
      <w:r>
        <w:t>FOI Act refers to s</w:t>
      </w:r>
      <w:r w:rsidR="00540836">
        <w:t xml:space="preserve"> </w:t>
      </w:r>
      <w:r w:rsidRPr="00EA1C2D">
        <w:t>14</w:t>
      </w:r>
      <w:r>
        <w:t xml:space="preserve"> of the IP Act which defines </w:t>
      </w:r>
      <w:r w:rsidR="00F71E05" w:rsidRPr="00AA5202">
        <w:rPr>
          <w:i/>
        </w:rPr>
        <w:t>sensitive information</w:t>
      </w:r>
      <w:r w:rsidR="00F71E05">
        <w:t xml:space="preserve"> as</w:t>
      </w:r>
      <w:r>
        <w:t xml:space="preserve"> personal information that is:</w:t>
      </w:r>
    </w:p>
    <w:p w14:paraId="60A9385E" w14:textId="0FB9D64A" w:rsidR="00F71E05" w:rsidRPr="0080118F" w:rsidRDefault="00F71E05" w:rsidP="0080118F">
      <w:pPr>
        <w:spacing w:after="0"/>
        <w:ind w:left="284" w:hanging="284"/>
        <w:rPr>
          <w:i/>
          <w:sz w:val="20"/>
        </w:rPr>
      </w:pPr>
      <w:r w:rsidRPr="0080118F">
        <w:rPr>
          <w:i/>
          <w:sz w:val="20"/>
        </w:rPr>
        <w:t>(a)</w:t>
      </w:r>
      <w:r w:rsidR="0080118F">
        <w:rPr>
          <w:i/>
          <w:sz w:val="20"/>
        </w:rPr>
        <w:tab/>
      </w:r>
      <w:r w:rsidRPr="0080118F">
        <w:rPr>
          <w:i/>
          <w:sz w:val="20"/>
        </w:rPr>
        <w:t xml:space="preserve">about the individual's— </w:t>
      </w:r>
    </w:p>
    <w:p w14:paraId="56E4649C" w14:textId="237FB6EC" w:rsidR="00F71E05" w:rsidRPr="0080118F" w:rsidRDefault="00F71E05" w:rsidP="00C52C70">
      <w:pPr>
        <w:spacing w:after="0"/>
        <w:ind w:firstLine="720"/>
        <w:rPr>
          <w:i/>
          <w:sz w:val="20"/>
        </w:rPr>
      </w:pPr>
      <w:r w:rsidRPr="0080118F">
        <w:rPr>
          <w:i/>
          <w:sz w:val="20"/>
        </w:rPr>
        <w:t xml:space="preserve">(i) racial or ethnic origin; or </w:t>
      </w:r>
    </w:p>
    <w:p w14:paraId="12F4952F" w14:textId="46353DCB" w:rsidR="00F71E05" w:rsidRPr="0080118F" w:rsidRDefault="00F71E05" w:rsidP="00C52C70">
      <w:pPr>
        <w:spacing w:after="0"/>
        <w:ind w:firstLine="720"/>
        <w:rPr>
          <w:i/>
          <w:sz w:val="20"/>
        </w:rPr>
      </w:pPr>
      <w:r w:rsidRPr="0080118F">
        <w:rPr>
          <w:i/>
          <w:sz w:val="20"/>
        </w:rPr>
        <w:t xml:space="preserve">(ii) political opinions; or </w:t>
      </w:r>
    </w:p>
    <w:p w14:paraId="4C0BDDC0" w14:textId="734E2F7F" w:rsidR="00F71E05" w:rsidRPr="0080118F" w:rsidRDefault="00F71E05" w:rsidP="00C52C70">
      <w:pPr>
        <w:spacing w:after="0"/>
        <w:ind w:firstLine="720"/>
        <w:rPr>
          <w:i/>
          <w:sz w:val="20"/>
        </w:rPr>
      </w:pPr>
      <w:r w:rsidRPr="0080118F">
        <w:rPr>
          <w:i/>
          <w:sz w:val="20"/>
        </w:rPr>
        <w:t>(iii</w:t>
      </w:r>
      <w:r w:rsidR="00AA5202" w:rsidRPr="0080118F">
        <w:rPr>
          <w:i/>
          <w:sz w:val="20"/>
        </w:rPr>
        <w:t>)</w:t>
      </w:r>
      <w:r w:rsidRPr="0080118F">
        <w:rPr>
          <w:i/>
          <w:sz w:val="20"/>
        </w:rPr>
        <w:t xml:space="preserve"> membership of a political association; or </w:t>
      </w:r>
    </w:p>
    <w:p w14:paraId="7E46F8FF" w14:textId="31B03CA1" w:rsidR="00F71E05" w:rsidRPr="0080118F" w:rsidRDefault="00F71E05" w:rsidP="00C52C70">
      <w:pPr>
        <w:spacing w:after="0"/>
        <w:ind w:firstLine="720"/>
        <w:rPr>
          <w:i/>
          <w:sz w:val="20"/>
        </w:rPr>
      </w:pPr>
      <w:r w:rsidRPr="0080118F">
        <w:rPr>
          <w:i/>
          <w:sz w:val="20"/>
        </w:rPr>
        <w:t xml:space="preserve">(iv) religious beliefs or affiliations; or </w:t>
      </w:r>
    </w:p>
    <w:p w14:paraId="03CB3E35" w14:textId="4B0D5A18" w:rsidR="00F71E05" w:rsidRPr="0080118F" w:rsidRDefault="00F71E05" w:rsidP="00C52C70">
      <w:pPr>
        <w:spacing w:after="0"/>
        <w:ind w:firstLine="720"/>
        <w:rPr>
          <w:i/>
          <w:sz w:val="20"/>
        </w:rPr>
      </w:pPr>
      <w:r w:rsidRPr="0080118F">
        <w:rPr>
          <w:i/>
          <w:sz w:val="20"/>
        </w:rPr>
        <w:t xml:space="preserve">(v) philosophical beliefs; or </w:t>
      </w:r>
    </w:p>
    <w:p w14:paraId="271E3C90" w14:textId="31648882" w:rsidR="00F71E05" w:rsidRPr="0080118F" w:rsidRDefault="00F71E05" w:rsidP="00C52C70">
      <w:pPr>
        <w:spacing w:after="0"/>
        <w:ind w:firstLine="720"/>
        <w:rPr>
          <w:i/>
          <w:sz w:val="20"/>
        </w:rPr>
      </w:pPr>
      <w:r w:rsidRPr="0080118F">
        <w:rPr>
          <w:i/>
          <w:sz w:val="20"/>
        </w:rPr>
        <w:t xml:space="preserve">(vi) membership of a professional or trade association; or </w:t>
      </w:r>
    </w:p>
    <w:p w14:paraId="4E063AD3" w14:textId="190D3D10" w:rsidR="00F71E05" w:rsidRPr="0080118F" w:rsidRDefault="00F71E05" w:rsidP="00C52C70">
      <w:pPr>
        <w:spacing w:after="0"/>
        <w:ind w:firstLine="720"/>
        <w:rPr>
          <w:i/>
          <w:sz w:val="20"/>
        </w:rPr>
      </w:pPr>
      <w:r w:rsidRPr="0080118F">
        <w:rPr>
          <w:i/>
          <w:sz w:val="20"/>
        </w:rPr>
        <w:t xml:space="preserve">(vii) membership of a trade union; or </w:t>
      </w:r>
    </w:p>
    <w:p w14:paraId="600B9AAD" w14:textId="573057BD" w:rsidR="00F71E05" w:rsidRPr="0080118F" w:rsidRDefault="00F71E05" w:rsidP="00C52C70">
      <w:pPr>
        <w:spacing w:after="0"/>
        <w:ind w:firstLine="720"/>
        <w:rPr>
          <w:i/>
          <w:sz w:val="20"/>
        </w:rPr>
      </w:pPr>
      <w:r w:rsidRPr="0080118F">
        <w:rPr>
          <w:i/>
          <w:sz w:val="20"/>
        </w:rPr>
        <w:t xml:space="preserve">(viii) sexual orientation or practices; or </w:t>
      </w:r>
    </w:p>
    <w:p w14:paraId="3839B983" w14:textId="376E8061" w:rsidR="00F71E05" w:rsidRPr="0080118F" w:rsidRDefault="00F71E05" w:rsidP="00C52C70">
      <w:pPr>
        <w:spacing w:after="0"/>
        <w:ind w:firstLine="720"/>
        <w:rPr>
          <w:i/>
          <w:sz w:val="20"/>
        </w:rPr>
      </w:pPr>
      <w:r w:rsidRPr="0080118F">
        <w:rPr>
          <w:i/>
          <w:sz w:val="20"/>
        </w:rPr>
        <w:t xml:space="preserve">(ix) criminal record; or </w:t>
      </w:r>
    </w:p>
    <w:p w14:paraId="198EA830" w14:textId="2840C6AB" w:rsidR="00F71E05" w:rsidRPr="0080118F" w:rsidRDefault="00F71E05" w:rsidP="0080118F">
      <w:pPr>
        <w:spacing w:after="0"/>
        <w:ind w:left="284" w:hanging="284"/>
        <w:rPr>
          <w:i/>
          <w:sz w:val="20"/>
        </w:rPr>
      </w:pPr>
      <w:r w:rsidRPr="0080118F">
        <w:rPr>
          <w:i/>
          <w:sz w:val="20"/>
        </w:rPr>
        <w:t>(b)</w:t>
      </w:r>
      <w:r w:rsidR="0080118F">
        <w:rPr>
          <w:i/>
          <w:sz w:val="20"/>
        </w:rPr>
        <w:tab/>
      </w:r>
      <w:r w:rsidRPr="0080118F">
        <w:rPr>
          <w:i/>
          <w:sz w:val="20"/>
        </w:rPr>
        <w:t xml:space="preserve">genetic information about the individual; or </w:t>
      </w:r>
    </w:p>
    <w:p w14:paraId="10D70BDD" w14:textId="5565A4CD" w:rsidR="00F71E05" w:rsidRPr="0080118F" w:rsidRDefault="00F71E05" w:rsidP="0080118F">
      <w:pPr>
        <w:spacing w:after="0"/>
        <w:ind w:left="284" w:hanging="284"/>
        <w:rPr>
          <w:i/>
          <w:sz w:val="20"/>
        </w:rPr>
      </w:pPr>
      <w:r w:rsidRPr="0080118F">
        <w:rPr>
          <w:i/>
          <w:sz w:val="20"/>
        </w:rPr>
        <w:t>(c)</w:t>
      </w:r>
      <w:r w:rsidR="0080118F">
        <w:rPr>
          <w:i/>
          <w:sz w:val="20"/>
        </w:rPr>
        <w:tab/>
      </w:r>
      <w:r w:rsidRPr="0080118F">
        <w:rPr>
          <w:i/>
          <w:sz w:val="20"/>
        </w:rPr>
        <w:t xml:space="preserve">biometric information about the individual that is to be used for the purpose of automated biometric verification or biometric identification; or </w:t>
      </w:r>
    </w:p>
    <w:p w14:paraId="24EEC945" w14:textId="09502246" w:rsidR="00F71E05" w:rsidRPr="0080118F" w:rsidRDefault="00F71E05" w:rsidP="0080118F">
      <w:pPr>
        <w:spacing w:after="0"/>
        <w:ind w:left="284" w:hanging="284"/>
        <w:rPr>
          <w:i/>
          <w:sz w:val="20"/>
        </w:rPr>
      </w:pPr>
      <w:r w:rsidRPr="0080118F">
        <w:rPr>
          <w:i/>
          <w:sz w:val="20"/>
        </w:rPr>
        <w:t>(d)</w:t>
      </w:r>
      <w:r w:rsidR="0080118F">
        <w:rPr>
          <w:i/>
          <w:sz w:val="20"/>
        </w:rPr>
        <w:tab/>
      </w:r>
      <w:r w:rsidRPr="0080118F">
        <w:rPr>
          <w:i/>
          <w:sz w:val="20"/>
        </w:rPr>
        <w:t>a biometric template that relates to the individual.</w:t>
      </w:r>
    </w:p>
    <w:p w14:paraId="6CA88617" w14:textId="29772180" w:rsidR="00AA5202" w:rsidRPr="00250C79" w:rsidRDefault="00AA5202" w:rsidP="00250C79"/>
    <w:p w14:paraId="241C63F6" w14:textId="30C46359" w:rsidR="00AA5202" w:rsidRDefault="00AA5202" w:rsidP="00D876D7">
      <w:r w:rsidRPr="00A310D3">
        <w:t>Section 8</w:t>
      </w:r>
      <w:r>
        <w:t xml:space="preserve"> of the IP Act</w:t>
      </w:r>
      <w:r>
        <w:rPr>
          <w:i/>
        </w:rPr>
        <w:t xml:space="preserve"> </w:t>
      </w:r>
      <w:r>
        <w:t xml:space="preserve">defines </w:t>
      </w:r>
      <w:r w:rsidRPr="00AA5202">
        <w:rPr>
          <w:i/>
        </w:rPr>
        <w:t>personal information</w:t>
      </w:r>
      <w:r>
        <w:t xml:space="preserve"> as information or an opinion about an identified individual or an individual who is reasonably identifiable. It is not relevant whether the information, or opinion, is true or not; or whether it is recorded in a material form or not.</w:t>
      </w:r>
    </w:p>
    <w:p w14:paraId="4380C99F" w14:textId="77777777" w:rsidR="004C3EDB" w:rsidRDefault="004C3EDB" w:rsidP="00C52C70">
      <w:r>
        <w:t>Examples of sensitive information could include:</w:t>
      </w:r>
    </w:p>
    <w:p w14:paraId="3EC3AD95" w14:textId="77777777" w:rsidR="004C3EDB" w:rsidRDefault="004C3EDB" w:rsidP="00C52C70">
      <w:pPr>
        <w:pStyle w:val="ListParagraph"/>
        <w:numPr>
          <w:ilvl w:val="0"/>
          <w:numId w:val="106"/>
        </w:numPr>
        <w:ind w:left="426"/>
      </w:pPr>
      <w:r>
        <w:t>investigation reports into an offence, disclosure of which would reveal a person’s criminal record</w:t>
      </w:r>
      <w:r>
        <w:rPr>
          <w:rStyle w:val="FootnoteReference"/>
        </w:rPr>
        <w:footnoteReference w:id="80"/>
      </w:r>
    </w:p>
    <w:p w14:paraId="73E6F847" w14:textId="77777777" w:rsidR="004C3EDB" w:rsidRDefault="004C3EDB" w:rsidP="0080118F">
      <w:pPr>
        <w:pStyle w:val="ListParagraph"/>
        <w:numPr>
          <w:ilvl w:val="0"/>
          <w:numId w:val="106"/>
        </w:numPr>
        <w:ind w:left="426" w:right="-22"/>
      </w:pPr>
      <w:r>
        <w:t>names and addresses of subscribers to a special-interest magazine which may reveal their religious beliefs</w:t>
      </w:r>
    </w:p>
    <w:p w14:paraId="7ECFC31C" w14:textId="59B4B42D" w:rsidR="004C3EDB" w:rsidRDefault="000918BB" w:rsidP="00C52C70">
      <w:pPr>
        <w:pStyle w:val="ListParagraph"/>
        <w:numPr>
          <w:ilvl w:val="0"/>
          <w:numId w:val="106"/>
        </w:numPr>
        <w:ind w:left="426"/>
      </w:pPr>
      <w:r>
        <w:t xml:space="preserve">a </w:t>
      </w:r>
      <w:r w:rsidR="004C3EDB">
        <w:t>signature block on an email disclos</w:t>
      </w:r>
      <w:r w:rsidR="002F4C40">
        <w:t>ing an individual’s membership to</w:t>
      </w:r>
      <w:r w:rsidR="004C3EDB">
        <w:t xml:space="preserve"> a professional body</w:t>
      </w:r>
      <w:r w:rsidR="00C4712D">
        <w:t>.</w:t>
      </w:r>
    </w:p>
    <w:p w14:paraId="0859F1DF" w14:textId="08CED88F" w:rsidR="00F71E05" w:rsidRDefault="00F71E05" w:rsidP="004C3EDB">
      <w:pPr>
        <w:keepNext/>
        <w:keepLines/>
      </w:pPr>
      <w:r>
        <w:t xml:space="preserve">In considering whether an individual is </w:t>
      </w:r>
      <w:r w:rsidRPr="00AA5202">
        <w:rPr>
          <w:i/>
        </w:rPr>
        <w:t>reasonably identifiable</w:t>
      </w:r>
      <w:r>
        <w:t xml:space="preserve">, </w:t>
      </w:r>
      <w:r w:rsidR="002F4C40">
        <w:t>decision-makers</w:t>
      </w:r>
      <w:r>
        <w:t xml:space="preserve"> should consider:</w:t>
      </w:r>
    </w:p>
    <w:p w14:paraId="7DA0B4C6" w14:textId="0531ABFD" w:rsidR="00F71E05" w:rsidRDefault="00F71E05" w:rsidP="0080118F">
      <w:pPr>
        <w:pStyle w:val="ListParagraph"/>
        <w:keepNext/>
        <w:keepLines/>
        <w:numPr>
          <w:ilvl w:val="0"/>
          <w:numId w:val="4"/>
        </w:numPr>
        <w:ind w:right="-22"/>
      </w:pPr>
      <w:r>
        <w:t>the available range of information which may lead to the individual being identified (including information available to the public at large, a limited number of members of the public, or the FOI</w:t>
      </w:r>
      <w:r w:rsidR="0080118F">
        <w:t> </w:t>
      </w:r>
      <w:r>
        <w:t>applicant)</w:t>
      </w:r>
      <w:r>
        <w:rPr>
          <w:rStyle w:val="FootnoteReference"/>
        </w:rPr>
        <w:footnoteReference w:id="81"/>
      </w:r>
    </w:p>
    <w:p w14:paraId="1A7B3BCE" w14:textId="77777777" w:rsidR="007871D5" w:rsidRDefault="00F71E05" w:rsidP="007871D5">
      <w:pPr>
        <w:pStyle w:val="ListParagraph"/>
        <w:keepNext/>
        <w:keepLines/>
        <w:numPr>
          <w:ilvl w:val="0"/>
          <w:numId w:val="4"/>
        </w:numPr>
      </w:pPr>
      <w:r>
        <w:t>the complexities and difficulties that would be involved in ascertaining the identity of the individual (including time and cost)</w:t>
      </w:r>
      <w:r>
        <w:rPr>
          <w:rStyle w:val="FootnoteReference"/>
        </w:rPr>
        <w:footnoteReference w:id="82"/>
      </w:r>
      <w:r>
        <w:t xml:space="preserve"> </w:t>
      </w:r>
    </w:p>
    <w:p w14:paraId="2029F0DC" w14:textId="5487282F" w:rsidR="004C3EDB" w:rsidRDefault="00F71E05" w:rsidP="00250C79">
      <w:pPr>
        <w:pStyle w:val="ListParagraph"/>
        <w:keepNext/>
        <w:keepLines/>
        <w:numPr>
          <w:ilvl w:val="0"/>
          <w:numId w:val="4"/>
        </w:numPr>
      </w:pPr>
      <w:r>
        <w:t xml:space="preserve">whether in the circumstances it would be </w:t>
      </w:r>
      <w:r w:rsidR="00AA5202">
        <w:t>impractical,</w:t>
      </w:r>
      <w:r>
        <w:t xml:space="preserve"> or unlikely</w:t>
      </w:r>
      <w:r w:rsidR="00AA5202">
        <w:t>,</w:t>
      </w:r>
      <w:r>
        <w:t xml:space="preserve"> for a reasonable member of the public to identify the individual.</w:t>
      </w:r>
      <w:r w:rsidRPr="007871D5">
        <w:rPr>
          <w:vertAlign w:val="superscript"/>
        </w:rPr>
        <w:footnoteReference w:id="83"/>
      </w:r>
    </w:p>
    <w:p w14:paraId="5762694C" w14:textId="3D9CEF12" w:rsidR="004C3EDB" w:rsidRDefault="004C3EDB" w:rsidP="007871D5">
      <w:r w:rsidRPr="0065236B">
        <w:t>For example</w:t>
      </w:r>
      <w:r>
        <w:t>:</w:t>
      </w:r>
    </w:p>
    <w:p w14:paraId="46872E7B" w14:textId="5897CCF6" w:rsidR="007E3140" w:rsidRDefault="00957BB0" w:rsidP="007E3140">
      <w:pPr>
        <w:pStyle w:val="ListParagraph"/>
        <w:numPr>
          <w:ilvl w:val="0"/>
          <w:numId w:val="4"/>
        </w:numPr>
      </w:pPr>
      <w:r>
        <w:t xml:space="preserve">Aggregate </w:t>
      </w:r>
      <w:r w:rsidR="004C3EDB">
        <w:t>information relating to the religion of refugees resettled in the ACT is sensitive information of the relevant individuals. If individuals are not reasonably identifiable from the aggregated information, it may, however, be reasonable to disclose the aggregate information.</w:t>
      </w:r>
      <w:r w:rsidR="004C3EDB">
        <w:rPr>
          <w:rStyle w:val="FootnoteReference"/>
        </w:rPr>
        <w:footnoteReference w:id="84"/>
      </w:r>
    </w:p>
    <w:p w14:paraId="32366CBA" w14:textId="0F9C5505" w:rsidR="00E31099" w:rsidRPr="00754934" w:rsidRDefault="004C3EDB" w:rsidP="00C52C70">
      <w:pPr>
        <w:pStyle w:val="ListParagraph"/>
        <w:numPr>
          <w:ilvl w:val="0"/>
          <w:numId w:val="4"/>
        </w:numPr>
      </w:pPr>
      <w:r>
        <w:t xml:space="preserve">Further, in </w:t>
      </w:r>
      <w:r w:rsidRPr="007E3140">
        <w:rPr>
          <w:i/>
        </w:rPr>
        <w:t>Jonathan Laird and Department of Defence,</w:t>
      </w:r>
      <w:r>
        <w:rPr>
          <w:rStyle w:val="FootnoteReference"/>
        </w:rPr>
        <w:footnoteReference w:id="85"/>
      </w:r>
      <w:r w:rsidRPr="007E3140">
        <w:rPr>
          <w:i/>
        </w:rPr>
        <w:t xml:space="preserve"> </w:t>
      </w:r>
      <w:r w:rsidRPr="008712A5">
        <w:t>t</w:t>
      </w:r>
      <w:r>
        <w:t>he Privacy Commissioner considered whether the disclosure of DNA analysis of human remains could reasonably identify the World War II HMAS Sydney crewmember</w:t>
      </w:r>
      <w:r w:rsidR="001E07EE">
        <w:t>, finding that it w</w:t>
      </w:r>
      <w:r>
        <w:t xml:space="preserve">ould be ‘impractical for a </w:t>
      </w:r>
      <w:r w:rsidR="001E07EE">
        <w:t>reasonable member of the public</w:t>
      </w:r>
      <w:r>
        <w:t>’</w:t>
      </w:r>
      <w:r w:rsidR="001E07EE">
        <w:t xml:space="preserve"> to do so.</w:t>
      </w:r>
      <w:r>
        <w:rPr>
          <w:rStyle w:val="FootnoteReference"/>
        </w:rPr>
        <w:footnoteReference w:id="86"/>
      </w:r>
    </w:p>
    <w:p w14:paraId="11A78E3D" w14:textId="03FD8CF8" w:rsidR="00AA5202" w:rsidRPr="00AA5202" w:rsidRDefault="00AA5202" w:rsidP="0080118F">
      <w:pPr>
        <w:keepNext/>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AA5202">
        <w:rPr>
          <w:b/>
        </w:rPr>
        <w:t>Note:</w:t>
      </w:r>
    </w:p>
    <w:p w14:paraId="3CABCE1D" w14:textId="0B479DE3" w:rsidR="00AA5202" w:rsidRDefault="00AA5202" w:rsidP="0080118F">
      <w:pPr>
        <w:pStyle w:val="ListParagraph"/>
        <w:keepNext/>
        <w:numPr>
          <w:ilvl w:val="0"/>
          <w:numId w:val="65"/>
        </w:numPr>
        <w:pBdr>
          <w:top w:val="single" w:sz="4" w:space="1" w:color="auto"/>
          <w:left w:val="single" w:sz="4" w:space="4" w:color="auto"/>
          <w:bottom w:val="single" w:sz="4" w:space="0" w:color="auto"/>
          <w:right w:val="single" w:sz="4" w:space="4" w:color="auto"/>
        </w:pBdr>
        <w:shd w:val="clear" w:color="auto" w:fill="D9E2F3" w:themeFill="accent5" w:themeFillTint="33"/>
      </w:pPr>
      <w:r>
        <w:t xml:space="preserve">The definition of personal information does </w:t>
      </w:r>
      <w:r w:rsidRPr="005B7153">
        <w:rPr>
          <w:b/>
        </w:rPr>
        <w:t xml:space="preserve">not </w:t>
      </w:r>
      <w:r>
        <w:t xml:space="preserve">include </w:t>
      </w:r>
      <w:r w:rsidR="00960C0F">
        <w:t>‘</w:t>
      </w:r>
      <w:r>
        <w:t>personal health information</w:t>
      </w:r>
      <w:r w:rsidR="00960C0F">
        <w:t>’</w:t>
      </w:r>
      <w:r>
        <w:t xml:space="preserve"> about an individual, which is defined </w:t>
      </w:r>
      <w:r w:rsidR="00960C0F">
        <w:t xml:space="preserve">in </w:t>
      </w:r>
      <w:r>
        <w:t xml:space="preserve">the </w:t>
      </w:r>
      <w:hyperlink r:id="rId42" w:history="1">
        <w:r w:rsidR="003C3D89" w:rsidRPr="00A310D3">
          <w:rPr>
            <w:rStyle w:val="Hyperlink"/>
            <w:i/>
            <w:iCs/>
          </w:rPr>
          <w:t>Health Records (Privacy and Access) Act 1997</w:t>
        </w:r>
      </w:hyperlink>
      <w:r w:rsidR="000D260F" w:rsidRPr="005B7153">
        <w:rPr>
          <w:i/>
        </w:rPr>
        <w:t>.</w:t>
      </w:r>
      <w:r w:rsidR="005B7153">
        <w:rPr>
          <w:i/>
        </w:rPr>
        <w:t xml:space="preserve"> </w:t>
      </w:r>
      <w:r w:rsidR="000D260F" w:rsidRPr="000D260F">
        <w:t xml:space="preserve">This Act </w:t>
      </w:r>
      <w:r>
        <w:t xml:space="preserve">includes separate provisions for requesting access, and making decisions, to disclose such </w:t>
      </w:r>
      <w:r w:rsidR="000D260F">
        <w:t xml:space="preserve">sensitive health </w:t>
      </w:r>
      <w:r>
        <w:t>information.</w:t>
      </w:r>
      <w:r>
        <w:rPr>
          <w:rStyle w:val="FootnoteReference"/>
        </w:rPr>
        <w:footnoteReference w:id="87"/>
      </w:r>
      <w:r>
        <w:t xml:space="preserve"> </w:t>
      </w:r>
    </w:p>
    <w:p w14:paraId="1D4DD5EE" w14:textId="6BD4F743" w:rsidR="00F71E05" w:rsidRDefault="00AA5202" w:rsidP="00C52C70">
      <w:pPr>
        <w:pStyle w:val="Heading4"/>
        <w:keepNext w:val="0"/>
        <w:keepLines w:val="0"/>
      </w:pPr>
      <w:r>
        <w:t>Would disclosure be unreasonable?</w:t>
      </w:r>
    </w:p>
    <w:p w14:paraId="4E14C049" w14:textId="61DA53CF" w:rsidR="00F71E05" w:rsidRDefault="00AA5202" w:rsidP="00C52C70">
      <w:r>
        <w:t xml:space="preserve">Decision-makers must make an individual assessment as to whether disclosure </w:t>
      </w:r>
      <w:r w:rsidR="000D260F">
        <w:t xml:space="preserve">of the information under consideration </w:t>
      </w:r>
      <w:r>
        <w:t xml:space="preserve">would be unreasonable in the particular circumstances. </w:t>
      </w:r>
      <w:r w:rsidR="00F257E7">
        <w:t>In making their assessment, decision</w:t>
      </w:r>
      <w:r w:rsidR="00C13660">
        <w:t>-</w:t>
      </w:r>
      <w:r w:rsidR="00F257E7">
        <w:t xml:space="preserve">makers should </w:t>
      </w:r>
      <w:r w:rsidR="00F71E05">
        <w:t>consider:</w:t>
      </w:r>
      <w:r w:rsidR="00F71E05">
        <w:rPr>
          <w:rStyle w:val="FootnoteReference"/>
        </w:rPr>
        <w:footnoteReference w:id="88"/>
      </w:r>
      <w:r w:rsidR="00F71E05">
        <w:t xml:space="preserve"> </w:t>
      </w:r>
    </w:p>
    <w:p w14:paraId="0D218C89" w14:textId="5BFFADFC" w:rsidR="00F71E05" w:rsidRDefault="00F71E05" w:rsidP="00C52C70">
      <w:pPr>
        <w:pStyle w:val="ListParagraph"/>
        <w:numPr>
          <w:ilvl w:val="0"/>
          <w:numId w:val="7"/>
        </w:numPr>
      </w:pPr>
      <w:r>
        <w:t>the extent to which the sensitive information is well-known or publicly available</w:t>
      </w:r>
      <w:r>
        <w:rPr>
          <w:rStyle w:val="FootnoteReference"/>
        </w:rPr>
        <w:footnoteReference w:id="89"/>
      </w:r>
    </w:p>
    <w:p w14:paraId="5B191958" w14:textId="77777777" w:rsidR="00F71E05" w:rsidRDefault="00F71E05" w:rsidP="00C52C70">
      <w:pPr>
        <w:pStyle w:val="ListParagraph"/>
        <w:numPr>
          <w:ilvl w:val="0"/>
          <w:numId w:val="7"/>
        </w:numPr>
      </w:pPr>
      <w:r w:rsidRPr="00B630DA">
        <w:t xml:space="preserve">the nature of the </w:t>
      </w:r>
      <w:r>
        <w:t xml:space="preserve">sensitive </w:t>
      </w:r>
      <w:r w:rsidRPr="00B630DA">
        <w:t>information</w:t>
      </w:r>
      <w:r>
        <w:rPr>
          <w:rStyle w:val="FootnoteReference"/>
        </w:rPr>
        <w:footnoteReference w:id="90"/>
      </w:r>
    </w:p>
    <w:p w14:paraId="6CEE19EF" w14:textId="0251F57A" w:rsidR="00F71E05" w:rsidRDefault="00F71E05" w:rsidP="00C52C70">
      <w:pPr>
        <w:pStyle w:val="ListParagraph"/>
        <w:numPr>
          <w:ilvl w:val="0"/>
          <w:numId w:val="7"/>
        </w:numPr>
      </w:pPr>
      <w:r w:rsidRPr="00B630DA">
        <w:t xml:space="preserve">the circumstances in which the </w:t>
      </w:r>
      <w:r>
        <w:t xml:space="preserve">sensitive </w:t>
      </w:r>
      <w:r w:rsidRPr="00B630DA">
        <w:t>information was obtained</w:t>
      </w:r>
      <w:r>
        <w:t xml:space="preserve"> by the agency or Minister, and in particular whether it was obtained on a confidential basis</w:t>
      </w:r>
      <w:r>
        <w:rPr>
          <w:rStyle w:val="FootnoteReference"/>
        </w:rPr>
        <w:footnoteReference w:id="91"/>
      </w:r>
    </w:p>
    <w:p w14:paraId="0565E548" w14:textId="5E0DFB03" w:rsidR="00F71E05" w:rsidRDefault="00F71E05" w:rsidP="00C52C70">
      <w:pPr>
        <w:pStyle w:val="ListParagraph"/>
        <w:numPr>
          <w:ilvl w:val="0"/>
          <w:numId w:val="7"/>
        </w:numPr>
      </w:pPr>
      <w:r>
        <w:t>whether disclosure of the information would promote the objects of the FOI Act</w:t>
      </w:r>
      <w:r w:rsidR="00540836">
        <w:rPr>
          <w:rStyle w:val="FootnoteReference"/>
        </w:rPr>
        <w:footnoteReference w:id="92"/>
      </w:r>
    </w:p>
    <w:p w14:paraId="3119AD96" w14:textId="4B855618" w:rsidR="00F71E05" w:rsidRDefault="00F71E05" w:rsidP="00C52C70">
      <w:pPr>
        <w:pStyle w:val="ListParagraph"/>
        <w:numPr>
          <w:ilvl w:val="0"/>
          <w:numId w:val="6"/>
        </w:numPr>
      </w:pPr>
      <w:r>
        <w:t>any detriment that disclosure may cause to the person to whom the sensitive information relates</w:t>
      </w:r>
      <w:r>
        <w:rPr>
          <w:rStyle w:val="FootnoteReference"/>
        </w:rPr>
        <w:footnoteReference w:id="93"/>
      </w:r>
    </w:p>
    <w:p w14:paraId="41251056" w14:textId="77777777" w:rsidR="00F71E05" w:rsidRDefault="00F71E05" w:rsidP="00C52C70">
      <w:pPr>
        <w:pStyle w:val="ListParagraph"/>
        <w:numPr>
          <w:ilvl w:val="0"/>
          <w:numId w:val="6"/>
        </w:numPr>
      </w:pPr>
      <w:r>
        <w:t xml:space="preserve">any opposition to disclosure of the sensitive information expressed or likely to be held by that person </w:t>
      </w:r>
    </w:p>
    <w:p w14:paraId="2D92CCDC" w14:textId="4E70B745" w:rsidR="006D2927" w:rsidRDefault="00F71E05" w:rsidP="00C52C70">
      <w:pPr>
        <w:pStyle w:val="ListParagraph"/>
        <w:numPr>
          <w:ilvl w:val="0"/>
          <w:numId w:val="6"/>
        </w:numPr>
      </w:pPr>
      <w:r>
        <w:t>the fact that restrictions cannot be placed on the use or dissemination of information released under the FOI Act</w:t>
      </w:r>
      <w:r w:rsidR="006D2927">
        <w:t>.</w:t>
      </w:r>
      <w:r>
        <w:rPr>
          <w:rStyle w:val="FootnoteReference"/>
        </w:rPr>
        <w:footnoteReference w:id="94"/>
      </w:r>
    </w:p>
    <w:p w14:paraId="5D41A64F" w14:textId="71FC768A" w:rsidR="00AA5202" w:rsidRDefault="00AA5202" w:rsidP="0041676B">
      <w:pPr>
        <w:keepLines/>
        <w:pBdr>
          <w:top w:val="single" w:sz="4" w:space="1" w:color="auto"/>
          <w:left w:val="single" w:sz="4" w:space="4" w:color="auto"/>
          <w:bottom w:val="single" w:sz="4" w:space="1" w:color="auto"/>
          <w:right w:val="single" w:sz="4" w:space="4" w:color="auto"/>
        </w:pBdr>
        <w:shd w:val="clear" w:color="auto" w:fill="D9E2F3" w:themeFill="accent5" w:themeFillTint="33"/>
        <w:spacing w:after="120"/>
        <w:rPr>
          <w:b/>
        </w:rPr>
      </w:pPr>
      <w:r w:rsidRPr="00AA5202">
        <w:rPr>
          <w:b/>
        </w:rPr>
        <w:t xml:space="preserve">Note: </w:t>
      </w:r>
    </w:p>
    <w:p w14:paraId="784DE1F4" w14:textId="4FF14EA4" w:rsidR="00AA5202" w:rsidRDefault="00F71E05" w:rsidP="0041676B">
      <w:pPr>
        <w:pStyle w:val="ListParagraph"/>
        <w:keepLines/>
        <w:numPr>
          <w:ilvl w:val="0"/>
          <w:numId w:val="66"/>
        </w:numPr>
        <w:pBdr>
          <w:top w:val="single" w:sz="4" w:space="1" w:color="auto"/>
          <w:left w:val="single" w:sz="4" w:space="4" w:color="auto"/>
          <w:bottom w:val="single" w:sz="4" w:space="1" w:color="auto"/>
          <w:right w:val="single" w:sz="4" w:space="4" w:color="auto"/>
        </w:pBdr>
        <w:shd w:val="clear" w:color="auto" w:fill="D9E2F3" w:themeFill="accent5" w:themeFillTint="33"/>
      </w:pPr>
      <w:r>
        <w:t>The Ombudsman takes the view that an FOI applicant’s intended</w:t>
      </w:r>
      <w:r w:rsidR="00AA5202">
        <w:t xml:space="preserve"> or </w:t>
      </w:r>
      <w:r>
        <w:t>likely use</w:t>
      </w:r>
      <w:r w:rsidR="00AA5202">
        <w:t>,</w:t>
      </w:r>
      <w:r>
        <w:t xml:space="preserve"> or dissemination</w:t>
      </w:r>
      <w:r w:rsidR="00AA5202">
        <w:t>,</w:t>
      </w:r>
      <w:r>
        <w:t xml:space="preserve"> of the sensitive information may be taken into account in determining whether disclosure would be unreasonable.</w:t>
      </w:r>
      <w:r w:rsidR="00AA5202" w:rsidRPr="00AA5202">
        <w:rPr>
          <w:rStyle w:val="FootnoteReference"/>
        </w:rPr>
        <w:t xml:space="preserve"> </w:t>
      </w:r>
      <w:r w:rsidR="00AA5202">
        <w:rPr>
          <w:rStyle w:val="FootnoteReference"/>
        </w:rPr>
        <w:footnoteReference w:id="95"/>
      </w:r>
      <w:r>
        <w:t xml:space="preserve"> This is because the FOI Act is intended to be administ</w:t>
      </w:r>
      <w:r w:rsidR="00120A1E">
        <w:t>ered with a pro-disclosure bias</w:t>
      </w:r>
      <w:r>
        <w:t>.</w:t>
      </w:r>
      <w:r>
        <w:rPr>
          <w:rStyle w:val="FootnoteReference"/>
        </w:rPr>
        <w:footnoteReference w:id="96"/>
      </w:r>
      <w:r>
        <w:t xml:space="preserve"> </w:t>
      </w:r>
      <w:r w:rsidRPr="00AC7801">
        <w:t xml:space="preserve">Where there is evidence that the FOI applicant does not intend or is unlikely to widely disseminate the </w:t>
      </w:r>
      <w:r>
        <w:t xml:space="preserve">sensitive </w:t>
      </w:r>
      <w:r w:rsidRPr="00AC7801">
        <w:t>information, disclosure of the information may be less likely to</w:t>
      </w:r>
      <w:r>
        <w:t xml:space="preserve"> be unreasonable</w:t>
      </w:r>
      <w:r w:rsidRPr="00AC7801">
        <w:t>.</w:t>
      </w:r>
      <w:r w:rsidRPr="00AC7801">
        <w:rPr>
          <w:rStyle w:val="FootnoteReference"/>
        </w:rPr>
        <w:footnoteReference w:id="97"/>
      </w:r>
    </w:p>
    <w:p w14:paraId="7F1B6CE6" w14:textId="45ECE0F1" w:rsidR="00AA5202" w:rsidRDefault="00AA5202" w:rsidP="0041676B">
      <w:pPr>
        <w:pStyle w:val="ListParagraph"/>
        <w:keepLines/>
        <w:numPr>
          <w:ilvl w:val="0"/>
          <w:numId w:val="66"/>
        </w:numPr>
        <w:pBdr>
          <w:top w:val="single" w:sz="4" w:space="1" w:color="auto"/>
          <w:left w:val="single" w:sz="4" w:space="4" w:color="auto"/>
          <w:bottom w:val="single" w:sz="4" w:space="1" w:color="auto"/>
          <w:right w:val="single" w:sz="4" w:space="4" w:color="auto"/>
        </w:pBdr>
        <w:shd w:val="clear" w:color="auto" w:fill="D9E2F3" w:themeFill="accent5" w:themeFillTint="33"/>
      </w:pPr>
      <w:r>
        <w:t>Where an agency or Minister considers that some or all of the information is not contrary to the public interest information because it is</w:t>
      </w:r>
      <w:r w:rsidRPr="00F257E7">
        <w:rPr>
          <w:b/>
        </w:rPr>
        <w:t xml:space="preserve"> not</w:t>
      </w:r>
      <w:r>
        <w:t xml:space="preserve"> sensitive information, or because its disclosure would not be unreasonable, th</w:t>
      </w:r>
      <w:r w:rsidRPr="000C2CDE">
        <w:t>e relevant individual (or, if the person is deceased, an eligible family member) must be consulted</w:t>
      </w:r>
      <w:r w:rsidR="001829DB" w:rsidRPr="005C5158">
        <w:rPr>
          <w:rFonts w:ascii="Calibri" w:hAnsi="Calibri" w:cs="Calibri"/>
        </w:rPr>
        <w:t>—</w:t>
      </w:r>
      <w:r w:rsidRPr="005C5158">
        <w:t>see</w:t>
      </w:r>
      <w:r w:rsidR="000C2CDE" w:rsidRPr="005C5158">
        <w:t xml:space="preserve"> </w:t>
      </w:r>
      <w:hyperlink r:id="rId43" w:history="1">
        <w:r w:rsidR="005C5158" w:rsidRPr="00BB08A2">
          <w:rPr>
            <w:rStyle w:val="Hyperlink"/>
          </w:rPr>
          <w:t>FOI Guidelines Vol 3 – Dealing with access applications</w:t>
        </w:r>
      </w:hyperlink>
      <w:r w:rsidR="005C5158">
        <w:t xml:space="preserve">. </w:t>
      </w:r>
    </w:p>
    <w:p w14:paraId="79C7B749" w14:textId="67AA62CF" w:rsidR="00F71E05" w:rsidRDefault="00F71E05" w:rsidP="008E195B">
      <w:pPr>
        <w:pStyle w:val="Heading2"/>
        <w:numPr>
          <w:ilvl w:val="1"/>
          <w:numId w:val="54"/>
        </w:numPr>
        <w:ind w:left="567" w:hanging="567"/>
      </w:pPr>
      <w:bookmarkStart w:id="669" w:name="_Section_1.5_–"/>
      <w:bookmarkStart w:id="670" w:name="_Ref10621368"/>
      <w:bookmarkStart w:id="671" w:name="_Toc43385536"/>
      <w:bookmarkStart w:id="672" w:name="_Toc152067320"/>
      <w:bookmarkEnd w:id="669"/>
      <w:r>
        <w:t xml:space="preserve">Section 1.5 – </w:t>
      </w:r>
      <w:r w:rsidR="002C5731">
        <w:t>I</w:t>
      </w:r>
      <w:r>
        <w:t>nformation in possession of auditor-general</w:t>
      </w:r>
      <w:bookmarkEnd w:id="670"/>
      <w:bookmarkEnd w:id="671"/>
      <w:bookmarkEnd w:id="672"/>
    </w:p>
    <w:p w14:paraId="6DA7A4C4" w14:textId="77777777" w:rsidR="00AA5202" w:rsidRDefault="00AA5202" w:rsidP="008E195B">
      <w:pPr>
        <w:pStyle w:val="Heading4"/>
      </w:pPr>
      <w:r>
        <w:t>Background</w:t>
      </w:r>
    </w:p>
    <w:p w14:paraId="1ECD608A" w14:textId="0F27EF66" w:rsidR="00AA5202" w:rsidRDefault="00AA5202" w:rsidP="006030CA">
      <w:pPr>
        <w:keepNext/>
        <w:keepLines/>
      </w:pPr>
      <w:r w:rsidRPr="00850634">
        <w:t xml:space="preserve">The </w:t>
      </w:r>
      <w:r>
        <w:t>ACT Auditor-General</w:t>
      </w:r>
      <w:r w:rsidRPr="00850634">
        <w:t xml:space="preserve"> </w:t>
      </w:r>
      <w:r>
        <w:t xml:space="preserve">is responsible for the audit of public sector agencies to provide independent assurance </w:t>
      </w:r>
      <w:r w:rsidR="00E94317">
        <w:t>that</w:t>
      </w:r>
      <w:r>
        <w:t xml:space="preserve"> public money is being efficiently and effectively spent. </w:t>
      </w:r>
    </w:p>
    <w:p w14:paraId="014D2C98" w14:textId="27395C88" w:rsidR="00AA5202" w:rsidRDefault="00AA5202" w:rsidP="00846D9E">
      <w:pPr>
        <w:keepNext/>
        <w:keepLines/>
        <w:ind w:right="-164"/>
      </w:pPr>
      <w:r>
        <w:t xml:space="preserve">The </w:t>
      </w:r>
      <w:r w:rsidRPr="006D04DF">
        <w:t>ACT Audit Office</w:t>
      </w:r>
      <w:r>
        <w:t xml:space="preserve"> </w:t>
      </w:r>
      <w:r w:rsidRPr="00850634">
        <w:t xml:space="preserve">has </w:t>
      </w:r>
      <w:r>
        <w:t>broad</w:t>
      </w:r>
      <w:r w:rsidRPr="00850634">
        <w:t xml:space="preserve"> powers under the </w:t>
      </w:r>
      <w:hyperlink r:id="rId44" w:history="1">
        <w:r w:rsidRPr="0059509D">
          <w:rPr>
            <w:rStyle w:val="Hyperlink"/>
            <w:i/>
          </w:rPr>
          <w:t>Auditor-General Act 1996</w:t>
        </w:r>
      </w:hyperlink>
      <w:r w:rsidRPr="00C52C70">
        <w:rPr>
          <w:i/>
        </w:rPr>
        <w:t xml:space="preserve"> </w:t>
      </w:r>
      <w:r w:rsidRPr="00AA5202">
        <w:t>(</w:t>
      </w:r>
      <w:r w:rsidR="006D04DF">
        <w:t>‘</w:t>
      </w:r>
      <w:r w:rsidRPr="00AA5202">
        <w:t>A-G Act</w:t>
      </w:r>
      <w:r w:rsidR="006D04DF">
        <w:t>’</w:t>
      </w:r>
      <w:r w:rsidRPr="00AA5202">
        <w:t xml:space="preserve">) </w:t>
      </w:r>
      <w:r w:rsidRPr="00850634">
        <w:t xml:space="preserve">to obtain information in </w:t>
      </w:r>
      <w:r>
        <w:t>the course of conducting an audit</w:t>
      </w:r>
      <w:r w:rsidRPr="00850634">
        <w:t>.</w:t>
      </w:r>
      <w:r>
        <w:rPr>
          <w:rStyle w:val="FootnoteReference"/>
        </w:rPr>
        <w:footnoteReference w:id="98"/>
      </w:r>
      <w:r w:rsidRPr="00850634">
        <w:t xml:space="preserve"> </w:t>
      </w:r>
      <w:r>
        <w:t xml:space="preserve">To balance these wide powers, part </w:t>
      </w:r>
      <w:r w:rsidRPr="006D04DF">
        <w:t>5A of the A-G Act</w:t>
      </w:r>
      <w:r>
        <w:t xml:space="preserve"> restricts the release of information disclosed to, or obtained by, the ACT Auditor-General</w:t>
      </w:r>
      <w:r w:rsidR="00E94317">
        <w:t>. These</w:t>
      </w:r>
      <w:r>
        <w:t xml:space="preserve"> provisions are reflected in the FOI Act.</w:t>
      </w:r>
    </w:p>
    <w:p w14:paraId="1D91F6BC" w14:textId="77777777" w:rsidR="00AA5202" w:rsidRDefault="00AA5202" w:rsidP="00713CFE">
      <w:pPr>
        <w:pStyle w:val="Heading4"/>
      </w:pPr>
      <w:r>
        <w:t>Overview</w:t>
      </w:r>
    </w:p>
    <w:p w14:paraId="074543D7" w14:textId="6915FF64" w:rsidR="00AA5202" w:rsidRDefault="00AA5202" w:rsidP="00713CFE">
      <w:pPr>
        <w:keepNext/>
        <w:keepLines/>
      </w:pPr>
      <w:r>
        <w:t>Section 1.5 provides that disclosure of the information is taken to be contrary to the public interest if it is:</w:t>
      </w:r>
    </w:p>
    <w:p w14:paraId="3E0D30CC" w14:textId="215B14FA" w:rsidR="00AA5202" w:rsidRDefault="00F71E05" w:rsidP="00713CFE">
      <w:pPr>
        <w:pStyle w:val="ListParagraph"/>
        <w:keepNext/>
        <w:keepLines/>
        <w:numPr>
          <w:ilvl w:val="0"/>
          <w:numId w:val="67"/>
        </w:numPr>
      </w:pPr>
      <w:r>
        <w:t>in the possession of the ACT Auditor-General</w:t>
      </w:r>
    </w:p>
    <w:p w14:paraId="704C7186" w14:textId="0E190DCE" w:rsidR="00AA5202" w:rsidRDefault="00F71E05" w:rsidP="00713CFE">
      <w:pPr>
        <w:pStyle w:val="ListParagraph"/>
        <w:keepNext/>
        <w:keepLines/>
        <w:numPr>
          <w:ilvl w:val="0"/>
          <w:numId w:val="67"/>
        </w:numPr>
      </w:pPr>
      <w:r>
        <w:t xml:space="preserve">has been obtained or generated </w:t>
      </w:r>
      <w:r w:rsidR="00AA5202">
        <w:t xml:space="preserve">in relation an </w:t>
      </w:r>
      <w:r w:rsidR="00AA5202" w:rsidRPr="00174665">
        <w:t>audit</w:t>
      </w:r>
      <w:r w:rsidR="00AA5202">
        <w:t xml:space="preserve"> under the </w:t>
      </w:r>
      <w:r w:rsidR="00E94317">
        <w:t>A-G Act</w:t>
      </w:r>
      <w:r w:rsidR="00AA5202">
        <w:t>.</w:t>
      </w:r>
    </w:p>
    <w:p w14:paraId="16E086ED" w14:textId="66B8C6DB" w:rsidR="00F71E05" w:rsidRDefault="00AA5202" w:rsidP="00AA5202">
      <w:r>
        <w:t>I</w:t>
      </w:r>
      <w:r w:rsidR="00F71E05">
        <w:t>t does not matter whether the information is received</w:t>
      </w:r>
      <w:r w:rsidR="00124E5A">
        <w:t>,</w:t>
      </w:r>
      <w:r w:rsidR="00F71E05">
        <w:t xml:space="preserve"> or </w:t>
      </w:r>
      <w:r w:rsidR="00124E5A">
        <w:t xml:space="preserve">was </w:t>
      </w:r>
      <w:r w:rsidR="00F71E05">
        <w:t>created</w:t>
      </w:r>
      <w:r w:rsidR="00124E5A">
        <w:t>,</w:t>
      </w:r>
      <w:r w:rsidR="00F71E05">
        <w:t xml:space="preserve"> by the ACT Auditor-General. </w:t>
      </w:r>
    </w:p>
    <w:p w14:paraId="3EA4EE91" w14:textId="5C3DCDFA" w:rsidR="00F71E05" w:rsidRDefault="00F71E05" w:rsidP="00F71E05">
      <w:r>
        <w:t xml:space="preserve">An </w:t>
      </w:r>
      <w:r w:rsidR="0090423F">
        <w:t>‘</w:t>
      </w:r>
      <w:r w:rsidRPr="00174665">
        <w:rPr>
          <w:i/>
        </w:rPr>
        <w:t>audit</w:t>
      </w:r>
      <w:r w:rsidR="0090423F">
        <w:rPr>
          <w:i/>
        </w:rPr>
        <w:t>’</w:t>
      </w:r>
      <w:r w:rsidRPr="00174665">
        <w:rPr>
          <w:i/>
        </w:rPr>
        <w:t xml:space="preserve"> </w:t>
      </w:r>
      <w:r>
        <w:t xml:space="preserve">within the meaning of the </w:t>
      </w:r>
      <w:r w:rsidR="00E94317">
        <w:t xml:space="preserve">A-G Act </w:t>
      </w:r>
      <w:r>
        <w:t>can include the following:</w:t>
      </w:r>
    </w:p>
    <w:p w14:paraId="5860FA8E" w14:textId="2953C1F0" w:rsidR="00F71E05" w:rsidRDefault="00F71E05" w:rsidP="009B05C4">
      <w:pPr>
        <w:pStyle w:val="ListParagraph"/>
        <w:numPr>
          <w:ilvl w:val="0"/>
          <w:numId w:val="78"/>
        </w:numPr>
      </w:pPr>
      <w:r>
        <w:t xml:space="preserve">an audit of the annual financial statements of the Territory, directorates and territory authorities under the </w:t>
      </w:r>
      <w:hyperlink r:id="rId45" w:history="1">
        <w:r w:rsidR="003C3D89" w:rsidRPr="00055B01">
          <w:rPr>
            <w:rStyle w:val="Hyperlink"/>
            <w:i/>
            <w:iCs/>
          </w:rPr>
          <w:t>Financial Management Act 1996</w:t>
        </w:r>
      </w:hyperlink>
    </w:p>
    <w:p w14:paraId="1B78F72D" w14:textId="77777777" w:rsidR="00F71E05" w:rsidRDefault="00F71E05" w:rsidP="009B05C4">
      <w:pPr>
        <w:pStyle w:val="ListParagraph"/>
        <w:numPr>
          <w:ilvl w:val="0"/>
          <w:numId w:val="78"/>
        </w:numPr>
      </w:pPr>
      <w:r>
        <w:t>an</w:t>
      </w:r>
      <w:r w:rsidRPr="00512665">
        <w:t xml:space="preserve"> </w:t>
      </w:r>
      <w:r>
        <w:t>audit of the accounts and records in relation to any person, body or thing ascertained in accordance with the regulations</w:t>
      </w:r>
    </w:p>
    <w:p w14:paraId="0AAF27CF" w14:textId="77777777" w:rsidR="00F71E05" w:rsidRDefault="00F71E05" w:rsidP="00D64F27">
      <w:pPr>
        <w:pStyle w:val="ListParagraph"/>
        <w:numPr>
          <w:ilvl w:val="0"/>
          <w:numId w:val="78"/>
        </w:numPr>
        <w:ind w:right="-22"/>
      </w:pPr>
      <w:r>
        <w:t>a performance audit in relation to any person, body or thing ascertained in accordance with the regulations</w:t>
      </w:r>
      <w:r>
        <w:rPr>
          <w:rStyle w:val="FootnoteReference"/>
        </w:rPr>
        <w:footnoteReference w:id="99"/>
      </w:r>
    </w:p>
    <w:p w14:paraId="7C96D4FC" w14:textId="01C5C0F2" w:rsidR="00F71E05" w:rsidRDefault="00F71E05" w:rsidP="009B05C4">
      <w:pPr>
        <w:pStyle w:val="ListParagraph"/>
        <w:numPr>
          <w:ilvl w:val="0"/>
          <w:numId w:val="79"/>
        </w:numPr>
      </w:pPr>
      <w:r>
        <w:t>a special financial audit of the accounts and records of a public sector company, or a joint venture or trust in which the Territory or a territory entity has a controlling interest</w:t>
      </w:r>
      <w:r>
        <w:rPr>
          <w:rStyle w:val="FootnoteReference"/>
        </w:rPr>
        <w:footnoteReference w:id="100"/>
      </w:r>
    </w:p>
    <w:p w14:paraId="4175CEDE" w14:textId="3B087E03" w:rsidR="00F71E05" w:rsidRDefault="00F71E05" w:rsidP="009B05C4">
      <w:pPr>
        <w:pStyle w:val="ListParagraph"/>
        <w:numPr>
          <w:ilvl w:val="0"/>
          <w:numId w:val="79"/>
        </w:numPr>
      </w:pPr>
      <w:r>
        <w:t>a performance audit into the operations of a directorate, territory entity or joint venture or trust in which the Territory or a territory entity has a controlling interest.</w:t>
      </w:r>
      <w:r>
        <w:rPr>
          <w:rStyle w:val="FootnoteReference"/>
        </w:rPr>
        <w:footnoteReference w:id="101"/>
      </w:r>
    </w:p>
    <w:p w14:paraId="351FADD0" w14:textId="77777777" w:rsidR="00AA5202" w:rsidRDefault="00AA5202" w:rsidP="00D64F27">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AA5202">
        <w:rPr>
          <w:b/>
        </w:rPr>
        <w:t>Note:</w:t>
      </w:r>
    </w:p>
    <w:p w14:paraId="16841299" w14:textId="236B1236" w:rsidR="002530AE" w:rsidRPr="002530AE" w:rsidRDefault="00AA5202" w:rsidP="00E0213F">
      <w:pPr>
        <w:pStyle w:val="ListParagraph"/>
        <w:numPr>
          <w:ilvl w:val="0"/>
          <w:numId w:val="68"/>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Audit</w:t>
      </w:r>
      <w:r w:rsidR="00461A7F">
        <w:t>-</w:t>
      </w:r>
      <w:r>
        <w:t>related information that is in the possession of the ACT Audit Office will generally be within the constructive possession of the</w:t>
      </w:r>
      <w:r w:rsidR="00103F16">
        <w:t xml:space="preserve"> Auditor-General, because </w:t>
      </w:r>
      <w:r>
        <w:t>its role is to assist the Auditor-General in conducting audits</w:t>
      </w:r>
      <w:r w:rsidRPr="00AA5202">
        <w:rPr>
          <w:i/>
        </w:rPr>
        <w:t>.</w:t>
      </w:r>
      <w:r w:rsidRPr="00DB46C0">
        <w:rPr>
          <w:rStyle w:val="FootnoteReference"/>
        </w:rPr>
        <w:footnoteReference w:id="102"/>
      </w:r>
      <w:r w:rsidRPr="00DB46C0">
        <w:t xml:space="preserve"> </w:t>
      </w:r>
    </w:p>
    <w:p w14:paraId="77FC3003" w14:textId="055DA837" w:rsidR="00AA5202" w:rsidRDefault="00AA5202" w:rsidP="00E0213F">
      <w:pPr>
        <w:pStyle w:val="ListParagraph"/>
        <w:numPr>
          <w:ilvl w:val="0"/>
          <w:numId w:val="66"/>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Section </w:t>
      </w:r>
      <w:r w:rsidR="00F71E05" w:rsidRPr="00BC544C">
        <w:t xml:space="preserve">1.5 </w:t>
      </w:r>
      <w:r>
        <w:t xml:space="preserve">is likely to be relevant to the ACT Audit Office only, as this provision does not </w:t>
      </w:r>
      <w:r w:rsidR="00F71E05" w:rsidRPr="00BC544C">
        <w:t>apply in re</w:t>
      </w:r>
      <w:r>
        <w:t xml:space="preserve">lation to any other copy of </w:t>
      </w:r>
      <w:r w:rsidR="00F71E05" w:rsidRPr="00BC544C">
        <w:t xml:space="preserve">information </w:t>
      </w:r>
      <w:r>
        <w:t xml:space="preserve">held or created by the ACT Auditor-General </w:t>
      </w:r>
      <w:r w:rsidR="00F71E05" w:rsidRPr="00BC544C">
        <w:t>which may be in the possession of another territory directorate or authority.</w:t>
      </w:r>
      <w:r w:rsidR="00F71E05" w:rsidRPr="00BA4495">
        <w:rPr>
          <w:rStyle w:val="FootnoteReference"/>
        </w:rPr>
        <w:footnoteReference w:id="103"/>
      </w:r>
      <w:r w:rsidR="00F71E05" w:rsidRPr="00BA4495">
        <w:t xml:space="preserve"> </w:t>
      </w:r>
    </w:p>
    <w:p w14:paraId="750B0884" w14:textId="7F26D5B5" w:rsidR="00174665" w:rsidRPr="00174665" w:rsidRDefault="00174665" w:rsidP="00E0213F">
      <w:pPr>
        <w:pStyle w:val="ListParagraph"/>
        <w:numPr>
          <w:ilvl w:val="0"/>
          <w:numId w:val="66"/>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2530AE">
        <w:t xml:space="preserve">For specific </w:t>
      </w:r>
      <w:r w:rsidR="009E5D8C">
        <w:t>guidance</w:t>
      </w:r>
      <w:r w:rsidRPr="002530AE">
        <w:t xml:space="preserve"> on the phrase ‘in the possession of’ see</w:t>
      </w:r>
      <w:r>
        <w:t xml:space="preserve"> </w:t>
      </w:r>
      <w:r w:rsidR="00EC1B17">
        <w:t>[</w:t>
      </w:r>
      <w:hyperlink w:anchor="_In_the_possession" w:history="1">
        <w:r w:rsidR="00EC1B17">
          <w:rPr>
            <w:rStyle w:val="Hyperlink"/>
          </w:rPr>
          <w:t>4.3</w:t>
        </w:r>
      </w:hyperlink>
      <w:r w:rsidR="00EC1B17">
        <w:rPr>
          <w:rStyle w:val="Hyperlink"/>
          <w:color w:val="auto"/>
          <w:u w:val="none"/>
        </w:rPr>
        <w:t>]</w:t>
      </w:r>
      <w:r w:rsidR="00DE140F">
        <w:rPr>
          <w:rStyle w:val="Hyperlink"/>
          <w:color w:val="auto"/>
          <w:u w:val="none"/>
        </w:rPr>
        <w:t xml:space="preserve"> above. </w:t>
      </w:r>
    </w:p>
    <w:p w14:paraId="5AA6B965" w14:textId="7DF52C41" w:rsidR="00F71E05" w:rsidRDefault="00F71E05" w:rsidP="009B05C4">
      <w:pPr>
        <w:pStyle w:val="Heading2"/>
        <w:numPr>
          <w:ilvl w:val="1"/>
          <w:numId w:val="54"/>
        </w:numPr>
        <w:ind w:left="567" w:hanging="567"/>
      </w:pPr>
      <w:bookmarkStart w:id="673" w:name="_Section_1.6_–"/>
      <w:bookmarkStart w:id="674" w:name="_Ref10621422"/>
      <w:bookmarkStart w:id="675" w:name="_Toc43385537"/>
      <w:bookmarkStart w:id="676" w:name="_Toc152067321"/>
      <w:bookmarkEnd w:id="673"/>
      <w:r>
        <w:t>Section 1.6 – Cabinet information</w:t>
      </w:r>
      <w:bookmarkEnd w:id="674"/>
      <w:bookmarkEnd w:id="675"/>
      <w:bookmarkEnd w:id="676"/>
    </w:p>
    <w:p w14:paraId="49232EE8" w14:textId="77777777" w:rsidR="00F71E05" w:rsidRPr="00610ED5" w:rsidRDefault="00F71E05" w:rsidP="00F71E05">
      <w:pPr>
        <w:pStyle w:val="Heading4"/>
      </w:pPr>
      <w:r w:rsidRPr="00610ED5">
        <w:t xml:space="preserve">Background </w:t>
      </w:r>
    </w:p>
    <w:p w14:paraId="26F6CDFD" w14:textId="02EC76D6" w:rsidR="00174665" w:rsidRDefault="00F71E05" w:rsidP="00174665">
      <w:pPr>
        <w:ind w:right="-22"/>
      </w:pPr>
      <w:r w:rsidRPr="00610ED5">
        <w:t>The</w:t>
      </w:r>
      <w:r>
        <w:t xml:space="preserve"> ACT FOI Act, mirroring </w:t>
      </w:r>
      <w:r w:rsidR="00174665">
        <w:t xml:space="preserve">FOI </w:t>
      </w:r>
      <w:r>
        <w:t xml:space="preserve">exemption provisions in other jurisdictions, provides for </w:t>
      </w:r>
      <w:r w:rsidR="002D0BF4">
        <w:t>C</w:t>
      </w:r>
      <w:r>
        <w:t xml:space="preserve">abinet information to be taken to be contrary to the public interest and withheld from disclosure. </w:t>
      </w:r>
    </w:p>
    <w:p w14:paraId="46DF5E7B" w14:textId="79B4FDD6" w:rsidR="00F71E05" w:rsidRPr="00610ED5" w:rsidRDefault="00F71E05" w:rsidP="00174665">
      <w:pPr>
        <w:ind w:right="-22"/>
      </w:pPr>
      <w:r>
        <w:t>Essentially, the relevant provision ask</w:t>
      </w:r>
      <w:r w:rsidR="009D49EB">
        <w:t>s</w:t>
      </w:r>
      <w:r>
        <w:t xml:space="preserve"> decision-makers to consider whether disclosure would </w:t>
      </w:r>
      <w:r w:rsidR="009C7270">
        <w:t>involve the disclosure of a deliberation or decision of Cabinet</w:t>
      </w:r>
      <w:r>
        <w:t>.</w:t>
      </w:r>
      <w:r w:rsidR="00174665">
        <w:t xml:space="preserve"> </w:t>
      </w:r>
      <w:r w:rsidR="002D0BF4">
        <w:t xml:space="preserve">The provision </w:t>
      </w:r>
      <w:r>
        <w:t>reflect</w:t>
      </w:r>
      <w:r w:rsidR="002D0BF4">
        <w:t>s</w:t>
      </w:r>
      <w:r>
        <w:t xml:space="preserve"> the long</w:t>
      </w:r>
      <w:r w:rsidR="00174665">
        <w:noBreakHyphen/>
      </w:r>
      <w:r>
        <w:t xml:space="preserve">established convention of collective ministerial responsibility, and the need to preserve the confidentiality of processes leading up to </w:t>
      </w:r>
      <w:r w:rsidR="002D0BF4">
        <w:t>Cabinet</w:t>
      </w:r>
      <w:r>
        <w:t xml:space="preserve"> decisions – allowing for full and frank discussion between </w:t>
      </w:r>
      <w:r w:rsidR="002D0BF4">
        <w:t>C</w:t>
      </w:r>
      <w:r>
        <w:t>abinet members</w:t>
      </w:r>
      <w:r w:rsidR="00F257E7">
        <w:t>,</w:t>
      </w:r>
      <w:r>
        <w:t xml:space="preserve"> prior to a final decision being made. </w:t>
      </w:r>
    </w:p>
    <w:p w14:paraId="02387C2A" w14:textId="77777777" w:rsidR="00F71E05" w:rsidRPr="00610ED5" w:rsidRDefault="00F71E05" w:rsidP="00F71E05">
      <w:pPr>
        <w:pStyle w:val="Heading4"/>
      </w:pPr>
      <w:r w:rsidRPr="00610ED5">
        <w:t xml:space="preserve">Overview </w:t>
      </w:r>
    </w:p>
    <w:p w14:paraId="242F9A12" w14:textId="6D48D49E" w:rsidR="00174665" w:rsidRDefault="00C175D3" w:rsidP="00F71E05">
      <w:r>
        <w:t xml:space="preserve">Section 1.6 provides that disclosure of the information is taken to be contrary to the public interest if </w:t>
      </w:r>
      <w:r w:rsidR="00F71E05">
        <w:t xml:space="preserve">it is </w:t>
      </w:r>
      <w:r w:rsidR="00174BBA">
        <w:t>C</w:t>
      </w:r>
      <w:r w:rsidR="00F71E05" w:rsidRPr="00C175D3">
        <w:t>abinet information.</w:t>
      </w:r>
      <w:r w:rsidR="00F71E05">
        <w:t xml:space="preserve"> </w:t>
      </w:r>
    </w:p>
    <w:p w14:paraId="37C58A30" w14:textId="0971493F" w:rsidR="00F71E05" w:rsidRDefault="00F71E05" w:rsidP="00F71E05">
      <w:r w:rsidRPr="00C175D3">
        <w:rPr>
          <w:i/>
        </w:rPr>
        <w:t>Cabinet information</w:t>
      </w:r>
      <w:r>
        <w:t xml:space="preserve"> is defined </w:t>
      </w:r>
      <w:r w:rsidR="001449C6">
        <w:t xml:space="preserve">in s 1.6(1) </w:t>
      </w:r>
      <w:r>
        <w:t>as information:</w:t>
      </w:r>
    </w:p>
    <w:p w14:paraId="30533020" w14:textId="23DF9C06" w:rsidR="00F71E05" w:rsidRDefault="003055DD" w:rsidP="001D5D98">
      <w:pPr>
        <w:pStyle w:val="ListParagraph"/>
        <w:numPr>
          <w:ilvl w:val="0"/>
          <w:numId w:val="8"/>
        </w:numPr>
        <w:spacing w:after="0"/>
        <w:ind w:left="283" w:hanging="283"/>
      </w:pPr>
      <w:r>
        <w:t xml:space="preserve">that </w:t>
      </w:r>
      <w:r w:rsidR="00F71E05">
        <w:t xml:space="preserve">has been submitted, or that a Minister proposes to submit, to Cabinet for its consideration </w:t>
      </w:r>
      <w:r w:rsidR="00F71E05" w:rsidRPr="00610ED5">
        <w:rPr>
          <w:b/>
        </w:rPr>
        <w:t>and</w:t>
      </w:r>
      <w:r w:rsidR="00F71E05">
        <w:t xml:space="preserve"> that was brought into existence for that purpose</w:t>
      </w:r>
      <w:r w:rsidR="00B81CF6">
        <w:rPr>
          <w:rStyle w:val="FootnoteReference"/>
        </w:rPr>
        <w:footnoteReference w:id="104"/>
      </w:r>
      <w:r w:rsidR="00C175D3">
        <w:t xml:space="preserve"> </w:t>
      </w:r>
    </w:p>
    <w:p w14:paraId="38FD3C77" w14:textId="6E2B87FC" w:rsidR="00F71E05" w:rsidRDefault="003055DD" w:rsidP="001D5D98">
      <w:pPr>
        <w:pStyle w:val="ListParagraph"/>
        <w:numPr>
          <w:ilvl w:val="0"/>
          <w:numId w:val="8"/>
        </w:numPr>
        <w:spacing w:after="0"/>
        <w:ind w:left="283" w:hanging="283"/>
      </w:pPr>
      <w:r>
        <w:t xml:space="preserve">that </w:t>
      </w:r>
      <w:r w:rsidR="00F71E05">
        <w:t>is an official record of Cabinet</w:t>
      </w:r>
      <w:r w:rsidR="00B81CF6">
        <w:t>,</w:t>
      </w:r>
      <w:r w:rsidR="00B81CF6">
        <w:rPr>
          <w:rStyle w:val="FootnoteReference"/>
        </w:rPr>
        <w:footnoteReference w:id="105"/>
      </w:r>
    </w:p>
    <w:p w14:paraId="7BB3E5AF" w14:textId="436FD8D9" w:rsidR="00F71E05" w:rsidRDefault="003055DD" w:rsidP="001D5D98">
      <w:pPr>
        <w:pStyle w:val="ListParagraph"/>
        <w:numPr>
          <w:ilvl w:val="0"/>
          <w:numId w:val="8"/>
        </w:numPr>
        <w:ind w:left="283" w:hanging="283"/>
      </w:pPr>
      <w:r>
        <w:t xml:space="preserve">that </w:t>
      </w:r>
      <w:r w:rsidR="00F71E05">
        <w:t xml:space="preserve">is a copy of, or part </w:t>
      </w:r>
      <w:r w:rsidR="00D75716">
        <w:t>of,</w:t>
      </w:r>
      <w:r w:rsidR="00F71E05">
        <w:t xml:space="preserve"> or contains an extract from information mentioned above</w:t>
      </w:r>
      <w:r w:rsidR="00B81CF6">
        <w:t>,</w:t>
      </w:r>
      <w:r w:rsidR="00B81CF6">
        <w:rPr>
          <w:rStyle w:val="FootnoteReference"/>
        </w:rPr>
        <w:footnoteReference w:id="106"/>
      </w:r>
      <w:r w:rsidR="00B81CF6">
        <w:t xml:space="preserve"> or</w:t>
      </w:r>
      <w:r w:rsidR="00C175D3">
        <w:t xml:space="preserve"> </w:t>
      </w:r>
    </w:p>
    <w:p w14:paraId="68F1DD44" w14:textId="359D9CA7" w:rsidR="003055DD" w:rsidRDefault="003055DD" w:rsidP="001D5D98">
      <w:pPr>
        <w:pStyle w:val="ListParagraph"/>
        <w:numPr>
          <w:ilvl w:val="0"/>
          <w:numId w:val="8"/>
        </w:numPr>
        <w:ind w:left="283" w:hanging="283"/>
      </w:pPr>
      <w:r>
        <w:t>the disclosure of which would reveal any deliberation of Cabinet (other than through the official publication of a Cabinet decision)</w:t>
      </w:r>
      <w:r w:rsidR="00F84988">
        <w:t>.</w:t>
      </w:r>
      <w:r w:rsidR="00B81CF6">
        <w:rPr>
          <w:rStyle w:val="FootnoteReference"/>
        </w:rPr>
        <w:footnoteReference w:id="107"/>
      </w:r>
      <w:r>
        <w:t xml:space="preserve"> </w:t>
      </w:r>
    </w:p>
    <w:p w14:paraId="2B9A9FB3" w14:textId="77777777" w:rsidR="004C3EDB" w:rsidRPr="00F86C48" w:rsidRDefault="004C3EDB" w:rsidP="004C3EDB">
      <w:r w:rsidRPr="00174665">
        <w:rPr>
          <w:b/>
        </w:rPr>
        <w:t>unless</w:t>
      </w:r>
      <w:r>
        <w:t xml:space="preserve"> as outlined in s 1.6(2):</w:t>
      </w:r>
    </w:p>
    <w:p w14:paraId="5C3ABF3F" w14:textId="7EA687B7" w:rsidR="004C3EDB" w:rsidRPr="00746C76" w:rsidRDefault="004C3EDB" w:rsidP="00746C76">
      <w:pPr>
        <w:pStyle w:val="ListParagraph"/>
        <w:numPr>
          <w:ilvl w:val="0"/>
          <w:numId w:val="9"/>
        </w:numPr>
        <w:spacing w:after="0"/>
        <w:ind w:left="283" w:right="-755" w:hanging="283"/>
      </w:pPr>
      <w:r>
        <w:t xml:space="preserve">the information is </w:t>
      </w:r>
      <w:r w:rsidRPr="00C175D3">
        <w:rPr>
          <w:i/>
        </w:rPr>
        <w:t>purely factual</w:t>
      </w:r>
      <w:r w:rsidR="00746C76">
        <w:rPr>
          <w:i/>
        </w:rPr>
        <w:t xml:space="preserve"> </w:t>
      </w:r>
      <w:r w:rsidRPr="00746C76">
        <w:rPr>
          <w:b/>
        </w:rPr>
        <w:t>and</w:t>
      </w:r>
    </w:p>
    <w:p w14:paraId="0FE13663" w14:textId="2257AB4E" w:rsidR="004C3EDB" w:rsidRDefault="004C3EDB" w:rsidP="00746C76">
      <w:pPr>
        <w:pStyle w:val="ListParagraph"/>
        <w:numPr>
          <w:ilvl w:val="0"/>
          <w:numId w:val="9"/>
        </w:numPr>
        <w:spacing w:after="0"/>
        <w:ind w:left="283" w:right="-755" w:hanging="283"/>
      </w:pPr>
      <w:r>
        <w:t xml:space="preserve">disclosure of the information would </w:t>
      </w:r>
      <w:r w:rsidRPr="00BF6238">
        <w:rPr>
          <w:b/>
        </w:rPr>
        <w:t>not</w:t>
      </w:r>
      <w:r>
        <w:t xml:space="preserve"> involve the disclosure of a deliberation or decision of Cabinet</w:t>
      </w:r>
      <w:r w:rsidR="00746C76">
        <w:t xml:space="preserve"> </w:t>
      </w:r>
      <w:r w:rsidRPr="00746C76">
        <w:rPr>
          <w:b/>
        </w:rPr>
        <w:t>and</w:t>
      </w:r>
    </w:p>
    <w:p w14:paraId="4DF02411" w14:textId="5E243FAE" w:rsidR="004C3EDB" w:rsidRPr="00610ED5" w:rsidRDefault="004C3EDB" w:rsidP="004C3EDB">
      <w:pPr>
        <w:pStyle w:val="ListParagraph"/>
        <w:numPr>
          <w:ilvl w:val="0"/>
          <w:numId w:val="9"/>
        </w:numPr>
        <w:spacing w:after="120"/>
        <w:ind w:left="283" w:hanging="283"/>
      </w:pPr>
      <w:r>
        <w:t xml:space="preserve">the fact of the deliberation or decision has </w:t>
      </w:r>
      <w:r w:rsidRPr="00BF6238">
        <w:rPr>
          <w:b/>
        </w:rPr>
        <w:t>not</w:t>
      </w:r>
      <w:r>
        <w:t xml:space="preserve"> been officially published</w:t>
      </w:r>
      <w:r w:rsidR="00746C76">
        <w:t>.</w:t>
      </w:r>
    </w:p>
    <w:p w14:paraId="10A4918C" w14:textId="4F990E83" w:rsidR="004C3EDB" w:rsidRDefault="004C3EDB" w:rsidP="004C3EDB">
      <w:pPr>
        <w:ind w:right="-613"/>
      </w:pPr>
      <w:r w:rsidRPr="00BF6238">
        <w:rPr>
          <w:b/>
        </w:rPr>
        <w:t>In addition</w:t>
      </w:r>
      <w:r>
        <w:t>, all informati</w:t>
      </w:r>
      <w:r w:rsidR="00B62172">
        <w:t>on is considered to be Cabinet i</w:t>
      </w:r>
      <w:r>
        <w:t>nformation where its disclosure would reveal any deliberation of Cabinet (other than through the official publication of a Cabinet decision)</w:t>
      </w:r>
      <w:r w:rsidR="00B81CF6">
        <w:t>.</w:t>
      </w:r>
      <w:r w:rsidR="00B81CF6">
        <w:rPr>
          <w:rStyle w:val="FootnoteReference"/>
        </w:rPr>
        <w:footnoteReference w:id="108"/>
      </w:r>
    </w:p>
    <w:p w14:paraId="4F7C67F8" w14:textId="6A569A79" w:rsidR="00F71E05" w:rsidRDefault="00C175D3" w:rsidP="00F71E05">
      <w:pPr>
        <w:ind w:right="-613"/>
      </w:pPr>
      <w:r>
        <w:t>Each of these elements and exemptions are discussed in detail below.</w:t>
      </w:r>
    </w:p>
    <w:p w14:paraId="5B4B5AB6" w14:textId="77777777" w:rsidR="004C3EDB" w:rsidRDefault="00F71E05" w:rsidP="00250C79">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284" w:right="261" w:hanging="284"/>
      </w:pPr>
      <w:r w:rsidRPr="00610ED5">
        <w:rPr>
          <w:b/>
        </w:rPr>
        <w:t>Note:</w:t>
      </w:r>
      <w:r w:rsidRPr="00610ED5">
        <w:t xml:space="preserve"> </w:t>
      </w:r>
    </w:p>
    <w:p w14:paraId="33B85611" w14:textId="46B17149" w:rsidR="004C3EDB" w:rsidRDefault="004C3EDB" w:rsidP="00250C79">
      <w:pPr>
        <w:pStyle w:val="ListParagraph"/>
        <w:keepNext/>
        <w:keepLines/>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4" w:right="261" w:hanging="284"/>
      </w:pPr>
      <w:r>
        <w:t>The term ‘Cabinet’ in s 1.6 includes a Cabinet committee or subcommittee</w:t>
      </w:r>
      <w:r w:rsidR="00E60BFB">
        <w:t>.</w:t>
      </w:r>
      <w:r w:rsidR="00207557">
        <w:rPr>
          <w:rStyle w:val="FootnoteReference"/>
        </w:rPr>
        <w:footnoteReference w:id="109"/>
      </w:r>
      <w:r>
        <w:t xml:space="preserve"> </w:t>
      </w:r>
    </w:p>
    <w:p w14:paraId="5A7653BD" w14:textId="60D257D9" w:rsidR="00F71E05" w:rsidRDefault="00F71E05" w:rsidP="00250C79">
      <w:pPr>
        <w:pStyle w:val="ListParagraph"/>
        <w:keepNext/>
        <w:keepLines/>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4" w:right="261" w:hanging="284"/>
      </w:pPr>
      <w:r>
        <w:t>Agencies are encouraged not to assume that information is</w:t>
      </w:r>
      <w:r w:rsidR="00EA72EE">
        <w:t xml:space="preserve"> C</w:t>
      </w:r>
      <w:r>
        <w:t xml:space="preserve">abinet information just because the relevant document contains information about prospective policy or legislative developments, and/or is marked ‘cabinet-in-confidence’. </w:t>
      </w:r>
    </w:p>
    <w:p w14:paraId="3DE9F4EA" w14:textId="7DD090A9" w:rsidR="0097254D" w:rsidRDefault="00F71E05" w:rsidP="00250C79">
      <w:pPr>
        <w:pStyle w:val="ListParagraph"/>
        <w:keepNext/>
        <w:keepLines/>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4" w:right="261" w:hanging="284"/>
      </w:pPr>
      <w:r>
        <w:t xml:space="preserve">Many documents which outline preliminary work and/or research in terms of a policy problem will also </w:t>
      </w:r>
      <w:r w:rsidRPr="009821F4">
        <w:rPr>
          <w:b/>
        </w:rPr>
        <w:t xml:space="preserve">not </w:t>
      </w:r>
      <w:r>
        <w:t xml:space="preserve">be considered </w:t>
      </w:r>
      <w:r w:rsidR="00582B0C">
        <w:rPr>
          <w:iCs/>
        </w:rPr>
        <w:t>C</w:t>
      </w:r>
      <w:r w:rsidRPr="00582B0C">
        <w:rPr>
          <w:iCs/>
        </w:rPr>
        <w:t>abinet information</w:t>
      </w:r>
      <w:r w:rsidR="00B62172">
        <w:t xml:space="preserve">. </w:t>
      </w:r>
    </w:p>
    <w:p w14:paraId="77885E87" w14:textId="66D614D4" w:rsidR="00C175D3" w:rsidRDefault="00B62172" w:rsidP="00250C79">
      <w:pPr>
        <w:pStyle w:val="ListParagraph"/>
        <w:keepNext/>
        <w:keepLines/>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4" w:right="261" w:hanging="284"/>
      </w:pPr>
      <w:r>
        <w:t>Decision-makers</w:t>
      </w:r>
      <w:r w:rsidR="00F71E05">
        <w:t xml:space="preserve"> are encouraged to consider whether the information relates to the Cabinet process or ‘thinking’, or whether it is merely preparatory policy work and/or research</w:t>
      </w:r>
      <w:r w:rsidR="001829DB">
        <w:rPr>
          <w:rFonts w:ascii="Calibri" w:hAnsi="Calibri" w:cs="Calibri"/>
        </w:rPr>
        <w:t>—</w:t>
      </w:r>
      <w:r w:rsidR="00F71E05">
        <w:t xml:space="preserve">that is, factual information that does not reveal a deliberation of </w:t>
      </w:r>
      <w:r w:rsidR="005B2889">
        <w:t>C</w:t>
      </w:r>
      <w:r w:rsidR="00F71E05">
        <w:t xml:space="preserve">abinet. </w:t>
      </w:r>
    </w:p>
    <w:p w14:paraId="2D2B4687" w14:textId="7C4E39FD" w:rsidR="00C175D3" w:rsidRDefault="00F71E05" w:rsidP="00250C79">
      <w:pPr>
        <w:pStyle w:val="ListParagraph"/>
        <w:keepNext/>
        <w:keepLines/>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4" w:right="261" w:hanging="284"/>
      </w:pPr>
      <w:r>
        <w:t>Whether disclosure of a document would involve disclosure of a deliberation of Cabinet is a question of fact to be decided in the circumstances of the particular case.</w:t>
      </w:r>
      <w:r w:rsidR="00C175D3">
        <w:t xml:space="preserve"> </w:t>
      </w:r>
    </w:p>
    <w:p w14:paraId="7BC23678" w14:textId="1140F962" w:rsidR="00F71E05" w:rsidRPr="002B26B9" w:rsidRDefault="00F71E05" w:rsidP="00250C79">
      <w:pPr>
        <w:pStyle w:val="ListParagraph"/>
        <w:keepNext/>
        <w:keepLines/>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4" w:right="261" w:hanging="284"/>
      </w:pPr>
      <w:r>
        <w:t xml:space="preserve">Where agencies believe information sought falls within the scope of </w:t>
      </w:r>
      <w:r w:rsidR="006F5B9D">
        <w:t xml:space="preserve">s </w:t>
      </w:r>
      <w:r>
        <w:t xml:space="preserve">1.6, they should clearly explain </w:t>
      </w:r>
      <w:r w:rsidRPr="00C175D3">
        <w:rPr>
          <w:b/>
        </w:rPr>
        <w:t>why</w:t>
      </w:r>
      <w:r w:rsidR="001829DB">
        <w:rPr>
          <w:rFonts w:ascii="Calibri" w:hAnsi="Calibri" w:cs="Calibri"/>
        </w:rPr>
        <w:t>—</w:t>
      </w:r>
      <w:r>
        <w:t>i.e. which category of information applies and why the factual information exclusion is not relevant, consulting the</w:t>
      </w:r>
      <w:r w:rsidR="000469B8">
        <w:t>se</w:t>
      </w:r>
      <w:r>
        <w:t xml:space="preserve"> guidelines </w:t>
      </w:r>
      <w:r w:rsidR="000469B8">
        <w:t>as necessary</w:t>
      </w:r>
      <w:r>
        <w:t>.</w:t>
      </w:r>
    </w:p>
    <w:p w14:paraId="10FCC816" w14:textId="13F4C2D8" w:rsidR="00C175D3" w:rsidRDefault="00C175D3" w:rsidP="00C175D3">
      <w:pPr>
        <w:pStyle w:val="Heading4"/>
      </w:pPr>
      <w:r>
        <w:t>Information within scope of s</w:t>
      </w:r>
      <w:r w:rsidR="00853769">
        <w:t xml:space="preserve"> </w:t>
      </w:r>
      <w:r>
        <w:t>1.6(1)(a)</w:t>
      </w:r>
    </w:p>
    <w:p w14:paraId="5AB56BBD" w14:textId="296B8956" w:rsidR="000A4848" w:rsidRDefault="00C175D3" w:rsidP="00C175D3">
      <w:pPr>
        <w:ind w:right="-472"/>
      </w:pPr>
      <w:r>
        <w:t>To come within the scope of s</w:t>
      </w:r>
      <w:r w:rsidR="00A0335A">
        <w:t xml:space="preserve"> </w:t>
      </w:r>
      <w:r>
        <w:t xml:space="preserve">1.6(1)(a), the information must have been submitted, or proposed to be submitted, to Cabinet for its consideration </w:t>
      </w:r>
      <w:r w:rsidRPr="00C175D3">
        <w:rPr>
          <w:b/>
        </w:rPr>
        <w:t>and</w:t>
      </w:r>
      <w:r>
        <w:t xml:space="preserve"> been brought into existence for that purpose. </w:t>
      </w:r>
    </w:p>
    <w:p w14:paraId="1FE0B3A5" w14:textId="6F2788BB" w:rsidR="00C175D3" w:rsidRDefault="00C175D3" w:rsidP="00C175D3">
      <w:pPr>
        <w:ind w:right="-472"/>
      </w:pPr>
      <w:r>
        <w:t xml:space="preserve">These two </w:t>
      </w:r>
      <w:r w:rsidR="00B87EAF">
        <w:t>sub-</w:t>
      </w:r>
      <w:r>
        <w:t>elements are discussed below in detail.</w:t>
      </w:r>
      <w:r w:rsidR="00B87EAF">
        <w:t xml:space="preserve"> </w:t>
      </w:r>
    </w:p>
    <w:p w14:paraId="70A9CC5C" w14:textId="322F64AB" w:rsidR="00B87EAF" w:rsidRPr="00B87EAF" w:rsidRDefault="00B87EAF" w:rsidP="00E0213F">
      <w:pPr>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B87EAF">
        <w:rPr>
          <w:b/>
        </w:rPr>
        <w:t>Note:</w:t>
      </w:r>
    </w:p>
    <w:p w14:paraId="5F35BD06" w14:textId="5806355E" w:rsidR="00B87EAF" w:rsidRDefault="00B87EAF" w:rsidP="00E0213F">
      <w:pPr>
        <w:pStyle w:val="ListParagraph"/>
        <w:numPr>
          <w:ilvl w:val="0"/>
          <w:numId w:val="107"/>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 xml:space="preserve">Such information will not come </w:t>
      </w:r>
      <w:r w:rsidR="000A4848">
        <w:t xml:space="preserve">within </w:t>
      </w:r>
      <w:r>
        <w:t xml:space="preserve">scope where the </w:t>
      </w:r>
      <w:r w:rsidRPr="000A4848">
        <w:rPr>
          <w:i/>
        </w:rPr>
        <w:t>purely factual information exemption</w:t>
      </w:r>
      <w:r w:rsidR="001829DB">
        <w:br/>
      </w:r>
      <w:r w:rsidR="00F257E7">
        <w:t>applies</w:t>
      </w:r>
      <w:r w:rsidR="001829DB">
        <w:rPr>
          <w:rFonts w:ascii="Calibri" w:hAnsi="Calibri" w:cs="Calibri"/>
        </w:rPr>
        <w:t>—</w:t>
      </w:r>
      <w:hyperlink w:anchor="_Purely_factual_information" w:history="1">
        <w:r w:rsidR="00F257E7" w:rsidRPr="00C37903">
          <w:rPr>
            <w:rStyle w:val="Hyperlink"/>
          </w:rPr>
          <w:t>see discussion below</w:t>
        </w:r>
      </w:hyperlink>
      <w:r w:rsidR="00F257E7">
        <w:t>.</w:t>
      </w:r>
    </w:p>
    <w:p w14:paraId="64B08E41" w14:textId="086FE509" w:rsidR="00F71E05" w:rsidRPr="00610ED5" w:rsidRDefault="00F71E05" w:rsidP="00C175D3">
      <w:pPr>
        <w:pStyle w:val="Heading5"/>
        <w:spacing w:before="120"/>
      </w:pPr>
      <w:r w:rsidRPr="00610ED5">
        <w:t>Information submitted to Cabinet</w:t>
      </w:r>
      <w:r w:rsidR="00C175D3">
        <w:t xml:space="preserve"> or proposed to be submitted to Cabinet</w:t>
      </w:r>
    </w:p>
    <w:p w14:paraId="24A23FDD" w14:textId="199ED8F2" w:rsidR="00C175D3" w:rsidRDefault="00F71E05" w:rsidP="00F71E05">
      <w:pPr>
        <w:ind w:right="-472"/>
      </w:pPr>
      <w:r w:rsidRPr="00610ED5">
        <w:t xml:space="preserve">This </w:t>
      </w:r>
      <w:r>
        <w:t>includes information that</w:t>
      </w:r>
      <w:r w:rsidR="00C175D3">
        <w:t>:</w:t>
      </w:r>
    </w:p>
    <w:p w14:paraId="65F43CD0" w14:textId="5699AA1E" w:rsidR="00C175D3" w:rsidRDefault="002514E5" w:rsidP="00935663">
      <w:pPr>
        <w:pStyle w:val="ListParagraph"/>
        <w:numPr>
          <w:ilvl w:val="0"/>
          <w:numId w:val="69"/>
        </w:numPr>
        <w:ind w:right="-22"/>
      </w:pPr>
      <w:r w:rsidRPr="000469B8">
        <w:rPr>
          <w:b/>
        </w:rPr>
        <w:t xml:space="preserve">was </w:t>
      </w:r>
      <w:r w:rsidR="00F71E05" w:rsidRPr="00C175D3">
        <w:rPr>
          <w:b/>
        </w:rPr>
        <w:t>submitted</w:t>
      </w:r>
      <w:r w:rsidR="00F71E05">
        <w:t xml:space="preserve"> to a Cabinet committee or subcommittee</w:t>
      </w:r>
      <w:r w:rsidR="001829DB">
        <w:rPr>
          <w:rFonts w:ascii="Calibri" w:hAnsi="Calibri" w:cs="Calibri"/>
        </w:rPr>
        <w:t>—</w:t>
      </w:r>
      <w:r w:rsidR="00F71E05">
        <w:t>that is</w:t>
      </w:r>
      <w:r w:rsidR="00C175D3">
        <w:t>,</w:t>
      </w:r>
      <w:r w:rsidR="00F71E05">
        <w:t xml:space="preserve"> information which was actually provided to the relevant co</w:t>
      </w:r>
      <w:r w:rsidR="00C175D3">
        <w:t>mmittee, not simply for example:</w:t>
      </w:r>
    </w:p>
    <w:p w14:paraId="12BD3A91" w14:textId="020AF072" w:rsidR="00C175D3" w:rsidRDefault="00F71E05" w:rsidP="009B05C4">
      <w:pPr>
        <w:pStyle w:val="ListParagraph"/>
        <w:numPr>
          <w:ilvl w:val="1"/>
          <w:numId w:val="69"/>
        </w:numPr>
        <w:ind w:right="-472"/>
      </w:pPr>
      <w:r>
        <w:t>given to the Cabinet Office in preparation for a Cabinet meeting</w:t>
      </w:r>
      <w:r>
        <w:rPr>
          <w:rStyle w:val="FootnoteReference"/>
        </w:rPr>
        <w:footnoteReference w:id="110"/>
      </w:r>
      <w:r>
        <w:t xml:space="preserve"> </w:t>
      </w:r>
    </w:p>
    <w:p w14:paraId="6F747AB2" w14:textId="55119DC1" w:rsidR="00C175D3" w:rsidRDefault="00F71E05" w:rsidP="00250C79">
      <w:pPr>
        <w:pStyle w:val="ListParagraph"/>
        <w:numPr>
          <w:ilvl w:val="1"/>
          <w:numId w:val="69"/>
        </w:numPr>
        <w:spacing w:after="0"/>
        <w:ind w:left="1077" w:right="-471" w:hanging="357"/>
        <w:contextualSpacing w:val="0"/>
      </w:pPr>
      <w:r>
        <w:t>submitted to informal meetings of ministers outside of Cabinet</w:t>
      </w:r>
    </w:p>
    <w:p w14:paraId="32EE784A" w14:textId="12E099E9" w:rsidR="00F71E05" w:rsidRDefault="002514E5" w:rsidP="00935663">
      <w:pPr>
        <w:pStyle w:val="ListParagraph"/>
        <w:numPr>
          <w:ilvl w:val="0"/>
          <w:numId w:val="69"/>
        </w:numPr>
        <w:ind w:right="-22"/>
      </w:pPr>
      <w:r>
        <w:t xml:space="preserve">a Minister </w:t>
      </w:r>
      <w:r w:rsidR="00C175D3" w:rsidRPr="00C175D3">
        <w:rPr>
          <w:b/>
        </w:rPr>
        <w:t>propose</w:t>
      </w:r>
      <w:r>
        <w:rPr>
          <w:b/>
        </w:rPr>
        <w:t>s</w:t>
      </w:r>
      <w:r w:rsidR="00C175D3" w:rsidRPr="00C175D3">
        <w:rPr>
          <w:b/>
        </w:rPr>
        <w:t xml:space="preserve"> to submit</w:t>
      </w:r>
      <w:r w:rsidR="00C175D3">
        <w:t xml:space="preserve"> to a Cabinet committee or subcommittee</w:t>
      </w:r>
      <w:r w:rsidR="001829DB">
        <w:rPr>
          <w:rFonts w:ascii="Calibri" w:hAnsi="Calibri" w:cs="Calibri"/>
        </w:rPr>
        <w:t>—</w:t>
      </w:r>
      <w:r w:rsidR="00C175D3">
        <w:t xml:space="preserve">that is, information that has been </w:t>
      </w:r>
      <w:r w:rsidR="00F71E05" w:rsidRPr="00C175D3">
        <w:t xml:space="preserve">developed to be submitted to a Cabinet committee </w:t>
      </w:r>
      <w:r w:rsidR="00C175D3">
        <w:t>or subcommittee, but where this</w:t>
      </w:r>
      <w:r>
        <w:t xml:space="preserve"> </w:t>
      </w:r>
      <w:r w:rsidR="00F71E05" w:rsidRPr="00C175D3">
        <w:t xml:space="preserve">has not </w:t>
      </w:r>
      <w:r w:rsidR="00F71E05">
        <w:t>occurred at the time an access application or open access decision is being considered.</w:t>
      </w:r>
    </w:p>
    <w:p w14:paraId="1A9271E0" w14:textId="287037FB" w:rsidR="00F71E05" w:rsidRPr="00610ED5" w:rsidRDefault="00F71E05" w:rsidP="00846D9E">
      <w:pPr>
        <w:pStyle w:val="Heading5"/>
      </w:pPr>
      <w:bookmarkStart w:id="677" w:name="_Information_brought_into"/>
      <w:bookmarkEnd w:id="677"/>
      <w:r w:rsidRPr="00610ED5">
        <w:t>Information brought into existence for the purpose of cabinet consideration</w:t>
      </w:r>
    </w:p>
    <w:p w14:paraId="7F275089" w14:textId="5B05C897" w:rsidR="00F71E05" w:rsidRDefault="00F71E05" w:rsidP="00846D9E">
      <w:pPr>
        <w:keepNext/>
        <w:keepLines/>
        <w:ind w:right="-22"/>
      </w:pPr>
      <w:r>
        <w:t>This includes information that was created with the intention that it be ‘considered’ by a Cabinet</w:t>
      </w:r>
      <w:r w:rsidR="004B551E">
        <w:t xml:space="preserve"> </w:t>
      </w:r>
      <w:r>
        <w:t xml:space="preserve">committee or subcommittee. That is, the information was </w:t>
      </w:r>
      <w:r w:rsidR="006671A9">
        <w:t xml:space="preserve">brought into existence </w:t>
      </w:r>
      <w:r>
        <w:t>to be given ‘careful thought’ by the Cabinet – as opposed to be just ‘being present</w:t>
      </w:r>
      <w:r w:rsidR="004B551E">
        <w:t>’</w:t>
      </w:r>
      <w:r>
        <w:t xml:space="preserve"> in the Cabinet room. This </w:t>
      </w:r>
      <w:r w:rsidR="009D749D">
        <w:t>includes</w:t>
      </w:r>
      <w:r>
        <w:t xml:space="preserve"> both information created to inform Cabinet and/or </w:t>
      </w:r>
      <w:r w:rsidR="004B551E">
        <w:t xml:space="preserve">to </w:t>
      </w:r>
      <w:r>
        <w:t>be discussed by Cabinet as part of a decision-making process</w:t>
      </w:r>
      <w:r w:rsidR="009D749D">
        <w:t>.</w:t>
      </w:r>
      <w:r>
        <w:rPr>
          <w:rStyle w:val="FootnoteReference"/>
        </w:rPr>
        <w:footnoteReference w:id="111"/>
      </w:r>
    </w:p>
    <w:p w14:paraId="22499C22" w14:textId="77777777" w:rsidR="00F71E05" w:rsidRDefault="00F71E05" w:rsidP="00C175D3">
      <w:pPr>
        <w:ind w:right="-22"/>
      </w:pPr>
      <w:r>
        <w:t>Whether the required intention existed is a question of fact to be determined by the decision-maker.</w:t>
      </w:r>
    </w:p>
    <w:p w14:paraId="059EB45B" w14:textId="6D72294A" w:rsidR="000E297F" w:rsidRDefault="00F71E05" w:rsidP="000E297F">
      <w:pPr>
        <w:pStyle w:val="ListParagraph"/>
        <w:numPr>
          <w:ilvl w:val="0"/>
          <w:numId w:val="82"/>
        </w:numPr>
        <w:ind w:right="545"/>
      </w:pPr>
      <w:r>
        <w:t xml:space="preserve">The relevant intention would normally need to be that of the Minister. </w:t>
      </w:r>
      <w:r w:rsidR="000E297F">
        <w:t>However, where there is an agency process for the preparation of information for a Minister to submit to Cabinet for consideration, information prepared in accordance with that process will have been brought into existence for the purpose of Cabinet consideration.</w:t>
      </w:r>
      <w:r w:rsidR="000E297F">
        <w:rPr>
          <w:rStyle w:val="FootnoteReference"/>
        </w:rPr>
        <w:footnoteReference w:id="112"/>
      </w:r>
    </w:p>
    <w:p w14:paraId="61E273C8" w14:textId="1C15AF33" w:rsidR="000E297F" w:rsidRDefault="00F71E05" w:rsidP="000E297F">
      <w:pPr>
        <w:pStyle w:val="ListParagraph"/>
        <w:numPr>
          <w:ilvl w:val="0"/>
          <w:numId w:val="82"/>
        </w:numPr>
        <w:ind w:right="-164"/>
      </w:pPr>
      <w:r>
        <w:t xml:space="preserve">It is not, however, enough to satisfy 1.6 that the information was bought into existence by an </w:t>
      </w:r>
      <w:r w:rsidR="000E297F">
        <w:t>o</w:t>
      </w:r>
      <w:r>
        <w:t xml:space="preserve">fficer because it might be considered by Cabinet at some time in the future. </w:t>
      </w:r>
    </w:p>
    <w:p w14:paraId="3EDEF91E" w14:textId="01485870" w:rsidR="00F71E05" w:rsidRDefault="00F71E05" w:rsidP="00C175D3">
      <w:pPr>
        <w:ind w:right="-22"/>
      </w:pPr>
      <w:r>
        <w:t xml:space="preserve">Cabinet consideration does not need to be the </w:t>
      </w:r>
      <w:r w:rsidRPr="00610ED5">
        <w:rPr>
          <w:b/>
        </w:rPr>
        <w:t>only</w:t>
      </w:r>
      <w:r>
        <w:t xml:space="preserve"> purpose for creating the information</w:t>
      </w:r>
      <w:r w:rsidR="004B551E">
        <w:t xml:space="preserve">. </w:t>
      </w:r>
      <w:r w:rsidR="008F7C72">
        <w:t>Provided that one of the reasons for bringing the information into existence was consideration by Cabinet, this will be sufficient.</w:t>
      </w:r>
      <w:r w:rsidR="008F7C72">
        <w:rPr>
          <w:rStyle w:val="FootnoteReference"/>
        </w:rPr>
        <w:footnoteReference w:id="113"/>
      </w:r>
      <w:r w:rsidR="008F7C72" w:rsidRPr="00CC04FC">
        <w:t xml:space="preserve"> </w:t>
      </w:r>
      <w:r w:rsidR="004B551E">
        <w:t xml:space="preserve">Examples of such information are </w:t>
      </w:r>
      <w:r>
        <w:t>likely to include Cabinet submission</w:t>
      </w:r>
      <w:r w:rsidR="004B551E">
        <w:t>s</w:t>
      </w:r>
      <w:r>
        <w:t xml:space="preserve">, or attachments to such submissions. </w:t>
      </w:r>
    </w:p>
    <w:p w14:paraId="0B07BD8E" w14:textId="195F4FC4" w:rsidR="00F71E05" w:rsidRDefault="00F71E05" w:rsidP="00C175D3">
      <w:pPr>
        <w:ind w:right="-22"/>
      </w:pPr>
      <w:r>
        <w:t>Decision</w:t>
      </w:r>
      <w:r>
        <w:noBreakHyphen/>
        <w:t xml:space="preserve">makers should assess what the intention was </w:t>
      </w:r>
      <w:r w:rsidRPr="002A7C93">
        <w:rPr>
          <w:b/>
        </w:rPr>
        <w:t>at the time the information was created</w:t>
      </w:r>
      <w:r>
        <w:t>.</w:t>
      </w:r>
      <w:r>
        <w:rPr>
          <w:rStyle w:val="FootnoteReference"/>
        </w:rPr>
        <w:footnoteReference w:id="114"/>
      </w:r>
      <w:r>
        <w:t xml:space="preserve"> Such an intention could be reflected by markings or notations on a record (for example, ‘Cabinet Submission’ or ‘Cabinet-in Confidence’). </w:t>
      </w:r>
      <w:r w:rsidR="00C175D3">
        <w:t>S</w:t>
      </w:r>
      <w:r>
        <w:t>uch markings will not, however, necessarily be conclusive</w:t>
      </w:r>
      <w:r w:rsidR="004F3F27">
        <w:rPr>
          <w:rFonts w:ascii="Calibri" w:hAnsi="Calibri" w:cs="Calibri"/>
        </w:rPr>
        <w:t>—</w:t>
      </w:r>
      <w:r>
        <w:t>otherwise documents could simply be classified at a higher security level in order to avoid disclosure obligations.</w:t>
      </w:r>
    </w:p>
    <w:p w14:paraId="54CD80B9" w14:textId="36344126" w:rsidR="00C175D3" w:rsidRPr="00B87EAF" w:rsidRDefault="00F71E05" w:rsidP="00B87EAF">
      <w:pPr>
        <w:ind w:right="-22"/>
      </w:pPr>
      <w:r>
        <w:t xml:space="preserve">Documents created </w:t>
      </w:r>
      <w:r w:rsidRPr="005E7871">
        <w:rPr>
          <w:b/>
        </w:rPr>
        <w:t>after</w:t>
      </w:r>
      <w:r>
        <w:t xml:space="preserve"> a cabinet process has finalised would not fit within this category</w:t>
      </w:r>
      <w:r w:rsidR="000469B8">
        <w:t>, although a later copy of or extract may come within s 1.6(1)(c)</w:t>
      </w:r>
      <w:r w:rsidR="004F3F27">
        <w:rPr>
          <w:rFonts w:ascii="Calibri" w:hAnsi="Calibri" w:cs="Calibri"/>
        </w:rPr>
        <w:t>—</w:t>
      </w:r>
      <w:r w:rsidR="000469B8">
        <w:t>see the discussion below</w:t>
      </w:r>
      <w:r>
        <w:t>.</w:t>
      </w:r>
    </w:p>
    <w:p w14:paraId="677346E2" w14:textId="0AB17476" w:rsidR="00F71E05" w:rsidRPr="00EB753D" w:rsidRDefault="00F71E05" w:rsidP="00E0213F">
      <w:pPr>
        <w:pBdr>
          <w:top w:val="single" w:sz="4" w:space="1" w:color="auto"/>
          <w:left w:val="single" w:sz="4" w:space="4" w:color="auto"/>
          <w:bottom w:val="single" w:sz="4" w:space="1" w:color="auto"/>
          <w:right w:val="single" w:sz="4" w:space="4" w:color="auto"/>
        </w:pBdr>
        <w:shd w:val="clear" w:color="auto" w:fill="D9E2F3" w:themeFill="accent5" w:themeFillTint="33"/>
        <w:ind w:right="403"/>
        <w:rPr>
          <w:b/>
        </w:rPr>
      </w:pPr>
      <w:r w:rsidRPr="00EB753D">
        <w:rPr>
          <w:b/>
        </w:rPr>
        <w:t>Note:</w:t>
      </w:r>
    </w:p>
    <w:p w14:paraId="4C733C7E" w14:textId="77777777" w:rsidR="00F71E05" w:rsidRDefault="00F71E05" w:rsidP="00E0213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right="403"/>
      </w:pPr>
      <w:r>
        <w:t>Whether the information was actually considered by Cabinet is not a relevant consideration here.</w:t>
      </w:r>
    </w:p>
    <w:p w14:paraId="7BE4994B" w14:textId="34E59880" w:rsidR="00F71E05" w:rsidRDefault="00F71E05" w:rsidP="00E0213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right="403"/>
      </w:pPr>
      <w:r>
        <w:t>I</w:t>
      </w:r>
      <w:r w:rsidRPr="00610ED5">
        <w:t xml:space="preserve">nformation </w:t>
      </w:r>
      <w:r w:rsidRPr="00EB753D">
        <w:rPr>
          <w:b/>
        </w:rPr>
        <w:t>not</w:t>
      </w:r>
      <w:r>
        <w:t xml:space="preserve"> brought into existence for this purpose, but later submitted to Cabinet will not fall into this </w:t>
      </w:r>
      <w:r w:rsidR="00644EE2">
        <w:t>category but</w:t>
      </w:r>
      <w:r>
        <w:t xml:space="preserve"> could still be considered </w:t>
      </w:r>
      <w:r w:rsidR="00C228D5">
        <w:t>C</w:t>
      </w:r>
      <w:r>
        <w:t xml:space="preserve">abinet information on the basis that it would reveal </w:t>
      </w:r>
      <w:r w:rsidR="004F3F27">
        <w:t>a deliberation of Cabinet</w:t>
      </w:r>
      <w:r w:rsidR="00644EE2">
        <w:t xml:space="preserve"> (</w:t>
      </w:r>
      <w:hyperlink w:anchor="_Information_that_would" w:history="1">
        <w:r w:rsidR="00644EE2">
          <w:rPr>
            <w:rStyle w:val="Hyperlink"/>
          </w:rPr>
          <w:t>see the discussion below</w:t>
        </w:r>
      </w:hyperlink>
      <w:r w:rsidR="00644EE2">
        <w:t xml:space="preserve">). </w:t>
      </w:r>
    </w:p>
    <w:p w14:paraId="3C6E8E7E" w14:textId="3604ECC7" w:rsidR="00F71E05" w:rsidRPr="00610ED5" w:rsidRDefault="00F71E05" w:rsidP="002D43FE">
      <w:pPr>
        <w:pStyle w:val="Heading4"/>
      </w:pPr>
      <w:r w:rsidRPr="00610ED5">
        <w:t>An official record of Cabinet</w:t>
      </w:r>
      <w:r w:rsidR="00C175D3">
        <w:t xml:space="preserve"> – s 1.6(1)(b)</w:t>
      </w:r>
    </w:p>
    <w:p w14:paraId="785D3942" w14:textId="600E7A43" w:rsidR="00F71E05" w:rsidRPr="005E7871" w:rsidRDefault="00F71E05" w:rsidP="002D43FE">
      <w:pPr>
        <w:keepNext/>
        <w:keepLines/>
      </w:pPr>
      <w:r w:rsidRPr="005E7871">
        <w:t>‘Official record of Cabinet’ is not defined in the FOI Act</w:t>
      </w:r>
      <w:r>
        <w:t>, but the</w:t>
      </w:r>
      <w:r w:rsidRPr="005E7871">
        <w:t xml:space="preserve"> Ombudsman considers this term to be inclusive of</w:t>
      </w:r>
      <w:r w:rsidR="00C175D3">
        <w:t xml:space="preserve"> the following</w:t>
      </w:r>
      <w:r w:rsidRPr="005E7871">
        <w:t>:</w:t>
      </w:r>
    </w:p>
    <w:p w14:paraId="2B6A8FBD" w14:textId="77777777" w:rsidR="00F71E05" w:rsidRPr="005E7871" w:rsidRDefault="00F71E05" w:rsidP="002D43FE">
      <w:pPr>
        <w:pStyle w:val="ListParagraph"/>
        <w:keepNext/>
        <w:keepLines/>
        <w:numPr>
          <w:ilvl w:val="0"/>
          <w:numId w:val="9"/>
        </w:numPr>
        <w:spacing w:after="0"/>
        <w:ind w:right="-755"/>
      </w:pPr>
      <w:r w:rsidRPr="005E7871">
        <w:t xml:space="preserve">Cabinet submissions </w:t>
      </w:r>
    </w:p>
    <w:p w14:paraId="32191BC1" w14:textId="77777777" w:rsidR="00F71E05" w:rsidRPr="005E7871" w:rsidRDefault="00F71E05" w:rsidP="002D43FE">
      <w:pPr>
        <w:pStyle w:val="ListParagraph"/>
        <w:keepNext/>
        <w:keepLines/>
        <w:numPr>
          <w:ilvl w:val="0"/>
          <w:numId w:val="9"/>
        </w:numPr>
        <w:spacing w:after="0"/>
        <w:ind w:right="-755"/>
      </w:pPr>
      <w:r w:rsidRPr="005E7871">
        <w:t>Cabinet briefing notes</w:t>
      </w:r>
    </w:p>
    <w:p w14:paraId="084A89A4" w14:textId="77777777" w:rsidR="00F71E05" w:rsidRPr="005E7871" w:rsidRDefault="00F71E05" w:rsidP="002D43FE">
      <w:pPr>
        <w:pStyle w:val="ListParagraph"/>
        <w:keepNext/>
        <w:keepLines/>
        <w:numPr>
          <w:ilvl w:val="0"/>
          <w:numId w:val="9"/>
        </w:numPr>
        <w:spacing w:after="0"/>
        <w:ind w:right="-755"/>
      </w:pPr>
      <w:r w:rsidRPr="005E7871">
        <w:t>Cabinet agendas</w:t>
      </w:r>
    </w:p>
    <w:p w14:paraId="2E8F19D8" w14:textId="77777777" w:rsidR="00F71E05" w:rsidRPr="005E7871" w:rsidRDefault="00F71E05" w:rsidP="002D43FE">
      <w:pPr>
        <w:pStyle w:val="ListParagraph"/>
        <w:keepNext/>
        <w:keepLines/>
        <w:numPr>
          <w:ilvl w:val="0"/>
          <w:numId w:val="9"/>
        </w:numPr>
        <w:spacing w:after="0"/>
        <w:ind w:right="-755"/>
      </w:pPr>
      <w:r>
        <w:t>Cabinet notebooks</w:t>
      </w:r>
    </w:p>
    <w:p w14:paraId="42DF2EF6" w14:textId="77777777" w:rsidR="00F71E05" w:rsidRPr="005E7871" w:rsidRDefault="00F71E05" w:rsidP="002D43FE">
      <w:pPr>
        <w:pStyle w:val="ListParagraph"/>
        <w:keepNext/>
        <w:keepLines/>
        <w:numPr>
          <w:ilvl w:val="0"/>
          <w:numId w:val="9"/>
        </w:numPr>
        <w:spacing w:after="0"/>
        <w:ind w:right="-755"/>
      </w:pPr>
      <w:r w:rsidRPr="005E7871">
        <w:t>Cabinet minutes</w:t>
      </w:r>
    </w:p>
    <w:p w14:paraId="071975C0" w14:textId="61CE84C7" w:rsidR="00F71E05" w:rsidRDefault="00F71E05" w:rsidP="002D43FE">
      <w:pPr>
        <w:pStyle w:val="ListParagraph"/>
        <w:keepNext/>
        <w:keepLines/>
        <w:numPr>
          <w:ilvl w:val="0"/>
          <w:numId w:val="9"/>
        </w:numPr>
        <w:spacing w:after="0"/>
        <w:ind w:right="-755"/>
      </w:pPr>
      <w:r w:rsidRPr="005E7871">
        <w:t>Cabinet decisions</w:t>
      </w:r>
      <w:r w:rsidR="00957BB0">
        <w:t>.</w:t>
      </w:r>
    </w:p>
    <w:p w14:paraId="4D519406" w14:textId="440F18B1" w:rsidR="00F71E05" w:rsidRDefault="00F71E05" w:rsidP="00C175D3">
      <w:pPr>
        <w:spacing w:before="120"/>
      </w:pPr>
      <w:r>
        <w:t xml:space="preserve">This category does </w:t>
      </w:r>
      <w:r w:rsidRPr="003B37F9">
        <w:rPr>
          <w:b/>
        </w:rPr>
        <w:t>not</w:t>
      </w:r>
      <w:r>
        <w:t xml:space="preserve"> include preliminary or working drafts of the above documents.</w:t>
      </w:r>
    </w:p>
    <w:p w14:paraId="7805E296" w14:textId="77777777" w:rsidR="00B87EAF" w:rsidRPr="00B87EAF" w:rsidRDefault="00B87EAF"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right="119"/>
        <w:rPr>
          <w:b/>
        </w:rPr>
      </w:pPr>
      <w:r w:rsidRPr="00B87EAF">
        <w:rPr>
          <w:b/>
        </w:rPr>
        <w:t>Note:</w:t>
      </w:r>
    </w:p>
    <w:p w14:paraId="14D281BE" w14:textId="25DCA423" w:rsidR="00B87EAF" w:rsidRDefault="00B87EAF" w:rsidP="00E0213F">
      <w:pPr>
        <w:pStyle w:val="ListParagraph"/>
        <w:keepNext/>
        <w:keepLines/>
        <w:numPr>
          <w:ilvl w:val="0"/>
          <w:numId w:val="108"/>
        </w:numPr>
        <w:pBdr>
          <w:top w:val="single" w:sz="4" w:space="1" w:color="auto"/>
          <w:left w:val="single" w:sz="4" w:space="4" w:color="auto"/>
          <w:bottom w:val="single" w:sz="4" w:space="1" w:color="auto"/>
          <w:right w:val="single" w:sz="4" w:space="4" w:color="auto"/>
        </w:pBdr>
        <w:shd w:val="clear" w:color="auto" w:fill="D9E2F3" w:themeFill="accent5" w:themeFillTint="33"/>
        <w:ind w:right="119"/>
      </w:pPr>
      <w:r>
        <w:t xml:space="preserve">Such information will not come in scope where the </w:t>
      </w:r>
      <w:r w:rsidRPr="004B551E">
        <w:rPr>
          <w:i/>
        </w:rPr>
        <w:t>purely factual information exemption</w:t>
      </w:r>
      <w:r w:rsidR="00F257E7">
        <w:t xml:space="preserve"> applies</w:t>
      </w:r>
      <w:r w:rsidR="005359EF">
        <w:rPr>
          <w:rFonts w:ascii="Calibri" w:hAnsi="Calibri" w:cs="Calibri"/>
        </w:rPr>
        <w:t>—</w:t>
      </w:r>
      <w:hyperlink w:anchor="_Purely_factual_information" w:history="1">
        <w:r w:rsidR="00F257E7" w:rsidRPr="00644EE2">
          <w:rPr>
            <w:rStyle w:val="Hyperlink"/>
          </w:rPr>
          <w:t>see discussion below</w:t>
        </w:r>
      </w:hyperlink>
      <w:r w:rsidR="00F257E7">
        <w:t>.</w:t>
      </w:r>
    </w:p>
    <w:p w14:paraId="4DA87CD3" w14:textId="5108DEC5" w:rsidR="00F71E05" w:rsidRPr="00610ED5" w:rsidRDefault="00F71E05" w:rsidP="00C175D3">
      <w:pPr>
        <w:pStyle w:val="Heading4"/>
      </w:pPr>
      <w:r w:rsidRPr="00610ED5">
        <w:t>A copy of, or part of, or contains an extract from information mentioned above</w:t>
      </w:r>
      <w:r w:rsidR="00C175D3">
        <w:t xml:space="preserve"> – s</w:t>
      </w:r>
      <w:r w:rsidR="001E0074">
        <w:t xml:space="preserve"> </w:t>
      </w:r>
      <w:r w:rsidR="00C175D3">
        <w:t>1.6(1)(c)</w:t>
      </w:r>
    </w:p>
    <w:p w14:paraId="64C5E5D8" w14:textId="06826A94" w:rsidR="00B87EAF" w:rsidRDefault="00F71E05" w:rsidP="00FB311D">
      <w:pPr>
        <w:rPr>
          <w:b/>
        </w:rPr>
      </w:pPr>
      <w:r>
        <w:t>This category of information is considered to cover exact copies, or extracts of, Cabinet submissions, a Cabinet briefing document and/or an official record of the Cabinet. This could include other agency briefing</w:t>
      </w:r>
      <w:r w:rsidR="00C254F1">
        <w:t>s</w:t>
      </w:r>
      <w:r>
        <w:t xml:space="preserve"> reporting on the outcome of a Cabinet decision and/or agency coordination comments. The extracts do </w:t>
      </w:r>
      <w:r w:rsidRPr="00EB753D">
        <w:rPr>
          <w:b/>
        </w:rPr>
        <w:t>not</w:t>
      </w:r>
      <w:r>
        <w:t xml:space="preserve"> need to be exact quotes of the Cabinet record.</w:t>
      </w:r>
    </w:p>
    <w:p w14:paraId="7CD5CFDC" w14:textId="588A9856" w:rsidR="00E0213F" w:rsidRPr="00E0213F" w:rsidRDefault="00E0213F" w:rsidP="006030CA">
      <w:pPr>
        <w:pBdr>
          <w:top w:val="single" w:sz="4" w:space="1" w:color="auto"/>
          <w:left w:val="single" w:sz="4" w:space="4" w:color="auto"/>
          <w:bottom w:val="single" w:sz="4" w:space="1" w:color="auto"/>
          <w:right w:val="single" w:sz="4" w:space="4" w:color="auto"/>
        </w:pBdr>
        <w:shd w:val="clear" w:color="auto" w:fill="D9E2F3" w:themeFill="accent5" w:themeFillTint="33"/>
        <w:ind w:right="238"/>
        <w:rPr>
          <w:b/>
        </w:rPr>
      </w:pPr>
      <w:r w:rsidRPr="00C175D3">
        <w:rPr>
          <w:b/>
        </w:rPr>
        <w:t>Note:</w:t>
      </w:r>
    </w:p>
    <w:p w14:paraId="30D0486E" w14:textId="364E81C9" w:rsidR="00B87EAF" w:rsidRPr="00B87EAF" w:rsidRDefault="00B87EAF" w:rsidP="006030CA">
      <w:pPr>
        <w:pStyle w:val="ListParagraph"/>
        <w:numPr>
          <w:ilvl w:val="0"/>
          <w:numId w:val="81"/>
        </w:numPr>
        <w:pBdr>
          <w:top w:val="single" w:sz="4" w:space="1" w:color="auto"/>
          <w:left w:val="single" w:sz="4" w:space="4" w:color="auto"/>
          <w:bottom w:val="single" w:sz="4" w:space="1" w:color="auto"/>
          <w:right w:val="single" w:sz="4" w:space="4" w:color="auto"/>
        </w:pBdr>
        <w:shd w:val="clear" w:color="auto" w:fill="D9E2F3" w:themeFill="accent5" w:themeFillTint="33"/>
        <w:ind w:right="238"/>
        <w:rPr>
          <w:b/>
        </w:rPr>
      </w:pPr>
      <w:r>
        <w:t xml:space="preserve">Such information will not come in scope where the </w:t>
      </w:r>
      <w:r w:rsidRPr="00B87EAF">
        <w:rPr>
          <w:i/>
        </w:rPr>
        <w:t>purely factual information exemption</w:t>
      </w:r>
      <w:r>
        <w:t xml:space="preserve"> applies.</w:t>
      </w:r>
    </w:p>
    <w:p w14:paraId="511CA43B" w14:textId="6337D525" w:rsidR="00F71E05" w:rsidRDefault="00F71E05" w:rsidP="006030CA">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9E2F3" w:themeFill="accent5" w:themeFillTint="33"/>
        <w:ind w:right="238"/>
      </w:pPr>
      <w:r>
        <w:t xml:space="preserve">Such information may be able to be redacted </w:t>
      </w:r>
      <w:r w:rsidR="000469B8">
        <w:t xml:space="preserve">and </w:t>
      </w:r>
      <w:r>
        <w:t xml:space="preserve">the rest of the document be released – for example, it may be practicable to redact references to a </w:t>
      </w:r>
      <w:r w:rsidR="00312F2C">
        <w:t>C</w:t>
      </w:r>
      <w:r>
        <w:t>abinet me</w:t>
      </w:r>
      <w:r w:rsidR="00C175D3">
        <w:t>eting date or reference number</w:t>
      </w:r>
      <w:r w:rsidR="003B37F9">
        <w:t>.</w:t>
      </w:r>
    </w:p>
    <w:p w14:paraId="175CEDE9" w14:textId="16827583" w:rsidR="00F71E05" w:rsidRPr="00610ED5" w:rsidRDefault="00B87EAF" w:rsidP="00F257E7">
      <w:pPr>
        <w:pStyle w:val="Heading4"/>
      </w:pPr>
      <w:bookmarkStart w:id="678" w:name="_Purely_factual_information"/>
      <w:bookmarkStart w:id="679" w:name="_Ref10621708"/>
      <w:bookmarkEnd w:id="678"/>
      <w:r>
        <w:t>Purely f</w:t>
      </w:r>
      <w:r w:rsidR="00F71E05" w:rsidRPr="00610ED5">
        <w:t>actual information</w:t>
      </w:r>
      <w:bookmarkEnd w:id="679"/>
      <w:r>
        <w:t xml:space="preserve"> exemption</w:t>
      </w:r>
    </w:p>
    <w:p w14:paraId="631FB432" w14:textId="3AD276C9" w:rsidR="00F71E05" w:rsidRDefault="00F71E05" w:rsidP="00F257E7">
      <w:pPr>
        <w:keepNext/>
        <w:keepLines/>
        <w:ind w:right="-22"/>
      </w:pPr>
      <w:r w:rsidRPr="00BF6238">
        <w:t xml:space="preserve">Even where information falls into the categories </w:t>
      </w:r>
      <w:r>
        <w:t>in</w:t>
      </w:r>
      <w:r w:rsidR="00CB0744">
        <w:t xml:space="preserve"> ss</w:t>
      </w:r>
      <w:r>
        <w:t xml:space="preserve"> 1.6(1)(a), (b) or (c), these provisions will not apply where the information is considered </w:t>
      </w:r>
      <w:r w:rsidRPr="00BF6238">
        <w:rPr>
          <w:i/>
        </w:rPr>
        <w:t>purely factual information</w:t>
      </w:r>
      <w:r>
        <w:t xml:space="preserve">. </w:t>
      </w:r>
    </w:p>
    <w:p w14:paraId="72C82B57" w14:textId="77777777" w:rsidR="00F257E7" w:rsidRDefault="00F71E05" w:rsidP="00F257E7">
      <w:pPr>
        <w:keepNext/>
        <w:keepLines/>
        <w:ind w:right="-22"/>
      </w:pPr>
      <w:r>
        <w:t>This would include basic factual information – as opposed to</w:t>
      </w:r>
      <w:r w:rsidR="00F257E7">
        <w:t>:</w:t>
      </w:r>
    </w:p>
    <w:p w14:paraId="2DD9FEF4" w14:textId="1CDE370E" w:rsidR="00F257E7" w:rsidRDefault="00F71E05" w:rsidP="00F257E7">
      <w:pPr>
        <w:pStyle w:val="ListParagraph"/>
        <w:keepNext/>
        <w:keepLines/>
        <w:numPr>
          <w:ilvl w:val="0"/>
          <w:numId w:val="12"/>
        </w:numPr>
        <w:ind w:right="-22"/>
      </w:pPr>
      <w:r>
        <w:t>matters of argument</w:t>
      </w:r>
      <w:r w:rsidR="009D70E4">
        <w:rPr>
          <w:rStyle w:val="FootnoteReference"/>
        </w:rPr>
        <w:footnoteReference w:id="115"/>
      </w:r>
      <w:r>
        <w:t xml:space="preserve"> </w:t>
      </w:r>
    </w:p>
    <w:p w14:paraId="665EC00E" w14:textId="5637B9B5" w:rsidR="00F257E7" w:rsidRDefault="00F71E05" w:rsidP="00F257E7">
      <w:pPr>
        <w:pStyle w:val="ListParagraph"/>
        <w:keepNext/>
        <w:keepLines/>
        <w:numPr>
          <w:ilvl w:val="0"/>
          <w:numId w:val="12"/>
        </w:numPr>
        <w:ind w:right="-22"/>
      </w:pPr>
      <w:r>
        <w:t>discussion of a matter which is the specific subject of a cabinet submission</w:t>
      </w:r>
      <w:r>
        <w:rPr>
          <w:rStyle w:val="FootnoteReference"/>
        </w:rPr>
        <w:footnoteReference w:id="116"/>
      </w:r>
      <w:r>
        <w:t xml:space="preserve"> </w:t>
      </w:r>
    </w:p>
    <w:p w14:paraId="37F104D3" w14:textId="324B1CB3" w:rsidR="00F257E7" w:rsidRDefault="00F71E05" w:rsidP="00F257E7">
      <w:pPr>
        <w:pStyle w:val="ListParagraph"/>
        <w:keepNext/>
        <w:keepLines/>
        <w:numPr>
          <w:ilvl w:val="0"/>
          <w:numId w:val="12"/>
        </w:numPr>
        <w:ind w:right="-22"/>
      </w:pPr>
      <w:r>
        <w:t>advice</w:t>
      </w:r>
      <w:r w:rsidR="00F257E7">
        <w:t>,</w:t>
      </w:r>
      <w:r>
        <w:t xml:space="preserve"> or </w:t>
      </w:r>
    </w:p>
    <w:p w14:paraId="0AE52563" w14:textId="4C0A0866" w:rsidR="004B551E" w:rsidRDefault="00F71E05" w:rsidP="00F257E7">
      <w:pPr>
        <w:pStyle w:val="ListParagraph"/>
        <w:keepNext/>
        <w:keepLines/>
        <w:numPr>
          <w:ilvl w:val="0"/>
          <w:numId w:val="12"/>
        </w:numPr>
        <w:ind w:right="-22"/>
      </w:pPr>
      <w:r>
        <w:t xml:space="preserve">a projection/prediction about future events. </w:t>
      </w:r>
    </w:p>
    <w:p w14:paraId="5250D6FA" w14:textId="4ADFE871" w:rsidR="00F71E05" w:rsidRDefault="00F71E05" w:rsidP="00C175D3">
      <w:pPr>
        <w:ind w:right="-22"/>
      </w:pPr>
      <w:r>
        <w:t>The Queensland Information Commissioner described th</w:t>
      </w:r>
      <w:r w:rsidR="003B37F9">
        <w:t>is</w:t>
      </w:r>
      <w:r>
        <w:t xml:space="preserve"> distinction as follows:</w:t>
      </w:r>
    </w:p>
    <w:p w14:paraId="0254157B" w14:textId="40665B90" w:rsidR="00F71E05" w:rsidRPr="00FD4C79" w:rsidRDefault="00F71E05" w:rsidP="00CB0744">
      <w:pPr>
        <w:ind w:left="284" w:right="-22"/>
        <w:rPr>
          <w:sz w:val="20"/>
        </w:rPr>
      </w:pPr>
      <w:r w:rsidRPr="00FD4C79">
        <w:rPr>
          <w:sz w:val="20"/>
        </w:rPr>
        <w:t>merely factual matter is generally to be distinguished from matter expressing the opinions and recommendations of individual Ministers on policy issues and policy options requiring Cabinet determination.  Factual matter which merely provides the factual background, or informs Cabinet of relevant facts, so as to assist its deliberations on policy issues, will generally constitute "merely factual matter</w:t>
      </w:r>
      <w:r w:rsidR="0044568E">
        <w:rPr>
          <w:sz w:val="20"/>
        </w:rPr>
        <w:t>”</w:t>
      </w:r>
      <w:r w:rsidRPr="00FD4C79">
        <w:rPr>
          <w:sz w:val="20"/>
        </w:rPr>
        <w:t>.</w:t>
      </w:r>
      <w:r>
        <w:rPr>
          <w:rStyle w:val="FootnoteReference"/>
          <w:sz w:val="20"/>
        </w:rPr>
        <w:footnoteReference w:id="117"/>
      </w:r>
    </w:p>
    <w:p w14:paraId="28C5789F" w14:textId="3FE5E860" w:rsidR="00F71E05" w:rsidRDefault="00F71E05" w:rsidP="00F71E05">
      <w:r>
        <w:t xml:space="preserve">Factual information is not defined in the FOI Act, but is considered to include factual statements, surveys, data, and statistical information. Examples </w:t>
      </w:r>
      <w:r w:rsidR="00F257E7">
        <w:t>c</w:t>
      </w:r>
      <w:r>
        <w:t>ould include:</w:t>
      </w:r>
    </w:p>
    <w:p w14:paraId="3AB1266E" w14:textId="702180D4" w:rsidR="00F71E05" w:rsidRDefault="00C175D3" w:rsidP="001D5D98">
      <w:pPr>
        <w:pStyle w:val="ListParagraph"/>
        <w:numPr>
          <w:ilvl w:val="0"/>
          <w:numId w:val="11"/>
        </w:numPr>
      </w:pPr>
      <w:r>
        <w:t>p</w:t>
      </w:r>
      <w:r w:rsidR="00F71E05">
        <w:t>r</w:t>
      </w:r>
      <w:r w:rsidR="00BD7528">
        <w:t>ogram statistics included in a Ca</w:t>
      </w:r>
      <w:r w:rsidR="00F71E05">
        <w:t xml:space="preserve">binet submission </w:t>
      </w:r>
    </w:p>
    <w:p w14:paraId="391C2C6B" w14:textId="389284A0" w:rsidR="00F71E05" w:rsidRDefault="00C175D3" w:rsidP="001D5D98">
      <w:pPr>
        <w:pStyle w:val="ListParagraph"/>
        <w:numPr>
          <w:ilvl w:val="0"/>
          <w:numId w:val="11"/>
        </w:numPr>
      </w:pPr>
      <w:r>
        <w:t>s</w:t>
      </w:r>
      <w:r w:rsidR="00F71E05">
        <w:t>tatistical information about the Canberra community</w:t>
      </w:r>
    </w:p>
    <w:p w14:paraId="08E0D247" w14:textId="1D782059" w:rsidR="00F71E05" w:rsidRDefault="00C175D3" w:rsidP="001D5D98">
      <w:pPr>
        <w:pStyle w:val="ListParagraph"/>
        <w:numPr>
          <w:ilvl w:val="0"/>
          <w:numId w:val="11"/>
        </w:numPr>
      </w:pPr>
      <w:r>
        <w:t>t</w:t>
      </w:r>
      <w:r w:rsidR="00F71E05">
        <w:t>he results of a scientific study</w:t>
      </w:r>
    </w:p>
    <w:p w14:paraId="33EF9342" w14:textId="67AD4638" w:rsidR="00F71E05" w:rsidRDefault="00C175D3" w:rsidP="001D5D98">
      <w:pPr>
        <w:pStyle w:val="ListParagraph"/>
        <w:numPr>
          <w:ilvl w:val="0"/>
          <w:numId w:val="11"/>
        </w:numPr>
      </w:pPr>
      <w:r>
        <w:t>s</w:t>
      </w:r>
      <w:r w:rsidR="00F71E05">
        <w:t>urveys completed to seek community views on a particular issue</w:t>
      </w:r>
    </w:p>
    <w:p w14:paraId="08F11DED" w14:textId="21F712EA" w:rsidR="00F71E05" w:rsidRDefault="00C175D3" w:rsidP="001D5D98">
      <w:pPr>
        <w:pStyle w:val="ListParagraph"/>
        <w:numPr>
          <w:ilvl w:val="0"/>
          <w:numId w:val="11"/>
        </w:numPr>
      </w:pPr>
      <w:r>
        <w:t>f</w:t>
      </w:r>
      <w:r w:rsidR="00F71E05">
        <w:t>actual background or technical information on a particular topic</w:t>
      </w:r>
    </w:p>
    <w:p w14:paraId="2515C37F" w14:textId="4FD4D99B" w:rsidR="00F71E05" w:rsidRDefault="00C175D3" w:rsidP="001D5D98">
      <w:pPr>
        <w:pStyle w:val="ListParagraph"/>
        <w:numPr>
          <w:ilvl w:val="0"/>
          <w:numId w:val="11"/>
        </w:numPr>
      </w:pPr>
      <w:r>
        <w:t>s</w:t>
      </w:r>
      <w:r w:rsidR="00F71E05">
        <w:t>tandard information regarding legislative change processes and related timeframes</w:t>
      </w:r>
      <w:r w:rsidR="00957BB0">
        <w:t>.</w:t>
      </w:r>
      <w:r w:rsidR="003E3940">
        <w:rPr>
          <w:rStyle w:val="FootnoteReference"/>
        </w:rPr>
        <w:footnoteReference w:id="118"/>
      </w:r>
    </w:p>
    <w:p w14:paraId="67962B90" w14:textId="7E57DB08" w:rsidR="00B87EAF" w:rsidRPr="00610ED5" w:rsidRDefault="00B87EAF" w:rsidP="004B551E">
      <w:pPr>
        <w:spacing w:after="120"/>
        <w:ind w:right="-23"/>
      </w:pPr>
      <w:r>
        <w:t xml:space="preserve">Factual information </w:t>
      </w:r>
      <w:r w:rsidR="00644C38">
        <w:t>must</w:t>
      </w:r>
      <w:r>
        <w:t xml:space="preserve"> be disclosed </w:t>
      </w:r>
      <w:r w:rsidR="00B11016" w:rsidRPr="00B11016">
        <w:rPr>
          <w:b/>
        </w:rPr>
        <w:t>unless</w:t>
      </w:r>
      <w:r w:rsidR="00B11016">
        <w:t xml:space="preserve"> </w:t>
      </w:r>
      <w:r>
        <w:t>it would reveal a deliberation or decision of Cabinet.</w:t>
      </w:r>
    </w:p>
    <w:p w14:paraId="4EF9B408" w14:textId="3CC74A29" w:rsidR="00F71E05" w:rsidRDefault="00F71E05" w:rsidP="00713CFE">
      <w:pPr>
        <w:pStyle w:val="Heading4"/>
        <w:keepNext w:val="0"/>
        <w:keepLines w:val="0"/>
      </w:pPr>
      <w:bookmarkStart w:id="680" w:name="_Information_that_would"/>
      <w:bookmarkEnd w:id="680"/>
      <w:r w:rsidRPr="00610ED5">
        <w:t>Information that would reveal any deliberation of Cabinet</w:t>
      </w:r>
      <w:r w:rsidR="00C175D3">
        <w:t xml:space="preserve"> </w:t>
      </w:r>
    </w:p>
    <w:p w14:paraId="5C7C6907" w14:textId="71761292" w:rsidR="00F71E05" w:rsidRDefault="00F71E05" w:rsidP="00713CFE">
      <w:pPr>
        <w:ind w:right="-22"/>
      </w:pPr>
      <w:r w:rsidRPr="00BF6238">
        <w:t xml:space="preserve">This </w:t>
      </w:r>
      <w:r>
        <w:t xml:space="preserve">includes </w:t>
      </w:r>
      <w:r w:rsidRPr="00BF6238">
        <w:t>information that would disclose matters tha</w:t>
      </w:r>
      <w:r>
        <w:t>t</w:t>
      </w:r>
      <w:r w:rsidRPr="00BF6238">
        <w:t xml:space="preserve"> wer</w:t>
      </w:r>
      <w:r>
        <w:t xml:space="preserve">e </w:t>
      </w:r>
      <w:r w:rsidRPr="002A7C93">
        <w:rPr>
          <w:b/>
        </w:rPr>
        <w:t xml:space="preserve">actively </w:t>
      </w:r>
      <w:r>
        <w:t xml:space="preserve">discussed by Cabinet – as opposed to a report or submission that was simply received by Cabinet. As </w:t>
      </w:r>
      <w:r w:rsidR="00704E68">
        <w:t xml:space="preserve">explained </w:t>
      </w:r>
      <w:r>
        <w:t>by Forgie</w:t>
      </w:r>
      <w:r w:rsidR="00097DE7">
        <w:t xml:space="preserve"> DP</w:t>
      </w:r>
      <w:r>
        <w:t xml:space="preserve"> in </w:t>
      </w:r>
      <w:r w:rsidRPr="002A7C93">
        <w:rPr>
          <w:i/>
        </w:rPr>
        <w:t>Re Toomer</w:t>
      </w:r>
      <w:r>
        <w:t>, the deliberations of Cabinet ‘are its thinking processes, be they directed to gathering information, analysing information or discussing strategies’.</w:t>
      </w:r>
      <w:r>
        <w:rPr>
          <w:rStyle w:val="FootnoteReference"/>
        </w:rPr>
        <w:footnoteReference w:id="119"/>
      </w:r>
      <w:r>
        <w:t xml:space="preserve"> </w:t>
      </w:r>
    </w:p>
    <w:p w14:paraId="4DF27B1A" w14:textId="55D5E860" w:rsidR="00F71E05" w:rsidRDefault="00F71E05" w:rsidP="006030CA">
      <w:pPr>
        <w:ind w:right="119"/>
      </w:pPr>
      <w:r>
        <w:t xml:space="preserve">Disclosure of the detail of the deliberation itself or the fact that this deliberation has taken place are both relevant here – regardless of whether or a not a decision </w:t>
      </w:r>
      <w:r w:rsidR="00F257E7">
        <w:t>was</w:t>
      </w:r>
      <w:r>
        <w:t xml:space="preserve"> reached</w:t>
      </w:r>
      <w:r w:rsidR="00704E68">
        <w:t>.</w:t>
      </w:r>
      <w:r>
        <w:rPr>
          <w:rStyle w:val="FootnoteReference"/>
        </w:rPr>
        <w:footnoteReference w:id="120"/>
      </w:r>
      <w:r w:rsidR="005315CD">
        <w:t xml:space="preserve"> </w:t>
      </w:r>
      <w:r>
        <w:t>Generally, whether the information is prepared before or after a Cabinet meeting is not considered determinative</w:t>
      </w:r>
      <w:r w:rsidR="00704E68">
        <w:t>.</w:t>
      </w:r>
      <w:r>
        <w:rPr>
          <w:rStyle w:val="FootnoteReference"/>
        </w:rPr>
        <w:footnoteReference w:id="121"/>
      </w:r>
    </w:p>
    <w:p w14:paraId="6A696272" w14:textId="1A139F99" w:rsidR="00F71E05" w:rsidRDefault="00F71E05" w:rsidP="00C175D3">
      <w:pPr>
        <w:ind w:right="119"/>
      </w:pPr>
      <w:r>
        <w:t>Section 1.6 would generally</w:t>
      </w:r>
      <w:r w:rsidRPr="00BF6238">
        <w:rPr>
          <w:b/>
        </w:rPr>
        <w:t xml:space="preserve"> not</w:t>
      </w:r>
      <w:r>
        <w:t xml:space="preserve"> cover a standalone report or</w:t>
      </w:r>
      <w:r w:rsidR="006737A4">
        <w:t xml:space="preserve"> submission received by Cabinet </w:t>
      </w:r>
      <w:r>
        <w:t>that can be disclosed without disclosure of the contextual information regarding Cabinet’s discussions about this information or their decision on a related topic.</w:t>
      </w:r>
      <w:r>
        <w:rPr>
          <w:rStyle w:val="FootnoteReference"/>
        </w:rPr>
        <w:footnoteReference w:id="122"/>
      </w:r>
      <w:r>
        <w:t xml:space="preserve"> </w:t>
      </w:r>
    </w:p>
    <w:p w14:paraId="67F28C9F" w14:textId="0B7AB2FA" w:rsidR="00F71E05" w:rsidRDefault="00F71E05" w:rsidP="00935663">
      <w:pPr>
        <w:ind w:right="-22"/>
      </w:pPr>
      <w:r>
        <w:t xml:space="preserve">Whether the information sought has already been disclosed and/or made </w:t>
      </w:r>
      <w:r w:rsidR="00B11016">
        <w:t>publicly</w:t>
      </w:r>
      <w:r>
        <w:t xml:space="preserve"> available will also be a relevant consideration in terms of whether or not disclosure would reveal a deliberation or decision of Cabinet.</w:t>
      </w:r>
      <w:r>
        <w:rPr>
          <w:rStyle w:val="FootnoteReference"/>
        </w:rPr>
        <w:footnoteReference w:id="123"/>
      </w:r>
      <w:r>
        <w:t xml:space="preserve"> Information that has already been made public will not be considered to ‘disclose’ a deliberation. </w:t>
      </w:r>
      <w:r w:rsidR="004C3EDB">
        <w:t>Officers should consider whether relevant information has already been published to comply with open access requirements</w:t>
      </w:r>
      <w:r w:rsidR="00174D0F">
        <w:t>.</w:t>
      </w:r>
      <w:r w:rsidR="00174D0F">
        <w:rPr>
          <w:rStyle w:val="FootnoteReference"/>
        </w:rPr>
        <w:footnoteReference w:id="124"/>
      </w:r>
    </w:p>
    <w:p w14:paraId="452B4C38" w14:textId="77777777" w:rsidR="003B37F9" w:rsidRPr="003B37F9" w:rsidRDefault="003B37F9" w:rsidP="00E0213F">
      <w:pPr>
        <w:pBdr>
          <w:top w:val="single" w:sz="4" w:space="1" w:color="auto"/>
          <w:left w:val="single" w:sz="4" w:space="4" w:color="auto"/>
          <w:bottom w:val="single" w:sz="4" w:space="1" w:color="auto"/>
          <w:right w:val="single" w:sz="4" w:space="4" w:color="auto"/>
        </w:pBdr>
        <w:shd w:val="clear" w:color="auto" w:fill="D9E2F3" w:themeFill="accent5" w:themeFillTint="33"/>
        <w:ind w:right="119"/>
        <w:rPr>
          <w:b/>
        </w:rPr>
      </w:pPr>
      <w:r w:rsidRPr="003B37F9">
        <w:rPr>
          <w:b/>
        </w:rPr>
        <w:t>Note:</w:t>
      </w:r>
    </w:p>
    <w:p w14:paraId="5F09AE77" w14:textId="7CE3AB30" w:rsidR="00F71E05" w:rsidRDefault="00F71E05" w:rsidP="00E0213F">
      <w:pPr>
        <w:pStyle w:val="ListParagraph"/>
        <w:numPr>
          <w:ilvl w:val="0"/>
          <w:numId w:val="83"/>
        </w:numPr>
        <w:pBdr>
          <w:top w:val="single" w:sz="4" w:space="1" w:color="auto"/>
          <w:left w:val="single" w:sz="4" w:space="4" w:color="auto"/>
          <w:bottom w:val="single" w:sz="4" w:space="1" w:color="auto"/>
          <w:right w:val="single" w:sz="4" w:space="4" w:color="auto"/>
        </w:pBdr>
        <w:shd w:val="clear" w:color="auto" w:fill="D9E2F3" w:themeFill="accent5" w:themeFillTint="33"/>
        <w:ind w:right="119"/>
      </w:pPr>
      <w:r>
        <w:t xml:space="preserve">Mere acceptance of information by Cabinet is </w:t>
      </w:r>
      <w:r w:rsidRPr="003B37F9">
        <w:rPr>
          <w:b/>
        </w:rPr>
        <w:t>not</w:t>
      </w:r>
      <w:r>
        <w:t xml:space="preserve"> considered sufficient to amount to a deliberation. Decision-makers must explain why a deliberation is revealed in such circumstances. It is </w:t>
      </w:r>
      <w:r w:rsidRPr="003B37F9">
        <w:rPr>
          <w:b/>
        </w:rPr>
        <w:t xml:space="preserve">not </w:t>
      </w:r>
      <w:r>
        <w:t>enough to simply state that the matter was before Cabinet.</w:t>
      </w:r>
      <w:r>
        <w:rPr>
          <w:rStyle w:val="FootnoteReference"/>
        </w:rPr>
        <w:footnoteReference w:id="125"/>
      </w:r>
    </w:p>
    <w:p w14:paraId="1176EAFE" w14:textId="77777777" w:rsidR="00F71E05" w:rsidRDefault="00F71E05" w:rsidP="009A3BE0">
      <w:pPr>
        <w:pStyle w:val="Heading5"/>
      </w:pPr>
      <w:r w:rsidRPr="00610ED5">
        <w:t>Has the deliberation or decision been officially published?</w:t>
      </w:r>
    </w:p>
    <w:p w14:paraId="6E00E5F2" w14:textId="57E992A9" w:rsidR="00B87EAF" w:rsidRDefault="00F71E05" w:rsidP="009A3BE0">
      <w:pPr>
        <w:keepNext/>
        <w:keepLines/>
      </w:pPr>
      <w:r>
        <w:t>Schedule 1, s 1.6(2) limits the operation of the ‘purely factual’ exclusion</w:t>
      </w:r>
      <w:r w:rsidR="005315CD">
        <w:t>, which will not apply</w:t>
      </w:r>
      <w:r>
        <w:t xml:space="preserve"> where disclosure of the information</w:t>
      </w:r>
      <w:r w:rsidR="00B87EAF">
        <w:t>:</w:t>
      </w:r>
    </w:p>
    <w:p w14:paraId="54E0F5DD" w14:textId="7C375E08" w:rsidR="00B87EAF" w:rsidRDefault="00F71E05" w:rsidP="009A3BE0">
      <w:pPr>
        <w:pStyle w:val="ListParagraph"/>
        <w:keepNext/>
        <w:keepLines/>
        <w:numPr>
          <w:ilvl w:val="0"/>
          <w:numId w:val="80"/>
        </w:numPr>
      </w:pPr>
      <w:r>
        <w:t xml:space="preserve">would involve the disclosure of a deliberation or decision of </w:t>
      </w:r>
      <w:r w:rsidR="00BB5C46">
        <w:t>Cabinet</w:t>
      </w:r>
      <w:r w:rsidR="007B7F73">
        <w:t>,</w:t>
      </w:r>
      <w:r w:rsidR="00BB5C46">
        <w:t xml:space="preserve"> </w:t>
      </w:r>
      <w:r w:rsidRPr="00B87EAF">
        <w:rPr>
          <w:b/>
        </w:rPr>
        <w:t>and</w:t>
      </w:r>
      <w:r>
        <w:t xml:space="preserve"> </w:t>
      </w:r>
    </w:p>
    <w:p w14:paraId="1A21CAFF" w14:textId="7D9B9646" w:rsidR="00F71E05" w:rsidRDefault="00F71E05" w:rsidP="009A3BE0">
      <w:pPr>
        <w:pStyle w:val="ListParagraph"/>
        <w:keepNext/>
        <w:keepLines/>
        <w:numPr>
          <w:ilvl w:val="0"/>
          <w:numId w:val="80"/>
        </w:numPr>
      </w:pPr>
      <w:r>
        <w:t xml:space="preserve">the fact of the deliberation or decision has </w:t>
      </w:r>
      <w:r w:rsidRPr="00B87EAF">
        <w:rPr>
          <w:b/>
        </w:rPr>
        <w:t>not</w:t>
      </w:r>
      <w:r>
        <w:t xml:space="preserve"> been officially published.</w:t>
      </w:r>
    </w:p>
    <w:p w14:paraId="1D755F5F" w14:textId="43910DB2" w:rsidR="00F71E05" w:rsidRDefault="00F71E05" w:rsidP="00F71E05">
      <w:r>
        <w:t xml:space="preserve">This means that if the existence of a Cabinet deliberation </w:t>
      </w:r>
      <w:r w:rsidR="005315CD">
        <w:t xml:space="preserve">or decision </w:t>
      </w:r>
      <w:r>
        <w:t xml:space="preserve">has </w:t>
      </w:r>
      <w:r w:rsidR="00F257E7">
        <w:t xml:space="preserve">already </w:t>
      </w:r>
      <w:r>
        <w:t xml:space="preserve">been officially </w:t>
      </w:r>
      <w:r w:rsidR="005315CD">
        <w:t>published</w:t>
      </w:r>
      <w:r>
        <w:t>, then even if disclosure would reveal a deliberation of Cabinet</w:t>
      </w:r>
      <w:r w:rsidR="005315CD">
        <w:t xml:space="preserve"> any factual information may be required to be released</w:t>
      </w:r>
      <w:r>
        <w:t>.</w:t>
      </w:r>
    </w:p>
    <w:p w14:paraId="3AD884F9" w14:textId="1DDBDF43" w:rsidR="00F71E05" w:rsidRDefault="00F71E05" w:rsidP="00250C79">
      <w:pPr>
        <w:spacing w:after="0"/>
      </w:pPr>
      <w:r w:rsidRPr="00610ED5">
        <w:t xml:space="preserve">The term </w:t>
      </w:r>
      <w:r w:rsidRPr="005E7871">
        <w:rPr>
          <w:i/>
        </w:rPr>
        <w:t>officially published</w:t>
      </w:r>
      <w:r>
        <w:t xml:space="preserve"> is not defined in the FOI Act. The Ombudsman considers this to refer to one of the following official disclosures:</w:t>
      </w:r>
    </w:p>
    <w:p w14:paraId="1F72068C" w14:textId="1A2E456D" w:rsidR="00F71E05" w:rsidRDefault="00F71E05" w:rsidP="001D5D98">
      <w:pPr>
        <w:pStyle w:val="ListParagraph"/>
        <w:numPr>
          <w:ilvl w:val="0"/>
          <w:numId w:val="10"/>
        </w:numPr>
      </w:pPr>
      <w:r>
        <w:t xml:space="preserve">publication of </w:t>
      </w:r>
      <w:r w:rsidR="005315CD">
        <w:t>a</w:t>
      </w:r>
      <w:r>
        <w:t xml:space="preserve"> Cabinet decision on</w:t>
      </w:r>
      <w:r w:rsidR="00F257E7" w:rsidRPr="00F257E7">
        <w:t xml:space="preserve"> </w:t>
      </w:r>
      <w:r w:rsidR="00F257E7">
        <w:t>the website of the relevant ACT government agency or</w:t>
      </w:r>
      <w:r>
        <w:t xml:space="preserve"> the </w:t>
      </w:r>
      <w:hyperlink r:id="rId46" w:history="1">
        <w:r w:rsidRPr="00097DE7">
          <w:rPr>
            <w:rStyle w:val="Hyperlink"/>
          </w:rPr>
          <w:t>ACT</w:t>
        </w:r>
        <w:r w:rsidR="00E0213F">
          <w:rPr>
            <w:rStyle w:val="Hyperlink"/>
          </w:rPr>
          <w:t> </w:t>
        </w:r>
        <w:r w:rsidRPr="00097DE7">
          <w:rPr>
            <w:rStyle w:val="Hyperlink"/>
          </w:rPr>
          <w:t>Government Open Government website</w:t>
        </w:r>
      </w:hyperlink>
    </w:p>
    <w:p w14:paraId="7471E446" w14:textId="01AF1D36" w:rsidR="00F71E05" w:rsidRDefault="00F71E05" w:rsidP="001D5D98">
      <w:pPr>
        <w:pStyle w:val="ListParagraph"/>
        <w:numPr>
          <w:ilvl w:val="0"/>
          <w:numId w:val="10"/>
        </w:numPr>
      </w:pPr>
      <w:r>
        <w:t xml:space="preserve">an oral announcement by a Minister regarding a Cabinet </w:t>
      </w:r>
      <w:r w:rsidR="005315CD">
        <w:t xml:space="preserve">deliberation or </w:t>
      </w:r>
      <w:r>
        <w:t>decision</w:t>
      </w:r>
    </w:p>
    <w:p w14:paraId="504F5334" w14:textId="77777777" w:rsidR="00F71E05" w:rsidRDefault="00F71E05" w:rsidP="001D5D98">
      <w:pPr>
        <w:pStyle w:val="ListParagraph"/>
        <w:numPr>
          <w:ilvl w:val="0"/>
          <w:numId w:val="10"/>
        </w:numPr>
      </w:pPr>
      <w:r>
        <w:t>a press release by the Government or a Directorate</w:t>
      </w:r>
    </w:p>
    <w:p w14:paraId="0E37E2D0" w14:textId="36005A8A" w:rsidR="00F71E05" w:rsidRPr="00BF6238" w:rsidRDefault="00F71E05" w:rsidP="001D5D98">
      <w:pPr>
        <w:pStyle w:val="ListParagraph"/>
        <w:numPr>
          <w:ilvl w:val="0"/>
          <w:numId w:val="10"/>
        </w:numPr>
      </w:pPr>
      <w:r>
        <w:t>publication of a formal report or consultation paper following a Cabinet decision</w:t>
      </w:r>
      <w:r w:rsidR="005315CD">
        <w:t>.</w:t>
      </w:r>
    </w:p>
    <w:p w14:paraId="5DF16A57" w14:textId="1E70F28B" w:rsidR="003B37F9" w:rsidRPr="00466D15" w:rsidRDefault="003B37F9" w:rsidP="00250C79">
      <w:pPr>
        <w:keepNext/>
        <w:keepLines/>
        <w:pBdr>
          <w:top w:val="single" w:sz="4" w:space="1" w:color="auto"/>
          <w:left w:val="single" w:sz="4" w:space="4" w:color="auto"/>
          <w:bottom w:val="single" w:sz="4" w:space="1" w:color="auto"/>
          <w:right w:val="single" w:sz="4" w:space="4" w:color="auto"/>
        </w:pBdr>
        <w:shd w:val="clear" w:color="auto" w:fill="D9E2F3" w:themeFill="accent5" w:themeFillTint="33"/>
        <w:spacing w:after="0"/>
        <w:rPr>
          <w:b/>
        </w:rPr>
      </w:pPr>
      <w:r w:rsidRPr="00466D15">
        <w:rPr>
          <w:b/>
        </w:rPr>
        <w:t>Note:</w:t>
      </w:r>
    </w:p>
    <w:p w14:paraId="0D552FC1" w14:textId="77777777" w:rsidR="003B37F9" w:rsidRDefault="00F71E05" w:rsidP="00E0213F">
      <w:pPr>
        <w:pStyle w:val="ListParagraph"/>
        <w:keepNext/>
        <w:keepLines/>
        <w:numPr>
          <w:ilvl w:val="0"/>
          <w:numId w:val="84"/>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It would </w:t>
      </w:r>
      <w:r w:rsidRPr="003B37F9">
        <w:rPr>
          <w:b/>
        </w:rPr>
        <w:t>not</w:t>
      </w:r>
      <w:r>
        <w:t xml:space="preserve"> include an announcement made in confidence to a limited audience. </w:t>
      </w:r>
    </w:p>
    <w:p w14:paraId="1104EEC7" w14:textId="5D5E444A" w:rsidR="00F71E05" w:rsidRDefault="00F71E05" w:rsidP="00250C79">
      <w:pPr>
        <w:pStyle w:val="ListParagraph"/>
        <w:keepNext/>
        <w:keepLines/>
        <w:numPr>
          <w:ilvl w:val="0"/>
          <w:numId w:val="84"/>
        </w:numPr>
        <w:pBdr>
          <w:top w:val="single" w:sz="4" w:space="1" w:color="auto"/>
          <w:left w:val="single" w:sz="4" w:space="4" w:color="auto"/>
          <w:bottom w:val="single" w:sz="4" w:space="1" w:color="auto"/>
          <w:right w:val="single" w:sz="4" w:space="4" w:color="auto"/>
        </w:pBdr>
        <w:shd w:val="clear" w:color="auto" w:fill="D9E2F3" w:themeFill="accent5" w:themeFillTint="33"/>
        <w:spacing w:after="0"/>
        <w:ind w:left="357" w:hanging="357"/>
        <w:contextualSpacing w:val="0"/>
      </w:pPr>
      <w:r>
        <w:t xml:space="preserve">It may, however, include situations where the existence of the </w:t>
      </w:r>
      <w:r w:rsidR="005315CD">
        <w:t xml:space="preserve">deliberation or </w:t>
      </w:r>
      <w:r>
        <w:t xml:space="preserve">decision has been </w:t>
      </w:r>
      <w:r w:rsidR="00B11016">
        <w:t>publicly</w:t>
      </w:r>
      <w:r>
        <w:t xml:space="preserve"> announced, even if the decision itself has not yet been disclosed.</w:t>
      </w:r>
      <w:r>
        <w:rPr>
          <w:rStyle w:val="FootnoteReference"/>
        </w:rPr>
        <w:footnoteReference w:id="126"/>
      </w:r>
      <w:r>
        <w:t xml:space="preserve"> </w:t>
      </w:r>
    </w:p>
    <w:p w14:paraId="7762A547" w14:textId="567A7C4C" w:rsidR="00174665" w:rsidRDefault="00174665" w:rsidP="00250C79">
      <w:pPr>
        <w:spacing w:after="0"/>
      </w:pPr>
    </w:p>
    <w:p w14:paraId="62A0DC08" w14:textId="4F45FD52" w:rsidR="00174665" w:rsidRPr="00474428" w:rsidRDefault="00174665"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bCs/>
        </w:rPr>
      </w:pPr>
      <w:r w:rsidRPr="00D155C3">
        <w:rPr>
          <w:b/>
          <w:bCs/>
          <w:iCs/>
        </w:rPr>
        <w:t>Case study</w:t>
      </w:r>
      <w:r w:rsidRPr="0094288C">
        <w:rPr>
          <w:b/>
          <w:bCs/>
          <w:iCs/>
        </w:rPr>
        <w:t>:</w:t>
      </w:r>
      <w:r w:rsidR="00B54F33" w:rsidRPr="00B54F33">
        <w:t xml:space="preserve"> </w:t>
      </w:r>
      <w:r w:rsidR="00B54F33" w:rsidRPr="00B54F33">
        <w:rPr>
          <w:b/>
          <w:bCs/>
          <w:i/>
          <w:iCs/>
        </w:rPr>
        <w:t>Alistair Coe and Suburban Land Agency</w:t>
      </w:r>
      <w:r w:rsidR="00B54F33">
        <w:rPr>
          <w:rStyle w:val="FootnoteReference"/>
          <w:b/>
          <w:bCs/>
          <w:i/>
          <w:iCs/>
        </w:rPr>
        <w:footnoteReference w:id="127"/>
      </w:r>
    </w:p>
    <w:p w14:paraId="14B67610" w14:textId="234A1EDA" w:rsidR="00CB4EAB" w:rsidRDefault="00B54F33"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applicant sought access to </w:t>
      </w:r>
      <w:r w:rsidR="00081F85">
        <w:t xml:space="preserve">correspondence and </w:t>
      </w:r>
      <w:r>
        <w:t xml:space="preserve">documents </w:t>
      </w:r>
      <w:r w:rsidR="00081F85">
        <w:t xml:space="preserve">shared </w:t>
      </w:r>
      <w:r>
        <w:t xml:space="preserve">between the ACT Government and Aquis relating to land surrounding Glebe Park or the expansion of the casino. The agency </w:t>
      </w:r>
      <w:r w:rsidR="00D10A16">
        <w:t>disclosed some information</w:t>
      </w:r>
      <w:r w:rsidR="00F257E7">
        <w:t>,</w:t>
      </w:r>
      <w:r w:rsidR="00D10A16">
        <w:t xml:space="preserve"> but refused access to other</w:t>
      </w:r>
      <w:r w:rsidR="00081F85">
        <w:t xml:space="preserve"> information</w:t>
      </w:r>
      <w:r w:rsidR="00D10A16">
        <w:t xml:space="preserve"> stating that </w:t>
      </w:r>
      <w:r w:rsidR="00D10A16">
        <w:rPr>
          <w:i/>
        </w:rPr>
        <w:t>inter alia</w:t>
      </w:r>
      <w:r w:rsidR="00D10A16">
        <w:t xml:space="preserve">, disclosure of the information </w:t>
      </w:r>
      <w:r w:rsidR="00CB4EAB">
        <w:t xml:space="preserve">in a brief </w:t>
      </w:r>
      <w:r w:rsidR="00D10A16">
        <w:t>would disclose a deliberation or decision of Cabinet and the fact of the deliberation or decision has not been officially published (Schedule 1, s 1.6).</w:t>
      </w:r>
    </w:p>
    <w:p w14:paraId="033F8866" w14:textId="2C026AF4" w:rsidR="00F257E7" w:rsidRDefault="00CB4EAB"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w:t>
      </w:r>
      <w:r w:rsidR="00F257E7">
        <w:t xml:space="preserve">set aside the agency’s decision that some of the information </w:t>
      </w:r>
      <w:r w:rsidR="00081F85">
        <w:t>w</w:t>
      </w:r>
      <w:r w:rsidR="00F257E7">
        <w:t>as contrary to the public interest</w:t>
      </w:r>
      <w:r w:rsidR="00081F85">
        <w:t xml:space="preserve"> to disclose</w:t>
      </w:r>
      <w:r w:rsidR="00F257E7">
        <w:t xml:space="preserve">. </w:t>
      </w:r>
      <w:r w:rsidR="00081F85">
        <w:t xml:space="preserve">The Ombudsman </w:t>
      </w:r>
      <w:r w:rsidR="00F257E7">
        <w:t>considered that some of the relevant paragraphs were limited to describing standard legislative change process</w:t>
      </w:r>
      <w:r w:rsidR="00081F85">
        <w:t>es</w:t>
      </w:r>
      <w:r w:rsidR="00F257E7">
        <w:t xml:space="preserve"> only, and </w:t>
      </w:r>
      <w:r w:rsidR="00081F85">
        <w:t>t</w:t>
      </w:r>
      <w:r w:rsidR="00F257E7">
        <w:t>he</w:t>
      </w:r>
      <w:r w:rsidR="00081F85">
        <w:t xml:space="preserve"> Ombudsman</w:t>
      </w:r>
      <w:r w:rsidR="00F257E7">
        <w:t xml:space="preserve"> was not satisfied that they revealed </w:t>
      </w:r>
      <w:r w:rsidR="00081F85">
        <w:t>C</w:t>
      </w:r>
      <w:r w:rsidR="00F257E7">
        <w:t xml:space="preserve">abinet deliberations on the proposal itself. </w:t>
      </w:r>
    </w:p>
    <w:p w14:paraId="03E06BBB" w14:textId="3A780494" w:rsidR="00F257E7" w:rsidRDefault="00F257E7" w:rsidP="00250C79">
      <w:pPr>
        <w:pBdr>
          <w:top w:val="single" w:sz="4" w:space="1" w:color="auto"/>
          <w:left w:val="single" w:sz="4" w:space="4" w:color="auto"/>
          <w:bottom w:val="single" w:sz="4" w:space="1" w:color="auto"/>
          <w:right w:val="single" w:sz="4" w:space="4" w:color="auto"/>
        </w:pBdr>
        <w:shd w:val="clear" w:color="auto" w:fill="D9E2F3" w:themeFill="accent5" w:themeFillTint="33"/>
        <w:spacing w:after="0" w:line="252" w:lineRule="auto"/>
      </w:pPr>
      <w:r>
        <w:t>The Ombudsman note</w:t>
      </w:r>
      <w:r w:rsidR="00081F85">
        <w:t>d</w:t>
      </w:r>
      <w:r>
        <w:t xml:space="preserve"> that the onus was on the agency to explain how </w:t>
      </w:r>
      <w:r w:rsidR="00081F85">
        <w:t>C</w:t>
      </w:r>
      <w:r>
        <w:t>abinet deliberations would be revealed, and that this ha</w:t>
      </w:r>
      <w:r w:rsidR="00081F85">
        <w:t>d</w:t>
      </w:r>
      <w:r>
        <w:t xml:space="preserve"> not been discharged.</w:t>
      </w:r>
    </w:p>
    <w:p w14:paraId="39321455" w14:textId="385B2939" w:rsidR="0016535A" w:rsidRPr="00250C79" w:rsidRDefault="0016535A" w:rsidP="00250C79">
      <w:pPr>
        <w:spacing w:after="0"/>
      </w:pPr>
    </w:p>
    <w:p w14:paraId="0D36444A" w14:textId="279CE9B4"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bCs/>
          <w:i/>
          <w:iCs/>
        </w:rPr>
      </w:pPr>
      <w:r w:rsidRPr="00D155C3">
        <w:rPr>
          <w:b/>
          <w:bCs/>
          <w:iCs/>
        </w:rPr>
        <w:t xml:space="preserve">Case study: </w:t>
      </w:r>
      <w:r w:rsidRPr="00F257E7">
        <w:rPr>
          <w:b/>
          <w:bCs/>
          <w:i/>
          <w:iCs/>
        </w:rPr>
        <w:t>Alistair Coe and Chief Minister, Treasury and Economic Development</w:t>
      </w:r>
      <w:r w:rsidR="00213B15" w:rsidRPr="00213B15">
        <w:t xml:space="preserve"> </w:t>
      </w:r>
      <w:r w:rsidR="00213B15" w:rsidRPr="00213B15">
        <w:rPr>
          <w:b/>
          <w:bCs/>
          <w:i/>
          <w:iCs/>
        </w:rPr>
        <w:t>Directorate</w:t>
      </w:r>
      <w:r>
        <w:rPr>
          <w:rStyle w:val="FootnoteReference"/>
          <w:b/>
          <w:bCs/>
          <w:i/>
          <w:iCs/>
        </w:rPr>
        <w:footnoteReference w:id="128"/>
      </w:r>
    </w:p>
    <w:p w14:paraId="6E58F473" w14:textId="7EA5703E"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rsidRPr="00F257E7">
        <w:t xml:space="preserve">The </w:t>
      </w:r>
      <w:r>
        <w:t>applicant sought access to a document related to the Canberra Technology Park. Access was refused on the ground that it was contrary to the public interest information. This decision was set aside by the Ombudsman.</w:t>
      </w:r>
    </w:p>
    <w:p w14:paraId="5980195A" w14:textId="7FBB8762"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agreed with the original decision-maker that the information was Cabinet information. It was also not in dispute that the information sought was purely factual information. </w:t>
      </w:r>
    </w:p>
    <w:p w14:paraId="5845ADD7" w14:textId="099721E0"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however, disagreed that disclosure would disclosure a deliberation or decision of Cabinet. This was because the information sought was a standalone document that summarised the processes and results of consultation activities. </w:t>
      </w:r>
    </w:p>
    <w:p w14:paraId="689C6AE6" w14:textId="25F22771" w:rsidR="00F257E7" w:rsidRPr="00F257E7" w:rsidRDefault="00243CEA"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w:t>
      </w:r>
      <w:r w:rsidR="00F257E7">
        <w:t xml:space="preserve">accepted that Cabinet would be informed by the results of the </w:t>
      </w:r>
      <w:r w:rsidR="000918BB">
        <w:t>consultation but</w:t>
      </w:r>
      <w:r w:rsidR="00F257E7">
        <w:t xml:space="preserve"> found that there was no information available to demonstrate that disclosure would disclosure a deliberation or decision of Cabinet. The Ombudsman also pointed out that the information</w:t>
      </w:r>
      <w:r>
        <w:t>,</w:t>
      </w:r>
      <w:r w:rsidR="00F257E7">
        <w:t xml:space="preserve"> if disclosed, would not reveal in substance more information than was already </w:t>
      </w:r>
      <w:r w:rsidR="00B11016">
        <w:t>publicly</w:t>
      </w:r>
      <w:r w:rsidR="00F257E7">
        <w:t xml:space="preserve"> available.</w:t>
      </w:r>
    </w:p>
    <w:p w14:paraId="767F2B54" w14:textId="7233922C" w:rsidR="00F71E05" w:rsidRDefault="002C5731" w:rsidP="00713CFE">
      <w:pPr>
        <w:pStyle w:val="Heading2"/>
        <w:numPr>
          <w:ilvl w:val="1"/>
          <w:numId w:val="54"/>
        </w:numPr>
        <w:ind w:left="567" w:hanging="567"/>
      </w:pPr>
      <w:r>
        <w:t xml:space="preserve"> </w:t>
      </w:r>
      <w:bookmarkStart w:id="681" w:name="_Toc43385538"/>
      <w:bookmarkStart w:id="682" w:name="_Toc152067322"/>
      <w:r w:rsidR="00F71E05">
        <w:t xml:space="preserve">Section 1.7 – </w:t>
      </w:r>
      <w:r>
        <w:t>E</w:t>
      </w:r>
      <w:r w:rsidR="00F71E05">
        <w:t>xaminations under Australian Crime Commission (ACT) Act 2003</w:t>
      </w:r>
      <w:bookmarkEnd w:id="681"/>
      <w:bookmarkEnd w:id="682"/>
    </w:p>
    <w:p w14:paraId="762DC89F" w14:textId="77777777" w:rsidR="00C175D3" w:rsidRPr="00610ED5" w:rsidRDefault="00C175D3" w:rsidP="00713CFE">
      <w:pPr>
        <w:pStyle w:val="Heading4"/>
      </w:pPr>
      <w:r w:rsidRPr="00610ED5">
        <w:t xml:space="preserve">Background </w:t>
      </w:r>
    </w:p>
    <w:p w14:paraId="18291C7D" w14:textId="789B6106" w:rsidR="00C175D3" w:rsidRPr="00C175D3" w:rsidRDefault="00C175D3" w:rsidP="00713CFE">
      <w:pPr>
        <w:keepNext/>
        <w:keepLines/>
      </w:pPr>
      <w:r>
        <w:t xml:space="preserve">The </w:t>
      </w:r>
      <w:hyperlink r:id="rId47" w:history="1">
        <w:r w:rsidR="003C3D89" w:rsidRPr="003C3D89">
          <w:rPr>
            <w:rStyle w:val="Hyperlink"/>
            <w:i/>
            <w:iCs/>
          </w:rPr>
          <w:t>Australian Crime Commission (ACT) Act 2003</w:t>
        </w:r>
      </w:hyperlink>
      <w:r w:rsidR="0054572C">
        <w:t xml:space="preserve"> (</w:t>
      </w:r>
      <w:r w:rsidR="00D12390">
        <w:t>‘</w:t>
      </w:r>
      <w:r>
        <w:t>ACC Act</w:t>
      </w:r>
      <w:r w:rsidR="00D12390">
        <w:t>’</w:t>
      </w:r>
      <w:r>
        <w:t>) provide</w:t>
      </w:r>
      <w:r w:rsidR="00C30E05">
        <w:t>s</w:t>
      </w:r>
      <w:r>
        <w:t xml:space="preserve"> for the operation of the Australian Crime Commission (ACC) in the ACT. T</w:t>
      </w:r>
      <w:r w:rsidRPr="00990C9C">
        <w:t>he ACC ha</w:t>
      </w:r>
      <w:r w:rsidR="00935663">
        <w:t>d</w:t>
      </w:r>
      <w:r w:rsidRPr="00990C9C">
        <w:t xml:space="preserve"> broad information gathering powers, including powers to summon a person to appear as a witness to give evidence or to produce documents or other things. </w:t>
      </w:r>
      <w:r>
        <w:t xml:space="preserve">Information obtained is confidential in order to protect the integrity of the ACC’s investigations and the safety and privacy of witnesses. It </w:t>
      </w:r>
      <w:r w:rsidR="005315CD">
        <w:t>i</w:t>
      </w:r>
      <w:r w:rsidR="004B551E">
        <w:t>s</w:t>
      </w:r>
      <w:r>
        <w:t xml:space="preserve"> also protected by the secrecy provision in s </w:t>
      </w:r>
      <w:r w:rsidRPr="003C3D89">
        <w:t>46</w:t>
      </w:r>
      <w:r>
        <w:t xml:space="preserve"> of the ACC Act</w:t>
      </w:r>
      <w:r w:rsidRPr="00B12219">
        <w:rPr>
          <w:i/>
        </w:rPr>
        <w:t>.</w:t>
      </w:r>
      <w:r>
        <w:t xml:space="preserve"> </w:t>
      </w:r>
    </w:p>
    <w:p w14:paraId="55C2F2DB" w14:textId="77777777" w:rsidR="00C175D3" w:rsidRPr="00610ED5" w:rsidRDefault="00C175D3" w:rsidP="00C175D3">
      <w:pPr>
        <w:pStyle w:val="Heading4"/>
      </w:pPr>
      <w:r w:rsidRPr="00610ED5">
        <w:t xml:space="preserve">Overview </w:t>
      </w:r>
    </w:p>
    <w:p w14:paraId="29FCB8E6" w14:textId="77777777" w:rsidR="009A3BE0" w:rsidRDefault="00C175D3" w:rsidP="009A3BE0">
      <w:r>
        <w:t xml:space="preserve">Section 1.7 provides that disclosure of information is taken to be contrary to the public interest if it was </w:t>
      </w:r>
      <w:r w:rsidR="00F71E05">
        <w:t>obtained through an examination conducted under s </w:t>
      </w:r>
      <w:r w:rsidR="00F71E05" w:rsidRPr="003C3D89">
        <w:t>20</w:t>
      </w:r>
      <w:r w:rsidR="00F71E05">
        <w:t xml:space="preserve"> of the</w:t>
      </w:r>
      <w:r>
        <w:t xml:space="preserve"> ACC Act</w:t>
      </w:r>
      <w:r w:rsidR="00F71E05">
        <w:t>.</w:t>
      </w:r>
      <w:r>
        <w:t xml:space="preserve"> </w:t>
      </w:r>
    </w:p>
    <w:p w14:paraId="7086A7F8" w14:textId="419FC95C" w:rsidR="00C175D3" w:rsidRPr="009A3BE0" w:rsidRDefault="00C175D3" w:rsidP="009A3BE0">
      <w:r w:rsidRPr="00D12390">
        <w:t>Section 20</w:t>
      </w:r>
      <w:r w:rsidR="0054572C">
        <w:t xml:space="preserve"> of the ACC Act</w:t>
      </w:r>
      <w:r>
        <w:t xml:space="preserve"> empowers the ACC to conduct examinations</w:t>
      </w:r>
      <w:r w:rsidR="00D91A88">
        <w:t xml:space="preserve"> for the purpose of a ‘special’</w:t>
      </w:r>
      <w:r w:rsidR="00FB311D">
        <w:t xml:space="preserve"> </w:t>
      </w:r>
      <w:r>
        <w:t>ACC</w:t>
      </w:r>
      <w:r w:rsidR="00FB311D">
        <w:t> </w:t>
      </w:r>
      <w:r>
        <w:t>operation/investigation – that is:</w:t>
      </w:r>
    </w:p>
    <w:p w14:paraId="78E6BAFE" w14:textId="51E640C7" w:rsidR="00C175D3" w:rsidRPr="00B51132" w:rsidRDefault="00C175D3" w:rsidP="001D5D98">
      <w:pPr>
        <w:pStyle w:val="ListParagraph"/>
        <w:numPr>
          <w:ilvl w:val="0"/>
          <w:numId w:val="13"/>
        </w:numPr>
        <w:rPr>
          <w:i/>
        </w:rPr>
      </w:pPr>
      <w:r w:rsidRPr="00990C9C">
        <w:t>an ACC Territory intelligence operation or investigation</w:t>
      </w:r>
      <w:r>
        <w:t xml:space="preserve"> </w:t>
      </w:r>
      <w:r w:rsidRPr="00990C9C">
        <w:t>which relate</w:t>
      </w:r>
      <w:r>
        <w:t>s</w:t>
      </w:r>
      <w:r w:rsidRPr="00990C9C">
        <w:t xml:space="preserve"> to serious or organised crime or crimes</w:t>
      </w:r>
      <w:r>
        <w:rPr>
          <w:rStyle w:val="FootnoteReference"/>
        </w:rPr>
        <w:footnoteReference w:id="129"/>
      </w:r>
      <w:r w:rsidRPr="00990C9C">
        <w:t xml:space="preserve"> </w:t>
      </w:r>
      <w:r>
        <w:t xml:space="preserve">and </w:t>
      </w:r>
      <w:r w:rsidRPr="00990C9C">
        <w:t>which include an offence or offences against an ACT law (irrespective</w:t>
      </w:r>
      <w:r>
        <w:t> </w:t>
      </w:r>
      <w:r w:rsidRPr="00990C9C">
        <w:t>of whether that offence or those offences ha</w:t>
      </w:r>
      <w:r>
        <w:t xml:space="preserve">ve a federal aspect), and </w:t>
      </w:r>
    </w:p>
    <w:p w14:paraId="46A0A3AD" w14:textId="19CAC661" w:rsidR="00C175D3" w:rsidRPr="00B51132" w:rsidRDefault="00C175D3" w:rsidP="001D5D98">
      <w:pPr>
        <w:pStyle w:val="ListParagraph"/>
        <w:numPr>
          <w:ilvl w:val="0"/>
          <w:numId w:val="13"/>
        </w:numPr>
        <w:rPr>
          <w:i/>
        </w:rPr>
      </w:pPr>
      <w:r>
        <w:t xml:space="preserve">the board of the ACC has determined to be </w:t>
      </w:r>
      <w:r w:rsidR="004F31FD">
        <w:t xml:space="preserve">a </w:t>
      </w:r>
      <w:r>
        <w:t>‘special’</w:t>
      </w:r>
      <w:r w:rsidR="004F31FD">
        <w:t xml:space="preserve"> operation/investigation</w:t>
      </w:r>
      <w:r>
        <w:t>.</w:t>
      </w:r>
    </w:p>
    <w:p w14:paraId="7DD74C91" w14:textId="58EF2E26" w:rsidR="00C175D3" w:rsidRPr="004C2C17" w:rsidRDefault="00C175D3" w:rsidP="00F71E05">
      <w:r w:rsidRPr="004C2C17">
        <w:t xml:space="preserve">Decision-makers should thus identify any information that was obtained through an ACC investigation and would be contrary to the public interest to release. </w:t>
      </w:r>
    </w:p>
    <w:p w14:paraId="6F479C7F" w14:textId="77777777" w:rsidR="00C175D3" w:rsidRPr="004C2C17" w:rsidRDefault="00C175D3"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4C2C17">
        <w:rPr>
          <w:b/>
        </w:rPr>
        <w:t xml:space="preserve">Note: </w:t>
      </w:r>
    </w:p>
    <w:p w14:paraId="11D2E528" w14:textId="58D5F5D4" w:rsidR="00C175D3" w:rsidRPr="004C2C17" w:rsidRDefault="00C175D3"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rsidRPr="004C2C17">
        <w:t xml:space="preserve">The </w:t>
      </w:r>
      <w:r w:rsidR="00D91A88" w:rsidRPr="004C2C17">
        <w:t>ACC</w:t>
      </w:r>
      <w:r w:rsidRPr="004C2C17">
        <w:t xml:space="preserve"> </w:t>
      </w:r>
      <w:r w:rsidR="00F32CBB" w:rsidRPr="004C2C17">
        <w:t>merged with CrimTrac</w:t>
      </w:r>
      <w:r w:rsidR="008A7EC0" w:rsidRPr="004C2C17">
        <w:t xml:space="preserve"> in 2016 to form the Australian Criminal Intelligence Commission</w:t>
      </w:r>
      <w:r w:rsidRPr="004C2C17">
        <w:t xml:space="preserve">. </w:t>
      </w:r>
    </w:p>
    <w:p w14:paraId="6ACA5ECA" w14:textId="4789311B" w:rsidR="00C175D3" w:rsidRPr="004C2C17" w:rsidRDefault="00FC111F"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rsidRPr="004C2C17">
        <w:t xml:space="preserve">Information obtained through an examination conducted under s </w:t>
      </w:r>
      <w:r w:rsidRPr="00F329FB">
        <w:t>20</w:t>
      </w:r>
      <w:r w:rsidRPr="004C2C17">
        <w:t xml:space="preserve"> of the ACC Act </w:t>
      </w:r>
      <w:r w:rsidR="00C175D3" w:rsidRPr="004C2C17">
        <w:t>is also like</w:t>
      </w:r>
      <w:r w:rsidR="005315CD" w:rsidRPr="004C2C17">
        <w:t>ly</w:t>
      </w:r>
      <w:r w:rsidR="00C175D3" w:rsidRPr="004C2C17">
        <w:t xml:space="preserve"> to be considered contrary to the public interest </w:t>
      </w:r>
      <w:r w:rsidRPr="004C2C17">
        <w:t xml:space="preserve">to disclose </w:t>
      </w:r>
      <w:r w:rsidR="00C175D3" w:rsidRPr="004C2C17">
        <w:t xml:space="preserve">under </w:t>
      </w:r>
      <w:r w:rsidR="00250D34">
        <w:t xml:space="preserve">Schedule 1, </w:t>
      </w:r>
      <w:r w:rsidR="00C175D3" w:rsidRPr="004C2C17">
        <w:t>s</w:t>
      </w:r>
      <w:r w:rsidR="00D91A88" w:rsidRPr="004C2C17">
        <w:t xml:space="preserve"> </w:t>
      </w:r>
      <w:r w:rsidR="00C175D3" w:rsidRPr="004C2C17">
        <w:t>1.3</w:t>
      </w:r>
      <w:r w:rsidR="00250D34">
        <w:rPr>
          <w:rFonts w:ascii="Calibri" w:hAnsi="Calibri" w:cs="Calibri"/>
        </w:rPr>
        <w:t xml:space="preserve"> </w:t>
      </w:r>
      <w:r w:rsidR="00F329FB">
        <w:rPr>
          <w:rFonts w:ascii="Calibri" w:hAnsi="Calibri" w:cs="Calibri"/>
        </w:rPr>
        <w:t>see [</w:t>
      </w:r>
      <w:hyperlink w:anchor="_Section_1.3_–_2" w:history="1">
        <w:r w:rsidR="00F329FB" w:rsidRPr="00F329FB">
          <w:rPr>
            <w:rStyle w:val="Hyperlink"/>
            <w:rFonts w:ascii="Calibri" w:hAnsi="Calibri" w:cs="Calibri"/>
          </w:rPr>
          <w:t>5.6</w:t>
        </w:r>
      </w:hyperlink>
      <w:r w:rsidR="00F329FB">
        <w:rPr>
          <w:rFonts w:ascii="Calibri" w:hAnsi="Calibri" w:cs="Calibri"/>
        </w:rPr>
        <w:t xml:space="preserve">] above. </w:t>
      </w:r>
    </w:p>
    <w:p w14:paraId="0A74C709" w14:textId="38380BB7" w:rsidR="00F71E05" w:rsidRPr="004C2C17" w:rsidRDefault="00C73CD2" w:rsidP="009B05C4">
      <w:pPr>
        <w:pStyle w:val="Heading2"/>
        <w:numPr>
          <w:ilvl w:val="1"/>
          <w:numId w:val="54"/>
        </w:numPr>
        <w:ind w:left="567" w:hanging="567"/>
      </w:pPr>
      <w:bookmarkStart w:id="683" w:name="_Section_1.8_–"/>
      <w:bookmarkEnd w:id="683"/>
      <w:r w:rsidRPr="004C2C17">
        <w:t xml:space="preserve"> </w:t>
      </w:r>
      <w:bookmarkStart w:id="684" w:name="_Toc43385539"/>
      <w:bookmarkStart w:id="685" w:name="_Toc152067323"/>
      <w:r w:rsidR="00F71E05" w:rsidRPr="004C2C17">
        <w:t xml:space="preserve">Section 1.8 – </w:t>
      </w:r>
      <w:r w:rsidR="00B7637B" w:rsidRPr="004C2C17">
        <w:t>I</w:t>
      </w:r>
      <w:r w:rsidR="00F71E05" w:rsidRPr="004C2C17">
        <w:t>nformation in possession of human rights commission</w:t>
      </w:r>
      <w:bookmarkEnd w:id="684"/>
      <w:bookmarkEnd w:id="685"/>
    </w:p>
    <w:p w14:paraId="7BDBA986" w14:textId="77777777" w:rsidR="00C175D3" w:rsidRPr="004C2C17" w:rsidRDefault="00C175D3" w:rsidP="00C175D3">
      <w:pPr>
        <w:pStyle w:val="Heading4"/>
      </w:pPr>
      <w:r w:rsidRPr="004C2C17">
        <w:t xml:space="preserve">Background </w:t>
      </w:r>
    </w:p>
    <w:p w14:paraId="3D0468E8" w14:textId="761151A1" w:rsidR="00F71E05" w:rsidRPr="004C2C17" w:rsidRDefault="00F71E05" w:rsidP="00F71E05">
      <w:pPr>
        <w:rPr>
          <w:i/>
        </w:rPr>
      </w:pPr>
      <w:r w:rsidRPr="004C2C17">
        <w:t xml:space="preserve">The </w:t>
      </w:r>
      <w:r w:rsidRPr="00D12390">
        <w:t>ACT Human Rights Commission</w:t>
      </w:r>
      <w:r w:rsidRPr="004C2C17">
        <w:t xml:space="preserve"> </w:t>
      </w:r>
      <w:r w:rsidR="00B3518A" w:rsidRPr="004C2C17">
        <w:t xml:space="preserve">(HRC) </w:t>
      </w:r>
      <w:r w:rsidRPr="004C2C17">
        <w:t xml:space="preserve">is responsible for considering complaints made under </w:t>
      </w:r>
      <w:r w:rsidR="0054572C" w:rsidRPr="009D4140">
        <w:t>P</w:t>
      </w:r>
      <w:r w:rsidRPr="009D4140">
        <w:t>art 4</w:t>
      </w:r>
      <w:r w:rsidRPr="004C2C17">
        <w:t xml:space="preserve"> of the </w:t>
      </w:r>
      <w:hyperlink r:id="rId48" w:history="1">
        <w:r w:rsidR="00403977" w:rsidRPr="009D4140">
          <w:rPr>
            <w:rStyle w:val="Hyperlink"/>
            <w:i/>
            <w:iCs/>
          </w:rPr>
          <w:t>Human Rights Commission Act 2005</w:t>
        </w:r>
      </w:hyperlink>
      <w:r w:rsidRPr="004C2C17">
        <w:t xml:space="preserve"> </w:t>
      </w:r>
      <w:r w:rsidR="00213B15" w:rsidRPr="004C2C17">
        <w:t>(</w:t>
      </w:r>
      <w:r w:rsidR="009D4140">
        <w:t>‘</w:t>
      </w:r>
      <w:r w:rsidR="00B3518A" w:rsidRPr="004C2C17">
        <w:t>HRC Act</w:t>
      </w:r>
      <w:r w:rsidR="009D4140">
        <w:t>’</w:t>
      </w:r>
      <w:r w:rsidR="00B3518A" w:rsidRPr="004C2C17">
        <w:t xml:space="preserve">) </w:t>
      </w:r>
      <w:r w:rsidRPr="004C2C17">
        <w:t xml:space="preserve">and may also </w:t>
      </w:r>
      <w:r w:rsidR="003B37F9" w:rsidRPr="004C2C17">
        <w:t>investigat</w:t>
      </w:r>
      <w:r w:rsidR="00F257E7" w:rsidRPr="004C2C17">
        <w:t>e</w:t>
      </w:r>
      <w:r w:rsidRPr="004C2C17">
        <w:t xml:space="preserve"> other matters o</w:t>
      </w:r>
      <w:r w:rsidR="003B37F9" w:rsidRPr="004C2C17">
        <w:t>n</w:t>
      </w:r>
      <w:r w:rsidRPr="004C2C17">
        <w:t xml:space="preserve"> its own initiative under s </w:t>
      </w:r>
      <w:r w:rsidRPr="009D4140">
        <w:t>48</w:t>
      </w:r>
      <w:r w:rsidRPr="004C2C17">
        <w:t xml:space="preserve"> of t</w:t>
      </w:r>
      <w:r w:rsidR="0054572C" w:rsidRPr="004C2C17">
        <w:t>he HRC</w:t>
      </w:r>
      <w:r w:rsidRPr="004C2C17">
        <w:t xml:space="preserve"> Act (‘commission-initiated consideration’). In performing these functions, the</w:t>
      </w:r>
      <w:r w:rsidR="00DE2C2E" w:rsidRPr="004C2C17">
        <w:t> </w:t>
      </w:r>
      <w:r w:rsidR="00B3518A" w:rsidRPr="004C2C17">
        <w:t>HRC</w:t>
      </w:r>
      <w:r w:rsidRPr="004C2C17">
        <w:t xml:space="preserve"> has certain powers to require a person to provide information, produce a document or other thing, or answer questions. </w:t>
      </w:r>
    </w:p>
    <w:p w14:paraId="6D394E71" w14:textId="79E7C6E4" w:rsidR="00F71E05" w:rsidRPr="004C2C17" w:rsidRDefault="00F71E05" w:rsidP="00C73CD2">
      <w:pPr>
        <w:ind w:right="-306"/>
        <w:rPr>
          <w:i/>
        </w:rPr>
      </w:pPr>
      <w:r w:rsidRPr="004C2C17">
        <w:t xml:space="preserve">Information obtained or generated by the </w:t>
      </w:r>
      <w:r w:rsidR="00F257E7" w:rsidRPr="004C2C17">
        <w:t>HRC</w:t>
      </w:r>
      <w:r w:rsidRPr="004C2C17">
        <w:t xml:space="preserve"> in relation to a complaint or consideration is confidential in order to promote the resolution of complaints and protect the privacy of </w:t>
      </w:r>
      <w:r w:rsidR="00D91A88" w:rsidRPr="004C2C17">
        <w:t>complainants and other persons.</w:t>
      </w:r>
      <w:r w:rsidR="00D91A88" w:rsidRPr="004C2C17">
        <w:br/>
      </w:r>
      <w:r w:rsidRPr="004C2C17">
        <w:t xml:space="preserve">This information is protected by the secrecy provision in s </w:t>
      </w:r>
      <w:r w:rsidRPr="009D4140">
        <w:t>99</w:t>
      </w:r>
      <w:r w:rsidRPr="004C2C17">
        <w:t xml:space="preserve"> of the </w:t>
      </w:r>
      <w:r w:rsidR="00B3518A" w:rsidRPr="004C2C17">
        <w:t>HRC Act</w:t>
      </w:r>
      <w:r w:rsidRPr="004C2C17">
        <w:t xml:space="preserve">. </w:t>
      </w:r>
    </w:p>
    <w:p w14:paraId="1765770E" w14:textId="77777777" w:rsidR="00B3518A" w:rsidRPr="004C2C17" w:rsidRDefault="00B3518A" w:rsidP="00B3518A">
      <w:pPr>
        <w:pStyle w:val="Heading4"/>
      </w:pPr>
      <w:r w:rsidRPr="004C2C17">
        <w:t xml:space="preserve">Overview </w:t>
      </w:r>
    </w:p>
    <w:p w14:paraId="35DC830C" w14:textId="4FE75A3D" w:rsidR="00B3518A" w:rsidRPr="004C2C17" w:rsidRDefault="00B3518A" w:rsidP="004B551E">
      <w:pPr>
        <w:ind w:right="119"/>
      </w:pPr>
      <w:r w:rsidRPr="004C2C17">
        <w:t>Section 1.8 provides that disclosure of information is taken to be contrary to the public interest if is:</w:t>
      </w:r>
    </w:p>
    <w:p w14:paraId="0BC13559" w14:textId="34352F32" w:rsidR="00B3518A" w:rsidRPr="004C2C17" w:rsidRDefault="00B3518A" w:rsidP="009B05C4">
      <w:pPr>
        <w:pStyle w:val="ListParagraph"/>
        <w:numPr>
          <w:ilvl w:val="0"/>
          <w:numId w:val="72"/>
        </w:numPr>
      </w:pPr>
      <w:r w:rsidRPr="004C2C17">
        <w:t xml:space="preserve">in the </w:t>
      </w:r>
      <w:r w:rsidRPr="004C2C17">
        <w:rPr>
          <w:b/>
        </w:rPr>
        <w:t xml:space="preserve">possession </w:t>
      </w:r>
      <w:r w:rsidRPr="004C2C17">
        <w:t xml:space="preserve">of the HRC, and </w:t>
      </w:r>
    </w:p>
    <w:p w14:paraId="1011BF59" w14:textId="77777777" w:rsidR="00B3518A" w:rsidRPr="004C2C17" w:rsidRDefault="00F71E05" w:rsidP="009B05C4">
      <w:pPr>
        <w:pStyle w:val="ListParagraph"/>
        <w:numPr>
          <w:ilvl w:val="0"/>
          <w:numId w:val="71"/>
        </w:numPr>
      </w:pPr>
      <w:r w:rsidRPr="004C2C17">
        <w:t>has been obtained or generated in relation to</w:t>
      </w:r>
      <w:r w:rsidR="00B3518A" w:rsidRPr="004C2C17">
        <w:t>:</w:t>
      </w:r>
    </w:p>
    <w:p w14:paraId="30E39ACF" w14:textId="4AC0542F" w:rsidR="00B3518A" w:rsidRPr="004C2C17" w:rsidRDefault="00F71E05" w:rsidP="009B05C4">
      <w:pPr>
        <w:pStyle w:val="ListParagraph"/>
        <w:numPr>
          <w:ilvl w:val="1"/>
          <w:numId w:val="71"/>
        </w:numPr>
      </w:pPr>
      <w:r w:rsidRPr="004C2C17">
        <w:t>a complaint made under the</w:t>
      </w:r>
      <w:r w:rsidR="00B3518A" w:rsidRPr="004C2C17">
        <w:t xml:space="preserve"> HRC Act</w:t>
      </w:r>
      <w:r w:rsidR="00D91A88" w:rsidRPr="004C2C17">
        <w:t>,</w:t>
      </w:r>
      <w:r w:rsidRPr="004C2C17">
        <w:t xml:space="preserve"> or</w:t>
      </w:r>
    </w:p>
    <w:p w14:paraId="1E25A8E6" w14:textId="1254ABB9" w:rsidR="00B3518A" w:rsidRPr="004C2C17" w:rsidRDefault="00B3518A" w:rsidP="009B05C4">
      <w:pPr>
        <w:pStyle w:val="ListParagraph"/>
        <w:numPr>
          <w:ilvl w:val="1"/>
          <w:numId w:val="71"/>
        </w:numPr>
      </w:pPr>
      <w:r w:rsidRPr="004C2C17">
        <w:t xml:space="preserve">a </w:t>
      </w:r>
      <w:r w:rsidR="00F71E05" w:rsidRPr="004C2C17">
        <w:t xml:space="preserve">commission-initiated consideration </w:t>
      </w:r>
      <w:r w:rsidRPr="004C2C17">
        <w:t>under the HRC Act.</w:t>
      </w:r>
      <w:r w:rsidR="00F71E05" w:rsidRPr="004C2C17">
        <w:t xml:space="preserve"> </w:t>
      </w:r>
    </w:p>
    <w:p w14:paraId="47B7E285" w14:textId="77777777" w:rsidR="00B3518A" w:rsidRPr="004C2C17" w:rsidRDefault="00B3518A" w:rsidP="006030CA">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4C2C17">
        <w:rPr>
          <w:b/>
        </w:rPr>
        <w:t xml:space="preserve">Note: </w:t>
      </w:r>
    </w:p>
    <w:p w14:paraId="29F28ED2" w14:textId="540DA433" w:rsidR="00B3518A" w:rsidRPr="004C2C17" w:rsidRDefault="00B3518A" w:rsidP="006030CA">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rsidRPr="004C2C17">
        <w:t xml:space="preserve">Section 1.8 is likely to be relevant to the </w:t>
      </w:r>
      <w:r w:rsidR="00DE2C2E" w:rsidRPr="004C2C17">
        <w:t xml:space="preserve">HRC </w:t>
      </w:r>
      <w:r w:rsidRPr="004C2C17">
        <w:t xml:space="preserve">only, as this provision does not apply in relation to any other copy of information held or created by the </w:t>
      </w:r>
      <w:r w:rsidR="00DE2C2E" w:rsidRPr="004C2C17">
        <w:t>HRC</w:t>
      </w:r>
      <w:r w:rsidRPr="004C2C17">
        <w:t xml:space="preserve"> which may be in the possession of another territory directorate or authority.</w:t>
      </w:r>
    </w:p>
    <w:p w14:paraId="29F87981" w14:textId="625438E1" w:rsidR="00B3518A" w:rsidRPr="004C2C17" w:rsidRDefault="00B3518A" w:rsidP="006030CA">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rsidRPr="004C2C17">
        <w:t>Such information is also like to be considered contrary to the public interest under s</w:t>
      </w:r>
      <w:r w:rsidR="00781D99" w:rsidRPr="004C2C17">
        <w:t xml:space="preserve"> </w:t>
      </w:r>
      <w:r w:rsidRPr="004C2C17">
        <w:t>1.3</w:t>
      </w:r>
      <w:r w:rsidR="006A7944" w:rsidRPr="004C2C17">
        <w:rPr>
          <w:rFonts w:ascii="Calibri" w:hAnsi="Calibri" w:cs="Calibri"/>
        </w:rPr>
        <w:t>—</w:t>
      </w:r>
      <w:r w:rsidR="000A10E2" w:rsidRPr="00644EE2">
        <w:t>see</w:t>
      </w:r>
      <w:r w:rsidR="00644EE2">
        <w:t xml:space="preserve"> [</w:t>
      </w:r>
      <w:hyperlink w:anchor="_Section_1.3_–_2" w:history="1">
        <w:r w:rsidR="00644EE2" w:rsidRPr="00644EE2">
          <w:rPr>
            <w:rStyle w:val="Hyperlink"/>
          </w:rPr>
          <w:t>5.6</w:t>
        </w:r>
      </w:hyperlink>
      <w:r w:rsidR="00644EE2">
        <w:t>]</w:t>
      </w:r>
      <w:r w:rsidR="000A10E2" w:rsidRPr="00644EE2">
        <w:br/>
      </w:r>
      <w:r w:rsidRPr="00644EE2">
        <w:t>information disclosure of which is prohibited by law</w:t>
      </w:r>
      <w:r w:rsidR="00644EE2">
        <w:t xml:space="preserve">. </w:t>
      </w:r>
    </w:p>
    <w:p w14:paraId="6E14B64D" w14:textId="0F843380" w:rsidR="004B551E" w:rsidRPr="004C2C17" w:rsidRDefault="004B551E" w:rsidP="006030CA">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4C2C17">
        <w:rPr>
          <w:shd w:val="clear" w:color="auto" w:fill="DEEAF6" w:themeFill="accent1" w:themeFillTint="33"/>
        </w:rPr>
        <w:t xml:space="preserve">For specific </w:t>
      </w:r>
      <w:r w:rsidR="009E5D8C" w:rsidRPr="004C2C17">
        <w:rPr>
          <w:shd w:val="clear" w:color="auto" w:fill="DEEAF6" w:themeFill="accent1" w:themeFillTint="33"/>
        </w:rPr>
        <w:t>guidance</w:t>
      </w:r>
      <w:r w:rsidRPr="004C2C17">
        <w:rPr>
          <w:shd w:val="clear" w:color="auto" w:fill="DEEAF6" w:themeFill="accent1" w:themeFillTint="33"/>
        </w:rPr>
        <w:t xml:space="preserve"> on the phrase ‘in the possession of’ see </w:t>
      </w:r>
      <w:r w:rsidR="00DE140F">
        <w:rPr>
          <w:shd w:val="clear" w:color="auto" w:fill="DEEAF6" w:themeFill="accent1" w:themeFillTint="33"/>
        </w:rPr>
        <w:t>[</w:t>
      </w:r>
      <w:hyperlink w:anchor="_6._Common_terms" w:history="1">
        <w:r w:rsidR="00DE140F" w:rsidRPr="00DE140F">
          <w:rPr>
            <w:rStyle w:val="Hyperlink"/>
            <w:shd w:val="clear" w:color="auto" w:fill="DEEAF6" w:themeFill="accent1" w:themeFillTint="33"/>
          </w:rPr>
          <w:t>4.3</w:t>
        </w:r>
      </w:hyperlink>
      <w:r w:rsidR="00DE140F">
        <w:rPr>
          <w:shd w:val="clear" w:color="auto" w:fill="DEEAF6" w:themeFill="accent1" w:themeFillTint="33"/>
        </w:rPr>
        <w:t xml:space="preserve">]. </w:t>
      </w:r>
    </w:p>
    <w:p w14:paraId="2580E8EA" w14:textId="3B7B3B79" w:rsidR="00F71E05" w:rsidRPr="004C2C17" w:rsidRDefault="00C73CD2" w:rsidP="009B05C4">
      <w:pPr>
        <w:pStyle w:val="Heading2"/>
        <w:numPr>
          <w:ilvl w:val="1"/>
          <w:numId w:val="54"/>
        </w:numPr>
        <w:ind w:left="567" w:hanging="567"/>
      </w:pPr>
      <w:bookmarkStart w:id="686" w:name="_Section_1.9_–"/>
      <w:bookmarkEnd w:id="686"/>
      <w:r w:rsidRPr="004C2C17">
        <w:t xml:space="preserve"> </w:t>
      </w:r>
      <w:bookmarkStart w:id="687" w:name="_Toc43385540"/>
      <w:bookmarkStart w:id="688" w:name="_Toc152067324"/>
      <w:r w:rsidR="00F71E05" w:rsidRPr="004C2C17">
        <w:t xml:space="preserve">Section 1.9 – </w:t>
      </w:r>
      <w:r w:rsidR="00B7637B" w:rsidRPr="004C2C17">
        <w:t>I</w:t>
      </w:r>
      <w:r w:rsidR="00F71E05" w:rsidRPr="004C2C17">
        <w:t>dentities of people making disclosures</w:t>
      </w:r>
      <w:bookmarkEnd w:id="687"/>
      <w:bookmarkEnd w:id="688"/>
    </w:p>
    <w:p w14:paraId="3B7F5931" w14:textId="54D9C2BC" w:rsidR="006C7426" w:rsidRDefault="00F71E05" w:rsidP="005F1A48">
      <w:pPr>
        <w:pStyle w:val="Heading4"/>
      </w:pPr>
      <w:r w:rsidRPr="00090C0C">
        <w:t>Background</w:t>
      </w:r>
    </w:p>
    <w:p w14:paraId="532307B0" w14:textId="0624760F" w:rsidR="00F44647" w:rsidRDefault="002D10D4" w:rsidP="005F1A48">
      <w:r>
        <w:t>Pe</w:t>
      </w:r>
      <w:r w:rsidR="003C71DA">
        <w:t>ople</w:t>
      </w:r>
      <w:r>
        <w:t xml:space="preserve"> who provide information</w:t>
      </w:r>
      <w:r w:rsidRPr="002D10D4">
        <w:t xml:space="preserve"> </w:t>
      </w:r>
      <w:r w:rsidR="00D207B8">
        <w:t xml:space="preserve">to </w:t>
      </w:r>
      <w:r w:rsidR="008C4D6C">
        <w:t>a disclosure officer</w:t>
      </w:r>
      <w:r w:rsidR="005631A4">
        <w:t xml:space="preserve"> or an investigating entity</w:t>
      </w:r>
      <w:r w:rsidR="00030EEE">
        <w:t xml:space="preserve"> under the</w:t>
      </w:r>
      <w:r w:rsidR="00EF00DD">
        <w:t xml:space="preserve"> </w:t>
      </w:r>
      <w:hyperlink r:id="rId49" w:history="1">
        <w:r w:rsidR="00B81810" w:rsidRPr="00A809ED">
          <w:rPr>
            <w:rStyle w:val="Hyperlink"/>
            <w:i/>
            <w:iCs/>
          </w:rPr>
          <w:t>Public Interest Disclosure Act 2012</w:t>
        </w:r>
      </w:hyperlink>
      <w:r w:rsidR="00B81810" w:rsidRPr="00EA44E0">
        <w:t xml:space="preserve"> </w:t>
      </w:r>
      <w:r w:rsidR="00EF00DD">
        <w:t>(</w:t>
      </w:r>
      <w:r w:rsidR="00906A8D">
        <w:t>‘</w:t>
      </w:r>
      <w:r w:rsidR="00EF00DD">
        <w:t>PID Act</w:t>
      </w:r>
      <w:r w:rsidR="00906A8D">
        <w:t>’</w:t>
      </w:r>
      <w:r w:rsidR="00EF00DD">
        <w:t>)</w:t>
      </w:r>
      <w:r w:rsidR="00240B2D">
        <w:t xml:space="preserve"> </w:t>
      </w:r>
      <w:r w:rsidR="00920029">
        <w:t>or the Director-General under</w:t>
      </w:r>
      <w:r w:rsidR="00240B2D">
        <w:t xml:space="preserve"> the </w:t>
      </w:r>
      <w:r w:rsidR="0070365A" w:rsidRPr="00EA44E0">
        <w:t>CYP Act</w:t>
      </w:r>
      <w:r w:rsidR="00EF00DD">
        <w:t xml:space="preserve"> </w:t>
      </w:r>
      <w:r>
        <w:t xml:space="preserve">expect their identity, or information revealing their identity, will be appropriately protected. </w:t>
      </w:r>
      <w:r w:rsidR="00DF57E8">
        <w:t>Offence</w:t>
      </w:r>
      <w:r>
        <w:t xml:space="preserve"> provisions in the </w:t>
      </w:r>
      <w:r w:rsidRPr="00E7143F">
        <w:t>PID Act</w:t>
      </w:r>
      <w:r>
        <w:t xml:space="preserve"> and </w:t>
      </w:r>
      <w:r w:rsidRPr="00E7143F">
        <w:t>CYP Act</w:t>
      </w:r>
      <w:r>
        <w:t xml:space="preserve"> </w:t>
      </w:r>
      <w:r w:rsidR="00DF57E8">
        <w:t>restrict</w:t>
      </w:r>
      <w:r w:rsidR="007F1CBF">
        <w:t xml:space="preserve"> </w:t>
      </w:r>
      <w:r w:rsidR="00867A79">
        <w:t>protected</w:t>
      </w:r>
      <w:r w:rsidR="00D84E8F">
        <w:t xml:space="preserve"> information </w:t>
      </w:r>
      <w:r w:rsidR="007F1CBF">
        <w:t xml:space="preserve">about a person </w:t>
      </w:r>
      <w:r w:rsidR="00D84E8F">
        <w:t xml:space="preserve">from being </w:t>
      </w:r>
      <w:r w:rsidR="008F0B0E">
        <w:t>released</w:t>
      </w:r>
      <w:r>
        <w:t>.</w:t>
      </w:r>
      <w:r w:rsidRPr="00EA44E0">
        <w:rPr>
          <w:vertAlign w:val="superscript"/>
        </w:rPr>
        <w:footnoteReference w:id="130"/>
      </w:r>
    </w:p>
    <w:p w14:paraId="39B072F7" w14:textId="42266459" w:rsidR="00A2547D" w:rsidRDefault="006A17EC" w:rsidP="002530AE">
      <w:pPr>
        <w:pStyle w:val="ListParagraph"/>
        <w:keepNext/>
        <w:keepLines/>
        <w:ind w:left="0"/>
      </w:pPr>
      <w:r>
        <w:t>The PID Act provides a way for people to disclose disclosable conduct</w:t>
      </w:r>
      <w:r w:rsidR="007E683A">
        <w:t>, ensur</w:t>
      </w:r>
      <w:r w:rsidR="00E34274">
        <w:t xml:space="preserve">es </w:t>
      </w:r>
      <w:r w:rsidR="007E683A">
        <w:t>their protection and</w:t>
      </w:r>
      <w:r w:rsidR="00C01D7C">
        <w:t xml:space="preserve"> </w:t>
      </w:r>
      <w:r w:rsidR="00100F34">
        <w:t xml:space="preserve">that </w:t>
      </w:r>
      <w:r w:rsidR="007E683A">
        <w:t>public interest disclosures are properly investigated and dealt with</w:t>
      </w:r>
      <w:r>
        <w:t>.</w:t>
      </w:r>
      <w:r>
        <w:rPr>
          <w:rStyle w:val="FootnoteReference"/>
        </w:rPr>
        <w:footnoteReference w:id="131"/>
      </w:r>
      <w:r>
        <w:t xml:space="preserve"> D</w:t>
      </w:r>
      <w:r w:rsidR="007737A4">
        <w:t xml:space="preserve">isclosable conduct </w:t>
      </w:r>
      <w:r w:rsidR="00E047C6">
        <w:t xml:space="preserve">means </w:t>
      </w:r>
      <w:r w:rsidR="000C6AAF">
        <w:t xml:space="preserve">an action or a policy, practice or procedure of a public sector entity, or public official for a public sector entity, that </w:t>
      </w:r>
      <w:r w:rsidR="00A2547D">
        <w:t xml:space="preserve">– </w:t>
      </w:r>
    </w:p>
    <w:p w14:paraId="3D7B9628" w14:textId="7348B3B4" w:rsidR="00323EA2" w:rsidRDefault="00A2547D" w:rsidP="00A2547D">
      <w:pPr>
        <w:pStyle w:val="ListParagraph"/>
        <w:keepNext/>
        <w:keepLines/>
        <w:numPr>
          <w:ilvl w:val="0"/>
          <w:numId w:val="15"/>
        </w:numPr>
      </w:pPr>
      <w:r>
        <w:t xml:space="preserve">is maladministration; or </w:t>
      </w:r>
    </w:p>
    <w:p w14:paraId="5B26AF33" w14:textId="23813E5A" w:rsidR="00F71E05" w:rsidRDefault="00A2547D" w:rsidP="00935663">
      <w:pPr>
        <w:pStyle w:val="ListParagraph"/>
        <w:keepNext/>
        <w:keepLines/>
        <w:numPr>
          <w:ilvl w:val="0"/>
          <w:numId w:val="15"/>
        </w:numPr>
      </w:pPr>
      <w:r>
        <w:t>results in a substantial and specific danger to public health or safety, or the environment</w:t>
      </w:r>
      <w:r w:rsidR="00F71E05">
        <w:t>.</w:t>
      </w:r>
      <w:r w:rsidR="00F71E05">
        <w:rPr>
          <w:rStyle w:val="FootnoteReference"/>
        </w:rPr>
        <w:footnoteReference w:id="132"/>
      </w:r>
      <w:r w:rsidR="00F71E05">
        <w:t xml:space="preserve"> </w:t>
      </w:r>
    </w:p>
    <w:p w14:paraId="623D5B21" w14:textId="5CE2A0A6" w:rsidR="00937159" w:rsidRPr="00BD01C1" w:rsidRDefault="00937159" w:rsidP="00F71E05">
      <w:pPr>
        <w:pStyle w:val="ListParagraph"/>
        <w:ind w:left="0"/>
      </w:pPr>
    </w:p>
    <w:p w14:paraId="3292FE1E" w14:textId="02C6CBEC" w:rsidR="00F71E05" w:rsidRPr="00BD01C1" w:rsidRDefault="00F71E05" w:rsidP="00F71E05">
      <w:pPr>
        <w:pStyle w:val="ListParagraph"/>
        <w:ind w:left="0"/>
      </w:pPr>
      <w:r w:rsidRPr="00EA44E0">
        <w:t xml:space="preserve">The </w:t>
      </w:r>
      <w:r w:rsidR="00C61718" w:rsidRPr="00EA44E0">
        <w:t>CYP Act</w:t>
      </w:r>
      <w:r w:rsidRPr="00BD01C1">
        <w:t xml:space="preserve"> contains provisions that require, or enable, certain information to be reported to the </w:t>
      </w:r>
      <w:r w:rsidR="00B54DBF" w:rsidRPr="00BD01C1">
        <w:t>D</w:t>
      </w:r>
      <w:r w:rsidRPr="00BD01C1">
        <w:t>irector-</w:t>
      </w:r>
      <w:r w:rsidR="00B54DBF" w:rsidRPr="00BD01C1">
        <w:t>G</w:t>
      </w:r>
      <w:r w:rsidRPr="00BD01C1">
        <w:t>eneral, including:</w:t>
      </w:r>
    </w:p>
    <w:p w14:paraId="4C2B8D81" w14:textId="537B25B5" w:rsidR="00F71E05" w:rsidRPr="00BD01C1" w:rsidRDefault="00F71E05" w:rsidP="001D5D98">
      <w:pPr>
        <w:pStyle w:val="ListParagraph"/>
        <w:numPr>
          <w:ilvl w:val="0"/>
          <w:numId w:val="16"/>
        </w:numPr>
      </w:pPr>
      <w:r w:rsidRPr="00BD01C1">
        <w:t>a belief or suspicion that a child or young person is being abused or neglected, or is at risk of abuse or neglect (a voluntary report)</w:t>
      </w:r>
      <w:r w:rsidR="00E5463C" w:rsidRPr="00EA44E0">
        <w:t>, and the reasons for the belief or suspicion</w:t>
      </w:r>
      <w:r w:rsidRPr="00BD01C1">
        <w:rPr>
          <w:rStyle w:val="FootnoteReference"/>
        </w:rPr>
        <w:footnoteReference w:id="133"/>
      </w:r>
      <w:r w:rsidRPr="00BD01C1">
        <w:t xml:space="preserve"> </w:t>
      </w:r>
    </w:p>
    <w:p w14:paraId="3DE06814" w14:textId="287B80F4" w:rsidR="00F71E05" w:rsidRPr="00BD01C1" w:rsidRDefault="00776BE3" w:rsidP="00776BE3">
      <w:pPr>
        <w:pStyle w:val="ListParagraph"/>
        <w:numPr>
          <w:ilvl w:val="0"/>
          <w:numId w:val="16"/>
        </w:numPr>
      </w:pPr>
      <w:r w:rsidRPr="00EA44E0">
        <w:t xml:space="preserve">the child’s or young person’s name or description; and the reasons for the person’s belief </w:t>
      </w:r>
      <w:r w:rsidR="00F71E05" w:rsidRPr="00BD01C1">
        <w:t>on reasonable grounds that a child or young person has experienced, or is experiencing, sexual abuse or non-accidental physical injury (a mandatory report)</w:t>
      </w:r>
      <w:r w:rsidR="00F71E05" w:rsidRPr="00BD01C1">
        <w:rPr>
          <w:rStyle w:val="FootnoteReference"/>
        </w:rPr>
        <w:footnoteReference w:id="134"/>
      </w:r>
      <w:r w:rsidR="00F71E05" w:rsidRPr="00BD01C1">
        <w:t xml:space="preserve"> </w:t>
      </w:r>
    </w:p>
    <w:p w14:paraId="24E4E75D" w14:textId="19023075" w:rsidR="00DE2C2E" w:rsidRPr="00BD01C1" w:rsidRDefault="00F71E05" w:rsidP="00935663">
      <w:pPr>
        <w:pStyle w:val="ListParagraph"/>
        <w:numPr>
          <w:ilvl w:val="0"/>
          <w:numId w:val="16"/>
        </w:numPr>
        <w:ind w:right="-22"/>
      </w:pPr>
      <w:r w:rsidRPr="00BD01C1">
        <w:t xml:space="preserve">a suspicion that a provision of the </w:t>
      </w:r>
      <w:r w:rsidRPr="00EA44E0">
        <w:t>CYP Act</w:t>
      </w:r>
      <w:r w:rsidRPr="00BD01C1">
        <w:t xml:space="preserve"> is being, or has been, contravened (in a confidential report)</w:t>
      </w:r>
      <w:r w:rsidR="00157982" w:rsidRPr="00EA44E0">
        <w:t xml:space="preserve"> and the reasons for the suspicion</w:t>
      </w:r>
      <w:r w:rsidRPr="00BD01C1">
        <w:t>.</w:t>
      </w:r>
      <w:r w:rsidRPr="00BD01C1">
        <w:rPr>
          <w:rStyle w:val="FootnoteReference"/>
        </w:rPr>
        <w:footnoteReference w:id="135"/>
      </w:r>
      <w:r w:rsidRPr="00BD01C1">
        <w:t xml:space="preserve"> </w:t>
      </w:r>
    </w:p>
    <w:p w14:paraId="2241EEA8" w14:textId="77777777" w:rsidR="00F71E05" w:rsidRPr="00E83F74" w:rsidRDefault="00F71E05" w:rsidP="00E0213F">
      <w:pPr>
        <w:pStyle w:val="Heading4"/>
      </w:pPr>
      <w:r w:rsidRPr="00E83F74">
        <w:t>Overview</w:t>
      </w:r>
    </w:p>
    <w:p w14:paraId="47C8D698" w14:textId="5316BDFB" w:rsidR="00F93CF6" w:rsidRPr="00EA44E0" w:rsidRDefault="00DE2C2E" w:rsidP="00E0213F">
      <w:pPr>
        <w:keepNext/>
        <w:keepLines/>
      </w:pPr>
      <w:r w:rsidRPr="00BD01C1">
        <w:t>Section 1</w:t>
      </w:r>
      <w:r w:rsidR="00602C7E" w:rsidRPr="00EA44E0">
        <w:t xml:space="preserve">.9 </w:t>
      </w:r>
      <w:r w:rsidRPr="00BD01C1">
        <w:t xml:space="preserve">provides information is taken to be contrary to the public interest </w:t>
      </w:r>
      <w:r w:rsidR="00957BB0">
        <w:t xml:space="preserve">information </w:t>
      </w:r>
      <w:r w:rsidRPr="00BD01C1">
        <w:t xml:space="preserve">if it </w:t>
      </w:r>
      <w:r w:rsidR="00F71E05" w:rsidRPr="00BD01C1">
        <w:t>would, or could reasonably be expected to</w:t>
      </w:r>
      <w:r w:rsidR="00F257E7" w:rsidRPr="00BD01C1">
        <w:t>,</w:t>
      </w:r>
      <w:r w:rsidR="00F71E05" w:rsidRPr="00BD01C1">
        <w:t xml:space="preserve"> disclose the identity of a person</w:t>
      </w:r>
      <w:r w:rsidR="00F93CF6" w:rsidRPr="00EA44E0">
        <w:t xml:space="preserve">: </w:t>
      </w:r>
    </w:p>
    <w:p w14:paraId="72B8C599" w14:textId="1DBB01EE" w:rsidR="00DA42D4" w:rsidRPr="00EA44E0" w:rsidRDefault="00DA42D4" w:rsidP="00EA44E0">
      <w:pPr>
        <w:pStyle w:val="ListParagraph"/>
        <w:numPr>
          <w:ilvl w:val="0"/>
          <w:numId w:val="150"/>
        </w:numPr>
      </w:pPr>
      <w:r>
        <w:t xml:space="preserve">who has made </w:t>
      </w:r>
      <w:r w:rsidR="00F93CF6" w:rsidRPr="00EA44E0">
        <w:t xml:space="preserve">a public interest </w:t>
      </w:r>
      <w:r w:rsidR="00F71E05" w:rsidRPr="00DA42D4">
        <w:t xml:space="preserve">disclosure under the </w:t>
      </w:r>
      <w:r w:rsidR="00F71E05" w:rsidRPr="00EA44E0">
        <w:t>PID Act</w:t>
      </w:r>
      <w:r w:rsidR="009E0F22" w:rsidRPr="00EA44E0">
        <w:t xml:space="preserve">; or </w:t>
      </w:r>
    </w:p>
    <w:p w14:paraId="5F2867E2" w14:textId="4FD19FDB" w:rsidR="00DA42D4" w:rsidRDefault="00DA42D4" w:rsidP="00DA42D4">
      <w:pPr>
        <w:pStyle w:val="ListParagraph"/>
        <w:numPr>
          <w:ilvl w:val="0"/>
          <w:numId w:val="150"/>
        </w:numPr>
      </w:pPr>
      <w:r>
        <w:t>who has made a</w:t>
      </w:r>
      <w:r w:rsidR="00F71E05" w:rsidRPr="00DA42D4">
        <w:t xml:space="preserve"> mandatory, voluntary or confidential report under the </w:t>
      </w:r>
      <w:r w:rsidR="00F71E05" w:rsidRPr="00EA44E0">
        <w:t>CYP Act</w:t>
      </w:r>
      <w:r w:rsidRPr="00DA42D4">
        <w:t>; or</w:t>
      </w:r>
    </w:p>
    <w:p w14:paraId="64C3ED5F" w14:textId="7172C6F1" w:rsidR="00602C7E" w:rsidRPr="00EA44E0" w:rsidRDefault="00DA42D4" w:rsidP="00EA44E0">
      <w:pPr>
        <w:pStyle w:val="ListParagraph"/>
        <w:numPr>
          <w:ilvl w:val="0"/>
          <w:numId w:val="150"/>
        </w:numPr>
        <w:rPr>
          <w:color w:val="FF0000"/>
        </w:rPr>
      </w:pPr>
      <w:r>
        <w:t xml:space="preserve">who gives information, produces a document or answers a question in relation to an investigation of a public interest disclosure under the PID Act. </w:t>
      </w:r>
    </w:p>
    <w:p w14:paraId="31A60E39" w14:textId="77777777" w:rsidR="00DE2C2E" w:rsidRPr="00602C7E" w:rsidRDefault="00DE2C2E" w:rsidP="00602C7E">
      <w:r w:rsidRPr="00602C7E">
        <w:t xml:space="preserve">Decision-makers should consider </w:t>
      </w:r>
      <w:r w:rsidR="00F71E05" w:rsidRPr="00602C7E">
        <w:t xml:space="preserve">the circumstances surrounding the receipt of the information </w:t>
      </w:r>
      <w:r w:rsidRPr="00602C7E">
        <w:t xml:space="preserve">as it is the </w:t>
      </w:r>
      <w:r w:rsidRPr="00602C7E">
        <w:rPr>
          <w:b/>
        </w:rPr>
        <w:t>source</w:t>
      </w:r>
      <w:r w:rsidRPr="00602C7E">
        <w:t xml:space="preserve"> of the information that is relevant.</w:t>
      </w:r>
    </w:p>
    <w:p w14:paraId="5CE9F5AE" w14:textId="14520575" w:rsidR="00DE2C2E" w:rsidRPr="00A17F9F" w:rsidRDefault="00DE2C2E" w:rsidP="00EA44E0">
      <w:pPr>
        <w:ind w:right="-22"/>
      </w:pPr>
      <w:r w:rsidRPr="00A17F9F">
        <w:t xml:space="preserve">For </w:t>
      </w:r>
      <w:r w:rsidR="00935663">
        <w:t xml:space="preserve">s </w:t>
      </w:r>
      <w:r w:rsidRPr="00A17F9F">
        <w:t>1.9 to apply, t</w:t>
      </w:r>
      <w:r w:rsidR="00F71E05" w:rsidRPr="00A17F9F">
        <w:t>here must be a reasonable expectation that the information, if disclosed, will</w:t>
      </w:r>
      <w:r w:rsidR="00F257E7" w:rsidRPr="00A17F9F">
        <w:t> </w:t>
      </w:r>
      <w:r w:rsidR="00F71E05" w:rsidRPr="00A17F9F">
        <w:t>disclose</w:t>
      </w:r>
      <w:r w:rsidR="00E4257C" w:rsidRPr="00EA44E0">
        <w:t xml:space="preserve"> </w:t>
      </w:r>
      <w:r w:rsidR="00F71E05" w:rsidRPr="00A17F9F">
        <w:t>the identity of the person</w:t>
      </w:r>
      <w:r w:rsidR="00E4257C" w:rsidRPr="00EA44E0">
        <w:t xml:space="preserve">. </w:t>
      </w:r>
    </w:p>
    <w:p w14:paraId="5B4AF3E8" w14:textId="0CDD5805" w:rsidR="00A7198C" w:rsidRPr="00A7198C" w:rsidRDefault="00DE2C2E" w:rsidP="00EA44E0">
      <w:pPr>
        <w:keepNext/>
        <w:keepLines/>
      </w:pPr>
      <w:r w:rsidRPr="00A17F9F">
        <w:t xml:space="preserve">Decision-makers </w:t>
      </w:r>
      <w:r w:rsidR="00F71E05" w:rsidRPr="00A17F9F">
        <w:t>are encouraged to consider the following</w:t>
      </w:r>
      <w:r w:rsidR="00B145E0">
        <w:t xml:space="preserve"> when reviewing the information</w:t>
      </w:r>
      <w:r w:rsidR="00F71E05" w:rsidRPr="00A17F9F">
        <w:t>:</w:t>
      </w:r>
    </w:p>
    <w:p w14:paraId="09ED95A6" w14:textId="2012625B" w:rsidR="00A7198C" w:rsidRDefault="00957BB0" w:rsidP="00935663">
      <w:pPr>
        <w:pStyle w:val="ListParagraph"/>
        <w:numPr>
          <w:ilvl w:val="0"/>
          <w:numId w:val="152"/>
        </w:numPr>
      </w:pPr>
      <w:r>
        <w:t xml:space="preserve">Is </w:t>
      </w:r>
      <w:r w:rsidR="00A7198C">
        <w:t xml:space="preserve">the information about a public interest disclosure </w:t>
      </w:r>
      <w:r w:rsidR="00F02F68">
        <w:t xml:space="preserve">or an investigation of a public interest disclosure under the PID Act? Or a mandatory, voluntary or confidential report under the CYP Act? </w:t>
      </w:r>
    </w:p>
    <w:p w14:paraId="7E9615A3" w14:textId="10671CB4" w:rsidR="00B145E0" w:rsidRPr="00935663" w:rsidRDefault="00957BB0" w:rsidP="00935663">
      <w:pPr>
        <w:pStyle w:val="ListParagraph"/>
        <w:numPr>
          <w:ilvl w:val="0"/>
          <w:numId w:val="152"/>
        </w:numPr>
        <w:rPr>
          <w:color w:val="FF0000"/>
        </w:rPr>
      </w:pPr>
      <w:r>
        <w:t>I</w:t>
      </w:r>
      <w:r w:rsidRPr="00A7198C">
        <w:t xml:space="preserve">s </w:t>
      </w:r>
      <w:r w:rsidR="00F71E05" w:rsidRPr="00A7198C">
        <w:t>the identity of the person who provided the information readily apparen</w:t>
      </w:r>
      <w:r w:rsidR="00B145E0">
        <w:t xml:space="preserve">t? Or </w:t>
      </w:r>
      <w:r w:rsidR="00DE2C2E" w:rsidRPr="00A7198C">
        <w:t>c</w:t>
      </w:r>
      <w:r w:rsidR="00F71E05" w:rsidRPr="00A7198C">
        <w:t>ould disclosure of the information reasonably be expected to lead to the identification of the person</w:t>
      </w:r>
      <w:r w:rsidR="00DA5A62" w:rsidRPr="00A7198C">
        <w:t xml:space="preserve">? </w:t>
      </w:r>
    </w:p>
    <w:p w14:paraId="6520B36F" w14:textId="016083DB" w:rsidR="00DE2C2E" w:rsidRPr="000658F9" w:rsidRDefault="00DE2C2E" w:rsidP="009A3BE0">
      <w:pPr>
        <w:keepNext/>
        <w:keepLines/>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0658F9">
        <w:rPr>
          <w:b/>
        </w:rPr>
        <w:t xml:space="preserve">Note: </w:t>
      </w:r>
    </w:p>
    <w:p w14:paraId="5D62580E" w14:textId="4D450BCF" w:rsidR="00F71E05" w:rsidRPr="000658F9" w:rsidRDefault="00F71E05" w:rsidP="009A3BE0">
      <w:pPr>
        <w:pStyle w:val="ListParagraph"/>
        <w:keepNext/>
        <w:keepLines/>
        <w:numPr>
          <w:ilvl w:val="0"/>
          <w:numId w:val="73"/>
        </w:numPr>
        <w:pBdr>
          <w:top w:val="single" w:sz="4" w:space="1" w:color="auto"/>
          <w:left w:val="single" w:sz="4" w:space="4" w:color="auto"/>
          <w:bottom w:val="single" w:sz="4" w:space="0" w:color="auto"/>
          <w:right w:val="single" w:sz="4" w:space="4" w:color="auto"/>
        </w:pBdr>
        <w:shd w:val="clear" w:color="auto" w:fill="D9E2F3" w:themeFill="accent5" w:themeFillTint="33"/>
      </w:pPr>
      <w:r w:rsidRPr="000658F9">
        <w:t xml:space="preserve">When considering the application of s 1.9, </w:t>
      </w:r>
      <w:r w:rsidR="005E4D4B" w:rsidRPr="000658F9">
        <w:t xml:space="preserve">decision-makers </w:t>
      </w:r>
      <w:r w:rsidR="00DE2C2E" w:rsidRPr="000658F9">
        <w:t>should consider the ‘</w:t>
      </w:r>
      <w:r w:rsidRPr="000658F9">
        <w:t>mosaic theory</w:t>
      </w:r>
      <w:r w:rsidR="00DE2C2E" w:rsidRPr="000658F9">
        <w:t>’</w:t>
      </w:r>
      <w:r w:rsidRPr="000658F9">
        <w:t>. That is, whether the disclosure of the information in question will lead to it being linked to already available information and thus disclose the identity of the person who provided the information.</w:t>
      </w:r>
      <w:r w:rsidRPr="000658F9">
        <w:rPr>
          <w:rStyle w:val="FootnoteReference"/>
        </w:rPr>
        <w:footnoteReference w:id="136"/>
      </w:r>
      <w:r w:rsidR="00F21B5C" w:rsidRPr="000658F9">
        <w:t xml:space="preserve"> For example, where the information appears to be of limited or no use but can take on significance when combined with other items of information.</w:t>
      </w:r>
    </w:p>
    <w:p w14:paraId="16687CC7" w14:textId="77777777" w:rsidR="00AB7BCA" w:rsidRPr="000658F9" w:rsidRDefault="00F71E05" w:rsidP="00935663">
      <w:pPr>
        <w:pStyle w:val="ListParagraph"/>
        <w:numPr>
          <w:ilvl w:val="0"/>
          <w:numId w:val="73"/>
        </w:numPr>
        <w:pBdr>
          <w:top w:val="single" w:sz="4" w:space="1" w:color="auto"/>
          <w:left w:val="single" w:sz="4" w:space="4" w:color="auto"/>
          <w:bottom w:val="single" w:sz="4" w:space="0" w:color="auto"/>
          <w:right w:val="single" w:sz="4" w:space="4" w:color="auto"/>
        </w:pBdr>
        <w:shd w:val="clear" w:color="auto" w:fill="D9E2F3" w:themeFill="accent5" w:themeFillTint="33"/>
      </w:pPr>
      <w:r w:rsidRPr="000658F9">
        <w:t xml:space="preserve">In instances where the information </w:t>
      </w:r>
      <w:r w:rsidR="00AB7BCA" w:rsidRPr="000658F9">
        <w:t xml:space="preserve">sought </w:t>
      </w:r>
      <w:r w:rsidRPr="000658F9">
        <w:t xml:space="preserve">is known only to a limited number of people, disclosure of the information is more likely to identify the person who made such a disclosure. </w:t>
      </w:r>
    </w:p>
    <w:p w14:paraId="6E5C6265" w14:textId="57259D2E" w:rsidR="00C73CD2" w:rsidRPr="000658F9" w:rsidRDefault="00AB7BCA" w:rsidP="00935663">
      <w:pPr>
        <w:pStyle w:val="ListParagraph"/>
        <w:numPr>
          <w:ilvl w:val="0"/>
          <w:numId w:val="73"/>
        </w:numPr>
        <w:pBdr>
          <w:top w:val="single" w:sz="4" w:space="1" w:color="auto"/>
          <w:left w:val="single" w:sz="4" w:space="4" w:color="auto"/>
          <w:bottom w:val="single" w:sz="4" w:space="0" w:color="auto"/>
          <w:right w:val="single" w:sz="4" w:space="4" w:color="auto"/>
        </w:pBdr>
        <w:shd w:val="clear" w:color="auto" w:fill="D9E2F3" w:themeFill="accent5" w:themeFillTint="33"/>
      </w:pPr>
      <w:r w:rsidRPr="000658F9">
        <w:t>R</w:t>
      </w:r>
      <w:r w:rsidR="00F71E05" w:rsidRPr="000658F9">
        <w:t xml:space="preserve">edacting the name of </w:t>
      </w:r>
      <w:r w:rsidRPr="000658F9">
        <w:t>a</w:t>
      </w:r>
      <w:r w:rsidR="00F71E05" w:rsidRPr="000658F9">
        <w:t xml:space="preserve"> source</w:t>
      </w:r>
      <w:r w:rsidR="00DE2C2E" w:rsidRPr="000658F9">
        <w:t>,</w:t>
      </w:r>
      <w:r w:rsidR="00F71E05" w:rsidRPr="000658F9">
        <w:t xml:space="preserve"> but disclosing the content of the </w:t>
      </w:r>
      <w:r w:rsidR="005E4D4B" w:rsidRPr="000658F9">
        <w:t>information</w:t>
      </w:r>
      <w:r w:rsidRPr="000658F9">
        <w:t>,</w:t>
      </w:r>
      <w:r w:rsidR="00F71E05" w:rsidRPr="000658F9">
        <w:t xml:space="preserve"> including any identifying features such as handwriting</w:t>
      </w:r>
      <w:r w:rsidR="00DE2C2E" w:rsidRPr="000658F9">
        <w:t>,</w:t>
      </w:r>
      <w:r w:rsidR="00F71E05" w:rsidRPr="000658F9">
        <w:t xml:space="preserve"> or letterhead</w:t>
      </w:r>
      <w:r w:rsidR="00DE2C2E" w:rsidRPr="000658F9">
        <w:t>,</w:t>
      </w:r>
      <w:r w:rsidR="00F71E05" w:rsidRPr="000658F9">
        <w:t xml:space="preserve"> could still identify the source of the information.</w:t>
      </w:r>
      <w:r w:rsidR="00F71E05" w:rsidRPr="000658F9">
        <w:rPr>
          <w:rStyle w:val="FootnoteReference"/>
        </w:rPr>
        <w:footnoteReference w:id="137"/>
      </w:r>
    </w:p>
    <w:p w14:paraId="434D9955" w14:textId="6D071FC3" w:rsidR="00F257E7" w:rsidRPr="000658F9" w:rsidRDefault="00F257E7" w:rsidP="00935663">
      <w:pPr>
        <w:pStyle w:val="ListParagraph"/>
        <w:numPr>
          <w:ilvl w:val="0"/>
          <w:numId w:val="73"/>
        </w:numPr>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0658F9">
        <w:t xml:space="preserve">For specific </w:t>
      </w:r>
      <w:r w:rsidR="009E5D8C" w:rsidRPr="000658F9">
        <w:t>guidance</w:t>
      </w:r>
      <w:r w:rsidRPr="000658F9">
        <w:t xml:space="preserve"> on the phrase ‘would, or could reasonably be expected’ see </w:t>
      </w:r>
      <w:r w:rsidR="00F329FB">
        <w:t>[</w:t>
      </w:r>
      <w:hyperlink w:anchor="_Would_or_could" w:history="1">
        <w:r w:rsidR="00F329FB" w:rsidRPr="00F329FB">
          <w:rPr>
            <w:rStyle w:val="Hyperlink"/>
          </w:rPr>
          <w:t>4.6</w:t>
        </w:r>
      </w:hyperlink>
      <w:r w:rsidR="00F329FB">
        <w:t xml:space="preserve">] above. </w:t>
      </w:r>
    </w:p>
    <w:p w14:paraId="3ED2DF96" w14:textId="71BE3B42" w:rsidR="00F71E05" w:rsidRDefault="00626E1E" w:rsidP="00935663">
      <w:pPr>
        <w:pStyle w:val="Heading2"/>
        <w:numPr>
          <w:ilvl w:val="1"/>
          <w:numId w:val="54"/>
        </w:numPr>
        <w:ind w:left="567" w:hanging="567"/>
      </w:pPr>
      <w:r>
        <w:t xml:space="preserve"> </w:t>
      </w:r>
      <w:bookmarkStart w:id="689" w:name="_Toc43385541"/>
      <w:bookmarkStart w:id="690" w:name="_Toc152067325"/>
      <w:r w:rsidR="00F71E05">
        <w:t xml:space="preserve">Section 1.10 – </w:t>
      </w:r>
      <w:r w:rsidR="00B7637B">
        <w:t>I</w:t>
      </w:r>
      <w:r w:rsidR="00F71E05">
        <w:t>nformation relating to requests to cost election commitments</w:t>
      </w:r>
      <w:bookmarkEnd w:id="689"/>
      <w:bookmarkEnd w:id="690"/>
    </w:p>
    <w:p w14:paraId="3AD85383" w14:textId="77777777" w:rsidR="00F71E05" w:rsidRPr="00634AD7" w:rsidRDefault="00F71E05" w:rsidP="00935663">
      <w:pPr>
        <w:pStyle w:val="Heading4"/>
      </w:pPr>
      <w:r w:rsidRPr="00634AD7">
        <w:t>Background</w:t>
      </w:r>
    </w:p>
    <w:p w14:paraId="2F27993E" w14:textId="38EB7F79" w:rsidR="007B04CD" w:rsidRDefault="00DC170F" w:rsidP="00935663">
      <w:pPr>
        <w:keepNext/>
        <w:keepLines/>
      </w:pPr>
      <w:r>
        <w:t xml:space="preserve">Section 5 of the </w:t>
      </w:r>
      <w:hyperlink r:id="rId50" w:history="1">
        <w:r w:rsidR="00403977" w:rsidRPr="00244B97">
          <w:rPr>
            <w:rStyle w:val="Hyperlink"/>
            <w:i/>
            <w:iCs/>
          </w:rPr>
          <w:t>Election Commitments Costing Act 2012</w:t>
        </w:r>
      </w:hyperlink>
      <w:r w:rsidR="00DF5951">
        <w:t xml:space="preserve"> </w:t>
      </w:r>
      <w:r>
        <w:t>(</w:t>
      </w:r>
      <w:r w:rsidR="00244B97">
        <w:t>‘</w:t>
      </w:r>
      <w:r>
        <w:t>ECC Act</w:t>
      </w:r>
      <w:r w:rsidR="00244B97">
        <w:t>’</w:t>
      </w:r>
      <w:r>
        <w:t>) enables</w:t>
      </w:r>
      <w:r w:rsidR="007B04CD">
        <w:t>:</w:t>
      </w:r>
    </w:p>
    <w:p w14:paraId="06E9E7D5" w14:textId="68B88F80" w:rsidR="007B04CD" w:rsidRDefault="00DC170F" w:rsidP="00935663">
      <w:pPr>
        <w:pStyle w:val="ListParagraph"/>
        <w:keepNext/>
        <w:keepLines/>
        <w:numPr>
          <w:ilvl w:val="0"/>
          <w:numId w:val="74"/>
        </w:numPr>
      </w:pPr>
      <w:r>
        <w:t>the leader of a registered party with 1 or more M</w:t>
      </w:r>
      <w:r w:rsidR="007B04CD">
        <w:t>embers of the Legislative Assembly (MLAs)</w:t>
      </w:r>
      <w:r>
        <w:t xml:space="preserve"> (or</w:t>
      </w:r>
      <w:r w:rsidR="00F257E7">
        <w:t> </w:t>
      </w:r>
      <w:r>
        <w:t xml:space="preserve">another person nominated by the party) or </w:t>
      </w:r>
    </w:p>
    <w:p w14:paraId="7390694F" w14:textId="77777777" w:rsidR="007B04CD" w:rsidRDefault="00DC170F" w:rsidP="00935663">
      <w:pPr>
        <w:pStyle w:val="ListParagraph"/>
        <w:keepNext/>
        <w:keepLines/>
        <w:numPr>
          <w:ilvl w:val="0"/>
          <w:numId w:val="74"/>
        </w:numPr>
      </w:pPr>
      <w:r>
        <w:t>an MLA who is not a member of a registered party</w:t>
      </w:r>
    </w:p>
    <w:p w14:paraId="298B0559" w14:textId="5E27A988" w:rsidR="00DC170F" w:rsidRDefault="00DC170F" w:rsidP="00935663">
      <w:pPr>
        <w:keepNext/>
        <w:keepLines/>
      </w:pPr>
      <w:r>
        <w:t xml:space="preserve">to ask the Director-General to cost the party or MLA’s own election commitment. </w:t>
      </w:r>
    </w:p>
    <w:p w14:paraId="36982772" w14:textId="1A385B24" w:rsidR="00DC170F" w:rsidRDefault="00F71E05" w:rsidP="00E0213F">
      <w:pPr>
        <w:keepNext/>
        <w:keepLines/>
        <w:ind w:right="-306"/>
      </w:pPr>
      <w:r w:rsidRPr="007E12F9">
        <w:t xml:space="preserve">The </w:t>
      </w:r>
      <w:r w:rsidR="00E6604D" w:rsidRPr="00244B97">
        <w:t>ECC Act</w:t>
      </w:r>
      <w:r w:rsidR="00DC170F">
        <w:t xml:space="preserve"> </w:t>
      </w:r>
      <w:r w:rsidR="007B04CD">
        <w:t xml:space="preserve">then </w:t>
      </w:r>
      <w:r w:rsidR="00DC170F">
        <w:t>also restricts publication of suc</w:t>
      </w:r>
      <w:r w:rsidR="007B04CD">
        <w:t xml:space="preserve">h costings by the Director-General of the Chief Minister, Treasury and Economic Development Directorate, </w:t>
      </w:r>
      <w:r w:rsidR="00DC170F">
        <w:t xml:space="preserve">during the ‘costing period’ unless the disclosure is made: </w:t>
      </w:r>
    </w:p>
    <w:p w14:paraId="39E1E3B4" w14:textId="7F0D3EC7" w:rsidR="00DC170F" w:rsidRDefault="00DC170F" w:rsidP="00E0213F">
      <w:pPr>
        <w:pStyle w:val="ListParagraph"/>
        <w:keepNext/>
        <w:keepLines/>
        <w:numPr>
          <w:ilvl w:val="0"/>
          <w:numId w:val="17"/>
        </w:numPr>
      </w:pPr>
      <w:r>
        <w:t xml:space="preserve">under the </w:t>
      </w:r>
      <w:r w:rsidRPr="00244B97">
        <w:t>ECC Act</w:t>
      </w:r>
      <w:r>
        <w:t xml:space="preserve"> or another Territory law</w:t>
      </w:r>
    </w:p>
    <w:p w14:paraId="29E93421" w14:textId="3A2E5C2B" w:rsidR="00DC170F" w:rsidRDefault="00DC170F" w:rsidP="00E0213F">
      <w:pPr>
        <w:pStyle w:val="ListParagraph"/>
        <w:keepNext/>
        <w:keepLines/>
        <w:numPr>
          <w:ilvl w:val="0"/>
          <w:numId w:val="17"/>
        </w:numPr>
      </w:pPr>
      <w:r>
        <w:t xml:space="preserve">in relation to the exercise of a function under the </w:t>
      </w:r>
      <w:r w:rsidRPr="00244B97">
        <w:t>ECC Act</w:t>
      </w:r>
      <w:r>
        <w:rPr>
          <w:i/>
        </w:rPr>
        <w:t xml:space="preserve"> </w:t>
      </w:r>
      <w:r>
        <w:t xml:space="preserve">or another territory law, or </w:t>
      </w:r>
    </w:p>
    <w:p w14:paraId="72819141" w14:textId="77777777" w:rsidR="00DC170F" w:rsidRDefault="00DC170F" w:rsidP="00E0213F">
      <w:pPr>
        <w:pStyle w:val="ListParagraph"/>
        <w:keepNext/>
        <w:keepLines/>
        <w:numPr>
          <w:ilvl w:val="0"/>
          <w:numId w:val="17"/>
        </w:numPr>
      </w:pPr>
      <w:r>
        <w:t>with the consent of the person who made the costing request.</w:t>
      </w:r>
    </w:p>
    <w:p w14:paraId="1B8EC731" w14:textId="47F54467" w:rsidR="00F71E05" w:rsidRDefault="00F71E05" w:rsidP="00F71E05">
      <w:pPr>
        <w:pStyle w:val="Heading4"/>
      </w:pPr>
      <w:r>
        <w:t>Overview</w:t>
      </w:r>
    </w:p>
    <w:p w14:paraId="4F7C5DEB" w14:textId="1F92AB79" w:rsidR="00F71E05" w:rsidRDefault="00E6604D" w:rsidP="00F71E05">
      <w:r>
        <w:t xml:space="preserve">Section 1.10 provides that disclosure of information is taken to be contrary to the public interest if it is information about </w:t>
      </w:r>
      <w:r w:rsidR="00F71E05">
        <w:t xml:space="preserve">requests to cost election commitments under s </w:t>
      </w:r>
      <w:r w:rsidR="00F71E05" w:rsidRPr="00244B97">
        <w:t>5</w:t>
      </w:r>
      <w:r w:rsidR="00F71E05">
        <w:t xml:space="preserve"> </w:t>
      </w:r>
      <w:r>
        <w:t>of the ECC Act</w:t>
      </w:r>
      <w:r w:rsidR="00F71E05">
        <w:t xml:space="preserve"> </w:t>
      </w:r>
      <w:r w:rsidR="00F71E05" w:rsidRPr="00E6604D">
        <w:rPr>
          <w:b/>
        </w:rPr>
        <w:t>unless</w:t>
      </w:r>
      <w:r w:rsidR="00F71E05">
        <w:t xml:space="preserve"> the costing period in which the request was made has ended.</w:t>
      </w:r>
      <w:r w:rsidR="00DC170F">
        <w:t xml:space="preserve"> </w:t>
      </w:r>
    </w:p>
    <w:p w14:paraId="5715F1AC" w14:textId="34808804" w:rsidR="007B04CD" w:rsidRDefault="00244B97" w:rsidP="009A3BE0">
      <w:r>
        <w:rPr>
          <w:i/>
        </w:rPr>
        <w:t>‘</w:t>
      </w:r>
      <w:r w:rsidR="007B04CD" w:rsidRPr="003B37F9">
        <w:rPr>
          <w:i/>
        </w:rPr>
        <w:t>Costing period</w:t>
      </w:r>
      <w:r>
        <w:rPr>
          <w:i/>
        </w:rPr>
        <w:t>’</w:t>
      </w:r>
      <w:r w:rsidR="007B04CD">
        <w:t xml:space="preserve"> is defined in the dictionary to the </w:t>
      </w:r>
      <w:r w:rsidR="007B04CD" w:rsidRPr="00244B97">
        <w:t>ECC Act</w:t>
      </w:r>
      <w:r w:rsidR="007B04CD">
        <w:t xml:space="preserve"> as a period:</w:t>
      </w:r>
    </w:p>
    <w:p w14:paraId="3388CE35" w14:textId="77777777" w:rsidR="007B04CD" w:rsidRDefault="007B04CD" w:rsidP="009A3BE0">
      <w:pPr>
        <w:pStyle w:val="ListParagraph"/>
        <w:numPr>
          <w:ilvl w:val="0"/>
          <w:numId w:val="75"/>
        </w:numPr>
      </w:pPr>
      <w:r>
        <w:t xml:space="preserve">starting 1 week after the last sitting day of the Legislative Assembly before the election, and </w:t>
      </w:r>
    </w:p>
    <w:p w14:paraId="4EAC90FD" w14:textId="5F518255" w:rsidR="009A3BE0" w:rsidRDefault="007B04CD" w:rsidP="009A3BE0">
      <w:pPr>
        <w:pStyle w:val="ListParagraph"/>
        <w:numPr>
          <w:ilvl w:val="0"/>
          <w:numId w:val="75"/>
        </w:numPr>
      </w:pPr>
      <w:r>
        <w:t>ending when the Chief Minister is elected on the first sitting day of the Legislative Assembly after the election.</w:t>
      </w:r>
      <w:r>
        <w:rPr>
          <w:rStyle w:val="FootnoteReference"/>
        </w:rPr>
        <w:footnoteReference w:id="138"/>
      </w:r>
    </w:p>
    <w:p w14:paraId="451DDDDA" w14:textId="77777777" w:rsidR="00F257E7" w:rsidRDefault="00F257E7" w:rsidP="009A3BE0">
      <w:pPr>
        <w:keepNext/>
        <w:keepLines/>
        <w:pBdr>
          <w:top w:val="single" w:sz="4" w:space="1" w:color="auto"/>
          <w:left w:val="single" w:sz="4" w:space="4" w:color="auto"/>
          <w:bottom w:val="single" w:sz="4" w:space="1" w:color="auto"/>
          <w:right w:val="single" w:sz="4" w:space="4" w:color="auto"/>
        </w:pBdr>
        <w:shd w:val="clear" w:color="auto" w:fill="D9E2F3" w:themeFill="accent5" w:themeFillTint="33"/>
      </w:pPr>
      <w:r>
        <w:rPr>
          <w:b/>
        </w:rPr>
        <w:t>Note</w:t>
      </w:r>
      <w:r>
        <w:t>:</w:t>
      </w:r>
    </w:p>
    <w:p w14:paraId="6257E450" w14:textId="41EEE076" w:rsidR="00F257E7" w:rsidRPr="00C36BC0" w:rsidRDefault="00F257E7" w:rsidP="009A3BE0">
      <w:pPr>
        <w:pStyle w:val="ListParagraph"/>
        <w:keepNext/>
        <w:keepLines/>
        <w:numPr>
          <w:ilvl w:val="0"/>
          <w:numId w:val="12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If the access application is for information during the costings period, decision-makers should consider referring the applicant to the </w:t>
      </w:r>
      <w:r w:rsidRPr="00244B97">
        <w:t>ECC Act</w:t>
      </w:r>
      <w:r>
        <w:t xml:space="preserve"> to request disclosure und</w:t>
      </w:r>
      <w:r w:rsidR="00626E1E">
        <w:t xml:space="preserve">er </w:t>
      </w:r>
      <w:r w:rsidR="0028349D">
        <w:t>that Act</w:t>
      </w:r>
      <w:r w:rsidR="00626E1E">
        <w:t xml:space="preserve">. </w:t>
      </w:r>
      <w:r w:rsidR="001F2C93">
        <w:br/>
      </w:r>
      <w:r w:rsidR="00626E1E">
        <w:t>Alternatively, decision-makers</w:t>
      </w:r>
      <w:r>
        <w:t xml:space="preserve"> may wish to</w:t>
      </w:r>
      <w:r w:rsidR="00626E1E">
        <w:t xml:space="preserve"> negotiate with applicants to</w:t>
      </w:r>
      <w:r>
        <w:t xml:space="preserve"> withdraw their access application until the costing period has ended</w:t>
      </w:r>
      <w:r w:rsidR="005A3DEA">
        <w:t xml:space="preserve">. </w:t>
      </w:r>
    </w:p>
    <w:p w14:paraId="6921C15C" w14:textId="62F2AA83" w:rsidR="00F71E05" w:rsidRDefault="00860028" w:rsidP="009B05C4">
      <w:pPr>
        <w:pStyle w:val="Heading2"/>
        <w:numPr>
          <w:ilvl w:val="1"/>
          <w:numId w:val="54"/>
        </w:numPr>
        <w:ind w:left="567" w:hanging="567"/>
      </w:pPr>
      <w:r>
        <w:t xml:space="preserve"> </w:t>
      </w:r>
      <w:bookmarkStart w:id="691" w:name="_Toc43385542"/>
      <w:bookmarkStart w:id="692" w:name="_Toc152067326"/>
      <w:r w:rsidR="00F71E05">
        <w:t xml:space="preserve">Section 1.11 – </w:t>
      </w:r>
      <w:r w:rsidR="00B7637B">
        <w:t>I</w:t>
      </w:r>
      <w:r w:rsidR="00F71E05">
        <w:t>nformation in electoral rolls and related documents</w:t>
      </w:r>
      <w:bookmarkEnd w:id="691"/>
      <w:bookmarkEnd w:id="692"/>
    </w:p>
    <w:p w14:paraId="0097713D" w14:textId="77777777" w:rsidR="008B5152" w:rsidRPr="00634AD7" w:rsidRDefault="008B5152" w:rsidP="008B5152">
      <w:pPr>
        <w:pStyle w:val="Heading4"/>
      </w:pPr>
      <w:r w:rsidRPr="00634AD7">
        <w:t>Background</w:t>
      </w:r>
    </w:p>
    <w:p w14:paraId="7B70F97A" w14:textId="5DD3E438" w:rsidR="008B5152" w:rsidRPr="00F04C06" w:rsidRDefault="008B5152" w:rsidP="00FB311D">
      <w:pPr>
        <w:ind w:right="-306"/>
        <w:rPr>
          <w:color w:val="000000" w:themeColor="text1"/>
        </w:rPr>
      </w:pPr>
      <w:r>
        <w:t xml:space="preserve">Section 69 of the </w:t>
      </w:r>
      <w:hyperlink r:id="rId51" w:history="1">
        <w:r w:rsidR="00403977" w:rsidRPr="0017271B">
          <w:rPr>
            <w:rStyle w:val="Hyperlink"/>
            <w:i/>
            <w:iCs/>
          </w:rPr>
          <w:t>Electoral Act</w:t>
        </w:r>
        <w:r w:rsidR="00403977" w:rsidRPr="00455776">
          <w:rPr>
            <w:rStyle w:val="Hyperlink"/>
            <w:i/>
          </w:rPr>
          <w:t xml:space="preserve"> </w:t>
        </w:r>
        <w:r w:rsidR="00403977" w:rsidRPr="0017271B">
          <w:rPr>
            <w:rStyle w:val="Hyperlink"/>
            <w:i/>
            <w:iCs/>
          </w:rPr>
          <w:t>1992</w:t>
        </w:r>
      </w:hyperlink>
      <w:r w:rsidR="00C22ECB">
        <w:t xml:space="preserve"> </w:t>
      </w:r>
      <w:r>
        <w:t>(</w:t>
      </w:r>
      <w:r w:rsidR="0017271B">
        <w:t>‘</w:t>
      </w:r>
      <w:r>
        <w:t>Electoral Act</w:t>
      </w:r>
      <w:r w:rsidR="0017271B">
        <w:t>’</w:t>
      </w:r>
      <w:r>
        <w:t xml:space="preserve">) makes it an offence to disclose a copy of an electoral roll, or extract from or information contained on a roll, except where permitted by the </w:t>
      </w:r>
      <w:r w:rsidR="00216C81" w:rsidRPr="00644EE2">
        <w:t xml:space="preserve">Electoral </w:t>
      </w:r>
      <w:r w:rsidRPr="00644EE2">
        <w:t>Act</w:t>
      </w:r>
      <w:r>
        <w:t>.</w:t>
      </w:r>
      <w:r>
        <w:rPr>
          <w:rStyle w:val="FootnoteReference"/>
        </w:rPr>
        <w:footnoteReference w:id="139"/>
      </w:r>
      <w:r>
        <w:t xml:space="preserve"> </w:t>
      </w:r>
      <w:r>
        <w:rPr>
          <w:color w:val="000000" w:themeColor="text1"/>
        </w:rPr>
        <w:t>As</w:t>
      </w:r>
      <w:r w:rsidR="00FB311D">
        <w:rPr>
          <w:color w:val="000000" w:themeColor="text1"/>
        </w:rPr>
        <w:t> </w:t>
      </w:r>
      <w:r>
        <w:rPr>
          <w:color w:val="000000" w:themeColor="text1"/>
        </w:rPr>
        <w:t xml:space="preserve">electoral roll information includes personal information, the disclosure of electoral roll information other than in accordance with the </w:t>
      </w:r>
      <w:r w:rsidRPr="00644EE2">
        <w:t>Electoral Act</w:t>
      </w:r>
      <w:r>
        <w:rPr>
          <w:i/>
          <w:color w:val="000000" w:themeColor="text1"/>
        </w:rPr>
        <w:t xml:space="preserve"> </w:t>
      </w:r>
      <w:r>
        <w:rPr>
          <w:color w:val="000000" w:themeColor="text1"/>
        </w:rPr>
        <w:t>may also be a breach of privacy under the</w:t>
      </w:r>
      <w:r w:rsidR="00FB311D">
        <w:rPr>
          <w:color w:val="000000" w:themeColor="text1"/>
        </w:rPr>
        <w:t xml:space="preserve"> </w:t>
      </w:r>
      <w:r w:rsidRPr="00644EE2">
        <w:t>IP Act</w:t>
      </w:r>
      <w:r>
        <w:rPr>
          <w:i/>
          <w:color w:val="000000" w:themeColor="text1"/>
        </w:rPr>
        <w:t>.</w:t>
      </w:r>
    </w:p>
    <w:p w14:paraId="3A98AA37" w14:textId="77777777" w:rsidR="008B5152" w:rsidRDefault="008B5152" w:rsidP="008B5152">
      <w:pPr>
        <w:pStyle w:val="Heading4"/>
      </w:pPr>
      <w:r>
        <w:t>Overview</w:t>
      </w:r>
    </w:p>
    <w:p w14:paraId="75228967" w14:textId="0DDA7869" w:rsidR="008B5152" w:rsidRDefault="008B5152" w:rsidP="008B5152">
      <w:r>
        <w:t>Section 1.11 provides that disclosure of information is taken to be contrary to the public interest if it is</w:t>
      </w:r>
      <w:r w:rsidR="00F71E05">
        <w:t xml:space="preserve"> contained in an electoral roll, or copy, extract or document used in keeping or derived from an electoral roll</w:t>
      </w:r>
      <w:r>
        <w:t xml:space="preserve"> </w:t>
      </w:r>
      <w:r w:rsidRPr="008B5152">
        <w:rPr>
          <w:b/>
        </w:rPr>
        <w:t>unless</w:t>
      </w:r>
      <w:r>
        <w:t xml:space="preserve"> disclosure is made to </w:t>
      </w:r>
      <w:r w:rsidR="00F71E05">
        <w:t>a person to whom the information relates to.</w:t>
      </w:r>
      <w:r w:rsidR="00F71E05">
        <w:rPr>
          <w:rStyle w:val="FootnoteReference"/>
        </w:rPr>
        <w:footnoteReference w:id="140"/>
      </w:r>
      <w:r w:rsidR="00F71E05">
        <w:t xml:space="preserve"> </w:t>
      </w:r>
    </w:p>
    <w:p w14:paraId="4F03D5FD" w14:textId="3E3CF6D0" w:rsidR="00F71E05" w:rsidRPr="00746391" w:rsidRDefault="00F71E05" w:rsidP="008B5152">
      <w:pPr>
        <w:ind w:right="-589"/>
      </w:pPr>
      <w:r>
        <w:t>‘Electoral roll’ means the roll of electors kept under the</w:t>
      </w:r>
      <w:r w:rsidR="008B5152">
        <w:t xml:space="preserve"> </w:t>
      </w:r>
      <w:r w:rsidR="008B5152" w:rsidRPr="00644EE2">
        <w:t>Electoral Act</w:t>
      </w:r>
      <w:r>
        <w:rPr>
          <w:i/>
        </w:rPr>
        <w:t xml:space="preserve"> </w:t>
      </w:r>
      <w:r>
        <w:t xml:space="preserve">or an </w:t>
      </w:r>
      <w:r w:rsidR="00860028">
        <w:t>extract of that roll</w:t>
      </w:r>
      <w:r>
        <w:t>.</w:t>
      </w:r>
      <w:r w:rsidR="00860028">
        <w:rPr>
          <w:rStyle w:val="FootnoteReference"/>
        </w:rPr>
        <w:footnoteReference w:id="141"/>
      </w:r>
      <w:r>
        <w:t xml:space="preserve"> </w:t>
      </w:r>
    </w:p>
    <w:p w14:paraId="5178ECC5" w14:textId="77777777" w:rsidR="00F71E05" w:rsidRDefault="00F71E05" w:rsidP="00713CFE">
      <w:pPr>
        <w:rPr>
          <w:color w:val="000000" w:themeColor="text1"/>
        </w:rPr>
      </w:pPr>
      <w:r>
        <w:rPr>
          <w:color w:val="000000" w:themeColor="text1"/>
        </w:rPr>
        <w:t>In considering whether s 1.11 applies, information officers should ask the following questions:</w:t>
      </w:r>
    </w:p>
    <w:p w14:paraId="27202FB6" w14:textId="77777777" w:rsidR="00F71E05" w:rsidRDefault="00F71E05" w:rsidP="00713CFE">
      <w:pPr>
        <w:pStyle w:val="ListParagraph"/>
        <w:numPr>
          <w:ilvl w:val="0"/>
          <w:numId w:val="18"/>
        </w:numPr>
        <w:rPr>
          <w:color w:val="000000" w:themeColor="text1"/>
        </w:rPr>
      </w:pPr>
      <w:r>
        <w:rPr>
          <w:color w:val="000000" w:themeColor="text1"/>
        </w:rPr>
        <w:t>is the information contained in an electoral roll, copy of a roll, document or copy of a document used in keeping a roll, or document derived from an electoral roll?</w:t>
      </w:r>
    </w:p>
    <w:p w14:paraId="18D33369" w14:textId="7DB51902" w:rsidR="00F71E05" w:rsidRDefault="00F71E05" w:rsidP="00713CFE">
      <w:pPr>
        <w:pStyle w:val="ListParagraph"/>
        <w:numPr>
          <w:ilvl w:val="0"/>
          <w:numId w:val="18"/>
        </w:numPr>
        <w:rPr>
          <w:color w:val="000000" w:themeColor="text1"/>
        </w:rPr>
      </w:pPr>
      <w:r>
        <w:rPr>
          <w:color w:val="000000" w:themeColor="text1"/>
        </w:rPr>
        <w:t>is the information sought by a person other than the person to whom the information relates to?</w:t>
      </w:r>
    </w:p>
    <w:p w14:paraId="6D503125" w14:textId="77777777" w:rsidR="00DE2C2E" w:rsidRPr="00C175D3" w:rsidRDefault="00DE2C2E"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C175D3">
        <w:rPr>
          <w:b/>
        </w:rPr>
        <w:t xml:space="preserve">Note: </w:t>
      </w:r>
    </w:p>
    <w:p w14:paraId="585D9C82" w14:textId="51D0AE4D" w:rsidR="00DE2C2E" w:rsidRDefault="00DE2C2E" w:rsidP="00E0213F">
      <w:pPr>
        <w:pStyle w:val="ListParagraph"/>
        <w:keepNext/>
        <w:keepLines/>
        <w:numPr>
          <w:ilvl w:val="0"/>
          <w:numId w:val="18"/>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Such information is also like to be considered contrary to the public interest </w:t>
      </w:r>
      <w:r w:rsidR="00312A6B">
        <w:t xml:space="preserve">to disclose </w:t>
      </w:r>
      <w:r>
        <w:t>under s</w:t>
      </w:r>
      <w:r w:rsidR="001D6C74">
        <w:t xml:space="preserve"> </w:t>
      </w:r>
      <w:r>
        <w:t xml:space="preserve">1.3 </w:t>
      </w:r>
      <w:r w:rsidR="006D2279">
        <w:br/>
      </w:r>
      <w:r>
        <w:t>see</w:t>
      </w:r>
      <w:r w:rsidR="00F609B9">
        <w:rPr>
          <w:rFonts w:ascii="Calibri" w:hAnsi="Calibri" w:cs="Calibri"/>
        </w:rPr>
        <w:t>—</w:t>
      </w:r>
      <w:r w:rsidR="00644EE2">
        <w:t xml:space="preserve"> [</w:t>
      </w:r>
      <w:hyperlink w:anchor="_Section_1.3_–_2" w:history="1">
        <w:r w:rsidR="00644EE2" w:rsidRPr="00250D34">
          <w:rPr>
            <w:rStyle w:val="Hyperlink"/>
          </w:rPr>
          <w:t>5.6</w:t>
        </w:r>
      </w:hyperlink>
      <w:r w:rsidR="00644EE2">
        <w:t>]</w:t>
      </w:r>
      <w:r w:rsidRPr="00644EE2">
        <w:t xml:space="preserve"> information disclosure of which is prohibited by law</w:t>
      </w:r>
      <w:r>
        <w:t>.</w:t>
      </w:r>
    </w:p>
    <w:p w14:paraId="7967F1E6" w14:textId="79F21A15" w:rsidR="00F71E05" w:rsidRDefault="00C73CD2" w:rsidP="009B05C4">
      <w:pPr>
        <w:pStyle w:val="Heading2"/>
        <w:numPr>
          <w:ilvl w:val="1"/>
          <w:numId w:val="54"/>
        </w:numPr>
        <w:ind w:left="567" w:hanging="567"/>
      </w:pPr>
      <w:bookmarkStart w:id="693" w:name="_Section_1.12_–"/>
      <w:bookmarkEnd w:id="693"/>
      <w:r>
        <w:t xml:space="preserve"> </w:t>
      </w:r>
      <w:bookmarkStart w:id="694" w:name="_Toc43385543"/>
      <w:bookmarkStart w:id="695" w:name="_Toc152067327"/>
      <w:r w:rsidR="00F71E05">
        <w:t xml:space="preserve">Section 1.12 – </w:t>
      </w:r>
      <w:r w:rsidR="003F590D">
        <w:t>I</w:t>
      </w:r>
      <w:r w:rsidR="00F71E05">
        <w:t>nformation in possession of omb</w:t>
      </w:r>
      <w:r w:rsidR="00F71E05" w:rsidRPr="00DA60EC">
        <w:t>udsman</w:t>
      </w:r>
      <w:bookmarkEnd w:id="694"/>
      <w:bookmarkEnd w:id="695"/>
    </w:p>
    <w:p w14:paraId="5D0D38F8" w14:textId="77777777" w:rsidR="008B5152" w:rsidRPr="00634AD7" w:rsidRDefault="008B5152" w:rsidP="008B5152">
      <w:pPr>
        <w:pStyle w:val="Heading4"/>
      </w:pPr>
      <w:r w:rsidRPr="00634AD7">
        <w:t>Background</w:t>
      </w:r>
    </w:p>
    <w:p w14:paraId="08A6BCA1" w14:textId="18AF0062" w:rsidR="008B5152" w:rsidRDefault="008B5152" w:rsidP="008B5152">
      <w:r>
        <w:t xml:space="preserve">The </w:t>
      </w:r>
      <w:r w:rsidRPr="00085D03">
        <w:t>ACT Ombudsman</w:t>
      </w:r>
      <w:r>
        <w:t xml:space="preserve"> undertakes a number of functions for the ACT community</w:t>
      </w:r>
      <w:r w:rsidR="00042398">
        <w:t>.</w:t>
      </w:r>
      <w:r>
        <w:t xml:space="preserve"> </w:t>
      </w:r>
      <w:r w:rsidR="00042398">
        <w:t>T</w:t>
      </w:r>
      <w:r>
        <w:t>hese include:</w:t>
      </w:r>
    </w:p>
    <w:p w14:paraId="2D6527B0" w14:textId="0CAE7789" w:rsidR="008B5152" w:rsidRDefault="008B5152" w:rsidP="001D5D98">
      <w:pPr>
        <w:pStyle w:val="ListParagraph"/>
        <w:numPr>
          <w:ilvl w:val="0"/>
          <w:numId w:val="18"/>
        </w:numPr>
      </w:pPr>
      <w:r w:rsidRPr="006844DB">
        <w:t xml:space="preserve">reviewing certain decisions made by an agency or Minister under the </w:t>
      </w:r>
      <w:r w:rsidRPr="00630092">
        <w:t>FOI Act</w:t>
      </w:r>
      <w:r w:rsidRPr="006844DB">
        <w:t xml:space="preserve"> (‘ombudsman review’)</w:t>
      </w:r>
    </w:p>
    <w:p w14:paraId="07D6CED9" w14:textId="1C2C84A2" w:rsidR="008B5152" w:rsidRDefault="008B5152" w:rsidP="001D5D98">
      <w:pPr>
        <w:pStyle w:val="ListParagraph"/>
        <w:numPr>
          <w:ilvl w:val="0"/>
          <w:numId w:val="18"/>
        </w:numPr>
      </w:pPr>
      <w:r>
        <w:t xml:space="preserve">investigation of action taken by an agency under s </w:t>
      </w:r>
      <w:r w:rsidRPr="00630092">
        <w:t>9</w:t>
      </w:r>
      <w:r>
        <w:t xml:space="preserve"> of the </w:t>
      </w:r>
      <w:r w:rsidR="00923A2F">
        <w:t xml:space="preserve">Ombudsman </w:t>
      </w:r>
      <w:r w:rsidR="0079241C">
        <w:t>Act</w:t>
      </w:r>
    </w:p>
    <w:p w14:paraId="2008174C" w14:textId="70DA5258" w:rsidR="008B5152" w:rsidRPr="008B5152" w:rsidRDefault="00B12004" w:rsidP="001D5D98">
      <w:pPr>
        <w:pStyle w:val="ListParagraph"/>
        <w:numPr>
          <w:ilvl w:val="0"/>
          <w:numId w:val="18"/>
        </w:numPr>
      </w:pPr>
      <w:r>
        <w:t xml:space="preserve">oversight of </w:t>
      </w:r>
      <w:r w:rsidR="008B5152">
        <w:t xml:space="preserve">the ACT’s </w:t>
      </w:r>
      <w:r w:rsidR="00F257E7">
        <w:t>R</w:t>
      </w:r>
      <w:r w:rsidR="008B5152">
        <w:t xml:space="preserve">eportable </w:t>
      </w:r>
      <w:r w:rsidR="00F257E7">
        <w:t>C</w:t>
      </w:r>
      <w:r w:rsidR="008B5152">
        <w:t xml:space="preserve">onduct </w:t>
      </w:r>
      <w:r w:rsidR="00F257E7">
        <w:t>S</w:t>
      </w:r>
      <w:r w:rsidR="008B5152">
        <w:t xml:space="preserve">cheme under </w:t>
      </w:r>
      <w:r w:rsidR="008B5152" w:rsidRPr="00630092">
        <w:t>Division 2.2A</w:t>
      </w:r>
      <w:r w:rsidR="008B5152">
        <w:t xml:space="preserve"> of the</w:t>
      </w:r>
      <w:r w:rsidR="00AF2870">
        <w:t xml:space="preserve"> Ombudsman Act</w:t>
      </w:r>
      <w:r w:rsidR="008B5152">
        <w:rPr>
          <w:i/>
        </w:rPr>
        <w:t>.</w:t>
      </w:r>
    </w:p>
    <w:p w14:paraId="029AD098" w14:textId="7B96A52E" w:rsidR="008B5152" w:rsidRDefault="008B5152" w:rsidP="008D7CD5">
      <w:pPr>
        <w:pStyle w:val="Heading4"/>
      </w:pPr>
      <w:r>
        <w:t>Overview</w:t>
      </w:r>
    </w:p>
    <w:p w14:paraId="69BE8CBD" w14:textId="4AEE119B" w:rsidR="008B5152" w:rsidRDefault="008B5152" w:rsidP="008D7CD5">
      <w:pPr>
        <w:keepNext/>
        <w:keepLines/>
      </w:pPr>
      <w:r>
        <w:t>Section 1.12 provides that disclosure of information is taken to be contrary to the public interest if it is:</w:t>
      </w:r>
    </w:p>
    <w:p w14:paraId="64517979" w14:textId="77777777" w:rsidR="00F257E7" w:rsidRDefault="008B5152" w:rsidP="008D7CD5">
      <w:pPr>
        <w:pStyle w:val="ListParagraph"/>
        <w:keepNext/>
        <w:keepLines/>
        <w:numPr>
          <w:ilvl w:val="0"/>
          <w:numId w:val="71"/>
        </w:numPr>
      </w:pPr>
      <w:r>
        <w:t xml:space="preserve">in the </w:t>
      </w:r>
      <w:r w:rsidRPr="00F257E7">
        <w:rPr>
          <w:b/>
        </w:rPr>
        <w:t>possession</w:t>
      </w:r>
      <w:r>
        <w:t xml:space="preserve"> of the Ombudsman</w:t>
      </w:r>
      <w:r w:rsidR="00F257E7">
        <w:t xml:space="preserve">, and </w:t>
      </w:r>
    </w:p>
    <w:p w14:paraId="1799E8E9" w14:textId="5C9BE949" w:rsidR="008B5152" w:rsidRDefault="008B5152" w:rsidP="008D7CD5">
      <w:pPr>
        <w:pStyle w:val="ListParagraph"/>
        <w:keepNext/>
        <w:keepLines/>
        <w:numPr>
          <w:ilvl w:val="0"/>
          <w:numId w:val="71"/>
        </w:numPr>
      </w:pPr>
      <w:r>
        <w:t>has been obtained or generated in relation to:</w:t>
      </w:r>
    </w:p>
    <w:p w14:paraId="06890226" w14:textId="4F63BF52" w:rsidR="008B5152" w:rsidRDefault="008B5152" w:rsidP="008D7CD5">
      <w:pPr>
        <w:pStyle w:val="ListParagraph"/>
        <w:keepNext/>
        <w:keepLines/>
        <w:numPr>
          <w:ilvl w:val="1"/>
          <w:numId w:val="71"/>
        </w:numPr>
      </w:pPr>
      <w:r>
        <w:t>an ombudsman review</w:t>
      </w:r>
      <w:r w:rsidR="00B83849">
        <w:t xml:space="preserve">, or </w:t>
      </w:r>
    </w:p>
    <w:p w14:paraId="2BCDE57E" w14:textId="51B75C0A" w:rsidR="008B5152" w:rsidRDefault="008B5152" w:rsidP="009B05C4">
      <w:pPr>
        <w:pStyle w:val="ListParagraph"/>
        <w:numPr>
          <w:ilvl w:val="1"/>
          <w:numId w:val="71"/>
        </w:numPr>
      </w:pPr>
      <w:r>
        <w:t>a s</w:t>
      </w:r>
      <w:r w:rsidR="00C73CD2">
        <w:t xml:space="preserve"> </w:t>
      </w:r>
      <w:r>
        <w:t>9 investigation</w:t>
      </w:r>
      <w:r w:rsidR="00B83849">
        <w:t xml:space="preserve">, or </w:t>
      </w:r>
    </w:p>
    <w:p w14:paraId="39A5CDD8" w14:textId="36E72D77" w:rsidR="008B5152" w:rsidRPr="00B83849" w:rsidRDefault="00B83849" w:rsidP="009B05C4">
      <w:pPr>
        <w:pStyle w:val="ListParagraph"/>
        <w:numPr>
          <w:ilvl w:val="1"/>
          <w:numId w:val="71"/>
        </w:numPr>
      </w:pPr>
      <w:r w:rsidRPr="00B83849">
        <w:t>a function exercised under the</w:t>
      </w:r>
      <w:r w:rsidR="008B5152" w:rsidRPr="00B83849">
        <w:t xml:space="preserve"> reportable conduct scheme. </w:t>
      </w:r>
    </w:p>
    <w:p w14:paraId="3F23091C" w14:textId="5F6CB252" w:rsidR="003B37F9" w:rsidRDefault="00C73CD2" w:rsidP="00935663">
      <w:r>
        <w:t xml:space="preserve">Examples of documents </w:t>
      </w:r>
      <w:r w:rsidR="00F61C64">
        <w:t>with</w:t>
      </w:r>
      <w:r>
        <w:t xml:space="preserve">in </w:t>
      </w:r>
      <w:r w:rsidR="00F61C64">
        <w:t xml:space="preserve">the </w:t>
      </w:r>
      <w:r>
        <w:t>scope of s 1.12 would include:</w:t>
      </w:r>
    </w:p>
    <w:p w14:paraId="3149DFE3" w14:textId="5AD6DF54" w:rsidR="00C73CD2" w:rsidRDefault="00C73CD2" w:rsidP="00935663">
      <w:pPr>
        <w:pStyle w:val="ListParagraph"/>
        <w:numPr>
          <w:ilvl w:val="0"/>
          <w:numId w:val="71"/>
        </w:numPr>
      </w:pPr>
      <w:r>
        <w:t xml:space="preserve">FOI review applications and documents provided as part of the review process, including unredacted versions of the information requested in the original </w:t>
      </w:r>
      <w:r w:rsidR="007E1586">
        <w:t xml:space="preserve">FOI </w:t>
      </w:r>
      <w:r>
        <w:t>application</w:t>
      </w:r>
    </w:p>
    <w:p w14:paraId="6802F444" w14:textId="1394B61A" w:rsidR="00C73CD2" w:rsidRDefault="00C73CD2" w:rsidP="00935663">
      <w:pPr>
        <w:pStyle w:val="ListParagraph"/>
        <w:numPr>
          <w:ilvl w:val="0"/>
          <w:numId w:val="71"/>
        </w:numPr>
      </w:pPr>
      <w:r>
        <w:t>correspondence and documents provided in the course of an investigation</w:t>
      </w:r>
    </w:p>
    <w:p w14:paraId="7D252C9A" w14:textId="57B212BA" w:rsidR="00C73CD2" w:rsidRDefault="00C73CD2" w:rsidP="00935663">
      <w:pPr>
        <w:pStyle w:val="ListParagraph"/>
        <w:numPr>
          <w:ilvl w:val="0"/>
          <w:numId w:val="71"/>
        </w:numPr>
      </w:pPr>
      <w:r>
        <w:t xml:space="preserve">notifications made to the Ombudsman under the </w:t>
      </w:r>
      <w:r w:rsidR="00F257E7">
        <w:t>R</w:t>
      </w:r>
      <w:r>
        <w:t xml:space="preserve">eportable </w:t>
      </w:r>
      <w:r w:rsidR="00F257E7">
        <w:t>C</w:t>
      </w:r>
      <w:r>
        <w:t xml:space="preserve">onduct </w:t>
      </w:r>
      <w:r w:rsidR="00F257E7">
        <w:t>S</w:t>
      </w:r>
      <w:r>
        <w:t>cheme</w:t>
      </w:r>
      <w:r w:rsidR="00F257E7">
        <w:t>.</w:t>
      </w:r>
      <w:r w:rsidR="009E50F0">
        <w:rPr>
          <w:rStyle w:val="FootnoteReference"/>
        </w:rPr>
        <w:footnoteReference w:id="142"/>
      </w:r>
    </w:p>
    <w:p w14:paraId="7035D152" w14:textId="77777777" w:rsidR="008B5152" w:rsidRPr="00C175D3" w:rsidRDefault="008B5152"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C175D3">
        <w:rPr>
          <w:b/>
        </w:rPr>
        <w:t xml:space="preserve">Note: </w:t>
      </w:r>
    </w:p>
    <w:p w14:paraId="75094B28" w14:textId="568D1375" w:rsidR="008B5152" w:rsidRDefault="008B5152"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Section </w:t>
      </w:r>
      <w:r w:rsidRPr="00BC544C">
        <w:t>1.</w:t>
      </w:r>
      <w:r>
        <w:t>12</w:t>
      </w:r>
      <w:r w:rsidRPr="00BC544C">
        <w:t xml:space="preserve"> </w:t>
      </w:r>
      <w:r>
        <w:t xml:space="preserve">is likely to be relevant to the Ombudsman only, as this provision does not </w:t>
      </w:r>
      <w:r w:rsidRPr="00BC544C">
        <w:t>apply in re</w:t>
      </w:r>
      <w:r>
        <w:t xml:space="preserve">lation to any other copy of </w:t>
      </w:r>
      <w:r w:rsidRPr="00BC544C">
        <w:t xml:space="preserve">information </w:t>
      </w:r>
      <w:r w:rsidR="00D155C3">
        <w:t xml:space="preserve">held or created by the </w:t>
      </w:r>
      <w:r>
        <w:t xml:space="preserve">Ombudsman </w:t>
      </w:r>
      <w:r w:rsidRPr="00BC544C">
        <w:t>which may be in the possession of another territory directorate or authority.</w:t>
      </w:r>
      <w:r w:rsidRPr="00BA4495">
        <w:t xml:space="preserve"> </w:t>
      </w:r>
    </w:p>
    <w:p w14:paraId="4ADDF088" w14:textId="34F984D8" w:rsidR="00DE2C2E" w:rsidRDefault="008B5152"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t>Such information is also like</w:t>
      </w:r>
      <w:r w:rsidR="00935663">
        <w:t>ly</w:t>
      </w:r>
      <w:r>
        <w:t xml:space="preserve"> to be considered contrary to the public interest </w:t>
      </w:r>
      <w:r w:rsidR="00756188">
        <w:t xml:space="preserve">to disclose </w:t>
      </w:r>
      <w:r>
        <w:t>under s</w:t>
      </w:r>
      <w:r w:rsidR="00935663">
        <w:t> </w:t>
      </w:r>
      <w:r w:rsidR="00BE5E2C">
        <w:t>1.3</w:t>
      </w:r>
      <w:r w:rsidR="00E0213F">
        <w:t> </w:t>
      </w:r>
      <w:r w:rsidR="008676C6">
        <w:t>see</w:t>
      </w:r>
      <w:r w:rsidR="00BC2261">
        <w:rPr>
          <w:rFonts w:ascii="Calibri" w:hAnsi="Calibri" w:cs="Calibri"/>
        </w:rPr>
        <w:t xml:space="preserve"> </w:t>
      </w:r>
      <w:r w:rsidR="00BC2261">
        <w:t>[</w:t>
      </w:r>
      <w:hyperlink w:anchor="_Section_1.3_–_2" w:history="1">
        <w:r w:rsidR="00BC2261" w:rsidRPr="00BC2261">
          <w:rPr>
            <w:rStyle w:val="Hyperlink"/>
          </w:rPr>
          <w:t>5.6</w:t>
        </w:r>
      </w:hyperlink>
      <w:r w:rsidR="00BC2261">
        <w:t>]</w:t>
      </w:r>
      <w:r w:rsidRPr="00BC2261">
        <w:t xml:space="preserve"> information disclosure of which is prohibited by law</w:t>
      </w:r>
      <w:r>
        <w:t>.</w:t>
      </w:r>
    </w:p>
    <w:p w14:paraId="45E8A303" w14:textId="7713B3D5" w:rsidR="00F257E7" w:rsidRDefault="00F257E7"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rsidRPr="002530AE">
        <w:t xml:space="preserve">For specific </w:t>
      </w:r>
      <w:r w:rsidR="00F265D1">
        <w:t>guidance</w:t>
      </w:r>
      <w:r w:rsidRPr="002530AE">
        <w:t xml:space="preserve"> on the phrase ‘in the possession of’ see</w:t>
      </w:r>
      <w:r>
        <w:t xml:space="preserve"> </w:t>
      </w:r>
      <w:r w:rsidR="00DE140F">
        <w:rPr>
          <w:shd w:val="clear" w:color="auto" w:fill="DEEAF6" w:themeFill="accent1" w:themeFillTint="33"/>
        </w:rPr>
        <w:t>[</w:t>
      </w:r>
      <w:hyperlink w:anchor="_6._Common_terms" w:history="1">
        <w:r w:rsidR="00DE140F" w:rsidRPr="00DE140F">
          <w:rPr>
            <w:rStyle w:val="Hyperlink"/>
            <w:shd w:val="clear" w:color="auto" w:fill="DEEAF6" w:themeFill="accent1" w:themeFillTint="33"/>
          </w:rPr>
          <w:t>4.3</w:t>
        </w:r>
      </w:hyperlink>
      <w:r w:rsidR="00DE140F">
        <w:rPr>
          <w:shd w:val="clear" w:color="auto" w:fill="DEEAF6" w:themeFill="accent1" w:themeFillTint="33"/>
        </w:rPr>
        <w:t>].</w:t>
      </w:r>
    </w:p>
    <w:p w14:paraId="4CEBE34D" w14:textId="78AFD0A0" w:rsidR="00F71E05" w:rsidRDefault="00C73CD2" w:rsidP="000E2DF8">
      <w:pPr>
        <w:pStyle w:val="Heading2"/>
        <w:numPr>
          <w:ilvl w:val="1"/>
          <w:numId w:val="54"/>
        </w:numPr>
        <w:ind w:left="567" w:hanging="567"/>
      </w:pPr>
      <w:bookmarkStart w:id="696" w:name="_Section_1.13_–"/>
      <w:bookmarkEnd w:id="696"/>
      <w:r>
        <w:t xml:space="preserve"> </w:t>
      </w:r>
      <w:bookmarkStart w:id="697" w:name="_Toc43385544"/>
      <w:bookmarkStart w:id="698" w:name="_Toc152067328"/>
      <w:r w:rsidR="00F71E05">
        <w:t>Section 1.13 – National, Territory or State security information</w:t>
      </w:r>
      <w:bookmarkEnd w:id="697"/>
      <w:bookmarkEnd w:id="698"/>
    </w:p>
    <w:p w14:paraId="107BDB6A" w14:textId="00A8185F" w:rsidR="00F71E05" w:rsidRDefault="001D5D98" w:rsidP="00F71E05">
      <w:pPr>
        <w:pStyle w:val="Heading4"/>
        <w:rPr>
          <w:b/>
        </w:rPr>
      </w:pPr>
      <w:r>
        <w:t>Background</w:t>
      </w:r>
    </w:p>
    <w:p w14:paraId="41D86183" w14:textId="4EB2325D" w:rsidR="00C73CD2" w:rsidRDefault="00C73CD2" w:rsidP="00C73CD2">
      <w:pPr>
        <w:ind w:right="-22"/>
      </w:pPr>
      <w:r w:rsidRPr="00610ED5">
        <w:t>The</w:t>
      </w:r>
      <w:r>
        <w:t xml:space="preserve"> FOI Act, mirroring FOI exemption provisions in other jurisdictions, provides for certain security related information to be taken to be contrary to the public interest and withheld from disclosure. Such protections are important to ensure the protection of security. It should, however, be</w:t>
      </w:r>
      <w:r w:rsidR="00F257E7">
        <w:t> </w:t>
      </w:r>
      <w:r>
        <w:t>recognised that freedom of information laws can also be critical in terms of ensuring that security organisation</w:t>
      </w:r>
      <w:r w:rsidR="00B16758">
        <w:t>s</w:t>
      </w:r>
      <w:r>
        <w:t xml:space="preserve"> do not exceed their powers and maintaining public confidence in government performance.</w:t>
      </w:r>
    </w:p>
    <w:p w14:paraId="1539A9E0" w14:textId="77777777" w:rsidR="001D5D98" w:rsidRDefault="001D5D98" w:rsidP="00E0213F">
      <w:pPr>
        <w:pStyle w:val="Heading4"/>
        <w:rPr>
          <w:b/>
        </w:rPr>
      </w:pPr>
      <w:r>
        <w:t xml:space="preserve">Overview </w:t>
      </w:r>
    </w:p>
    <w:p w14:paraId="5D18843C" w14:textId="7FD3262A" w:rsidR="001D5D98" w:rsidRDefault="001D5D98" w:rsidP="00E0213F">
      <w:pPr>
        <w:keepNext/>
        <w:keepLines/>
      </w:pPr>
      <w:r>
        <w:t>Section 1.13 provides that disclosure of information is taken to be contrary to the public interest if it would, or could reasonably be expected to, damage the security of:</w:t>
      </w:r>
    </w:p>
    <w:p w14:paraId="4A02606D" w14:textId="3DC2A20D" w:rsidR="001D5D98" w:rsidRPr="00F57E15" w:rsidRDefault="001D5D98" w:rsidP="00E0213F">
      <w:pPr>
        <w:pStyle w:val="ListParagraph"/>
        <w:keepNext/>
        <w:keepLines/>
        <w:numPr>
          <w:ilvl w:val="0"/>
          <w:numId w:val="86"/>
        </w:numPr>
      </w:pPr>
      <w:r w:rsidRPr="00F57E15">
        <w:t>the Commonwealth</w:t>
      </w:r>
      <w:r w:rsidR="00A63A1A" w:rsidRPr="00F57E15">
        <w:rPr>
          <w:rFonts w:ascii="Calibri" w:hAnsi="Calibri" w:cs="Calibri"/>
        </w:rPr>
        <w:t>—</w:t>
      </w:r>
      <w:r w:rsidRPr="00F57E15">
        <w:t>see s 1.</w:t>
      </w:r>
      <w:r w:rsidR="009E7A79" w:rsidRPr="00F57E15">
        <w:t>1</w:t>
      </w:r>
      <w:r w:rsidRPr="00F57E15">
        <w:t xml:space="preserve">3(2) </w:t>
      </w:r>
    </w:p>
    <w:p w14:paraId="03E566F8" w14:textId="09778AA2" w:rsidR="001D5D98" w:rsidRPr="00F57E15" w:rsidRDefault="001D5D98" w:rsidP="00E0213F">
      <w:pPr>
        <w:pStyle w:val="ListParagraph"/>
        <w:keepNext/>
        <w:keepLines/>
        <w:numPr>
          <w:ilvl w:val="0"/>
          <w:numId w:val="86"/>
        </w:numPr>
      </w:pPr>
      <w:r w:rsidRPr="00F57E15">
        <w:t>the Territory or a State</w:t>
      </w:r>
      <w:r w:rsidR="00A63A1A" w:rsidRPr="00F57E15">
        <w:rPr>
          <w:rFonts w:ascii="Calibri" w:hAnsi="Calibri" w:cs="Calibri"/>
        </w:rPr>
        <w:t>—</w:t>
      </w:r>
      <w:r w:rsidRPr="00F57E15">
        <w:t>s</w:t>
      </w:r>
      <w:r w:rsidR="00C73CD2" w:rsidRPr="00F57E15">
        <w:t>e</w:t>
      </w:r>
      <w:r w:rsidRPr="00F57E15">
        <w:t>e s 1.</w:t>
      </w:r>
      <w:r w:rsidR="009E7A79" w:rsidRPr="00F57E15">
        <w:t>1</w:t>
      </w:r>
      <w:r w:rsidRPr="00F57E15">
        <w:t>3(3)</w:t>
      </w:r>
      <w:r w:rsidR="00957BB0">
        <w:t>.</w:t>
      </w:r>
      <w:r w:rsidRPr="00F57E15">
        <w:t xml:space="preserve"> </w:t>
      </w:r>
    </w:p>
    <w:p w14:paraId="1598568D" w14:textId="79A04DA8" w:rsidR="001D5D98" w:rsidRDefault="001D5D98" w:rsidP="008D7CD5">
      <w:pPr>
        <w:spacing w:line="256" w:lineRule="auto"/>
      </w:pPr>
      <w:r w:rsidRPr="001D5D98">
        <w:rPr>
          <w:i/>
        </w:rPr>
        <w:t xml:space="preserve">Damage </w:t>
      </w:r>
      <w:r>
        <w:t xml:space="preserve">should be interpreted according to its ordinary </w:t>
      </w:r>
      <w:r w:rsidR="00E76ADD">
        <w:t>meaning and</w:t>
      </w:r>
      <w:r>
        <w:t xml:space="preserve"> would </w:t>
      </w:r>
      <w:r w:rsidR="00F71E05">
        <w:t>include ‘harm or injury’.</w:t>
      </w:r>
      <w:r w:rsidR="00F71E05">
        <w:rPr>
          <w:rStyle w:val="FootnoteReference"/>
        </w:rPr>
        <w:footnoteReference w:id="143"/>
      </w:r>
      <w:r w:rsidR="00F71E05">
        <w:t xml:space="preserve"> </w:t>
      </w:r>
      <w:r>
        <w:t>Such damage could include:</w:t>
      </w:r>
    </w:p>
    <w:p w14:paraId="662E5CB4" w14:textId="2B28F43E" w:rsidR="001D5D98" w:rsidRDefault="001D5D98" w:rsidP="00FB311D">
      <w:pPr>
        <w:pStyle w:val="ListParagraph"/>
        <w:numPr>
          <w:ilvl w:val="0"/>
          <w:numId w:val="87"/>
        </w:numPr>
        <w:spacing w:line="257" w:lineRule="auto"/>
      </w:pPr>
      <w:r w:rsidRPr="001D5D98">
        <w:rPr>
          <w:b/>
        </w:rPr>
        <w:t>tangible</w:t>
      </w:r>
      <w:r>
        <w:t xml:space="preserve"> damage</w:t>
      </w:r>
      <w:r w:rsidR="00A63A1A">
        <w:rPr>
          <w:rFonts w:ascii="Calibri" w:hAnsi="Calibri" w:cs="Calibri"/>
        </w:rPr>
        <w:t>—</w:t>
      </w:r>
      <w:r w:rsidR="00F257E7">
        <w:t>for example, financial damage, or</w:t>
      </w:r>
    </w:p>
    <w:p w14:paraId="21FD21E4" w14:textId="192C00A2" w:rsidR="00F71E05" w:rsidRDefault="001D5D98" w:rsidP="00935663">
      <w:pPr>
        <w:pStyle w:val="ListParagraph"/>
        <w:numPr>
          <w:ilvl w:val="0"/>
          <w:numId w:val="87"/>
        </w:numPr>
        <w:spacing w:line="257" w:lineRule="auto"/>
        <w:ind w:right="-22"/>
      </w:pPr>
      <w:r w:rsidRPr="001D5D98">
        <w:rPr>
          <w:b/>
        </w:rPr>
        <w:t>intangible</w:t>
      </w:r>
      <w:r>
        <w:t xml:space="preserve"> damage</w:t>
      </w:r>
      <w:r w:rsidR="00A63A1A">
        <w:rPr>
          <w:rFonts w:ascii="Calibri" w:hAnsi="Calibri" w:cs="Calibri"/>
        </w:rPr>
        <w:t>—</w:t>
      </w:r>
      <w:r>
        <w:t xml:space="preserve">for example, </w:t>
      </w:r>
      <w:r w:rsidR="00F71E05">
        <w:t xml:space="preserve">inhibiting the flow of confidential information relating to security threats. </w:t>
      </w:r>
    </w:p>
    <w:p w14:paraId="0709DF6E" w14:textId="01DEDEA3" w:rsidR="00F71E05" w:rsidRDefault="00F71E05" w:rsidP="00F71E05">
      <w:r>
        <w:t>In making a decision about the possible harmful effects of disclosing information, consideration should be given to other sources of information, and how they might together form a ‘mosaic’.</w:t>
      </w:r>
      <w:r>
        <w:rPr>
          <w:rStyle w:val="FootnoteReference"/>
        </w:rPr>
        <w:footnoteReference w:id="144"/>
      </w:r>
      <w:r>
        <w:t xml:space="preserve"> </w:t>
      </w:r>
      <w:r w:rsidR="00C36BC0">
        <w:t>That is</w:t>
      </w:r>
      <w:r w:rsidR="000D25E3">
        <w:t>, while the information on its own may be harmless, when combined with other pieces of information, can generate a ‘mosaic’ that may harm the security of the Commonwealth,</w:t>
      </w:r>
      <w:r w:rsidR="00E76ADD">
        <w:t xml:space="preserve"> the</w:t>
      </w:r>
      <w:r w:rsidR="000D25E3">
        <w:t xml:space="preserve"> Territory or a State.</w:t>
      </w:r>
    </w:p>
    <w:p w14:paraId="07B0B054" w14:textId="0048DBD0" w:rsidR="00C73CD2" w:rsidRPr="00C73CD2" w:rsidRDefault="00C73CD2"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C73CD2">
        <w:rPr>
          <w:b/>
        </w:rPr>
        <w:t xml:space="preserve">Note: </w:t>
      </w:r>
    </w:p>
    <w:p w14:paraId="1B791C85" w14:textId="3893D6E1" w:rsidR="00C73CD2" w:rsidRDefault="00C73CD2" w:rsidP="00E0213F">
      <w:pPr>
        <w:pStyle w:val="ListParagraph"/>
        <w:numPr>
          <w:ilvl w:val="0"/>
          <w:numId w:val="109"/>
        </w:numPr>
        <w:pBdr>
          <w:top w:val="single" w:sz="4" w:space="1" w:color="auto"/>
          <w:left w:val="single" w:sz="4" w:space="4" w:color="auto"/>
          <w:bottom w:val="single" w:sz="4" w:space="1" w:color="auto"/>
          <w:right w:val="single" w:sz="4" w:space="4" w:color="auto"/>
        </w:pBdr>
        <w:shd w:val="clear" w:color="auto" w:fill="D9E2F3" w:themeFill="accent5" w:themeFillTint="33"/>
      </w:pPr>
      <w:r>
        <w:t>Where s 1.13 applies and disclosure of the information could reasonably be expected to endanger the life or physical safety of a person, an agency or Minister may refuse to confirm or deny that they hold the information: see s 35(1)(e) and</w:t>
      </w:r>
      <w:r w:rsidR="000C2CDE">
        <w:t xml:space="preserve"> </w:t>
      </w:r>
      <w:hyperlink r:id="rId52" w:history="1">
        <w:r w:rsidR="00C476A4" w:rsidRPr="00C476A4">
          <w:rPr>
            <w:rStyle w:val="Hyperlink"/>
          </w:rPr>
          <w:t>FOI Guidelines Vol 3 – Dealing with access applications</w:t>
        </w:r>
      </w:hyperlink>
      <w:r w:rsidR="00C476A4">
        <w:t xml:space="preserve">. </w:t>
      </w:r>
    </w:p>
    <w:p w14:paraId="20CD29E6" w14:textId="1C28DF32" w:rsidR="00F71E05" w:rsidRPr="007A1116" w:rsidRDefault="00F71E05" w:rsidP="002530AE">
      <w:pPr>
        <w:pStyle w:val="Heading4"/>
        <w:rPr>
          <w:b/>
        </w:rPr>
      </w:pPr>
      <w:bookmarkStart w:id="699" w:name="_Security_of_the"/>
      <w:bookmarkStart w:id="700" w:name="_Ref22558277"/>
      <w:bookmarkEnd w:id="699"/>
      <w:r w:rsidRPr="007A1116">
        <w:t xml:space="preserve">Security of the Commonwealth </w:t>
      </w:r>
      <w:r w:rsidR="001D5D98">
        <w:t>– s</w:t>
      </w:r>
      <w:r w:rsidR="004E3532">
        <w:t xml:space="preserve"> </w:t>
      </w:r>
      <w:r w:rsidR="001D5D98">
        <w:t>1.</w:t>
      </w:r>
      <w:r w:rsidR="00FF6F12">
        <w:t>1</w:t>
      </w:r>
      <w:r w:rsidR="001D5D98">
        <w:t>3(2)</w:t>
      </w:r>
      <w:bookmarkEnd w:id="700"/>
    </w:p>
    <w:p w14:paraId="79CD1319" w14:textId="468D7C55" w:rsidR="00F71E05" w:rsidRDefault="00F71E05" w:rsidP="002530AE">
      <w:pPr>
        <w:keepNext/>
        <w:keepLines/>
      </w:pPr>
      <w:r>
        <w:t xml:space="preserve">The security of the Commonwealth </w:t>
      </w:r>
      <w:r w:rsidR="001D5D98">
        <w:t>is defined under s 1.</w:t>
      </w:r>
      <w:r w:rsidR="00BD3B74">
        <w:t>1</w:t>
      </w:r>
      <w:r w:rsidR="001D5D98">
        <w:t xml:space="preserve">3(2) to </w:t>
      </w:r>
      <w:r>
        <w:t>include:</w:t>
      </w:r>
    </w:p>
    <w:p w14:paraId="0C51396F" w14:textId="77777777" w:rsidR="00F257E7" w:rsidRDefault="001D5D98" w:rsidP="009B05C4">
      <w:pPr>
        <w:pStyle w:val="ListParagraph"/>
        <w:numPr>
          <w:ilvl w:val="0"/>
          <w:numId w:val="87"/>
        </w:numPr>
        <w:spacing w:line="256" w:lineRule="auto"/>
      </w:pPr>
      <w:r>
        <w:t>m</w:t>
      </w:r>
      <w:r w:rsidR="00F71E05">
        <w:t xml:space="preserve">atters relating to </w:t>
      </w:r>
      <w:r w:rsidR="00F71E05" w:rsidRPr="008B4C70">
        <w:t>detecting, preventing or suppressing activities</w:t>
      </w:r>
      <w:r w:rsidR="00F71E05">
        <w:t xml:space="preserve">, whether within or outside Australia, that are </w:t>
      </w:r>
      <w:r w:rsidR="00F71E05" w:rsidRPr="008B4C70">
        <w:t>subversive of, or hostile to</w:t>
      </w:r>
      <w:r w:rsidR="00F71E05">
        <w:t xml:space="preserve">, the </w:t>
      </w:r>
      <w:r w:rsidR="00F71E05" w:rsidRPr="008B4C70">
        <w:t>interests of the Commonwealth or a country allied or associated with the Commonwealth</w:t>
      </w:r>
      <w:r w:rsidR="00F71E05">
        <w:rPr>
          <w:rStyle w:val="FootnoteReference"/>
        </w:rPr>
        <w:footnoteReference w:id="145"/>
      </w:r>
      <w:r w:rsidR="00F71E05">
        <w:t xml:space="preserve"> and </w:t>
      </w:r>
    </w:p>
    <w:p w14:paraId="23EB00C0" w14:textId="4EFF3994" w:rsidR="00F71E05" w:rsidRDefault="001D5D98" w:rsidP="009B05C4">
      <w:pPr>
        <w:pStyle w:val="ListParagraph"/>
        <w:numPr>
          <w:ilvl w:val="0"/>
          <w:numId w:val="87"/>
        </w:numPr>
        <w:spacing w:line="256" w:lineRule="auto"/>
      </w:pPr>
      <w:r>
        <w:t>t</w:t>
      </w:r>
      <w:r w:rsidR="00F71E05">
        <w:t>he security of communications systems or cryptographic system of the Commonwealth or another country used for</w:t>
      </w:r>
    </w:p>
    <w:p w14:paraId="098883F2" w14:textId="3B4C563A" w:rsidR="00F71E05" w:rsidRDefault="001D5D98" w:rsidP="007C3B2A">
      <w:pPr>
        <w:pStyle w:val="ListParagraph"/>
        <w:numPr>
          <w:ilvl w:val="1"/>
          <w:numId w:val="19"/>
        </w:numPr>
        <w:spacing w:after="0" w:line="257" w:lineRule="auto"/>
        <w:ind w:left="1071" w:right="-22" w:hanging="357"/>
        <w:contextualSpacing w:val="0"/>
      </w:pPr>
      <w:r>
        <w:t>t</w:t>
      </w:r>
      <w:r w:rsidR="00F71E05">
        <w:t>he defence of the Commonwealth or a country allied or associated with the Commonwealth</w:t>
      </w:r>
      <w:r>
        <w:t>,</w:t>
      </w:r>
      <w:r w:rsidR="00F71E05">
        <w:t xml:space="preserve"> or</w:t>
      </w:r>
    </w:p>
    <w:p w14:paraId="553A853F" w14:textId="334561BD" w:rsidR="00F71E05" w:rsidRDefault="001D5D98" w:rsidP="00466D15">
      <w:pPr>
        <w:pStyle w:val="ListParagraph"/>
        <w:numPr>
          <w:ilvl w:val="1"/>
          <w:numId w:val="19"/>
        </w:numPr>
        <w:spacing w:after="0" w:line="257" w:lineRule="auto"/>
        <w:ind w:left="1071" w:hanging="357"/>
        <w:contextualSpacing w:val="0"/>
      </w:pPr>
      <w:r>
        <w:t>t</w:t>
      </w:r>
      <w:r w:rsidR="00F71E05">
        <w:t>he conduct of the international relations of the Commonwealth.</w:t>
      </w:r>
      <w:r w:rsidR="00F71E05">
        <w:rPr>
          <w:rStyle w:val="FootnoteReference"/>
        </w:rPr>
        <w:footnoteReference w:id="146"/>
      </w:r>
      <w:r w:rsidR="00F71E05">
        <w:t xml:space="preserve"> </w:t>
      </w:r>
    </w:p>
    <w:p w14:paraId="6F543E8C" w14:textId="479E9250" w:rsidR="001D5D98" w:rsidRDefault="001D5D98" w:rsidP="00F257E7">
      <w:pPr>
        <w:spacing w:before="120" w:line="257" w:lineRule="auto"/>
      </w:pPr>
      <w:r>
        <w:t xml:space="preserve">For example, the release of information that reveals certain weaknesses in </w:t>
      </w:r>
      <w:r w:rsidRPr="00054A72">
        <w:t>airport or airline security processes could cause damage to the security of the Commonwealth</w:t>
      </w:r>
      <w:r>
        <w:t xml:space="preserve">. </w:t>
      </w:r>
    </w:p>
    <w:p w14:paraId="399DEAD1" w14:textId="75F04A7C" w:rsidR="00F71E05" w:rsidRDefault="00F71E05" w:rsidP="00F71E05">
      <w:pPr>
        <w:pStyle w:val="Heading4"/>
        <w:rPr>
          <w:b/>
        </w:rPr>
      </w:pPr>
      <w:bookmarkStart w:id="701" w:name="_Security_of_the_1"/>
      <w:bookmarkEnd w:id="701"/>
      <w:r>
        <w:t>Security of the Territory or State</w:t>
      </w:r>
      <w:r w:rsidR="001D5D98">
        <w:t xml:space="preserve"> –</w:t>
      </w:r>
      <w:r w:rsidR="00BC2261">
        <w:t xml:space="preserve"> </w:t>
      </w:r>
      <w:r w:rsidR="001D5D98">
        <w:t>s</w:t>
      </w:r>
      <w:r w:rsidR="000D25E3">
        <w:t xml:space="preserve"> </w:t>
      </w:r>
      <w:r w:rsidR="001D5D98">
        <w:t>1.</w:t>
      </w:r>
      <w:r w:rsidR="00FF6F12">
        <w:t>13</w:t>
      </w:r>
      <w:r w:rsidR="001D5D98">
        <w:t>(3)</w:t>
      </w:r>
    </w:p>
    <w:p w14:paraId="705F54FF" w14:textId="4B643C23" w:rsidR="00F71E05" w:rsidRDefault="00F71E05" w:rsidP="00F71E05">
      <w:r>
        <w:t>The security of the Territory o</w:t>
      </w:r>
      <w:r w:rsidR="007C3B2A">
        <w:t>r</w:t>
      </w:r>
      <w:r w:rsidR="00C07EC2">
        <w:t xml:space="preserve"> a</w:t>
      </w:r>
      <w:r>
        <w:t xml:space="preserve"> State includes matters relating to detecting, preventing or suppressing activities within or outside the Territory or </w:t>
      </w:r>
      <w:r w:rsidR="007C3B2A">
        <w:t xml:space="preserve">a </w:t>
      </w:r>
      <w:r>
        <w:t>State, that are subversive of, or hostile to, the interests of the Territory o</w:t>
      </w:r>
      <w:r w:rsidR="007C3B2A">
        <w:t>r</w:t>
      </w:r>
      <w:r>
        <w:t xml:space="preserve"> a State.</w:t>
      </w:r>
    </w:p>
    <w:p w14:paraId="6775AB9F" w14:textId="61236BDF" w:rsidR="003923D4" w:rsidRDefault="003923D4" w:rsidP="007C3B2A">
      <w:pPr>
        <w:spacing w:line="257" w:lineRule="auto"/>
        <w:ind w:right="-22"/>
      </w:pPr>
      <w:r>
        <w:t xml:space="preserve">For example, the release of information </w:t>
      </w:r>
      <w:r w:rsidR="00A214FF">
        <w:t xml:space="preserve">relating to the Territory government’s information security arrangements that could reasonably be expected to facilitate cyber threats may fall </w:t>
      </w:r>
      <w:r w:rsidR="00BD3B74">
        <w:t>within the scope of</w:t>
      </w:r>
      <w:r w:rsidR="00FB311D">
        <w:t xml:space="preserve"> </w:t>
      </w:r>
      <w:r w:rsidR="00A214FF">
        <w:t>s</w:t>
      </w:r>
      <w:r w:rsidR="00FB311D">
        <w:t> </w:t>
      </w:r>
      <w:r w:rsidR="00A214FF">
        <w:t>1.13.</w:t>
      </w:r>
    </w:p>
    <w:p w14:paraId="79208A0D" w14:textId="698157AC" w:rsidR="001D5D98" w:rsidRDefault="001D5D98"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1D5D98">
        <w:rPr>
          <w:b/>
        </w:rPr>
        <w:t xml:space="preserve">Note: </w:t>
      </w:r>
    </w:p>
    <w:p w14:paraId="36CCF3EC" w14:textId="7C747AD1" w:rsidR="001D5D98" w:rsidRPr="003E3940" w:rsidRDefault="001D5D98" w:rsidP="00E0213F">
      <w:pPr>
        <w:pStyle w:val="ListParagraph"/>
        <w:numPr>
          <w:ilvl w:val="0"/>
          <w:numId w:val="88"/>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The ordinary meaning of ‘subvert’ includes overturn, upset, or effect destruction or overthrow of.</w:t>
      </w:r>
      <w:r w:rsidR="003E3940">
        <w:t xml:space="preserve"> </w:t>
      </w:r>
      <w:r>
        <w:t>‘Hostile’ means ‘of an enemy’, unfriendly or opposed.</w:t>
      </w:r>
      <w:r>
        <w:rPr>
          <w:rStyle w:val="FootnoteReference"/>
        </w:rPr>
        <w:footnoteReference w:id="147"/>
      </w:r>
    </w:p>
    <w:p w14:paraId="6CF96C5B" w14:textId="480802B5" w:rsidR="006D0AC6" w:rsidRPr="00B7034B" w:rsidRDefault="003E3940" w:rsidP="00B7034B">
      <w:pPr>
        <w:pStyle w:val="ListParagraph"/>
        <w:numPr>
          <w:ilvl w:val="0"/>
          <w:numId w:val="88"/>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Where security concerns are raised as part of a third party consultation process, agencies are encouraged to explain in their decision why they consider s 1.13 does not apply to the information being sought, including any expert advice that has been sought to confirm that there are no security implications.</w:t>
      </w:r>
    </w:p>
    <w:p w14:paraId="5D1DC0E2" w14:textId="511F573F" w:rsidR="00174665" w:rsidRPr="00474428" w:rsidRDefault="00174665" w:rsidP="007C3B2A">
      <w:pPr>
        <w:keepLines/>
        <w:pBdr>
          <w:top w:val="single" w:sz="4" w:space="1" w:color="auto"/>
          <w:left w:val="single" w:sz="4" w:space="1" w:color="auto"/>
          <w:bottom w:val="single" w:sz="4" w:space="1" w:color="auto"/>
          <w:right w:val="single" w:sz="4" w:space="1" w:color="auto"/>
        </w:pBdr>
        <w:shd w:val="clear" w:color="auto" w:fill="D9E2F3" w:themeFill="accent5" w:themeFillTint="33"/>
        <w:rPr>
          <w:b/>
          <w:bCs/>
        </w:rPr>
      </w:pPr>
      <w:bookmarkStart w:id="702" w:name="_Section_1.14_–"/>
      <w:bookmarkStart w:id="703" w:name="_Ref10618964"/>
      <w:bookmarkEnd w:id="702"/>
      <w:r w:rsidRPr="0094288C">
        <w:rPr>
          <w:b/>
          <w:bCs/>
          <w:iCs/>
        </w:rPr>
        <w:t>Case study:</w:t>
      </w:r>
      <w:r>
        <w:rPr>
          <w:b/>
          <w:bCs/>
          <w:i/>
          <w:iCs/>
        </w:rPr>
        <w:t xml:space="preserve"> </w:t>
      </w:r>
      <w:r w:rsidR="00E07A79" w:rsidRPr="008712A5">
        <w:rPr>
          <w:b/>
          <w:i/>
        </w:rPr>
        <w:t>Canberra Metro Construction and Chief Minister, Treasury and Economic Development Directorate</w:t>
      </w:r>
      <w:r w:rsidR="00A66F9C">
        <w:rPr>
          <w:rStyle w:val="FootnoteReference"/>
          <w:b/>
          <w:i/>
        </w:rPr>
        <w:footnoteReference w:id="148"/>
      </w:r>
      <w:r w:rsidR="00E07A79" w:rsidRPr="008712A5">
        <w:rPr>
          <w:b/>
        </w:rPr>
        <w:t xml:space="preserve"> </w:t>
      </w:r>
    </w:p>
    <w:p w14:paraId="46387596" w14:textId="52ED61F3" w:rsidR="00A46E3A" w:rsidRDefault="00FF3202" w:rsidP="007C3B2A">
      <w:pPr>
        <w:keepLines/>
        <w:pBdr>
          <w:top w:val="single" w:sz="4" w:space="1" w:color="auto"/>
          <w:left w:val="single" w:sz="4" w:space="1" w:color="auto"/>
          <w:bottom w:val="single" w:sz="4" w:space="1" w:color="auto"/>
          <w:right w:val="single" w:sz="4" w:space="1" w:color="auto"/>
        </w:pBdr>
        <w:shd w:val="clear" w:color="auto" w:fill="D9E2F3" w:themeFill="accent5" w:themeFillTint="33"/>
        <w:spacing w:line="252" w:lineRule="auto"/>
      </w:pPr>
      <w:r>
        <w:t>A relevant third party</w:t>
      </w:r>
      <w:r w:rsidR="00E07A79">
        <w:t xml:space="preserve"> sought review of the Chief Minister, Treasury and Economic Development Directorate’s </w:t>
      </w:r>
      <w:r w:rsidR="00F257E7">
        <w:t xml:space="preserve">(CMTEDD) </w:t>
      </w:r>
      <w:r w:rsidR="00E07A79">
        <w:t>decision to disclose information relating to the electrical safety of the Canberra Light Rail.</w:t>
      </w:r>
      <w:r>
        <w:t xml:space="preserve"> They </w:t>
      </w:r>
      <w:r w:rsidR="00F257E7">
        <w:t xml:space="preserve">objected to disclosure, including on the basis that it </w:t>
      </w:r>
      <w:r w:rsidR="00E07A79">
        <w:t>was contrary to the public interest</w:t>
      </w:r>
      <w:r w:rsidR="00F257E7">
        <w:t xml:space="preserve"> information</w:t>
      </w:r>
      <w:r>
        <w:t>,</w:t>
      </w:r>
      <w:r w:rsidR="00F257E7">
        <w:t xml:space="preserve"> because it </w:t>
      </w:r>
      <w:r w:rsidR="00E07A79">
        <w:t>would, or could reasonably be expected to</w:t>
      </w:r>
      <w:r w:rsidR="00F257E7">
        <w:t>,</w:t>
      </w:r>
      <w:r w:rsidR="00E07A79">
        <w:t xml:space="preserve"> damage the security of the Commonwealth, the Territory or a State</w:t>
      </w:r>
      <w:r w:rsidR="00F257E7">
        <w:t>.</w:t>
      </w:r>
    </w:p>
    <w:p w14:paraId="119200CA" w14:textId="18EBCEE9" w:rsidR="00F257E7" w:rsidRDefault="00F257E7" w:rsidP="007C3B2A">
      <w:pPr>
        <w:keepNext/>
        <w:keepLines/>
        <w:pBdr>
          <w:top w:val="single" w:sz="4" w:space="1" w:color="auto"/>
          <w:left w:val="single" w:sz="4" w:space="1" w:color="auto"/>
          <w:bottom w:val="single" w:sz="4" w:space="1" w:color="auto"/>
          <w:right w:val="single" w:sz="4" w:space="1" w:color="auto"/>
        </w:pBdr>
        <w:shd w:val="clear" w:color="auto" w:fill="D9E2F3" w:themeFill="accent5" w:themeFillTint="33"/>
        <w:spacing w:line="252" w:lineRule="auto"/>
      </w:pPr>
      <w:r>
        <w:t xml:space="preserve">The Ombudsman found that disclosure of the information </w:t>
      </w:r>
      <w:r w:rsidR="00EA5379">
        <w:t xml:space="preserve">in </w:t>
      </w:r>
      <w:r>
        <w:t xml:space="preserve">issue was </w:t>
      </w:r>
      <w:r w:rsidRPr="00F257E7">
        <w:rPr>
          <w:b/>
        </w:rPr>
        <w:t xml:space="preserve">not </w:t>
      </w:r>
      <w:r>
        <w:t>contrary to the public interest, because the potential harm was not demonstrated to be reasonably based or highly likely.</w:t>
      </w:r>
      <w:r w:rsidR="00640FB0">
        <w:t xml:space="preserve"> That is, there was no evidence to suggest that an attack on the light rail that could damage the security of the Commonwealth or Territory was anything more than a mere possibility</w:t>
      </w:r>
      <w:r w:rsidR="00EA5379">
        <w:t xml:space="preserve">. </w:t>
      </w:r>
    </w:p>
    <w:p w14:paraId="1AA5F3CD" w14:textId="6058C268" w:rsidR="00F257E7" w:rsidRDefault="008C70EB" w:rsidP="007C3B2A">
      <w:pPr>
        <w:keepNext/>
        <w:keepLines/>
        <w:pBdr>
          <w:top w:val="single" w:sz="4" w:space="1" w:color="auto"/>
          <w:left w:val="single" w:sz="4" w:space="1" w:color="auto"/>
          <w:bottom w:val="single" w:sz="4" w:space="1" w:color="auto"/>
          <w:right w:val="single" w:sz="4" w:space="1" w:color="auto"/>
        </w:pBdr>
        <w:shd w:val="clear" w:color="auto" w:fill="D9E2F3" w:themeFill="accent5" w:themeFillTint="33"/>
        <w:spacing w:line="252" w:lineRule="auto"/>
      </w:pPr>
      <w:r>
        <w:t xml:space="preserve">The </w:t>
      </w:r>
      <w:r w:rsidR="00F257E7">
        <w:t xml:space="preserve">Ombudsman took into account </w:t>
      </w:r>
      <w:r>
        <w:t xml:space="preserve">further submissions </w:t>
      </w:r>
      <w:r w:rsidR="00F257E7">
        <w:t xml:space="preserve">provided by CMTEDD which outlined the </w:t>
      </w:r>
      <w:r>
        <w:t xml:space="preserve">consultation </w:t>
      </w:r>
      <w:r w:rsidR="00F257E7">
        <w:t xml:space="preserve">it had undertaken </w:t>
      </w:r>
      <w:r>
        <w:t xml:space="preserve">with various parts of ACT Government to assess the risk of </w:t>
      </w:r>
      <w:r w:rsidR="00DE1467">
        <w:t xml:space="preserve">disclosure. </w:t>
      </w:r>
      <w:r>
        <w:t>Considerations included whether the project was included in the critical infrastructure list for the ACT.</w:t>
      </w:r>
      <w:r w:rsidR="00F257E7">
        <w:t xml:space="preserve"> The Ombudsman also noted the absence of security markers </w:t>
      </w:r>
      <w:r w:rsidR="00A82B6B">
        <w:t xml:space="preserve">was </w:t>
      </w:r>
      <w:r w:rsidR="00F257E7">
        <w:t>not determinative in considering whether disclosing information would be expected to damage the security of the Territory.</w:t>
      </w:r>
    </w:p>
    <w:p w14:paraId="144C9D2C" w14:textId="78B49A60" w:rsidR="00F71E05" w:rsidRDefault="00A24D3D" w:rsidP="009B05C4">
      <w:pPr>
        <w:pStyle w:val="Heading2"/>
        <w:numPr>
          <w:ilvl w:val="1"/>
          <w:numId w:val="54"/>
        </w:numPr>
        <w:ind w:left="567" w:hanging="567"/>
      </w:pPr>
      <w:bookmarkStart w:id="704" w:name="_Section_1.14_–_1"/>
      <w:bookmarkEnd w:id="704"/>
      <w:r>
        <w:t xml:space="preserve"> </w:t>
      </w:r>
      <w:bookmarkStart w:id="705" w:name="_Toc43385545"/>
      <w:bookmarkStart w:id="706" w:name="_Toc152067329"/>
      <w:r w:rsidR="00F71E05">
        <w:t>Section 1.14 – law enforcement or public safety information</w:t>
      </w:r>
      <w:bookmarkEnd w:id="703"/>
      <w:bookmarkEnd w:id="705"/>
      <w:bookmarkEnd w:id="706"/>
    </w:p>
    <w:p w14:paraId="0CB0AA85" w14:textId="11442D77" w:rsidR="001D5D98" w:rsidRDefault="001D5D98" w:rsidP="00F71E05">
      <w:pPr>
        <w:pStyle w:val="Heading4"/>
      </w:pPr>
      <w:r>
        <w:t>Background</w:t>
      </w:r>
    </w:p>
    <w:p w14:paraId="568AFDC8" w14:textId="57BB03B8" w:rsidR="00814539" w:rsidRDefault="00A011F3" w:rsidP="00A011F3">
      <w:r>
        <w:t xml:space="preserve">Most FOI legislation </w:t>
      </w:r>
      <w:r w:rsidR="00814539">
        <w:t>includes protections for</w:t>
      </w:r>
      <w:r>
        <w:t xml:space="preserve"> law enforcement or public safety related information. </w:t>
      </w:r>
      <w:r w:rsidR="00814539">
        <w:t xml:space="preserve">For example, where release of information at a particular time would deprive the regulatory agency of some advantage in </w:t>
      </w:r>
      <w:r w:rsidR="00F96507">
        <w:t>questioning or</w:t>
      </w:r>
      <w:r w:rsidR="00814539">
        <w:t xml:space="preserve"> being able to take timely action against individuals or organisations identified as of concern.</w:t>
      </w:r>
    </w:p>
    <w:p w14:paraId="5A364F10" w14:textId="225F7106" w:rsidR="00F71E05" w:rsidRDefault="00F71E05" w:rsidP="00A011F3">
      <w:pPr>
        <w:pStyle w:val="Heading4"/>
      </w:pPr>
      <w:r>
        <w:t>Overview</w:t>
      </w:r>
    </w:p>
    <w:p w14:paraId="70840DD9" w14:textId="6DF2496C" w:rsidR="00F71E05" w:rsidRDefault="00F71E05" w:rsidP="007C3B2A">
      <w:pPr>
        <w:ind w:right="-22"/>
      </w:pPr>
      <w:r>
        <w:t>Section 1.14 provides that the disclosure of information is taken to be contrary to the public interest if it would, or could reasonably be expected to, affect law enforcement or public safety in any of the following ways:</w:t>
      </w:r>
    </w:p>
    <w:p w14:paraId="15143366" w14:textId="77777777" w:rsidR="00F71E05" w:rsidRDefault="00F71E05" w:rsidP="009B05C4">
      <w:pPr>
        <w:pStyle w:val="ListParagraph"/>
        <w:numPr>
          <w:ilvl w:val="0"/>
          <w:numId w:val="89"/>
        </w:numPr>
      </w:pPr>
      <w:r>
        <w:t>prejudice the investigation of a contravention or possible contravention of the law in a particular case</w:t>
      </w:r>
    </w:p>
    <w:p w14:paraId="43048361" w14:textId="77777777" w:rsidR="00F71E05" w:rsidRDefault="00F71E05" w:rsidP="009B05C4">
      <w:pPr>
        <w:pStyle w:val="ListParagraph"/>
        <w:numPr>
          <w:ilvl w:val="0"/>
          <w:numId w:val="89"/>
        </w:numPr>
      </w:pPr>
      <w:r>
        <w:t>identify the existence or identity of a confidential source of information in relation to the enforcement or administration of the law</w:t>
      </w:r>
    </w:p>
    <w:p w14:paraId="1F310A57" w14:textId="77777777" w:rsidR="00F71E05" w:rsidRDefault="00F71E05" w:rsidP="009B05C4">
      <w:pPr>
        <w:pStyle w:val="ListParagraph"/>
        <w:numPr>
          <w:ilvl w:val="0"/>
          <w:numId w:val="89"/>
        </w:numPr>
      </w:pPr>
      <w:bookmarkStart w:id="707" w:name="_Ref10618319"/>
      <w:r>
        <w:t>endanger a person's life or physical safety</w:t>
      </w:r>
      <w:bookmarkEnd w:id="707"/>
    </w:p>
    <w:p w14:paraId="376666E0" w14:textId="77777777" w:rsidR="00F71E05" w:rsidRDefault="00F71E05" w:rsidP="009B05C4">
      <w:pPr>
        <w:pStyle w:val="ListParagraph"/>
        <w:numPr>
          <w:ilvl w:val="0"/>
          <w:numId w:val="89"/>
        </w:numPr>
      </w:pPr>
      <w:r>
        <w:t>result in a person being subject to a serious act of harassment or intimidation</w:t>
      </w:r>
    </w:p>
    <w:p w14:paraId="6E856CD9" w14:textId="77777777" w:rsidR="00F71E05" w:rsidRDefault="00F71E05" w:rsidP="009B05C4">
      <w:pPr>
        <w:pStyle w:val="ListParagraph"/>
        <w:numPr>
          <w:ilvl w:val="0"/>
          <w:numId w:val="89"/>
        </w:numPr>
      </w:pPr>
      <w:r>
        <w:t>prejudice a person's fair trial or the impartial adjudication of a matter before a court or tribunal</w:t>
      </w:r>
    </w:p>
    <w:p w14:paraId="0FADB9FF" w14:textId="77777777" w:rsidR="00F71E05" w:rsidRDefault="00F71E05" w:rsidP="009B05C4">
      <w:pPr>
        <w:pStyle w:val="ListParagraph"/>
        <w:numPr>
          <w:ilvl w:val="0"/>
          <w:numId w:val="89"/>
        </w:numPr>
      </w:pPr>
      <w:r>
        <w:t>prejudice the effectiveness of a lawful method or procedure for preventing, detecting, investigating or dealing with a contravention or possible contravention of the law</w:t>
      </w:r>
    </w:p>
    <w:p w14:paraId="16C5142D" w14:textId="77777777" w:rsidR="00F71E05" w:rsidRDefault="00F71E05" w:rsidP="009B05C4">
      <w:pPr>
        <w:pStyle w:val="ListParagraph"/>
        <w:numPr>
          <w:ilvl w:val="0"/>
          <w:numId w:val="89"/>
        </w:numPr>
        <w:ind w:right="-306"/>
      </w:pPr>
      <w:r>
        <w:t>prejudice the maintenance or enforcement of a lawful method or procedure for protecting public safety</w:t>
      </w:r>
    </w:p>
    <w:p w14:paraId="21A3C017" w14:textId="77777777" w:rsidR="00F71E05" w:rsidRDefault="00F71E05" w:rsidP="009B05C4">
      <w:pPr>
        <w:pStyle w:val="ListParagraph"/>
        <w:numPr>
          <w:ilvl w:val="0"/>
          <w:numId w:val="89"/>
        </w:numPr>
      </w:pPr>
      <w:r>
        <w:t>endanger the security of a building, structure or vehicle</w:t>
      </w:r>
    </w:p>
    <w:p w14:paraId="220CFF9C" w14:textId="77777777" w:rsidR="00F71E05" w:rsidRDefault="00F71E05" w:rsidP="009B05C4">
      <w:pPr>
        <w:pStyle w:val="ListParagraph"/>
        <w:numPr>
          <w:ilvl w:val="0"/>
          <w:numId w:val="89"/>
        </w:numPr>
      </w:pPr>
      <w:r>
        <w:t>prejudice a system or procedure for the protection of people, property or the environment</w:t>
      </w:r>
    </w:p>
    <w:p w14:paraId="67B6C190" w14:textId="77777777" w:rsidR="00F71E05" w:rsidRDefault="00F71E05" w:rsidP="009B05C4">
      <w:pPr>
        <w:pStyle w:val="ListParagraph"/>
        <w:numPr>
          <w:ilvl w:val="0"/>
          <w:numId w:val="89"/>
        </w:numPr>
      </w:pPr>
      <w:r>
        <w:t>facilitate a person's escape from lawful custody, or</w:t>
      </w:r>
    </w:p>
    <w:p w14:paraId="692C8C7F" w14:textId="43F00DA9" w:rsidR="00F71E05" w:rsidRDefault="00F71E05" w:rsidP="009B05C4">
      <w:pPr>
        <w:pStyle w:val="ListParagraph"/>
        <w:numPr>
          <w:ilvl w:val="0"/>
          <w:numId w:val="89"/>
        </w:numPr>
      </w:pPr>
      <w:r>
        <w:t>prejudice the wellbeing of a cultural or natural resource or the habitat of animals or plants.</w:t>
      </w:r>
    </w:p>
    <w:p w14:paraId="27FDCEFD" w14:textId="5B39D681" w:rsidR="00F257E7" w:rsidRDefault="00F257E7" w:rsidP="00F257E7">
      <w:r>
        <w:t xml:space="preserve">Each of these possible </w:t>
      </w:r>
      <w:r w:rsidR="00B7581D">
        <w:t>outcomes, which are listed in s</w:t>
      </w:r>
      <w:r>
        <w:t xml:space="preserve"> 1.14(1)</w:t>
      </w:r>
      <w:r w:rsidR="00354E57">
        <w:t>,</w:t>
      </w:r>
      <w:r>
        <w:t xml:space="preserve"> are discussed in detail below.</w:t>
      </w:r>
    </w:p>
    <w:p w14:paraId="71C3D9F2" w14:textId="77777777" w:rsidR="001D5D98" w:rsidRPr="001D5D98" w:rsidRDefault="001D5D98" w:rsidP="007C3B2A">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1D5D98">
        <w:rPr>
          <w:b/>
        </w:rPr>
        <w:t>Note:</w:t>
      </w:r>
    </w:p>
    <w:p w14:paraId="432080E0" w14:textId="2561C6ED" w:rsidR="003923D4" w:rsidRDefault="003923D4" w:rsidP="007C3B2A">
      <w:pPr>
        <w:pStyle w:val="ListParagraph"/>
        <w:keepNext/>
        <w:keepLines/>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‘law’ includes both criminal and civil laws </w:t>
      </w:r>
      <w:r w:rsidR="00F92535">
        <w:t>–</w:t>
      </w:r>
      <w:r>
        <w:t xml:space="preserve"> that is, any Territory Act, subordinate law, other statutory instrument of a legislative nature, and the common law.</w:t>
      </w:r>
      <w:r>
        <w:rPr>
          <w:rStyle w:val="FootnoteReference"/>
        </w:rPr>
        <w:footnoteReference w:id="149"/>
      </w:r>
      <w:r>
        <w:t xml:space="preserve"> Relevant information should, however, have a connection with the criminal law or with processes of upholding/enforcing civil law.</w:t>
      </w:r>
      <w:r>
        <w:rPr>
          <w:rStyle w:val="FootnoteReference"/>
        </w:rPr>
        <w:footnoteReference w:id="150"/>
      </w:r>
      <w:r>
        <w:t xml:space="preserve"> </w:t>
      </w:r>
    </w:p>
    <w:p w14:paraId="4AF21C28" w14:textId="6868AB84" w:rsidR="003923D4" w:rsidRDefault="003923D4" w:rsidP="007C3B2A">
      <w:pPr>
        <w:pStyle w:val="ListParagraph"/>
        <w:keepNext/>
        <w:keepLines/>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t>For the purposes of s 1.14, ‘law’ also includes a ‘law’ of the Commonwealth, a S</w:t>
      </w:r>
      <w:r w:rsidR="00B7581D">
        <w:t>tate or a foreign country</w:t>
      </w:r>
      <w:r>
        <w:t>.</w:t>
      </w:r>
      <w:r w:rsidR="00B7581D">
        <w:rPr>
          <w:rStyle w:val="FootnoteReference"/>
        </w:rPr>
        <w:footnoteReference w:id="151"/>
      </w:r>
      <w:r>
        <w:t xml:space="preserve"> ‘State’ includes the Northern Territory.</w:t>
      </w:r>
      <w:r>
        <w:rPr>
          <w:rStyle w:val="FootnoteReference"/>
        </w:rPr>
        <w:footnoteReference w:id="152"/>
      </w:r>
      <w:r>
        <w:t xml:space="preserve"> </w:t>
      </w:r>
    </w:p>
    <w:p w14:paraId="4180D197" w14:textId="1DD5E743" w:rsidR="002530AE" w:rsidRDefault="002530AE" w:rsidP="007C3B2A">
      <w:pPr>
        <w:pStyle w:val="ListParagraph"/>
        <w:keepNext/>
        <w:keepLines/>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rsidRPr="002530AE">
        <w:t xml:space="preserve">For specific </w:t>
      </w:r>
      <w:r w:rsidR="00F265D1">
        <w:t>guidance</w:t>
      </w:r>
      <w:r w:rsidRPr="002530AE">
        <w:t xml:space="preserve"> on the phrase </w:t>
      </w:r>
      <w:r>
        <w:t>‘</w:t>
      </w:r>
      <w:r w:rsidR="00A83BB5">
        <w:t>w</w:t>
      </w:r>
      <w:r>
        <w:t xml:space="preserve">ould, or </w:t>
      </w:r>
      <w:r w:rsidR="00A83BB5">
        <w:t>c</w:t>
      </w:r>
      <w:r>
        <w:t xml:space="preserve">ould reasonably be expected to’ and the term ‘prejudice’ </w:t>
      </w:r>
      <w:r w:rsidRPr="002530AE">
        <w:t>see</w:t>
      </w:r>
      <w:r>
        <w:t xml:space="preserve"> </w:t>
      </w:r>
      <w:r w:rsidR="006F297E">
        <w:t>[</w:t>
      </w:r>
      <w:hyperlink w:anchor="_Common_terms_and_1" w:history="1">
        <w:r w:rsidR="006F297E" w:rsidRPr="006F297E">
          <w:rPr>
            <w:rStyle w:val="Hyperlink"/>
          </w:rPr>
          <w:t>4</w:t>
        </w:r>
      </w:hyperlink>
      <w:r w:rsidR="006F297E">
        <w:t xml:space="preserve">] above. </w:t>
      </w:r>
    </w:p>
    <w:p w14:paraId="6D16E682" w14:textId="0B040433" w:rsidR="00F71E05" w:rsidRDefault="00F71E05" w:rsidP="00F71E05">
      <w:r>
        <w:t xml:space="preserve">Section 1.14 also provides that the disclosure of information is taken to be contrary to the public interest if the information was: </w:t>
      </w:r>
    </w:p>
    <w:p w14:paraId="22960B87" w14:textId="25745FAF" w:rsidR="00F71E05" w:rsidRDefault="00F71E05" w:rsidP="00FF3202">
      <w:pPr>
        <w:pStyle w:val="ListParagraph"/>
        <w:numPr>
          <w:ilvl w:val="0"/>
          <w:numId w:val="20"/>
        </w:numPr>
        <w:ind w:right="-306"/>
      </w:pPr>
      <w:r>
        <w:t>given in the course of an investigation of a contravention or possible contravention of the law if the information was given under compulsion under an Act that abrogated the privilege against self</w:t>
      </w:r>
      <w:r w:rsidR="00FF3202">
        <w:noBreakHyphen/>
      </w:r>
      <w:r>
        <w:t>incrimination</w:t>
      </w:r>
      <w:r w:rsidR="00AF2870">
        <w:rPr>
          <w:rStyle w:val="FootnoteReference"/>
        </w:rPr>
        <w:footnoteReference w:id="153"/>
      </w:r>
    </w:p>
    <w:p w14:paraId="3A85D543" w14:textId="6818F146" w:rsidR="001D5D98" w:rsidRDefault="001D5D98" w:rsidP="001D5D98">
      <w:pPr>
        <w:pStyle w:val="ListParagraph"/>
        <w:numPr>
          <w:ilvl w:val="1"/>
          <w:numId w:val="20"/>
        </w:numPr>
        <w:ind w:right="119"/>
      </w:pPr>
      <w:r>
        <w:t>Examples of potentially relevant legislation include:</w:t>
      </w:r>
    </w:p>
    <w:p w14:paraId="600FC76C" w14:textId="059AF8D9" w:rsidR="001D5D98" w:rsidRDefault="00E12C0A" w:rsidP="001D5D98">
      <w:pPr>
        <w:pStyle w:val="ListParagraph"/>
        <w:numPr>
          <w:ilvl w:val="2"/>
          <w:numId w:val="20"/>
        </w:numPr>
      </w:pPr>
      <w:hyperlink r:id="rId53" w:history="1">
        <w:r w:rsidR="001D5D98" w:rsidRPr="00E8424D">
          <w:rPr>
            <w:rStyle w:val="Hyperlink"/>
            <w:i/>
          </w:rPr>
          <w:t>Environment Protection Act 1997</w:t>
        </w:r>
      </w:hyperlink>
      <w:r w:rsidR="00887F99">
        <w:t xml:space="preserve"> </w:t>
      </w:r>
      <w:r w:rsidR="00932D82">
        <w:t>(</w:t>
      </w:r>
      <w:r w:rsidR="001D5D98">
        <w:t xml:space="preserve">s </w:t>
      </w:r>
      <w:r w:rsidR="001D5D98" w:rsidRPr="00F67F98">
        <w:t>150</w:t>
      </w:r>
      <w:r w:rsidR="00932D82">
        <w:t>)</w:t>
      </w:r>
      <w:r w:rsidR="001D5D98">
        <w:t xml:space="preserve"> </w:t>
      </w:r>
    </w:p>
    <w:p w14:paraId="58626D8C" w14:textId="0AF93D16" w:rsidR="001D5D98" w:rsidRDefault="00E12C0A" w:rsidP="001D5D98">
      <w:pPr>
        <w:pStyle w:val="ListParagraph"/>
        <w:numPr>
          <w:ilvl w:val="2"/>
          <w:numId w:val="20"/>
        </w:numPr>
      </w:pPr>
      <w:hyperlink r:id="rId54" w:history="1">
        <w:r w:rsidR="001D5D98" w:rsidRPr="00E8424D">
          <w:rPr>
            <w:rStyle w:val="Hyperlink"/>
            <w:i/>
          </w:rPr>
          <w:t>Gas Safety Act 2000</w:t>
        </w:r>
      </w:hyperlink>
      <w:r w:rsidR="00887F99">
        <w:rPr>
          <w:i/>
        </w:rPr>
        <w:t xml:space="preserve"> </w:t>
      </w:r>
      <w:r w:rsidR="00932D82">
        <w:rPr>
          <w:iCs/>
        </w:rPr>
        <w:t>(</w:t>
      </w:r>
      <w:r w:rsidR="001D5D98">
        <w:t xml:space="preserve">s </w:t>
      </w:r>
      <w:r w:rsidR="001D5D98" w:rsidRPr="00F67F98">
        <w:t>58</w:t>
      </w:r>
      <w:r w:rsidR="00932D82">
        <w:t>)</w:t>
      </w:r>
    </w:p>
    <w:p w14:paraId="5311829A" w14:textId="745C9FED" w:rsidR="001D5D98" w:rsidRPr="00DC2526" w:rsidRDefault="00E12C0A" w:rsidP="001D5D98">
      <w:pPr>
        <w:pStyle w:val="ListParagraph"/>
        <w:numPr>
          <w:ilvl w:val="2"/>
          <w:numId w:val="20"/>
        </w:numPr>
      </w:pPr>
      <w:hyperlink r:id="rId55" w:history="1">
        <w:r w:rsidR="001D5D98" w:rsidRPr="00E8424D">
          <w:rPr>
            <w:rStyle w:val="Hyperlink"/>
            <w:i/>
          </w:rPr>
          <w:t>Legal Profession Act 2006</w:t>
        </w:r>
      </w:hyperlink>
      <w:r w:rsidR="001D5D98">
        <w:rPr>
          <w:i/>
        </w:rPr>
        <w:t xml:space="preserve"> </w:t>
      </w:r>
      <w:r w:rsidR="00932D82">
        <w:rPr>
          <w:iCs/>
        </w:rPr>
        <w:t>(</w:t>
      </w:r>
      <w:r w:rsidR="001D5D98">
        <w:t xml:space="preserve">s </w:t>
      </w:r>
      <w:r w:rsidR="001D5D98" w:rsidRPr="00F67F98">
        <w:t>523</w:t>
      </w:r>
      <w:r w:rsidR="00932D82">
        <w:t>)</w:t>
      </w:r>
      <w:r w:rsidR="001D5D98">
        <w:t xml:space="preserve"> </w:t>
      </w:r>
    </w:p>
    <w:p w14:paraId="61CC399E" w14:textId="0A30778E" w:rsidR="001D5D98" w:rsidRDefault="00E12C0A" w:rsidP="001D5D98">
      <w:pPr>
        <w:pStyle w:val="ListParagraph"/>
        <w:numPr>
          <w:ilvl w:val="2"/>
          <w:numId w:val="20"/>
        </w:numPr>
      </w:pPr>
      <w:hyperlink r:id="rId56" w:history="1">
        <w:r w:rsidR="001D5D98" w:rsidRPr="00E8424D">
          <w:rPr>
            <w:rStyle w:val="Hyperlink"/>
            <w:i/>
          </w:rPr>
          <w:t>Tax Administration Act 1999</w:t>
        </w:r>
      </w:hyperlink>
      <w:r w:rsidR="001D5D98">
        <w:rPr>
          <w:i/>
        </w:rPr>
        <w:t xml:space="preserve"> </w:t>
      </w:r>
      <w:r w:rsidR="00932D82">
        <w:rPr>
          <w:iCs/>
        </w:rPr>
        <w:t>(</w:t>
      </w:r>
      <w:r w:rsidR="001D5D98">
        <w:t xml:space="preserve">s </w:t>
      </w:r>
      <w:r w:rsidR="001D5D98" w:rsidRPr="00F67F98">
        <w:t>87</w:t>
      </w:r>
      <w:r w:rsidR="00932D82">
        <w:t>)</w:t>
      </w:r>
      <w:r w:rsidR="00957BB0">
        <w:t>.</w:t>
      </w:r>
      <w:r w:rsidR="001D5D98">
        <w:t xml:space="preserve"> </w:t>
      </w:r>
    </w:p>
    <w:p w14:paraId="71450F15" w14:textId="0E56619B" w:rsidR="00F71E05" w:rsidRDefault="00F71E05" w:rsidP="001D5D98">
      <w:pPr>
        <w:pStyle w:val="ListParagraph"/>
        <w:numPr>
          <w:ilvl w:val="0"/>
          <w:numId w:val="20"/>
        </w:numPr>
      </w:pPr>
      <w:r>
        <w:t>obtained, used or prepared for an investigation by an entity prescribed by regulation in the exercise of a function prescribed by regulation</w:t>
      </w:r>
      <w:r w:rsidR="00957BB0">
        <w:t>.</w:t>
      </w:r>
      <w:r w:rsidR="00F36460">
        <w:rPr>
          <w:rStyle w:val="FootnoteReference"/>
        </w:rPr>
        <w:footnoteReference w:id="154"/>
      </w:r>
      <w:r>
        <w:t xml:space="preserve"> </w:t>
      </w:r>
    </w:p>
    <w:p w14:paraId="274CC141" w14:textId="6E17C30D" w:rsidR="001D5D98" w:rsidRPr="00DC2526" w:rsidRDefault="001D5D98" w:rsidP="001D5D98">
      <w:pPr>
        <w:pStyle w:val="ListParagraph"/>
        <w:numPr>
          <w:ilvl w:val="1"/>
          <w:numId w:val="20"/>
        </w:numPr>
      </w:pPr>
      <w:r>
        <w:t xml:space="preserve">No entities or functions are currently prescribed. </w:t>
      </w:r>
    </w:p>
    <w:p w14:paraId="01609F0E" w14:textId="07C627AE" w:rsidR="00F71E05" w:rsidRDefault="001D5D98" w:rsidP="006030CA">
      <w:r>
        <w:t>Section</w:t>
      </w:r>
      <w:r w:rsidR="00F71E05">
        <w:t xml:space="preserve"> 1.14 does </w:t>
      </w:r>
      <w:r w:rsidR="00F71E05" w:rsidRPr="001D5D98">
        <w:rPr>
          <w:b/>
        </w:rPr>
        <w:t>not</w:t>
      </w:r>
      <w:r>
        <w:t xml:space="preserve">, however, </w:t>
      </w:r>
      <w:r w:rsidR="00F71E05">
        <w:t xml:space="preserve">apply to: </w:t>
      </w:r>
    </w:p>
    <w:p w14:paraId="72C28A77" w14:textId="58C609B8" w:rsidR="00F71E05" w:rsidRPr="00E05639" w:rsidRDefault="00F71E05" w:rsidP="006030CA">
      <w:pPr>
        <w:pStyle w:val="ListParagraph"/>
        <w:numPr>
          <w:ilvl w:val="0"/>
          <w:numId w:val="21"/>
        </w:numPr>
        <w:ind w:right="403"/>
      </w:pPr>
      <w:r w:rsidRPr="00E05639">
        <w:t>information revealing that the scope of a law enforcement investigation has exceeded the limits imposed by law</w:t>
      </w:r>
      <w:r>
        <w:rPr>
          <w:rStyle w:val="FootnoteReference"/>
        </w:rPr>
        <w:footnoteReference w:id="155"/>
      </w:r>
    </w:p>
    <w:p w14:paraId="2C46E1C8" w14:textId="0536CD74" w:rsidR="00F71E05" w:rsidRPr="00E05639" w:rsidRDefault="00F71E05" w:rsidP="006030CA">
      <w:pPr>
        <w:pStyle w:val="ListParagraph"/>
        <w:numPr>
          <w:ilvl w:val="0"/>
          <w:numId w:val="21"/>
        </w:numPr>
      </w:pPr>
      <w:r w:rsidRPr="00E05639">
        <w:t>information containing a general outline of the structure of a program adopted by an agency for dealing with a contravention or possible contravention of the law</w:t>
      </w:r>
      <w:r w:rsidR="00E84BCB">
        <w:rPr>
          <w:rStyle w:val="FootnoteReference"/>
        </w:rPr>
        <w:footnoteReference w:id="156"/>
      </w:r>
    </w:p>
    <w:p w14:paraId="36507FE9" w14:textId="44638C93" w:rsidR="00F71E05" w:rsidRPr="00E05639" w:rsidRDefault="00F71E05" w:rsidP="006030CA">
      <w:pPr>
        <w:pStyle w:val="ListParagraph"/>
        <w:numPr>
          <w:ilvl w:val="0"/>
          <w:numId w:val="21"/>
        </w:numPr>
      </w:pPr>
      <w:r w:rsidRPr="00E05639">
        <w:t>a report on the degree of success achieved in a program adopted by an agency for dealing with a contravention or possible contravention of the law</w:t>
      </w:r>
      <w:r w:rsidR="00C762E9">
        <w:rPr>
          <w:rStyle w:val="FootnoteReference"/>
        </w:rPr>
        <w:footnoteReference w:id="157"/>
      </w:r>
    </w:p>
    <w:p w14:paraId="4947E7B5" w14:textId="7668675F" w:rsidR="00F71E05" w:rsidRPr="00E05639" w:rsidRDefault="00F71E05" w:rsidP="007C3B2A">
      <w:pPr>
        <w:pStyle w:val="ListParagraph"/>
        <w:numPr>
          <w:ilvl w:val="0"/>
          <w:numId w:val="21"/>
        </w:numPr>
        <w:ind w:right="-22"/>
      </w:pPr>
      <w:r w:rsidRPr="00E05639">
        <w:t>a report prepared in the course of a routine law enforcement inspection or investigation by an agency whose functions include that of enforcing the law (other than the criminal law or the law relating to corruption)</w:t>
      </w:r>
      <w:r w:rsidR="00CA0CA1">
        <w:rPr>
          <w:rStyle w:val="FootnoteReference"/>
        </w:rPr>
        <w:footnoteReference w:id="158"/>
      </w:r>
      <w:r>
        <w:t xml:space="preserve"> </w:t>
      </w:r>
    </w:p>
    <w:p w14:paraId="6690F154" w14:textId="1423E142" w:rsidR="00F71E05" w:rsidRPr="00E05639" w:rsidRDefault="00F71E05" w:rsidP="006030CA">
      <w:pPr>
        <w:pStyle w:val="ListParagraph"/>
        <w:numPr>
          <w:ilvl w:val="0"/>
          <w:numId w:val="21"/>
        </w:numPr>
        <w:spacing w:after="0"/>
        <w:ind w:left="357" w:hanging="357"/>
      </w:pPr>
      <w:r w:rsidRPr="00E05639">
        <w:t>a report on a law enforcement investigation that has already been disclosed to the entity the subject of the investigation</w:t>
      </w:r>
      <w:r w:rsidR="00611FF1">
        <w:t>.</w:t>
      </w:r>
      <w:r w:rsidR="00611FF1">
        <w:rPr>
          <w:rStyle w:val="FootnoteReference"/>
        </w:rPr>
        <w:footnoteReference w:id="159"/>
      </w:r>
      <w:r>
        <w:t xml:space="preserve"> </w:t>
      </w:r>
    </w:p>
    <w:p w14:paraId="168691A2" w14:textId="7C1690D2" w:rsidR="00F71E05" w:rsidRDefault="00F71E05" w:rsidP="006030CA">
      <w:pPr>
        <w:pStyle w:val="Heading4"/>
        <w:spacing w:before="160"/>
        <w:ind w:right="-164"/>
      </w:pPr>
      <w:r>
        <w:t xml:space="preserve">Investigation of contravention of law </w:t>
      </w:r>
      <w:r w:rsidR="001D5D98">
        <w:t>– s</w:t>
      </w:r>
      <w:r w:rsidR="004657BB">
        <w:t xml:space="preserve"> </w:t>
      </w:r>
      <w:r w:rsidR="001D5D98">
        <w:t>1.14(1)(a)</w:t>
      </w:r>
    </w:p>
    <w:p w14:paraId="2E671B86" w14:textId="2DF540E7" w:rsidR="00F71E05" w:rsidRPr="004863F0" w:rsidRDefault="00F71E05" w:rsidP="0096731A">
      <w:pPr>
        <w:ind w:right="-22"/>
      </w:pPr>
      <w:r>
        <w:t xml:space="preserve">Section 1.14(1)(a) applies to information if its disclosure would or could reasonably be expected to prejudice the investigation of a contravention or possible contravention of the law. </w:t>
      </w:r>
      <w:r w:rsidRPr="004863F0">
        <w:t xml:space="preserve">For example, </w:t>
      </w:r>
      <w:r w:rsidR="00F257E7">
        <w:t xml:space="preserve">it </w:t>
      </w:r>
      <w:r w:rsidRPr="004863F0">
        <w:t>may apply to:</w:t>
      </w:r>
      <w:r>
        <w:rPr>
          <w:rStyle w:val="FootnoteReference"/>
        </w:rPr>
        <w:footnoteReference w:id="160"/>
      </w:r>
      <w:r w:rsidRPr="004863F0">
        <w:t xml:space="preserve"> </w:t>
      </w:r>
    </w:p>
    <w:p w14:paraId="4497A3D1" w14:textId="11B47F72" w:rsidR="00F71E05" w:rsidRPr="004863F0" w:rsidRDefault="00F71E05" w:rsidP="003923D4">
      <w:pPr>
        <w:pStyle w:val="ListParagraph"/>
        <w:numPr>
          <w:ilvl w:val="0"/>
          <w:numId w:val="23"/>
        </w:numPr>
        <w:ind w:right="-164"/>
      </w:pPr>
      <w:r w:rsidRPr="004863F0">
        <w:t xml:space="preserve">investigations of controlled activities under the </w:t>
      </w:r>
      <w:hyperlink r:id="rId57" w:history="1">
        <w:r w:rsidR="001D70F9" w:rsidRPr="00965D2D">
          <w:rPr>
            <w:rStyle w:val="Hyperlink"/>
            <w:i/>
            <w:iCs/>
          </w:rPr>
          <w:t>Planning and Development Act 2007</w:t>
        </w:r>
      </w:hyperlink>
      <w:r w:rsidRPr="004863F0">
        <w:t xml:space="preserve"> </w:t>
      </w:r>
    </w:p>
    <w:p w14:paraId="0874755A" w14:textId="4BA9B8AB" w:rsidR="00F71E05" w:rsidRPr="004863F0" w:rsidRDefault="00F71E05" w:rsidP="003923D4">
      <w:pPr>
        <w:pStyle w:val="ListParagraph"/>
        <w:numPr>
          <w:ilvl w:val="0"/>
          <w:numId w:val="23"/>
        </w:numPr>
        <w:ind w:right="-164"/>
      </w:pPr>
      <w:r w:rsidRPr="004863F0">
        <w:t xml:space="preserve">investigations into breaches of the </w:t>
      </w:r>
      <w:hyperlink r:id="rId58" w:history="1">
        <w:r w:rsidR="001D70F9" w:rsidRPr="00965D2D">
          <w:rPr>
            <w:rStyle w:val="Hyperlink"/>
            <w:i/>
            <w:iCs/>
          </w:rPr>
          <w:t>Liquor Act 2010</w:t>
        </w:r>
      </w:hyperlink>
      <w:r w:rsidRPr="004863F0">
        <w:t xml:space="preserve">, and </w:t>
      </w:r>
    </w:p>
    <w:p w14:paraId="57C7B6C3" w14:textId="77777777" w:rsidR="001D5D98" w:rsidRDefault="001D5D98" w:rsidP="003923D4">
      <w:pPr>
        <w:pStyle w:val="ListParagraph"/>
        <w:numPr>
          <w:ilvl w:val="0"/>
          <w:numId w:val="23"/>
        </w:numPr>
        <w:ind w:right="-164"/>
      </w:pPr>
      <w:r>
        <w:t>misconduct investigations.</w:t>
      </w:r>
    </w:p>
    <w:p w14:paraId="3E9361A6" w14:textId="23B15008" w:rsidR="00F71E05" w:rsidRDefault="00F71E05" w:rsidP="003923D4">
      <w:pPr>
        <w:ind w:right="-164"/>
      </w:pPr>
      <w:r>
        <w:t>The words ‘in a particular case’ indicate that s</w:t>
      </w:r>
      <w:r w:rsidR="00F92535">
        <w:t xml:space="preserve"> </w:t>
      </w:r>
      <w:r>
        <w:t>1.14(1)(a) only applies to current or ongoing investigations, not investigations that are merely a future, indeterminate possibility or investigations in general.</w:t>
      </w:r>
      <w:r>
        <w:rPr>
          <w:rStyle w:val="FootnoteReference"/>
        </w:rPr>
        <w:footnoteReference w:id="161"/>
      </w:r>
      <w:r w:rsidR="00F92535">
        <w:br/>
      </w:r>
      <w:r>
        <w:t xml:space="preserve">Section 1.14(1)(a) does </w:t>
      </w:r>
      <w:r w:rsidRPr="001D5D98">
        <w:rPr>
          <w:b/>
        </w:rPr>
        <w:t xml:space="preserve">not </w:t>
      </w:r>
      <w:r>
        <w:t>apply to c</w:t>
      </w:r>
      <w:r w:rsidR="003E3940">
        <w:t xml:space="preserve">losed </w:t>
      </w:r>
      <w:r>
        <w:t xml:space="preserve">investigations, as the disclosure of information cannot prejudice an investigation that has already finished. </w:t>
      </w:r>
    </w:p>
    <w:p w14:paraId="3715FBCA" w14:textId="626866ED" w:rsidR="00F71E05" w:rsidRDefault="00F71E05" w:rsidP="003923D4">
      <w:pPr>
        <w:ind w:right="-164"/>
      </w:pPr>
      <w:r>
        <w:t xml:space="preserve">Examples of situations where the </w:t>
      </w:r>
      <w:r w:rsidRPr="00AA7D04">
        <w:t xml:space="preserve">disclosure of information may prejudice an investigation include where the disclosure of the information would enable </w:t>
      </w:r>
      <w:r>
        <w:t xml:space="preserve">the </w:t>
      </w:r>
      <w:r w:rsidRPr="00AA7D04">
        <w:t>person subject to the investigation to c</w:t>
      </w:r>
      <w:r>
        <w:t>onstruct defences, create alibi</w:t>
      </w:r>
      <w:r w:rsidRPr="00AA7D04">
        <w:t>s, tamper with evidence</w:t>
      </w:r>
      <w:r>
        <w:t>, or interfere</w:t>
      </w:r>
      <w:r w:rsidRPr="00AA7D04">
        <w:t xml:space="preserve"> with witnesses</w:t>
      </w:r>
      <w:r>
        <w:t>.</w:t>
      </w:r>
      <w:r w:rsidRPr="00AA7D04">
        <w:rPr>
          <w:rStyle w:val="FootnoteReference"/>
        </w:rPr>
        <w:footnoteReference w:id="162"/>
      </w:r>
      <w:r w:rsidR="003923D4">
        <w:t xml:space="preserve"> This co</w:t>
      </w:r>
      <w:r w:rsidR="00D816D0">
        <w:t>uld include witness statements,</w:t>
      </w:r>
      <w:r w:rsidR="00D816D0">
        <w:br/>
      </w:r>
      <w:r w:rsidR="003923D4">
        <w:t>or other information that identifies suspects or victims.</w:t>
      </w:r>
    </w:p>
    <w:p w14:paraId="285BF11B" w14:textId="77777777" w:rsidR="003E3940" w:rsidRPr="001D5D98" w:rsidRDefault="003E3940" w:rsidP="00E0213F">
      <w:pPr>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1D5D98">
        <w:rPr>
          <w:b/>
        </w:rPr>
        <w:t>Note:</w:t>
      </w:r>
    </w:p>
    <w:p w14:paraId="4DF1CF30" w14:textId="476E853B" w:rsidR="003E3940" w:rsidRDefault="003E3940" w:rsidP="00E0213F">
      <w:pPr>
        <w:pStyle w:val="ListParagraph"/>
        <w:numPr>
          <w:ilvl w:val="0"/>
          <w:numId w:val="90"/>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It is not enough for decision-makers to simply indicate that there is a current investigation on hand to which the information is relevant</w:t>
      </w:r>
      <w:r w:rsidR="003923D4">
        <w:t>.</w:t>
      </w:r>
      <w:r>
        <w:t xml:space="preserve"> It must be explained </w:t>
      </w:r>
      <w:r w:rsidRPr="003923D4">
        <w:rPr>
          <w:b/>
        </w:rPr>
        <w:t>why</w:t>
      </w:r>
      <w:r>
        <w:t xml:space="preserve"> prejudice is expected to result.</w:t>
      </w:r>
    </w:p>
    <w:p w14:paraId="61695018" w14:textId="0E65C64C" w:rsidR="00F71E05" w:rsidRDefault="00F71E05" w:rsidP="003923D4">
      <w:pPr>
        <w:pStyle w:val="Heading4"/>
        <w:ind w:right="-164"/>
      </w:pPr>
      <w:bookmarkStart w:id="709" w:name="_Identify_confidential_source"/>
      <w:bookmarkEnd w:id="709"/>
      <w:r>
        <w:t xml:space="preserve">Identify confidential source </w:t>
      </w:r>
      <w:r w:rsidR="001D5D98">
        <w:t>– s</w:t>
      </w:r>
      <w:r w:rsidR="004657BB">
        <w:t xml:space="preserve"> </w:t>
      </w:r>
      <w:r w:rsidR="001D5D98">
        <w:t>1.14(1)(b)</w:t>
      </w:r>
    </w:p>
    <w:p w14:paraId="20328F26" w14:textId="77777777" w:rsidR="00F71E05" w:rsidRDefault="00F71E05" w:rsidP="003923D4">
      <w:pPr>
        <w:ind w:right="-164"/>
      </w:pPr>
      <w:r>
        <w:t xml:space="preserve">Section 1.14(1)(b) applies where the disclosure of information would, or could reasonably be expected to, identify the existence or identity of a confidential source of information in relation to the enforcement or administration of the law. For this provision to apply, the following three elements must be established: </w:t>
      </w:r>
    </w:p>
    <w:p w14:paraId="4EAA63E5" w14:textId="7226A087" w:rsidR="00F71E05" w:rsidRDefault="00F71E05" w:rsidP="003923D4">
      <w:pPr>
        <w:pStyle w:val="ListParagraph"/>
        <w:numPr>
          <w:ilvl w:val="0"/>
          <w:numId w:val="22"/>
        </w:numPr>
        <w:ind w:right="-164"/>
      </w:pPr>
      <w:r>
        <w:t>a person provide</w:t>
      </w:r>
      <w:r w:rsidR="003E3940">
        <w:t>d</w:t>
      </w:r>
      <w:r>
        <w:t xml:space="preserve"> information on a confidential basis </w:t>
      </w:r>
    </w:p>
    <w:p w14:paraId="79C71FC8" w14:textId="77777777" w:rsidR="00F71E05" w:rsidRDefault="00F71E05" w:rsidP="003923D4">
      <w:pPr>
        <w:pStyle w:val="ListParagraph"/>
        <w:numPr>
          <w:ilvl w:val="0"/>
          <w:numId w:val="22"/>
        </w:numPr>
        <w:ind w:right="-164"/>
      </w:pPr>
      <w:r>
        <w:t>the information provided relates to th</w:t>
      </w:r>
      <w:r w:rsidRPr="007A7179">
        <w:t>e enforcement or administration of the law</w:t>
      </w:r>
      <w:r>
        <w:t xml:space="preserve">, and </w:t>
      </w:r>
    </w:p>
    <w:p w14:paraId="671B2275" w14:textId="77777777" w:rsidR="00F71E05" w:rsidRDefault="00F71E05" w:rsidP="003923D4">
      <w:pPr>
        <w:pStyle w:val="ListParagraph"/>
        <w:numPr>
          <w:ilvl w:val="0"/>
          <w:numId w:val="22"/>
        </w:numPr>
        <w:ind w:right="-164"/>
      </w:pPr>
      <w:r>
        <w:t>disclosure of the information would or could reasonably be expected to identify the existence or identity of the source.</w:t>
      </w:r>
      <w:r>
        <w:rPr>
          <w:rStyle w:val="FootnoteReference"/>
        </w:rPr>
        <w:footnoteReference w:id="163"/>
      </w:r>
      <w:r>
        <w:t xml:space="preserve"> </w:t>
      </w:r>
    </w:p>
    <w:p w14:paraId="57893385" w14:textId="4EF95796" w:rsidR="003E3940" w:rsidRDefault="00F71E05" w:rsidP="0096731A">
      <w:pPr>
        <w:keepNext/>
        <w:keepLines/>
        <w:ind w:right="-164"/>
      </w:pPr>
      <w:r w:rsidRPr="00E63802">
        <w:t xml:space="preserve">Information </w:t>
      </w:r>
      <w:r>
        <w:t xml:space="preserve">is </w:t>
      </w:r>
      <w:r w:rsidRPr="00E63802">
        <w:t>provided on a ‘confidential’ basis if there is an express agreement that the identity of the person will be kept confidential or the surrounding circumstances indicate that there was a</w:t>
      </w:r>
      <w:r>
        <w:t xml:space="preserve">n implied </w:t>
      </w:r>
      <w:r w:rsidRPr="00E63802">
        <w:t>mutual u</w:t>
      </w:r>
      <w:r>
        <w:t>nderstanding of confidentiality.</w:t>
      </w:r>
      <w:r>
        <w:rPr>
          <w:rStyle w:val="FootnoteReference"/>
        </w:rPr>
        <w:footnoteReference w:id="164"/>
      </w:r>
      <w:r>
        <w:t xml:space="preserve"> </w:t>
      </w:r>
      <w:r w:rsidR="003E3940">
        <w:t>For example, where an agency provides an express assurance that the person’s identity will be kept confidential</w:t>
      </w:r>
      <w:r w:rsidR="008C4CFE">
        <w:t>, the person may be a confidential source</w:t>
      </w:r>
      <w:r w:rsidR="003E3940">
        <w:t>.</w:t>
      </w:r>
    </w:p>
    <w:p w14:paraId="534DBFAC" w14:textId="6B81A300" w:rsidR="00F71E05" w:rsidRDefault="00F71E05" w:rsidP="00846D9E">
      <w:pPr>
        <w:keepNext/>
        <w:keepLines/>
        <w:ind w:right="-164"/>
      </w:pPr>
      <w:r>
        <w:t xml:space="preserve">Factors that may be relevant in determining whether there was a mutual understanding of confidentiality include, for example: </w:t>
      </w:r>
    </w:p>
    <w:p w14:paraId="68BF1228" w14:textId="77777777" w:rsidR="00F71E05" w:rsidRDefault="00F71E05" w:rsidP="00846D9E">
      <w:pPr>
        <w:pStyle w:val="ListParagraph"/>
        <w:keepNext/>
        <w:keepLines/>
        <w:numPr>
          <w:ilvl w:val="0"/>
          <w:numId w:val="29"/>
        </w:numPr>
        <w:ind w:right="-164"/>
      </w:pPr>
      <w:r>
        <w:t xml:space="preserve">the nature and sensitivity of the information provided </w:t>
      </w:r>
    </w:p>
    <w:p w14:paraId="05287F39" w14:textId="77777777" w:rsidR="00F71E05" w:rsidRDefault="00F71E05" w:rsidP="00846D9E">
      <w:pPr>
        <w:pStyle w:val="ListParagraph"/>
        <w:keepNext/>
        <w:keepLines/>
        <w:numPr>
          <w:ilvl w:val="0"/>
          <w:numId w:val="29"/>
        </w:numPr>
      </w:pPr>
      <w:r>
        <w:t>whether the person who provided the information requested their identity not be disclosed</w:t>
      </w:r>
      <w:r>
        <w:rPr>
          <w:rStyle w:val="FootnoteReference"/>
        </w:rPr>
        <w:footnoteReference w:id="165"/>
      </w:r>
      <w:r>
        <w:t xml:space="preserve"> </w:t>
      </w:r>
    </w:p>
    <w:p w14:paraId="7DA55664" w14:textId="77777777" w:rsidR="00F71E05" w:rsidRDefault="00F71E05" w:rsidP="0096731A">
      <w:pPr>
        <w:pStyle w:val="ListParagraph"/>
        <w:keepNext/>
        <w:keepLines/>
        <w:numPr>
          <w:ilvl w:val="0"/>
          <w:numId w:val="29"/>
        </w:numPr>
        <w:ind w:right="-22"/>
      </w:pPr>
      <w:r>
        <w:t>the circumstances in which the information was provided (for example, through a ‘tip-off’ online system).</w:t>
      </w:r>
      <w:r>
        <w:rPr>
          <w:rStyle w:val="FootnoteReference"/>
        </w:rPr>
        <w:footnoteReference w:id="166"/>
      </w:r>
      <w:r>
        <w:t xml:space="preserve"> </w:t>
      </w:r>
    </w:p>
    <w:p w14:paraId="4AF02C5E" w14:textId="30CBB174" w:rsidR="00F71E05" w:rsidRDefault="00F71E05" w:rsidP="00F71E05">
      <w:pPr>
        <w:pStyle w:val="Heading4"/>
      </w:pPr>
      <w:bookmarkStart w:id="710" w:name="_Endanger_life_or"/>
      <w:bookmarkStart w:id="711" w:name="_Ref10618355"/>
      <w:bookmarkEnd w:id="710"/>
      <w:r>
        <w:t>Endanger life or physical safety</w:t>
      </w:r>
      <w:bookmarkEnd w:id="711"/>
      <w:r w:rsidR="001D5D98">
        <w:t xml:space="preserve"> – s</w:t>
      </w:r>
      <w:r w:rsidR="00F9781E">
        <w:t xml:space="preserve"> </w:t>
      </w:r>
      <w:r w:rsidR="001D5D98">
        <w:t>1.14(1)(c)</w:t>
      </w:r>
    </w:p>
    <w:p w14:paraId="7AE2FDAB" w14:textId="77777777" w:rsidR="00F71E05" w:rsidRDefault="00F71E05" w:rsidP="00F71E05">
      <w:r>
        <w:t xml:space="preserve">Section 1.14(1)(c) applies where the disclosure of information would, or could reasonably be expected to, endanger a person’s life or physical safety. </w:t>
      </w:r>
    </w:p>
    <w:p w14:paraId="12A75F77" w14:textId="77777777" w:rsidR="00F257E7" w:rsidRDefault="00F71E05" w:rsidP="003923D4">
      <w:pPr>
        <w:ind w:right="-306"/>
      </w:pPr>
      <w:r>
        <w:t>This provision is confined to ‘physical safety’ and does not extend to psychological harm.</w:t>
      </w:r>
      <w:r>
        <w:rPr>
          <w:rStyle w:val="FootnoteReference"/>
        </w:rPr>
        <w:footnoteReference w:id="167"/>
      </w:r>
      <w:r>
        <w:t xml:space="preserve"> </w:t>
      </w:r>
    </w:p>
    <w:p w14:paraId="05E63DDE" w14:textId="77777777" w:rsidR="00F71E05" w:rsidRPr="00B34187" w:rsidRDefault="00F71E05" w:rsidP="00F71E05">
      <w:r>
        <w:t>For section 1.14(1)(c) to apply, the expectation of endangerment to life or physical safety must arise as a result of disclosure of the information, rather than from other circumstances.</w:t>
      </w:r>
      <w:r>
        <w:rPr>
          <w:rStyle w:val="FootnoteReference"/>
        </w:rPr>
        <w:footnoteReference w:id="168"/>
      </w:r>
    </w:p>
    <w:p w14:paraId="6CE02F35" w14:textId="61696ECE" w:rsidR="00F71E05" w:rsidRDefault="009D4B5F" w:rsidP="00F71E05">
      <w:r>
        <w:t>The past conduct of the</w:t>
      </w:r>
      <w:r w:rsidR="00F71E05">
        <w:t xml:space="preserve"> applicant and nature of the information in question may be relevant in determining whether disclosure of the information could reasonably be expected to endanger a person’s life or physical safety. For example, there may be a reasonable expectation of endangerment where the applicant who has a history of violence and who has previously acted aggressively towards agency staff requests access to information such as the identities of agency staff that he or she has dealt with.</w:t>
      </w:r>
      <w:r w:rsidR="00F71E05">
        <w:rPr>
          <w:rStyle w:val="FootnoteReference"/>
        </w:rPr>
        <w:footnoteReference w:id="169"/>
      </w:r>
    </w:p>
    <w:p w14:paraId="126017F6" w14:textId="77777777" w:rsidR="003923D4" w:rsidRDefault="003923D4" w:rsidP="0096731A">
      <w:pPr>
        <w:pBdr>
          <w:top w:val="single" w:sz="4" w:space="1" w:color="auto"/>
          <w:left w:val="single" w:sz="4" w:space="4" w:color="auto"/>
          <w:bottom w:val="single" w:sz="4" w:space="1" w:color="auto"/>
          <w:right w:val="single" w:sz="4" w:space="4" w:color="auto"/>
        </w:pBdr>
        <w:shd w:val="clear" w:color="auto" w:fill="D9E2F3" w:themeFill="accent5" w:themeFillTint="33"/>
      </w:pPr>
      <w:r w:rsidRPr="003923D4">
        <w:rPr>
          <w:b/>
        </w:rPr>
        <w:t xml:space="preserve">Note: </w:t>
      </w:r>
    </w:p>
    <w:p w14:paraId="1CD8F299" w14:textId="59E1860B" w:rsidR="00F71E05" w:rsidRDefault="00F71E05" w:rsidP="0096731A">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When considering this factor, it is important </w:t>
      </w:r>
      <w:r w:rsidR="00F9781E">
        <w:t>decision-makers</w:t>
      </w:r>
      <w:r>
        <w:t xml:space="preserve"> review all relevant evidence before them. It is not sufficient for </w:t>
      </w:r>
      <w:r w:rsidR="00F9781E">
        <w:t>decision-makers</w:t>
      </w:r>
      <w:r>
        <w:t xml:space="preserve"> to automatically accept the views of the person claiming to be in danger.</w:t>
      </w:r>
    </w:p>
    <w:p w14:paraId="7570DBD2" w14:textId="29F92A86" w:rsidR="00F9781E" w:rsidRDefault="00F9781E" w:rsidP="0096731A">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equivalent exemption in the Commonwealth </w:t>
      </w:r>
      <w:hyperlink r:id="rId59" w:history="1">
        <w:r w:rsidRPr="00611FF1">
          <w:rPr>
            <w:rStyle w:val="Hyperlink"/>
            <w:i/>
          </w:rPr>
          <w:t>Freedom of Information Act 1982</w:t>
        </w:r>
      </w:hyperlink>
      <w:r>
        <w:rPr>
          <w:i/>
        </w:rPr>
        <w:t xml:space="preserve"> </w:t>
      </w:r>
      <w:r>
        <w:t xml:space="preserve">has been upheld in circumstances where the third party was a main </w:t>
      </w:r>
      <w:r w:rsidR="004A6D50">
        <w:t xml:space="preserve">prosecution witness during the </w:t>
      </w:r>
      <w:r>
        <w:t>applicant’s criminal trial for which he was still in jail. The third party gave evidence that he had written threatening letters to her and her friends and that she was scared of him.</w:t>
      </w:r>
      <w:r>
        <w:rPr>
          <w:rStyle w:val="FootnoteReference"/>
        </w:rPr>
        <w:footnoteReference w:id="170"/>
      </w:r>
    </w:p>
    <w:p w14:paraId="49DF8729" w14:textId="2E119058" w:rsidR="00F71E05" w:rsidRDefault="00F71E05" w:rsidP="002530AE">
      <w:pPr>
        <w:pStyle w:val="Heading4"/>
      </w:pPr>
      <w:r>
        <w:t xml:space="preserve">Serious harassment or intimidation </w:t>
      </w:r>
      <w:r w:rsidR="001D5D98">
        <w:t>– s</w:t>
      </w:r>
      <w:r w:rsidR="00F9781E">
        <w:t xml:space="preserve"> </w:t>
      </w:r>
      <w:r w:rsidR="001D5D98">
        <w:t>1.14(1)(d)</w:t>
      </w:r>
    </w:p>
    <w:p w14:paraId="04E64C57" w14:textId="32EDE388" w:rsidR="00F71E05" w:rsidRDefault="00F71E05" w:rsidP="002530AE">
      <w:pPr>
        <w:keepNext/>
        <w:keepLines/>
      </w:pPr>
      <w:r w:rsidRPr="00916FAD">
        <w:t>Section 1.14</w:t>
      </w:r>
      <w:r>
        <w:t>(1)</w:t>
      </w:r>
      <w:r w:rsidRPr="00916FAD">
        <w:t xml:space="preserve">(d) applies where disclosure of the information would, or could reasonably be expected to, result in a person being subject to a serious act of harassment or intimidation. </w:t>
      </w:r>
      <w:r>
        <w:t>As the FOI Act does not define the words ‘serious’, ‘harass’ and ‘intimidate’, these terms should be given their ordinary meaning:</w:t>
      </w:r>
      <w:r>
        <w:rPr>
          <w:rStyle w:val="FootnoteReference"/>
        </w:rPr>
        <w:footnoteReference w:id="171"/>
      </w:r>
    </w:p>
    <w:p w14:paraId="120B605A" w14:textId="77777777" w:rsidR="00F71E05" w:rsidRDefault="00F71E05" w:rsidP="001D5D98">
      <w:pPr>
        <w:pStyle w:val="ListParagraph"/>
        <w:numPr>
          <w:ilvl w:val="0"/>
          <w:numId w:val="24"/>
        </w:numPr>
      </w:pPr>
      <w:r>
        <w:t>‘harass’ means trouble, disturb or torment</w:t>
      </w:r>
      <w:r>
        <w:rPr>
          <w:rStyle w:val="FootnoteReference"/>
        </w:rPr>
        <w:footnoteReference w:id="172"/>
      </w:r>
      <w:r>
        <w:t xml:space="preserve"> </w:t>
      </w:r>
    </w:p>
    <w:p w14:paraId="597C1FC1" w14:textId="77777777" w:rsidR="00F71E05" w:rsidRDefault="00F71E05" w:rsidP="001D5D98">
      <w:pPr>
        <w:pStyle w:val="ListParagraph"/>
        <w:numPr>
          <w:ilvl w:val="0"/>
          <w:numId w:val="24"/>
        </w:numPr>
      </w:pPr>
      <w:r>
        <w:t>‘intimidate’ means induce fear or force a person to take or not take some action by inducing fear</w:t>
      </w:r>
    </w:p>
    <w:p w14:paraId="09DB1EC3" w14:textId="77777777" w:rsidR="00F71E05" w:rsidRDefault="00F71E05" w:rsidP="001D5D98">
      <w:pPr>
        <w:pStyle w:val="ListParagraph"/>
        <w:numPr>
          <w:ilvl w:val="0"/>
          <w:numId w:val="24"/>
        </w:numPr>
      </w:pPr>
      <w:r>
        <w:t xml:space="preserve">‘serious’ means more than merely competitive, disparaging, unpleasant, irksome or annoying. </w:t>
      </w:r>
    </w:p>
    <w:p w14:paraId="3637C4AE" w14:textId="25E23E40" w:rsidR="00F71E05" w:rsidRDefault="006476A4" w:rsidP="00F71E05">
      <w:r>
        <w:t xml:space="preserve">For s </w:t>
      </w:r>
      <w:r w:rsidR="00F71E05">
        <w:t>1.14(1)(d) to apply, the expectation of serious harassment or intimidation must arise as a result of disclosure of the information, rather than from other circumstances.</w:t>
      </w:r>
      <w:r w:rsidR="00F71E05">
        <w:rPr>
          <w:rStyle w:val="FootnoteReference"/>
        </w:rPr>
        <w:footnoteReference w:id="173"/>
      </w:r>
    </w:p>
    <w:p w14:paraId="148116A3" w14:textId="4C6FF9C9" w:rsidR="00F71E05" w:rsidRPr="00897645" w:rsidRDefault="00F71E05" w:rsidP="00F71E05">
      <w:r>
        <w:t>The past conduct of the applicant and nature of the information in question may be relevant in dete</w:t>
      </w:r>
      <w:r w:rsidRPr="00897645">
        <w:t>rmining whether disclosure of the information could reasonably be expected to result in a person being subject to a serious act of harassment or intimidation. For example, there may be a reasonable expectation of serious harass</w:t>
      </w:r>
      <w:r w:rsidR="006476A4" w:rsidRPr="00897645">
        <w:t>ment or intimidation where the</w:t>
      </w:r>
      <w:r w:rsidRPr="00897645">
        <w:t xml:space="preserve"> applicant</w:t>
      </w:r>
      <w:r w:rsidR="006476A4" w:rsidRPr="00897645">
        <w:t xml:space="preserve"> has</w:t>
      </w:r>
      <w:r w:rsidRPr="00897645">
        <w:t>:</w:t>
      </w:r>
    </w:p>
    <w:p w14:paraId="0A025DB4" w14:textId="349F5F18" w:rsidR="00E76FD6" w:rsidRPr="00897645" w:rsidRDefault="00F71E05" w:rsidP="001D5D98">
      <w:pPr>
        <w:pStyle w:val="ListParagraph"/>
        <w:numPr>
          <w:ilvl w:val="0"/>
          <w:numId w:val="25"/>
        </w:numPr>
      </w:pPr>
      <w:r w:rsidRPr="00897645">
        <w:t>previously threatened to harm, and acted in a hostile manner towards, agency staff</w:t>
      </w:r>
      <w:r w:rsidRPr="00897645">
        <w:rPr>
          <w:rStyle w:val="FootnoteReference"/>
        </w:rPr>
        <w:footnoteReference w:id="174"/>
      </w:r>
      <w:r w:rsidRPr="00897645">
        <w:t xml:space="preserve"> </w:t>
      </w:r>
    </w:p>
    <w:p w14:paraId="4B8492EE" w14:textId="610FE0F3" w:rsidR="00E76FD6" w:rsidRPr="00897645" w:rsidRDefault="00F71E05" w:rsidP="00055F1C">
      <w:pPr>
        <w:pStyle w:val="ListParagraph"/>
        <w:numPr>
          <w:ilvl w:val="0"/>
          <w:numId w:val="25"/>
        </w:numPr>
      </w:pPr>
      <w:r w:rsidRPr="00897645">
        <w:t>previously placed information released under the FOI Act on a website accompanied by offensive and abusive remarks about individuals,</w:t>
      </w:r>
      <w:r w:rsidRPr="00897645">
        <w:rPr>
          <w:rStyle w:val="FootnoteReference"/>
        </w:rPr>
        <w:footnoteReference w:id="175"/>
      </w:r>
      <w:r w:rsidRPr="00897645">
        <w:t xml:space="preserve"> or </w:t>
      </w:r>
    </w:p>
    <w:p w14:paraId="2DCC7CAC" w14:textId="3A6C10CC" w:rsidR="00F71E05" w:rsidRPr="00897645" w:rsidRDefault="00F71E05" w:rsidP="00055F1C">
      <w:pPr>
        <w:pStyle w:val="ListParagraph"/>
        <w:numPr>
          <w:ilvl w:val="0"/>
          <w:numId w:val="25"/>
        </w:numPr>
      </w:pPr>
      <w:r w:rsidRPr="00897645">
        <w:t>a history of making unsubstantiated complaints or threats of legal action and engaging in hostile communications with agency staff.</w:t>
      </w:r>
      <w:r w:rsidRPr="00897645">
        <w:rPr>
          <w:rStyle w:val="FootnoteReference"/>
        </w:rPr>
        <w:footnoteReference w:id="176"/>
      </w:r>
    </w:p>
    <w:p w14:paraId="18D79506" w14:textId="77777777" w:rsidR="00F71E05" w:rsidRPr="00897645" w:rsidRDefault="00F71E05" w:rsidP="00F71E05">
      <w:r w:rsidRPr="00897645">
        <w:t>The Ombudsman is of the view that this factor can be relevant even where only a single act of serious harassment or intimidation is expected to result from disclosure of the information.</w:t>
      </w:r>
    </w:p>
    <w:p w14:paraId="217CC60C" w14:textId="6043D10A" w:rsidR="00F71E05" w:rsidRDefault="00F71E05" w:rsidP="00F71E05">
      <w:pPr>
        <w:pStyle w:val="Heading4"/>
      </w:pPr>
      <w:bookmarkStart w:id="712" w:name="_Prejudice_to_a"/>
      <w:bookmarkEnd w:id="712"/>
      <w:r w:rsidRPr="00897645">
        <w:t xml:space="preserve">Prejudice to a fair trial or impartial adjudication </w:t>
      </w:r>
      <w:r w:rsidR="001D5D98" w:rsidRPr="00897645">
        <w:t>– s</w:t>
      </w:r>
      <w:r w:rsidR="00B0032C" w:rsidRPr="00897645">
        <w:t xml:space="preserve"> </w:t>
      </w:r>
      <w:r w:rsidR="001D5D98" w:rsidRPr="00897645">
        <w:t>1.14(1)(e)</w:t>
      </w:r>
    </w:p>
    <w:p w14:paraId="3BB80229" w14:textId="76DE7C50" w:rsidR="00F71E05" w:rsidRDefault="00F71E05" w:rsidP="0096731A">
      <w:r w:rsidRPr="00916FAD">
        <w:t>Section 1.14</w:t>
      </w:r>
      <w:r>
        <w:t>(1)</w:t>
      </w:r>
      <w:r w:rsidRPr="00916FAD">
        <w:t>(</w:t>
      </w:r>
      <w:r>
        <w:t>e</w:t>
      </w:r>
      <w:r w:rsidRPr="00916FAD">
        <w:t>) applies where disclosure of the information would, or co</w:t>
      </w:r>
      <w:r>
        <w:t>uld reasonably be expected to, prejudice a person’s fair trial or the impartial adjudication of a matter before a court or tribunal.</w:t>
      </w:r>
      <w:r w:rsidR="00BD05A9">
        <w:t xml:space="preserve"> </w:t>
      </w:r>
      <w:r>
        <w:t xml:space="preserve">Circumstances where this provision may apply include where disclosure of the information may: </w:t>
      </w:r>
    </w:p>
    <w:p w14:paraId="1D37BFB4" w14:textId="77777777" w:rsidR="00F71E05" w:rsidRDefault="00F71E05" w:rsidP="0096731A">
      <w:pPr>
        <w:pStyle w:val="ListParagraph"/>
        <w:numPr>
          <w:ilvl w:val="0"/>
          <w:numId w:val="28"/>
        </w:numPr>
        <w:ind w:right="-22"/>
      </w:pPr>
      <w:r>
        <w:t>reduce the effectiveness of a court or tribunal’s power to make suppression or non-publication orders</w:t>
      </w:r>
      <w:r>
        <w:rPr>
          <w:rStyle w:val="FootnoteReference"/>
        </w:rPr>
        <w:footnoteReference w:id="177"/>
      </w:r>
    </w:p>
    <w:p w14:paraId="7EC229F0" w14:textId="77777777" w:rsidR="00F71E05" w:rsidRDefault="00F71E05" w:rsidP="0096731A">
      <w:pPr>
        <w:pStyle w:val="ListParagraph"/>
        <w:numPr>
          <w:ilvl w:val="0"/>
          <w:numId w:val="28"/>
        </w:numPr>
      </w:pPr>
      <w:r>
        <w:t>reveal inadmissible information to potential jurors</w:t>
      </w:r>
      <w:r>
        <w:rPr>
          <w:rStyle w:val="FootnoteReference"/>
        </w:rPr>
        <w:footnoteReference w:id="178"/>
      </w:r>
    </w:p>
    <w:p w14:paraId="79CFDC50" w14:textId="77777777" w:rsidR="00F71E05" w:rsidRDefault="00F71E05" w:rsidP="0096731A">
      <w:pPr>
        <w:pStyle w:val="ListParagraph"/>
        <w:numPr>
          <w:ilvl w:val="0"/>
          <w:numId w:val="28"/>
        </w:numPr>
      </w:pPr>
      <w:r>
        <w:t>reveal information that may enable a witness to alter his or her evidence, or undermine the witness’ credibility by creating the perception he or she may have altered his or her evidence</w:t>
      </w:r>
      <w:r>
        <w:rPr>
          <w:rStyle w:val="FootnoteReference"/>
        </w:rPr>
        <w:footnoteReference w:id="179"/>
      </w:r>
    </w:p>
    <w:p w14:paraId="3643DA48" w14:textId="77777777" w:rsidR="00F71E05" w:rsidRDefault="00F71E05" w:rsidP="0096731A">
      <w:pPr>
        <w:pStyle w:val="ListParagraph"/>
        <w:numPr>
          <w:ilvl w:val="0"/>
          <w:numId w:val="28"/>
        </w:numPr>
      </w:pPr>
      <w:r>
        <w:t>prematurely reveal an aspect of a party’s case that the party would not otherwise be required to disclose in preparation for the trial or adjudication.</w:t>
      </w:r>
      <w:r>
        <w:rPr>
          <w:rStyle w:val="FootnoteReference"/>
        </w:rPr>
        <w:footnoteReference w:id="180"/>
      </w:r>
    </w:p>
    <w:p w14:paraId="6419C150" w14:textId="22AFF492" w:rsidR="00F71E05" w:rsidRDefault="00F71E05" w:rsidP="00F71E05">
      <w:pPr>
        <w:pStyle w:val="Heading4"/>
      </w:pPr>
      <w:r>
        <w:t xml:space="preserve">Prejudice to law enforcement methods or procedures </w:t>
      </w:r>
      <w:r w:rsidR="001D5D98">
        <w:t>– s</w:t>
      </w:r>
      <w:r w:rsidR="00B0032C">
        <w:t xml:space="preserve"> </w:t>
      </w:r>
      <w:r w:rsidR="001D5D98">
        <w:t>1.14(1)(f)</w:t>
      </w:r>
    </w:p>
    <w:p w14:paraId="4B1A0D01" w14:textId="77777777" w:rsidR="00F71E05" w:rsidRPr="009847E2" w:rsidRDefault="00F71E05" w:rsidP="00F71E05">
      <w:r w:rsidRPr="009847E2">
        <w:t>Section 1.14</w:t>
      </w:r>
      <w:r>
        <w:t>(1)</w:t>
      </w:r>
      <w:r w:rsidRPr="009847E2">
        <w:t>(f) applies where disclosure of the information would, or could reasonably be expected to, prejudice the effectiveness of a lawful method or procedure for preventing, detecting, investigating or dealing with a contravention or pos</w:t>
      </w:r>
      <w:r>
        <w:t xml:space="preserve">sible contravention of the law. The purpose of this provision is to maintain the integrity of law enforcement methods or procedures. </w:t>
      </w:r>
    </w:p>
    <w:p w14:paraId="30127AD7" w14:textId="77777777" w:rsidR="001D5D98" w:rsidRDefault="00F71E05" w:rsidP="00F71E05">
      <w:r>
        <w:t>T</w:t>
      </w:r>
      <w:r w:rsidRPr="00F26B9C">
        <w:t>here must be an identifiable lawful method or procedure used to prevent, detect, investigate or deal with a contravention or possible contravention of the law.</w:t>
      </w:r>
    </w:p>
    <w:p w14:paraId="13BB3597" w14:textId="591287E9" w:rsidR="00F257E7" w:rsidRDefault="00F71E05" w:rsidP="00F71E05">
      <w:r>
        <w:t xml:space="preserve">Section 1.14(1)(f) </w:t>
      </w:r>
      <w:r w:rsidRPr="00F26B9C">
        <w:t xml:space="preserve">does </w:t>
      </w:r>
      <w:r w:rsidRPr="001D5D98">
        <w:rPr>
          <w:b/>
        </w:rPr>
        <w:t>not</w:t>
      </w:r>
      <w:r w:rsidRPr="00F26B9C">
        <w:t xml:space="preserve"> apply to unlawful methods or procedures, such as unauthorised telephone intercepts.</w:t>
      </w:r>
      <w:r>
        <w:t xml:space="preserve"> </w:t>
      </w:r>
      <w:r w:rsidRPr="009B583A">
        <w:t xml:space="preserve">It will also generally </w:t>
      </w:r>
      <w:r w:rsidRPr="001D5D98">
        <w:rPr>
          <w:b/>
        </w:rPr>
        <w:t xml:space="preserve">not </w:t>
      </w:r>
      <w:r w:rsidRPr="009B583A">
        <w:t>apply to routine procedures or methods which are already known to the public or documents containing general information</w:t>
      </w:r>
      <w:r w:rsidRPr="004863F0">
        <w:t xml:space="preserve">. </w:t>
      </w:r>
    </w:p>
    <w:p w14:paraId="4E62AF48" w14:textId="77777777" w:rsidR="00F257E7" w:rsidRDefault="00F257E7" w:rsidP="00F257E7">
      <w:r>
        <w:t xml:space="preserve">Section 1.14(1)(f) is more likely to apply to information that may reveal a secret or covert method or procedure, as the disclosure of information about an overt or well-known method or procedure will be unlikely to prejudice the method or procedure. </w:t>
      </w:r>
    </w:p>
    <w:p w14:paraId="270DDCA4" w14:textId="06C5B370" w:rsidR="00F257E7" w:rsidRDefault="00F257E7" w:rsidP="0096731A">
      <w:pPr>
        <w:pStyle w:val="ListParagraph"/>
        <w:numPr>
          <w:ilvl w:val="0"/>
          <w:numId w:val="122"/>
        </w:numPr>
        <w:ind w:right="-22"/>
      </w:pPr>
      <w:r>
        <w:t>For example, s 1.14(1)(f) may apply to information about police rostering which, if disclosed, could result in the use of the information to further criminal activity and subvert the proper operation of the law.</w:t>
      </w:r>
      <w:r>
        <w:rPr>
          <w:rStyle w:val="FootnoteReference"/>
        </w:rPr>
        <w:footnoteReference w:id="181"/>
      </w:r>
    </w:p>
    <w:p w14:paraId="13758E77" w14:textId="5B9AFA77" w:rsidR="00F257E7" w:rsidRPr="00F257E7" w:rsidRDefault="00F257E7"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F257E7">
        <w:rPr>
          <w:b/>
        </w:rPr>
        <w:t>Note:</w:t>
      </w:r>
    </w:p>
    <w:p w14:paraId="40C4299E" w14:textId="5D486AE1" w:rsidR="00F71E05" w:rsidRDefault="00F71E05" w:rsidP="00B87CC6">
      <w:pPr>
        <w:pStyle w:val="ListParagraph"/>
        <w:numPr>
          <w:ilvl w:val="0"/>
          <w:numId w:val="122"/>
        </w:numPr>
        <w:pBdr>
          <w:top w:val="single" w:sz="4" w:space="1" w:color="auto"/>
          <w:left w:val="single" w:sz="4" w:space="4" w:color="auto"/>
          <w:bottom w:val="single" w:sz="4" w:space="1" w:color="auto"/>
          <w:right w:val="single" w:sz="4" w:space="4" w:color="auto"/>
        </w:pBdr>
        <w:shd w:val="clear" w:color="auto" w:fill="D9E2F3" w:themeFill="accent5" w:themeFillTint="33"/>
      </w:pPr>
      <w:r>
        <w:t>Section 1.14(1)(f) should be read in conjunction with s</w:t>
      </w:r>
      <w:r w:rsidR="00AE7FC3">
        <w:t>s</w:t>
      </w:r>
      <w:r>
        <w:t xml:space="preserve"> 1.14(4)(b) and (c), which limit the application of s 1.14 in relation to information revealing programs for dealing with contraventions or possible contraventions of the law. </w:t>
      </w:r>
    </w:p>
    <w:p w14:paraId="1F53F385" w14:textId="5B0BB7DA" w:rsidR="00F71E05" w:rsidRPr="00A90286" w:rsidRDefault="00F71E05" w:rsidP="00F71E05">
      <w:pPr>
        <w:pStyle w:val="Heading4"/>
      </w:pPr>
      <w:r>
        <w:t xml:space="preserve">Prejudice to public safety methods or procedures </w:t>
      </w:r>
      <w:r w:rsidR="001D5D98">
        <w:t>– s 1.14(g)</w:t>
      </w:r>
    </w:p>
    <w:p w14:paraId="72B1FD8B" w14:textId="77777777" w:rsidR="00F71E05" w:rsidRDefault="00F71E05" w:rsidP="00F71E05">
      <w:r>
        <w:t xml:space="preserve">Section 1.14(1)(g) </w:t>
      </w:r>
      <w:r w:rsidRPr="00916FAD">
        <w:t>applies where disclosure of the information would, or co</w:t>
      </w:r>
      <w:r>
        <w:t xml:space="preserve">uld reasonably be expected to, prejudice the </w:t>
      </w:r>
      <w:r w:rsidRPr="00A90286">
        <w:t xml:space="preserve">maintenance or enforcement </w:t>
      </w:r>
      <w:r>
        <w:t xml:space="preserve">of a lawful method or procedure for protecting public safety. </w:t>
      </w:r>
    </w:p>
    <w:p w14:paraId="6435F1C0" w14:textId="6CCE9704" w:rsidR="003E3940" w:rsidRDefault="00F71E05" w:rsidP="00F71E05">
      <w:r>
        <w:t>‘Public safety’ should not be construed narrowly and is not confined to safety from violations of the law and breaches of the peace. It may extend, for example, to aircraft safety or safety in emergencies such as bushfires or floods.</w:t>
      </w:r>
      <w:r>
        <w:rPr>
          <w:rStyle w:val="FootnoteReference"/>
        </w:rPr>
        <w:footnoteReference w:id="182"/>
      </w:r>
    </w:p>
    <w:p w14:paraId="066C079B" w14:textId="182BEEB3" w:rsidR="00F71E05" w:rsidRDefault="00F71E05" w:rsidP="00F71E05">
      <w:r>
        <w:t>Examples of methods or procedures for protecting public safety may include, for example, weapons licencing schemes</w:t>
      </w:r>
      <w:r>
        <w:rPr>
          <w:rStyle w:val="FootnoteReference"/>
        </w:rPr>
        <w:footnoteReference w:id="183"/>
      </w:r>
      <w:r>
        <w:t xml:space="preserve"> or legislative procedures under the </w:t>
      </w:r>
      <w:hyperlink r:id="rId60" w:history="1">
        <w:r w:rsidRPr="0096731A">
          <w:rPr>
            <w:rStyle w:val="Hyperlink"/>
            <w:i/>
          </w:rPr>
          <w:t>Work Health and Safety Act 2011</w:t>
        </w:r>
      </w:hyperlink>
      <w:r>
        <w:t>.</w:t>
      </w:r>
      <w:r>
        <w:rPr>
          <w:rStyle w:val="FootnoteReference"/>
        </w:rPr>
        <w:footnoteReference w:id="184"/>
      </w:r>
      <w:r>
        <w:t xml:space="preserve"> </w:t>
      </w:r>
    </w:p>
    <w:p w14:paraId="3E81A21E" w14:textId="3643F13E" w:rsidR="003E3940" w:rsidRDefault="003E3940" w:rsidP="00F71E05">
      <w:r>
        <w:t>The Ombudsman is of the view that s</w:t>
      </w:r>
      <w:r w:rsidR="00133764">
        <w:t xml:space="preserve"> </w:t>
      </w:r>
      <w:r>
        <w:t xml:space="preserve">1.14(g) is </w:t>
      </w:r>
      <w:r w:rsidR="00186CE3">
        <w:t xml:space="preserve">not </w:t>
      </w:r>
      <w:r>
        <w:t>restricted to information that outlines method</w:t>
      </w:r>
      <w:r w:rsidR="00186CE3">
        <w:t>s</w:t>
      </w:r>
      <w:r>
        <w:t xml:space="preserve"> or process</w:t>
      </w:r>
      <w:r w:rsidR="00186CE3">
        <w:t>es</w:t>
      </w:r>
      <w:r>
        <w:t xml:space="preserve"> for protecting public safety</w:t>
      </w:r>
      <w:r w:rsidR="00186CE3">
        <w:t>, but extends to any information the disclosure of which could prejudice a public safety method or procedure</w:t>
      </w:r>
      <w:r>
        <w:t>.</w:t>
      </w:r>
      <w:r>
        <w:rPr>
          <w:rStyle w:val="FootnoteReference"/>
        </w:rPr>
        <w:footnoteReference w:id="185"/>
      </w:r>
      <w:r>
        <w:t xml:space="preserve"> </w:t>
      </w:r>
    </w:p>
    <w:p w14:paraId="796C7C87" w14:textId="19833E63" w:rsidR="00F71E05" w:rsidRDefault="00F71E05" w:rsidP="00F71E05">
      <w:pPr>
        <w:pStyle w:val="Heading4"/>
      </w:pPr>
      <w:r>
        <w:t xml:space="preserve">Endanger security of building, structure or vehicle </w:t>
      </w:r>
      <w:r w:rsidR="001D5D98">
        <w:t>– s 1.14(h)</w:t>
      </w:r>
    </w:p>
    <w:p w14:paraId="51F24239" w14:textId="77777777" w:rsidR="00F71E05" w:rsidRDefault="00F71E05" w:rsidP="00F71E05">
      <w:r w:rsidRPr="00916FAD">
        <w:t>Section 1.14(</w:t>
      </w:r>
      <w:r>
        <w:t>h</w:t>
      </w:r>
      <w:r w:rsidRPr="00916FAD">
        <w:t xml:space="preserve">) applies where disclosure of the information would, or could reasonably be expected to, </w:t>
      </w:r>
      <w:r>
        <w:t>endanger the security of a building</w:t>
      </w:r>
      <w:r w:rsidRPr="00C42963">
        <w:t xml:space="preserve">, structure or vehicle. </w:t>
      </w:r>
    </w:p>
    <w:p w14:paraId="55E37639" w14:textId="01EED5E8" w:rsidR="00F71E05" w:rsidRDefault="00F71E05" w:rsidP="00F71E05">
      <w:r w:rsidRPr="00C42963">
        <w:t>For example, s 1.14(h) may apply where the information could reveal the best point to attempt to access a building unlawfully,</w:t>
      </w:r>
      <w:r w:rsidRPr="00C42963">
        <w:rPr>
          <w:rStyle w:val="FootnoteReference"/>
        </w:rPr>
        <w:footnoteReference w:id="186"/>
      </w:r>
      <w:r w:rsidRPr="00C42963">
        <w:t xml:space="preserve"> or otherwise reveal inadequacies in </w:t>
      </w:r>
      <w:r>
        <w:t xml:space="preserve">the security arrangements of </w:t>
      </w:r>
      <w:r w:rsidRPr="00C42963">
        <w:t>a building, structure or vehicle.</w:t>
      </w:r>
      <w:r w:rsidRPr="00C42963">
        <w:rPr>
          <w:rStyle w:val="FootnoteReference"/>
        </w:rPr>
        <w:footnoteReference w:id="187"/>
      </w:r>
    </w:p>
    <w:p w14:paraId="123B49AB" w14:textId="43029337" w:rsidR="00F71E05" w:rsidRPr="00597DAA" w:rsidRDefault="00F71E05" w:rsidP="00F71E05">
      <w:pPr>
        <w:pStyle w:val="Heading4"/>
      </w:pPr>
      <w:r w:rsidRPr="00597DAA">
        <w:t>System or procedure for protection of people, property or environment</w:t>
      </w:r>
      <w:r w:rsidR="001D5D98">
        <w:t xml:space="preserve"> – s</w:t>
      </w:r>
      <w:r w:rsidR="00133764">
        <w:t xml:space="preserve"> </w:t>
      </w:r>
      <w:r w:rsidR="001D5D98">
        <w:t>1.14(i)</w:t>
      </w:r>
    </w:p>
    <w:p w14:paraId="0785DA40" w14:textId="77777777" w:rsidR="00F71E05" w:rsidRDefault="00F71E05" w:rsidP="00F71E05">
      <w:r w:rsidRPr="00597DAA">
        <w:t xml:space="preserve">Section 1.14(i) applies where disclosure of the information would, or could reasonably be expected to, prejudice a system or procedure for the protection of people, property or the environment. </w:t>
      </w:r>
    </w:p>
    <w:p w14:paraId="35127469" w14:textId="4D5784DA" w:rsidR="00F71E05" w:rsidRDefault="00F71E05" w:rsidP="00846D9E">
      <w:pPr>
        <w:keepNext/>
        <w:keepLines/>
      </w:pPr>
      <w:r>
        <w:t xml:space="preserve">For example, s 1.14(i) may apply in circumstances where the disclosure of the information may: </w:t>
      </w:r>
    </w:p>
    <w:p w14:paraId="2008AB99" w14:textId="77777777" w:rsidR="00F71E05" w:rsidRPr="00646C89" w:rsidRDefault="00F71E05" w:rsidP="00846D9E">
      <w:pPr>
        <w:pStyle w:val="ListParagraph"/>
        <w:keepNext/>
        <w:keepLines/>
        <w:numPr>
          <w:ilvl w:val="0"/>
          <w:numId w:val="27"/>
        </w:numPr>
      </w:pPr>
      <w:r w:rsidRPr="00646C89">
        <w:t>reveal methods for the monitoring or assessment of offenders that would enable an offender to modify their behaviour to avoid detection or achieve a favourable assessment</w:t>
      </w:r>
      <w:r w:rsidRPr="00646C89">
        <w:rPr>
          <w:rStyle w:val="FootnoteReference"/>
        </w:rPr>
        <w:footnoteReference w:id="188"/>
      </w:r>
      <w:r w:rsidRPr="00646C89">
        <w:t xml:space="preserve"> </w:t>
      </w:r>
    </w:p>
    <w:p w14:paraId="07ABE30E" w14:textId="5115383A" w:rsidR="00F71E05" w:rsidRPr="00646C89" w:rsidRDefault="00F71E05" w:rsidP="0096731A">
      <w:pPr>
        <w:pStyle w:val="ListParagraph"/>
        <w:keepNext/>
        <w:keepLines/>
        <w:numPr>
          <w:ilvl w:val="0"/>
          <w:numId w:val="27"/>
        </w:numPr>
        <w:ind w:right="-22"/>
      </w:pPr>
      <w:r w:rsidRPr="00646C89">
        <w:t xml:space="preserve">deter persons from providing information relevant to procedures under the </w:t>
      </w:r>
      <w:hyperlink r:id="rId61" w:history="1">
        <w:r w:rsidR="0096731A" w:rsidRPr="00ED6A0D">
          <w:rPr>
            <w:rStyle w:val="Hyperlink"/>
            <w:i/>
            <w:iCs/>
          </w:rPr>
          <w:t>Mental Health Act 2015</w:t>
        </w:r>
      </w:hyperlink>
      <w:r w:rsidR="0096731A">
        <w:rPr>
          <w:rStyle w:val="Hyperlink"/>
          <w:i/>
          <w:iCs/>
        </w:rPr>
        <w:t xml:space="preserve"> </w:t>
      </w:r>
      <w:r w:rsidRPr="00646C89">
        <w:t>designed to protect the safety of persons with a mental disorder or mental illness or the community</w:t>
      </w:r>
      <w:r w:rsidR="00660D03">
        <w:t>,</w:t>
      </w:r>
      <w:r w:rsidRPr="00646C89">
        <w:rPr>
          <w:rStyle w:val="FootnoteReference"/>
        </w:rPr>
        <w:footnoteReference w:id="189"/>
      </w:r>
      <w:r>
        <w:t xml:space="preserve"> or </w:t>
      </w:r>
    </w:p>
    <w:p w14:paraId="683234B9" w14:textId="5449674B" w:rsidR="00F71E05" w:rsidRDefault="00F71E05" w:rsidP="00846D9E">
      <w:pPr>
        <w:pStyle w:val="ListParagraph"/>
        <w:keepNext/>
        <w:keepLines/>
        <w:numPr>
          <w:ilvl w:val="0"/>
          <w:numId w:val="27"/>
        </w:numPr>
      </w:pPr>
      <w:r w:rsidRPr="00646C89">
        <w:t xml:space="preserve">discourage </w:t>
      </w:r>
      <w:r>
        <w:t xml:space="preserve">persons </w:t>
      </w:r>
      <w:r w:rsidRPr="00646C89">
        <w:t>from providing information to emergency services.</w:t>
      </w:r>
      <w:r w:rsidRPr="00646C89">
        <w:rPr>
          <w:rStyle w:val="FootnoteReference"/>
        </w:rPr>
        <w:footnoteReference w:id="190"/>
      </w:r>
    </w:p>
    <w:p w14:paraId="54082B52" w14:textId="58F8B1F9" w:rsidR="00A4164D" w:rsidRPr="00474428" w:rsidRDefault="003E3940" w:rsidP="0096731A">
      <w:pPr>
        <w:ind w:right="-22"/>
        <w:rPr>
          <w:b/>
          <w:bCs/>
        </w:rPr>
      </w:pPr>
      <w:r>
        <w:t xml:space="preserve">Where the relevant information is, however, </w:t>
      </w:r>
      <w:r w:rsidR="00B11016">
        <w:t>publicly</w:t>
      </w:r>
      <w:r>
        <w:t xml:space="preserve"> available, or there is an express intention stated by the relevant organisation that this is the case, </w:t>
      </w:r>
      <w:r w:rsidR="0022690B">
        <w:t>the information</w:t>
      </w:r>
      <w:r>
        <w:t xml:space="preserve"> would be unlikely to be </w:t>
      </w:r>
      <w:r w:rsidR="0022690B">
        <w:t>with</w:t>
      </w:r>
      <w:r>
        <w:t xml:space="preserve">in </w:t>
      </w:r>
      <w:r w:rsidR="0022690B">
        <w:t xml:space="preserve">the </w:t>
      </w:r>
      <w:r>
        <w:t>scope of</w:t>
      </w:r>
      <w:r w:rsidR="00FF3202">
        <w:t xml:space="preserve"> </w:t>
      </w:r>
      <w:r>
        <w:t>s</w:t>
      </w:r>
      <w:r w:rsidR="00FF3202">
        <w:t> </w:t>
      </w:r>
      <w:r>
        <w:t>1.14(i).</w:t>
      </w:r>
      <w:r>
        <w:rPr>
          <w:rStyle w:val="FootnoteReference"/>
        </w:rPr>
        <w:footnoteReference w:id="191"/>
      </w:r>
    </w:p>
    <w:p w14:paraId="3F8CAB32" w14:textId="15800C68" w:rsidR="00FF3202" w:rsidRDefault="00FF3202" w:rsidP="00B87CC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rsidRPr="0094288C">
        <w:rPr>
          <w:b/>
          <w:bCs/>
          <w:iCs/>
        </w:rPr>
        <w:t>Case study:</w:t>
      </w:r>
      <w:r>
        <w:rPr>
          <w:b/>
          <w:bCs/>
          <w:i/>
          <w:iCs/>
        </w:rPr>
        <w:t xml:space="preserve"> </w:t>
      </w:r>
      <w:r w:rsidRPr="008712A5">
        <w:rPr>
          <w:b/>
          <w:i/>
        </w:rPr>
        <w:t>Department of Defence and Health Directorate</w:t>
      </w:r>
      <w:r>
        <w:rPr>
          <w:rStyle w:val="FootnoteReference"/>
          <w:b/>
          <w:i/>
        </w:rPr>
        <w:footnoteReference w:id="192"/>
      </w:r>
    </w:p>
    <w:p w14:paraId="5872D1FD" w14:textId="7AD7B020" w:rsidR="00A4164D" w:rsidRDefault="00A4164D" w:rsidP="00B87CC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The applicant sought review of the agency’s decision to disclose information relating to the applicant’s site investigations and human health risk assessments of contamination.</w:t>
      </w:r>
    </w:p>
    <w:p w14:paraId="47EEB1A6" w14:textId="77777777" w:rsidR="00A4164D" w:rsidRDefault="00A4164D" w:rsidP="00B87CC6">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pPr>
      <w:r>
        <w:t>The Ombudsman considered whether disclosure of the information would prejudice a system or procedure for the protection of people, property or the environment (Schedule 1, s 1.14(1)(i)).</w:t>
      </w:r>
    </w:p>
    <w:p w14:paraId="2B2205DF" w14:textId="12AD1255" w:rsidR="00A4164D" w:rsidRDefault="00A4164D" w:rsidP="00B87CC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found that disclosure of the information was not contrary to the public interest because while the information did identify a system or procedure for the protection of people, property or the environment, the legislation under which the information was provided </w:t>
      </w:r>
      <w:r w:rsidR="007E33BE">
        <w:t xml:space="preserve">to the Health Directorate </w:t>
      </w:r>
      <w:r>
        <w:t>included an express intention that such information is accessible to the community.</w:t>
      </w:r>
    </w:p>
    <w:p w14:paraId="691D9697" w14:textId="6976F05E" w:rsidR="00F71E05" w:rsidRPr="00DA694C" w:rsidRDefault="00F71E05" w:rsidP="00F71E05">
      <w:pPr>
        <w:pStyle w:val="Heading4"/>
      </w:pPr>
      <w:r w:rsidRPr="00DA694C">
        <w:t xml:space="preserve">Facilitate escape from lawful custody </w:t>
      </w:r>
      <w:r w:rsidR="001D5D98">
        <w:t>– s</w:t>
      </w:r>
      <w:r w:rsidR="00133764">
        <w:t xml:space="preserve"> </w:t>
      </w:r>
      <w:r w:rsidR="001D5D98">
        <w:t>1.14(j)</w:t>
      </w:r>
    </w:p>
    <w:p w14:paraId="2F270296" w14:textId="2B9374F3" w:rsidR="00F71E05" w:rsidRDefault="00F71E05" w:rsidP="00F71E05">
      <w:r w:rsidRPr="00DA694C">
        <w:t>Section 1.14(j) applies where disclosure of the information would, or could reasonably be expected to, facilitate a person’s escape from lawful</w:t>
      </w:r>
      <w:r>
        <w:t xml:space="preserve"> custody. Lawful ‘custody’ could include:</w:t>
      </w:r>
    </w:p>
    <w:p w14:paraId="069B0545" w14:textId="77777777" w:rsidR="00F71E05" w:rsidRDefault="00F71E05" w:rsidP="001D5D98">
      <w:pPr>
        <w:pStyle w:val="ListParagraph"/>
        <w:numPr>
          <w:ilvl w:val="0"/>
          <w:numId w:val="30"/>
        </w:numPr>
      </w:pPr>
      <w:r>
        <w:t xml:space="preserve">being remanded in custody under a territory law or a law of the Commonwealth or a State (including the Northern Territory), or </w:t>
      </w:r>
    </w:p>
    <w:p w14:paraId="0425D434" w14:textId="3EDC2933" w:rsidR="00F71E05" w:rsidRDefault="00F71E05" w:rsidP="001D5D98">
      <w:pPr>
        <w:pStyle w:val="ListParagraph"/>
        <w:numPr>
          <w:ilvl w:val="0"/>
          <w:numId w:val="30"/>
        </w:numPr>
      </w:pPr>
      <w:r>
        <w:t xml:space="preserve">being detained at a place under the </w:t>
      </w:r>
      <w:bookmarkStart w:id="713" w:name="_Hlk149929357"/>
      <w:r>
        <w:fldChar w:fldCharType="begin"/>
      </w:r>
      <w:r>
        <w:instrText>HYPERLINK "https://www.legislation.act.gov.au/a/2015-38"</w:instrText>
      </w:r>
      <w:r>
        <w:fldChar w:fldCharType="separate"/>
      </w:r>
      <w:r w:rsidR="001D70F9" w:rsidRPr="00ED6A0D">
        <w:rPr>
          <w:rStyle w:val="Hyperlink"/>
          <w:i/>
          <w:iCs/>
        </w:rPr>
        <w:t>Mental Health Act 2015</w:t>
      </w:r>
      <w:r>
        <w:rPr>
          <w:rStyle w:val="Hyperlink"/>
          <w:i/>
          <w:iCs/>
        </w:rPr>
        <w:fldChar w:fldCharType="end"/>
      </w:r>
      <w:bookmarkEnd w:id="713"/>
      <w:r w:rsidRPr="0020076E">
        <w:rPr>
          <w:i/>
        </w:rPr>
        <w:t>.</w:t>
      </w:r>
      <w:r w:rsidRPr="00713CFE">
        <w:rPr>
          <w:rStyle w:val="FootnoteReference"/>
        </w:rPr>
        <w:footnoteReference w:id="193"/>
      </w:r>
    </w:p>
    <w:p w14:paraId="3A4A81D8" w14:textId="143CFB7B" w:rsidR="00F71E05" w:rsidRDefault="00F71E05" w:rsidP="00F71E05">
      <w:r>
        <w:t>For example, s 1.14(1)(j) may apply where disclosure of the information would reveal weaknesses in prison security or police custody arrangements that may facilitate a person’s escape from custody. It does not apply to information that would be generally known to persons in custody, such as information about general systems for moving prisoners within a prison.</w:t>
      </w:r>
      <w:r>
        <w:rPr>
          <w:rStyle w:val="FootnoteReference"/>
        </w:rPr>
        <w:footnoteReference w:id="194"/>
      </w:r>
    </w:p>
    <w:p w14:paraId="576402B9" w14:textId="26F3CAAF" w:rsidR="00F71E05" w:rsidRDefault="00F71E05" w:rsidP="009B05C4">
      <w:pPr>
        <w:pStyle w:val="Heading4"/>
      </w:pPr>
      <w:bookmarkStart w:id="714" w:name="_Prejudice_cultural_or"/>
      <w:bookmarkStart w:id="715" w:name="_Ref10621939"/>
      <w:bookmarkEnd w:id="714"/>
      <w:r w:rsidRPr="0015210F">
        <w:t>Prejudice cultural or natural resource or habitat</w:t>
      </w:r>
      <w:bookmarkEnd w:id="715"/>
      <w:r>
        <w:t xml:space="preserve"> </w:t>
      </w:r>
      <w:r w:rsidR="001D5D98">
        <w:t>– s</w:t>
      </w:r>
      <w:r w:rsidR="00133764">
        <w:t xml:space="preserve"> </w:t>
      </w:r>
      <w:r w:rsidR="001D5D98">
        <w:t>1.14(k)</w:t>
      </w:r>
    </w:p>
    <w:p w14:paraId="32651412" w14:textId="77777777" w:rsidR="00425548" w:rsidRDefault="00F71E05" w:rsidP="00425548">
      <w:r w:rsidRPr="00916FAD">
        <w:t>Section 1.14(</w:t>
      </w:r>
      <w:r>
        <w:t>k</w:t>
      </w:r>
      <w:r w:rsidRPr="00916FAD">
        <w:t xml:space="preserve">) applies where disclosure of the information would, or could reasonably be expected to, </w:t>
      </w:r>
      <w:r>
        <w:t xml:space="preserve">prejudice the wellbeing of a cultural or natural resource or the habitat of animals or plants. </w:t>
      </w:r>
    </w:p>
    <w:p w14:paraId="689E2E0B" w14:textId="7C2DB83C" w:rsidR="00480DD6" w:rsidRDefault="00F71E05" w:rsidP="00455776">
      <w:r>
        <w:t xml:space="preserve">The terms ‘cultural or natural resource’ and ‘habitat’ are not defined in the FOI Act. </w:t>
      </w:r>
      <w:r w:rsidR="001D5D98">
        <w:t>T</w:t>
      </w:r>
      <w:r>
        <w:t xml:space="preserve">he </w:t>
      </w:r>
      <w:hyperlink r:id="rId62" w:history="1">
        <w:r w:rsidR="001D5D98" w:rsidRPr="00611FF1">
          <w:rPr>
            <w:rStyle w:val="Hyperlink"/>
            <w:i/>
          </w:rPr>
          <w:t>Heritage Act 2004</w:t>
        </w:r>
      </w:hyperlink>
      <w:r w:rsidR="00003119">
        <w:rPr>
          <w:iCs/>
        </w:rPr>
        <w:t xml:space="preserve"> (‘Heritage Act’)</w:t>
      </w:r>
      <w:r w:rsidR="001D5D98" w:rsidRPr="002A1CE3">
        <w:t xml:space="preserve"> however, i</w:t>
      </w:r>
      <w:r w:rsidRPr="002A1CE3">
        <w:t>ndicates that a ‘natural resource’ is a resource that forms p</w:t>
      </w:r>
      <w:r w:rsidR="007F5542" w:rsidRPr="002A1CE3">
        <w:t>art of the natural environment,</w:t>
      </w:r>
      <w:r w:rsidR="00003119">
        <w:t xml:space="preserve"> </w:t>
      </w:r>
      <w:r w:rsidRPr="007C5B50">
        <w:t>such as the native flora, native fauna, geological formations or any other naturally occurring element at a particular location,</w:t>
      </w:r>
      <w:r w:rsidRPr="007C5B50">
        <w:rPr>
          <w:rStyle w:val="FootnoteReference"/>
        </w:rPr>
        <w:footnoteReference w:id="195"/>
      </w:r>
      <w:r w:rsidRPr="007C5B50">
        <w:t xml:space="preserve"> whereas a ‘cultural resource’ is a resource created or modified by human action,</w:t>
      </w:r>
      <w:r w:rsidR="00003119">
        <w:t xml:space="preserve"> </w:t>
      </w:r>
      <w:r w:rsidRPr="007C5B50">
        <w:t>or associated with human activity or a human event.</w:t>
      </w:r>
      <w:r w:rsidRPr="007C5B50">
        <w:rPr>
          <w:rStyle w:val="FootnoteReference"/>
        </w:rPr>
        <w:footnoteReference w:id="196"/>
      </w:r>
      <w:r w:rsidRPr="007C5B50">
        <w:t xml:space="preserve"> </w:t>
      </w:r>
    </w:p>
    <w:p w14:paraId="47607039" w14:textId="3CF4A156" w:rsidR="00480DD6" w:rsidRDefault="00F71E05" w:rsidP="00480DD6">
      <w:pPr>
        <w:keepNext/>
        <w:keepLines/>
      </w:pPr>
      <w:r w:rsidRPr="007C5B50">
        <w:t xml:space="preserve">The </w:t>
      </w:r>
      <w:hyperlink r:id="rId63" w:history="1">
        <w:r w:rsidRPr="00480DD6">
          <w:rPr>
            <w:rStyle w:val="Hyperlink"/>
            <w:i/>
          </w:rPr>
          <w:t>Nature Conservation Act 2014</w:t>
        </w:r>
      </w:hyperlink>
      <w:r w:rsidRPr="00480DD6">
        <w:rPr>
          <w:i/>
        </w:rPr>
        <w:t xml:space="preserve"> </w:t>
      </w:r>
      <w:r w:rsidR="006334C3" w:rsidRPr="007C5B50">
        <w:t>defines</w:t>
      </w:r>
      <w:r w:rsidRPr="007C5B50">
        <w:t xml:space="preserve"> ‘habitat’ as an area: </w:t>
      </w:r>
    </w:p>
    <w:p w14:paraId="38246398" w14:textId="0C5F843B" w:rsidR="00480DD6" w:rsidRPr="007C5B50" w:rsidRDefault="00480DD6" w:rsidP="00480DD6">
      <w:pPr>
        <w:pStyle w:val="ListParagraph"/>
        <w:keepNext/>
        <w:keepLines/>
        <w:numPr>
          <w:ilvl w:val="0"/>
          <w:numId w:val="26"/>
        </w:numPr>
        <w:ind w:left="357" w:hanging="357"/>
      </w:pPr>
      <w:r w:rsidRPr="007C5B50">
        <w:t>occupied (continuously, periodically or occasionally) by an organism or group of organisms, or</w:t>
      </w:r>
    </w:p>
    <w:p w14:paraId="670DA10C" w14:textId="77777777" w:rsidR="00480DD6" w:rsidRPr="007C5B50" w:rsidRDefault="00480DD6" w:rsidP="00480DD6">
      <w:pPr>
        <w:pStyle w:val="ListParagraph"/>
        <w:keepNext/>
        <w:keepLines/>
        <w:numPr>
          <w:ilvl w:val="0"/>
          <w:numId w:val="26"/>
        </w:numPr>
        <w:ind w:left="357" w:hanging="357"/>
      </w:pPr>
      <w:r w:rsidRPr="007C5B50">
        <w:t>once occupied (continuously, periodically or occasionally) by an organism, or group of organisms, and into which organisms of that kind have the potential to be reintroduced.</w:t>
      </w:r>
      <w:r w:rsidRPr="007C5B50">
        <w:rPr>
          <w:rStyle w:val="FootnoteReference"/>
        </w:rPr>
        <w:footnoteReference w:id="197"/>
      </w:r>
    </w:p>
    <w:p w14:paraId="2F77E633" w14:textId="1D315D90" w:rsidR="00EF3AED" w:rsidRPr="007C5B50" w:rsidRDefault="00030BAA" w:rsidP="0096731A">
      <w:pPr>
        <w:pStyle w:val="Heading2"/>
        <w:keepNext w:val="0"/>
        <w:keepLines w:val="0"/>
        <w:numPr>
          <w:ilvl w:val="1"/>
          <w:numId w:val="54"/>
        </w:numPr>
        <w:ind w:left="567" w:hanging="567"/>
      </w:pPr>
      <w:bookmarkStart w:id="716" w:name="_Schedule_2"/>
      <w:bookmarkStart w:id="717" w:name="_Section_1.15_–"/>
      <w:bookmarkEnd w:id="716"/>
      <w:bookmarkEnd w:id="717"/>
      <w:r>
        <w:t xml:space="preserve"> </w:t>
      </w:r>
      <w:bookmarkStart w:id="718" w:name="_Toc152067330"/>
      <w:r w:rsidR="00EF3AED" w:rsidRPr="007C5B50">
        <w:t xml:space="preserve">Section 1.15 – </w:t>
      </w:r>
      <w:r w:rsidR="004D0EF4" w:rsidRPr="007C5B50">
        <w:t>I</w:t>
      </w:r>
      <w:r w:rsidR="0019062B" w:rsidRPr="007C5B50">
        <w:t xml:space="preserve">nformation in possession of </w:t>
      </w:r>
      <w:r w:rsidR="004D0EF4" w:rsidRPr="007C5B50">
        <w:t>I</w:t>
      </w:r>
      <w:r w:rsidR="0019062B" w:rsidRPr="007C5B50">
        <w:t xml:space="preserve">nspector of </w:t>
      </w:r>
      <w:r w:rsidR="004D0EF4" w:rsidRPr="007C5B50">
        <w:t>C</w:t>
      </w:r>
      <w:r w:rsidR="0019062B" w:rsidRPr="007C5B50">
        <w:t xml:space="preserve">orrectional </w:t>
      </w:r>
      <w:r w:rsidR="004D0EF4" w:rsidRPr="007C5B50">
        <w:t>S</w:t>
      </w:r>
      <w:r w:rsidR="0019062B" w:rsidRPr="007C5B50">
        <w:t>ervices</w:t>
      </w:r>
      <w:bookmarkEnd w:id="718"/>
      <w:r w:rsidR="0019062B" w:rsidRPr="007C5B50">
        <w:t xml:space="preserve"> </w:t>
      </w:r>
    </w:p>
    <w:p w14:paraId="0809AB33" w14:textId="3637E9C3" w:rsidR="0019062B" w:rsidRPr="007C5B50" w:rsidRDefault="00782630" w:rsidP="0096731A">
      <w:pPr>
        <w:pStyle w:val="Heading4"/>
        <w:keepNext w:val="0"/>
        <w:keepLines w:val="0"/>
      </w:pPr>
      <w:r w:rsidRPr="007C5B50">
        <w:t xml:space="preserve">Background </w:t>
      </w:r>
    </w:p>
    <w:p w14:paraId="6F40CA82" w14:textId="5A224361" w:rsidR="00A150A5" w:rsidRPr="00DF3420" w:rsidRDefault="00782630" w:rsidP="0096731A">
      <w:r w:rsidRPr="007C5B50">
        <w:t xml:space="preserve">The </w:t>
      </w:r>
      <w:r w:rsidR="00DF48B6" w:rsidRPr="007C5B50">
        <w:t xml:space="preserve">Inspector of Correctional Services </w:t>
      </w:r>
      <w:r w:rsidR="00AA3E28" w:rsidRPr="007C5B50">
        <w:t>(</w:t>
      </w:r>
      <w:r w:rsidR="00642062">
        <w:t>‘</w:t>
      </w:r>
      <w:r w:rsidR="00AA3E28" w:rsidRPr="007C5B50">
        <w:t>ICS</w:t>
      </w:r>
      <w:r w:rsidR="00642062">
        <w:t>’</w:t>
      </w:r>
      <w:r w:rsidR="00AA3E28" w:rsidRPr="007C5B50">
        <w:t xml:space="preserve">) </w:t>
      </w:r>
      <w:r w:rsidR="007C1750" w:rsidRPr="007C5B50">
        <w:t xml:space="preserve">provides independent oversight of ACT correctional and youth justice facilities </w:t>
      </w:r>
      <w:r w:rsidR="00FB0C06" w:rsidRPr="007C5B50">
        <w:t>by</w:t>
      </w:r>
      <w:r w:rsidR="007C1750" w:rsidRPr="007C5B50">
        <w:t xml:space="preserve"> conducting reviews of ACT correctional facilities and </w:t>
      </w:r>
      <w:r w:rsidR="00FB0C06" w:rsidRPr="007C5B50">
        <w:t>services and</w:t>
      </w:r>
      <w:r w:rsidR="007C1750" w:rsidRPr="007C5B50">
        <w:t xml:space="preserve"> reviewing critical incidents</w:t>
      </w:r>
      <w:r w:rsidR="007B150A" w:rsidRPr="007C5B50">
        <w:t xml:space="preserve"> under the </w:t>
      </w:r>
      <w:hyperlink r:id="rId64" w:history="1">
        <w:r w:rsidR="00642062">
          <w:rPr>
            <w:rStyle w:val="Hyperlink"/>
            <w:i/>
            <w:iCs/>
          </w:rPr>
          <w:t>Inspector of Correctional Services Act 2017</w:t>
        </w:r>
      </w:hyperlink>
      <w:r w:rsidR="00B077D7" w:rsidRPr="007C5B50">
        <w:t xml:space="preserve"> (</w:t>
      </w:r>
      <w:r w:rsidR="00642062">
        <w:t>‘</w:t>
      </w:r>
      <w:r w:rsidR="00B077D7" w:rsidRPr="007C5B50">
        <w:t>ICS Act</w:t>
      </w:r>
      <w:r w:rsidR="00642062">
        <w:t>’</w:t>
      </w:r>
      <w:r w:rsidR="00B077D7" w:rsidRPr="007C5B50">
        <w:t xml:space="preserve">). </w:t>
      </w:r>
      <w:r w:rsidR="005074C0" w:rsidRPr="007C5B50">
        <w:t>The ICS was added to the Schedule</w:t>
      </w:r>
      <w:r w:rsidR="005074C0">
        <w:t xml:space="preserve"> as a result of the amendments passed in 2023.</w:t>
      </w:r>
    </w:p>
    <w:p w14:paraId="5C3E14EA" w14:textId="6D4C3D75" w:rsidR="00F04B2C" w:rsidRPr="00DF3420" w:rsidRDefault="00CC2368" w:rsidP="0096731A">
      <w:r w:rsidRPr="00DF3420">
        <w:t xml:space="preserve">In performing these functions, the ICS </w:t>
      </w:r>
      <w:r w:rsidR="002A4BB7" w:rsidRPr="00DF3420">
        <w:t xml:space="preserve">has certain powers to require a person to provide information, </w:t>
      </w:r>
      <w:r w:rsidR="00656695" w:rsidRPr="00DF3420">
        <w:t xml:space="preserve">produce a document or other thing, or to attend </w:t>
      </w:r>
      <w:r w:rsidR="003070A3" w:rsidRPr="00DF3420">
        <w:t xml:space="preserve">before an interviewer to answer questions relevant to an examination or review. </w:t>
      </w:r>
    </w:p>
    <w:p w14:paraId="4063B5FF" w14:textId="49982D63" w:rsidR="005E3DD9" w:rsidRPr="00DF3420" w:rsidRDefault="005511B2" w:rsidP="0096731A">
      <w:r w:rsidRPr="00DF3420">
        <w:t xml:space="preserve">Information obtained or disclosed </w:t>
      </w:r>
      <w:r w:rsidR="00254EE9" w:rsidRPr="00DF3420">
        <w:t xml:space="preserve">to the ICS is confidential and protected by secrecy provisions set out in section </w:t>
      </w:r>
      <w:r w:rsidR="005E3DD9" w:rsidRPr="00DF3420">
        <w:t xml:space="preserve">37 of the ICS Act. </w:t>
      </w:r>
    </w:p>
    <w:p w14:paraId="317853A4" w14:textId="0A11905B" w:rsidR="00782630" w:rsidRPr="00DF3420" w:rsidRDefault="00782630" w:rsidP="0096731A">
      <w:pPr>
        <w:pStyle w:val="Heading4"/>
      </w:pPr>
      <w:bookmarkStart w:id="719" w:name="_Toc43385547"/>
      <w:r w:rsidRPr="00DF3420">
        <w:t>Overview</w:t>
      </w:r>
      <w:bookmarkEnd w:id="719"/>
      <w:r w:rsidRPr="00DF3420">
        <w:t xml:space="preserve"> </w:t>
      </w:r>
    </w:p>
    <w:p w14:paraId="5EDBA376" w14:textId="01D6E93C" w:rsidR="00CF3FC4" w:rsidRPr="00DF3420" w:rsidRDefault="00CF3FC4" w:rsidP="00CF3FC4">
      <w:r w:rsidRPr="00DF3420">
        <w:t>Section 1.15 provides that</w:t>
      </w:r>
      <w:r w:rsidR="006D2654" w:rsidRPr="00DF3420">
        <w:t xml:space="preserve"> disclosure of information is taken to be contrary to the public interest if it is: </w:t>
      </w:r>
    </w:p>
    <w:p w14:paraId="2CBE63B0" w14:textId="205F6AC6" w:rsidR="006D2654" w:rsidRPr="00DF3420" w:rsidRDefault="00957BB0" w:rsidP="006D2654">
      <w:pPr>
        <w:pStyle w:val="ListParagraph"/>
        <w:numPr>
          <w:ilvl w:val="0"/>
          <w:numId w:val="26"/>
        </w:numPr>
      </w:pPr>
      <w:r>
        <w:t>i</w:t>
      </w:r>
      <w:r w:rsidRPr="00DF3420">
        <w:t xml:space="preserve">n </w:t>
      </w:r>
      <w:r w:rsidR="006D2654" w:rsidRPr="00DF3420">
        <w:t xml:space="preserve">the possession of the ICS, and </w:t>
      </w:r>
    </w:p>
    <w:p w14:paraId="6B9BBB57" w14:textId="6AF6C46F" w:rsidR="006D2654" w:rsidRPr="00DF3420" w:rsidRDefault="00957BB0" w:rsidP="006D2654">
      <w:pPr>
        <w:pStyle w:val="ListParagraph"/>
        <w:numPr>
          <w:ilvl w:val="0"/>
          <w:numId w:val="26"/>
        </w:numPr>
      </w:pPr>
      <w:r>
        <w:t xml:space="preserve">has </w:t>
      </w:r>
      <w:r w:rsidR="00DF3420">
        <w:t xml:space="preserve">been </w:t>
      </w:r>
      <w:r w:rsidR="002469DC" w:rsidRPr="00DF3420">
        <w:t xml:space="preserve">obtained or generated in relation to: </w:t>
      </w:r>
    </w:p>
    <w:p w14:paraId="67F476AC" w14:textId="5D038C17" w:rsidR="002469DC" w:rsidRPr="00DF3420" w:rsidRDefault="00957BB0" w:rsidP="002469DC">
      <w:pPr>
        <w:pStyle w:val="ListParagraph"/>
        <w:numPr>
          <w:ilvl w:val="1"/>
          <w:numId w:val="26"/>
        </w:numPr>
      </w:pPr>
      <w:r>
        <w:t>a</w:t>
      </w:r>
      <w:r w:rsidRPr="00DF3420">
        <w:t xml:space="preserve">n </w:t>
      </w:r>
      <w:r w:rsidR="002469DC" w:rsidRPr="00DF3420">
        <w:t>examination</w:t>
      </w:r>
      <w:r w:rsidR="00DF3420">
        <w:t xml:space="preserve"> or review </w:t>
      </w:r>
      <w:r w:rsidR="00A67363" w:rsidRPr="00DF3420">
        <w:t>of a correctional centre</w:t>
      </w:r>
      <w:r w:rsidR="00DF3420">
        <w:t xml:space="preserve">, </w:t>
      </w:r>
      <w:r w:rsidR="00A67363" w:rsidRPr="00DF3420">
        <w:t>detention place</w:t>
      </w:r>
      <w:r w:rsidR="00012965" w:rsidRPr="00DF3420">
        <w:t xml:space="preserve"> </w:t>
      </w:r>
      <w:r w:rsidR="00DF3420">
        <w:t xml:space="preserve">or correctional services </w:t>
      </w:r>
      <w:r w:rsidR="00012965" w:rsidRPr="00DF3420">
        <w:t>under the ICS Act</w:t>
      </w:r>
      <w:r w:rsidR="002469DC" w:rsidRPr="00DF3420">
        <w:t>, or</w:t>
      </w:r>
    </w:p>
    <w:p w14:paraId="2ADA515D" w14:textId="7F69A8D5" w:rsidR="00F02A24" w:rsidRPr="00DF3420" w:rsidRDefault="00957BB0" w:rsidP="00F02A24">
      <w:pPr>
        <w:pStyle w:val="ListParagraph"/>
        <w:numPr>
          <w:ilvl w:val="1"/>
          <w:numId w:val="26"/>
        </w:numPr>
      </w:pPr>
      <w:r>
        <w:t>a</w:t>
      </w:r>
      <w:r w:rsidRPr="00DF3420">
        <w:t xml:space="preserve"> </w:t>
      </w:r>
      <w:r w:rsidR="002469DC" w:rsidRPr="00DF3420">
        <w:t xml:space="preserve">review </w:t>
      </w:r>
      <w:r w:rsidR="00A81A46" w:rsidRPr="00DF3420">
        <w:t xml:space="preserve">of a critical incident </w:t>
      </w:r>
      <w:r w:rsidR="004F52C9" w:rsidRPr="00DF3420">
        <w:t>under the ICS Act</w:t>
      </w:r>
      <w:r>
        <w:t>.</w:t>
      </w:r>
    </w:p>
    <w:p w14:paraId="224E2728" w14:textId="77777777" w:rsidR="00C77EF0" w:rsidRPr="00DF3420" w:rsidRDefault="00C77EF0" w:rsidP="0096731A">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DF3420">
        <w:rPr>
          <w:b/>
        </w:rPr>
        <w:t xml:space="preserve">Note: </w:t>
      </w:r>
    </w:p>
    <w:p w14:paraId="2B40E09B" w14:textId="6CCE48D5" w:rsidR="00C77EF0" w:rsidRPr="00DF3420" w:rsidRDefault="00C77EF0" w:rsidP="0099657A">
      <w:pPr>
        <w:pStyle w:val="ListParagraph"/>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ind w:left="357" w:hanging="357"/>
      </w:pPr>
      <w:r w:rsidRPr="00DF3420">
        <w:t>Section 1.15 is likely to be relevant to the ICS only, as this provision does not apply in relation to any other copy of information held or created by the ICS which may be in the possession of another territory directorate or authority.</w:t>
      </w:r>
    </w:p>
    <w:p w14:paraId="72F56130" w14:textId="1199A85F" w:rsidR="00C77EF0" w:rsidRPr="00DF3420" w:rsidRDefault="00C77EF0" w:rsidP="0099657A">
      <w:pPr>
        <w:pStyle w:val="ListParagraph"/>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ind w:left="357" w:hanging="357"/>
      </w:pPr>
      <w:r w:rsidRPr="00DF3420">
        <w:t>Such information is also like to be considered contrary to the public interest under s 1.3</w:t>
      </w:r>
      <w:r w:rsidR="0066752D">
        <w:t xml:space="preserve"> </w:t>
      </w:r>
      <w:r w:rsidRPr="00DF3420">
        <w:rPr>
          <w:rFonts w:ascii="Calibri" w:hAnsi="Calibri" w:cs="Calibri"/>
        </w:rPr>
        <w:t>—</w:t>
      </w:r>
      <w:r w:rsidR="0066752D">
        <w:rPr>
          <w:rFonts w:ascii="Calibri" w:hAnsi="Calibri" w:cs="Calibri"/>
        </w:rPr>
        <w:t xml:space="preserve"> </w:t>
      </w:r>
      <w:r w:rsidRPr="00C645A4">
        <w:t>see</w:t>
      </w:r>
      <w:r w:rsidR="006372C1">
        <w:t xml:space="preserve"> [</w:t>
      </w:r>
      <w:hyperlink w:anchor="_Section_1.3_–_2" w:history="1">
        <w:r w:rsidR="006372C1" w:rsidRPr="006372C1">
          <w:rPr>
            <w:rStyle w:val="Hyperlink"/>
          </w:rPr>
          <w:t>5.6</w:t>
        </w:r>
      </w:hyperlink>
      <w:r w:rsidR="006372C1">
        <w:t>]</w:t>
      </w:r>
      <w:r w:rsidRPr="00C645A4">
        <w:br/>
      </w:r>
      <w:r w:rsidR="006372C1">
        <w:t>i</w:t>
      </w:r>
      <w:r w:rsidR="00F7530F" w:rsidRPr="006372C1">
        <w:t>nformation disclosure of which is prohibited by law</w:t>
      </w:r>
      <w:r w:rsidRPr="00DF3420">
        <w:t>.</w:t>
      </w:r>
    </w:p>
    <w:p w14:paraId="5EAC10C2" w14:textId="1102557A" w:rsidR="00F02A24" w:rsidRPr="00C645A4" w:rsidRDefault="00C77EF0" w:rsidP="0099657A">
      <w:pPr>
        <w:pStyle w:val="ListParagraph"/>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ind w:left="357" w:hanging="357"/>
      </w:pPr>
      <w:r w:rsidRPr="00C645A4">
        <w:t xml:space="preserve">For specific guidance on the phrase ‘in the possession of’ </w:t>
      </w:r>
      <w:r w:rsidR="0066752D" w:rsidRPr="00DF3420">
        <w:rPr>
          <w:rFonts w:ascii="Calibri" w:hAnsi="Calibri" w:cs="Calibri"/>
        </w:rPr>
        <w:t>—</w:t>
      </w:r>
      <w:r w:rsidR="0066752D">
        <w:rPr>
          <w:rFonts w:ascii="Calibri" w:hAnsi="Calibri" w:cs="Calibri"/>
        </w:rPr>
        <w:t xml:space="preserve"> </w:t>
      </w:r>
      <w:r w:rsidRPr="00C645A4">
        <w:t xml:space="preserve">see </w:t>
      </w:r>
      <w:hyperlink w:anchor="_Contrary_to_the" w:history="1">
        <w:r w:rsidR="00821932">
          <w:rPr>
            <w:rStyle w:val="Hyperlink"/>
          </w:rPr>
          <w:t>[4]</w:t>
        </w:r>
      </w:hyperlink>
      <w:r w:rsidR="00821932">
        <w:rPr>
          <w:rStyle w:val="Hyperlink"/>
          <w:u w:val="none"/>
        </w:rPr>
        <w:t xml:space="preserve"> </w:t>
      </w:r>
      <w:r w:rsidR="00821932">
        <w:rPr>
          <w:rStyle w:val="Hyperlink"/>
          <w:color w:val="auto"/>
          <w:u w:val="none"/>
        </w:rPr>
        <w:t xml:space="preserve">above. </w:t>
      </w:r>
    </w:p>
    <w:p w14:paraId="45FCFECA" w14:textId="28C48291" w:rsidR="003B2379" w:rsidRPr="002A1CE3" w:rsidRDefault="00705A38" w:rsidP="00BB0B73">
      <w:pPr>
        <w:pStyle w:val="Heading2"/>
        <w:numPr>
          <w:ilvl w:val="0"/>
          <w:numId w:val="54"/>
        </w:numPr>
        <w:ind w:left="357" w:hanging="357"/>
      </w:pPr>
      <w:bookmarkStart w:id="720" w:name="_Public_interest_test_1"/>
      <w:bookmarkStart w:id="721" w:name="_Toc152067331"/>
      <w:bookmarkStart w:id="722" w:name="_Hlk142906343"/>
      <w:bookmarkEnd w:id="720"/>
      <w:r w:rsidRPr="002A1CE3">
        <w:t>Public interest test</w:t>
      </w:r>
      <w:bookmarkEnd w:id="721"/>
      <w:r w:rsidRPr="002A1CE3">
        <w:t xml:space="preserve"> </w:t>
      </w:r>
    </w:p>
    <w:p w14:paraId="073C03B9" w14:textId="1012EF74" w:rsidR="00705A38" w:rsidRPr="003B2379" w:rsidRDefault="00BB0B73" w:rsidP="00DD7414">
      <w:r w:rsidRPr="003B2379">
        <w:t xml:space="preserve">If the information under consideration is </w:t>
      </w:r>
      <w:r w:rsidR="002A2E87" w:rsidRPr="00DD7414">
        <w:t>not</w:t>
      </w:r>
      <w:r w:rsidR="002A2E87" w:rsidRPr="003B2379">
        <w:t xml:space="preserve"> </w:t>
      </w:r>
      <w:r w:rsidR="005F3E7D" w:rsidRPr="003B2379">
        <w:t>taken to be contrary to the public interest under Schedule 1</w:t>
      </w:r>
      <w:r w:rsidR="00CA00D9" w:rsidRPr="003B2379">
        <w:t xml:space="preserve"> </w:t>
      </w:r>
      <w:r w:rsidR="00963E50">
        <w:t xml:space="preserve">(see </w:t>
      </w:r>
      <w:hyperlink w:anchor="_6._Common_terms" w:history="1">
        <w:r w:rsidR="00963E50" w:rsidRPr="00963E50">
          <w:rPr>
            <w:rStyle w:val="Hyperlink"/>
          </w:rPr>
          <w:t>[5]</w:t>
        </w:r>
      </w:hyperlink>
      <w:r w:rsidR="00963E50">
        <w:t xml:space="preserve"> above) </w:t>
      </w:r>
      <w:r w:rsidRPr="003B2379">
        <w:t xml:space="preserve">decision-makers will need to </w:t>
      </w:r>
      <w:r w:rsidR="00673A83">
        <w:t>decide</w:t>
      </w:r>
      <w:r w:rsidRPr="003B2379">
        <w:t xml:space="preserve"> whether or not </w:t>
      </w:r>
      <w:r w:rsidR="00504076" w:rsidRPr="003B2379">
        <w:t>the information is contrary to the public interest information by</w:t>
      </w:r>
      <w:r w:rsidRPr="003B2379">
        <w:t xml:space="preserve"> apply</w:t>
      </w:r>
      <w:r w:rsidR="00504076" w:rsidRPr="003B2379">
        <w:t xml:space="preserve">ing </w:t>
      </w:r>
      <w:r w:rsidRPr="003B2379">
        <w:t>the public interest test</w:t>
      </w:r>
      <w:r w:rsidR="00523A7C">
        <w:t>.</w:t>
      </w:r>
    </w:p>
    <w:p w14:paraId="19D3F4F0" w14:textId="46C29504" w:rsidR="00705A38" w:rsidRPr="003B2379" w:rsidRDefault="00705A38" w:rsidP="00705A38">
      <w:pPr>
        <w:rPr>
          <w:rFonts w:ascii="Calibri" w:hAnsi="Calibri" w:cs="Calibri"/>
        </w:rPr>
      </w:pPr>
      <w:r w:rsidRPr="003B2379">
        <w:t>To complete the public interest test, decision-makers must take the following steps:</w:t>
      </w:r>
      <w:r w:rsidRPr="003B2379">
        <w:rPr>
          <w:rStyle w:val="FootnoteReference"/>
        </w:rPr>
        <w:footnoteReference w:id="198"/>
      </w:r>
      <w:r w:rsidRPr="003B2379">
        <w:t xml:space="preserve"> </w:t>
      </w:r>
    </w:p>
    <w:p w14:paraId="7368558E" w14:textId="57443E46" w:rsidR="00705A38" w:rsidRPr="003B2379" w:rsidRDefault="00705A38" w:rsidP="00705A38">
      <w:pPr>
        <w:pStyle w:val="ListParagraph"/>
        <w:numPr>
          <w:ilvl w:val="0"/>
          <w:numId w:val="56"/>
        </w:numPr>
        <w:rPr>
          <w:rFonts w:ascii="Calibri" w:hAnsi="Calibri" w:cs="Calibri"/>
        </w:rPr>
      </w:pPr>
      <w:r w:rsidRPr="003B2379">
        <w:rPr>
          <w:rFonts w:ascii="Calibri" w:hAnsi="Calibri" w:cs="Calibri"/>
        </w:rPr>
        <w:t xml:space="preserve">identify any factor favouring disclosure that applies in relation to the information </w:t>
      </w:r>
      <w:r w:rsidR="001D352A">
        <w:rPr>
          <w:rFonts w:ascii="Calibri" w:hAnsi="Calibri" w:cs="Calibri"/>
        </w:rPr>
        <w:t xml:space="preserve">(see </w:t>
      </w:r>
      <w:hyperlink w:anchor="_Schedule_2,_section_2" w:history="1">
        <w:r w:rsidR="001D352A" w:rsidRPr="0025644B">
          <w:rPr>
            <w:rStyle w:val="Hyperlink"/>
            <w:rFonts w:ascii="Calibri" w:hAnsi="Calibri" w:cs="Calibri"/>
          </w:rPr>
          <w:t>[7]</w:t>
        </w:r>
      </w:hyperlink>
      <w:r w:rsidR="001D352A">
        <w:rPr>
          <w:rFonts w:ascii="Calibri" w:hAnsi="Calibri" w:cs="Calibri"/>
        </w:rPr>
        <w:t xml:space="preserve"> below) </w:t>
      </w:r>
    </w:p>
    <w:p w14:paraId="04A71589" w14:textId="15C4847A" w:rsidR="00705A38" w:rsidRPr="003B2379" w:rsidRDefault="00705A38" w:rsidP="00705A38">
      <w:pPr>
        <w:pStyle w:val="ListParagraph"/>
        <w:numPr>
          <w:ilvl w:val="0"/>
          <w:numId w:val="56"/>
        </w:numPr>
        <w:rPr>
          <w:rFonts w:ascii="Calibri" w:hAnsi="Calibri" w:cs="Calibri"/>
        </w:rPr>
      </w:pPr>
      <w:r w:rsidRPr="003B2379">
        <w:rPr>
          <w:rFonts w:ascii="Calibri" w:hAnsi="Calibri" w:cs="Calibri"/>
        </w:rPr>
        <w:t xml:space="preserve">identify any factor favouring nondisclosure that applies in relation to the information </w:t>
      </w:r>
      <w:r w:rsidR="001D352A">
        <w:rPr>
          <w:rFonts w:ascii="Calibri" w:hAnsi="Calibri" w:cs="Calibri"/>
        </w:rPr>
        <w:t xml:space="preserve">(see </w:t>
      </w:r>
      <w:hyperlink w:anchor="_Schedule_2,_section_1" w:history="1">
        <w:r w:rsidR="001D352A" w:rsidRPr="0025644B">
          <w:rPr>
            <w:rStyle w:val="Hyperlink"/>
            <w:rFonts w:ascii="Calibri" w:hAnsi="Calibri" w:cs="Calibri"/>
          </w:rPr>
          <w:t>[8]</w:t>
        </w:r>
      </w:hyperlink>
      <w:r w:rsidR="001D352A">
        <w:rPr>
          <w:rFonts w:ascii="Calibri" w:hAnsi="Calibri" w:cs="Calibri"/>
        </w:rPr>
        <w:t xml:space="preserve"> below) </w:t>
      </w:r>
    </w:p>
    <w:p w14:paraId="18F1E072" w14:textId="39AD1CEB" w:rsidR="00705A38" w:rsidRPr="003B2379" w:rsidRDefault="00705A38" w:rsidP="00705A38">
      <w:pPr>
        <w:pStyle w:val="ListParagraph"/>
        <w:numPr>
          <w:ilvl w:val="0"/>
          <w:numId w:val="56"/>
        </w:numPr>
        <w:rPr>
          <w:rFonts w:ascii="Calibri" w:hAnsi="Calibri" w:cs="Calibri"/>
        </w:rPr>
      </w:pPr>
      <w:r w:rsidRPr="003B2379">
        <w:rPr>
          <w:rFonts w:ascii="Calibri" w:hAnsi="Calibri" w:cs="Calibri"/>
        </w:rPr>
        <w:t xml:space="preserve">balance any relevant factor or </w:t>
      </w:r>
      <w:r w:rsidRPr="00DD7414">
        <w:rPr>
          <w:rFonts w:ascii="Calibri" w:hAnsi="Calibri"/>
        </w:rPr>
        <w:t xml:space="preserve">factors favouring disclosure </w:t>
      </w:r>
      <w:r w:rsidRPr="003B2379">
        <w:rPr>
          <w:rFonts w:ascii="Calibri" w:hAnsi="Calibri" w:cs="Calibri"/>
        </w:rPr>
        <w:t xml:space="preserve">against any relevant factor or </w:t>
      </w:r>
      <w:r w:rsidRPr="00DD7414">
        <w:rPr>
          <w:rFonts w:ascii="Calibri" w:hAnsi="Calibri"/>
        </w:rPr>
        <w:t xml:space="preserve">factors </w:t>
      </w:r>
      <w:r w:rsidRPr="0096731A">
        <w:rPr>
          <w:rFonts w:ascii="Calibri" w:hAnsi="Calibri"/>
        </w:rPr>
        <w:t xml:space="preserve">favouring </w:t>
      </w:r>
      <w:r w:rsidR="001D352A" w:rsidRPr="0096731A">
        <w:rPr>
          <w:rFonts w:ascii="Calibri" w:hAnsi="Calibri"/>
        </w:rPr>
        <w:t>nondisclosure</w:t>
      </w:r>
      <w:r w:rsidR="001D352A" w:rsidRPr="00DD7414">
        <w:rPr>
          <w:rFonts w:ascii="Calibri" w:hAnsi="Calibri"/>
        </w:rPr>
        <w:t xml:space="preserve"> </w:t>
      </w:r>
      <w:r w:rsidR="001D352A">
        <w:rPr>
          <w:rFonts w:ascii="Calibri" w:hAnsi="Calibri" w:cs="Calibri"/>
        </w:rPr>
        <w:t xml:space="preserve">(see </w:t>
      </w:r>
      <w:hyperlink w:anchor="_Balancing_the_public" w:history="1">
        <w:r w:rsidR="001D352A" w:rsidRPr="0025644B">
          <w:rPr>
            <w:rStyle w:val="Hyperlink"/>
            <w:rFonts w:ascii="Calibri" w:hAnsi="Calibri" w:cs="Calibri"/>
          </w:rPr>
          <w:t>[9]</w:t>
        </w:r>
      </w:hyperlink>
      <w:r w:rsidR="001D352A">
        <w:rPr>
          <w:rFonts w:ascii="Calibri" w:hAnsi="Calibri" w:cs="Calibri"/>
        </w:rPr>
        <w:t xml:space="preserve"> below)</w:t>
      </w:r>
    </w:p>
    <w:p w14:paraId="123C2752" w14:textId="211ACBC5" w:rsidR="00705A38" w:rsidRPr="003B2379" w:rsidRDefault="00705A38" w:rsidP="00705A38">
      <w:pPr>
        <w:pStyle w:val="ListParagraph"/>
        <w:numPr>
          <w:ilvl w:val="0"/>
          <w:numId w:val="56"/>
        </w:numPr>
        <w:rPr>
          <w:rFonts w:ascii="Calibri" w:hAnsi="Calibri" w:cs="Calibri"/>
        </w:rPr>
      </w:pPr>
      <w:r w:rsidRPr="003B2379">
        <w:rPr>
          <w:rFonts w:ascii="Calibri" w:hAnsi="Calibri" w:cs="Calibri"/>
        </w:rPr>
        <w:t>decide whether, on balance, disclosure of the information would be contrary to the public interest</w:t>
      </w:r>
      <w:r w:rsidR="003A2295">
        <w:rPr>
          <w:rFonts w:ascii="Calibri" w:hAnsi="Calibri" w:cs="Calibri"/>
        </w:rPr>
        <w:t xml:space="preserve">, and </w:t>
      </w:r>
      <w:r w:rsidR="001B0CC2">
        <w:rPr>
          <w:rFonts w:ascii="Calibri" w:hAnsi="Calibri" w:cs="Calibri"/>
        </w:rPr>
        <w:t xml:space="preserve"> </w:t>
      </w:r>
    </w:p>
    <w:p w14:paraId="1B9B59B0" w14:textId="73BE8290" w:rsidR="00673A83" w:rsidRDefault="00705A38" w:rsidP="00673A83">
      <w:pPr>
        <w:pStyle w:val="ListParagraph"/>
        <w:numPr>
          <w:ilvl w:val="0"/>
          <w:numId w:val="56"/>
        </w:numPr>
        <w:rPr>
          <w:rFonts w:ascii="Calibri" w:hAnsi="Calibri" w:cs="Calibri"/>
        </w:rPr>
      </w:pPr>
      <w:r w:rsidRPr="003B2379">
        <w:rPr>
          <w:rFonts w:ascii="Calibri" w:hAnsi="Calibri" w:cs="Calibri"/>
        </w:rPr>
        <w:t>unless, on balance, disclosure of the information would be contrary to the public interest, allow access to the information.</w:t>
      </w:r>
    </w:p>
    <w:p w14:paraId="45BE9A4C" w14:textId="0F62D644" w:rsidR="001C44DB" w:rsidRDefault="00705A38" w:rsidP="001C44DB">
      <w:pPr>
        <w:pStyle w:val="Heading2"/>
        <w:numPr>
          <w:ilvl w:val="1"/>
          <w:numId w:val="54"/>
        </w:numPr>
        <w:ind w:left="567" w:hanging="567"/>
      </w:pPr>
      <w:bookmarkStart w:id="723" w:name="_Toc152067332"/>
      <w:bookmarkEnd w:id="722"/>
      <w:r>
        <w:t>Identifying factors</w:t>
      </w:r>
      <w:bookmarkEnd w:id="723"/>
      <w:r>
        <w:t xml:space="preserve"> </w:t>
      </w:r>
    </w:p>
    <w:p w14:paraId="148BA7E6" w14:textId="423EBDA8" w:rsidR="009225A1" w:rsidRDefault="000918BB" w:rsidP="001C44DB">
      <w:r>
        <w:t>D</w:t>
      </w:r>
      <w:r w:rsidR="009225A1">
        <w:t xml:space="preserve">ecision-makers must first identify </w:t>
      </w:r>
      <w:r w:rsidR="007D1F67">
        <w:t xml:space="preserve">any </w:t>
      </w:r>
      <w:r w:rsidR="009225A1">
        <w:t>factors favouring disclosure and favouring non-disclosure that apply in relation to the information</w:t>
      </w:r>
      <w:r w:rsidR="007D1F67">
        <w:t xml:space="preserve">, including </w:t>
      </w:r>
      <w:r w:rsidR="00C753C8">
        <w:t>relevant</w:t>
      </w:r>
      <w:r w:rsidR="007D1F67">
        <w:t xml:space="preserve"> factor</w:t>
      </w:r>
      <w:r w:rsidR="00C753C8">
        <w:t xml:space="preserve">s </w:t>
      </w:r>
      <w:r w:rsidR="007D1F67">
        <w:t xml:space="preserve">mentioned in Schedule 2. </w:t>
      </w:r>
    </w:p>
    <w:p w14:paraId="6887A5DB" w14:textId="3493BE7C" w:rsidR="00512338" w:rsidRDefault="009225A1" w:rsidP="0096731A">
      <w:r>
        <w:t xml:space="preserve">To </w:t>
      </w:r>
      <w:r w:rsidR="00D30422">
        <w:t>identify</w:t>
      </w:r>
      <w:r w:rsidR="009A4D4C">
        <w:t xml:space="preserve"> </w:t>
      </w:r>
      <w:r>
        <w:t>factors</w:t>
      </w:r>
      <w:r w:rsidR="00D30422">
        <w:t xml:space="preserve"> which</w:t>
      </w:r>
      <w:r>
        <w:t xml:space="preserve"> are relevant</w:t>
      </w:r>
      <w:r w:rsidR="009A4D4C">
        <w:t xml:space="preserve"> to the information</w:t>
      </w:r>
      <w:r>
        <w:t xml:space="preserve">, decision-makers should consider: </w:t>
      </w:r>
    </w:p>
    <w:p w14:paraId="12A4AB34" w14:textId="26EA2A2D" w:rsidR="009225A1" w:rsidRDefault="009225A1" w:rsidP="009225A1">
      <w:pPr>
        <w:pStyle w:val="ListParagraph"/>
        <w:numPr>
          <w:ilvl w:val="0"/>
          <w:numId w:val="56"/>
        </w:numPr>
      </w:pPr>
      <w:r>
        <w:t xml:space="preserve">the purpose </w:t>
      </w:r>
      <w:r w:rsidR="006D69A6">
        <w:t>and context in which the</w:t>
      </w:r>
      <w:r>
        <w:t xml:space="preserve"> information</w:t>
      </w:r>
      <w:r w:rsidR="006D69A6">
        <w:t xml:space="preserve"> was created or obtained</w:t>
      </w:r>
      <w:r w:rsidR="00B627AE">
        <w:t xml:space="preserve">, and </w:t>
      </w:r>
    </w:p>
    <w:p w14:paraId="515821C2" w14:textId="0060CCC7" w:rsidR="009225A1" w:rsidRDefault="00B627AE" w:rsidP="00B627AE">
      <w:pPr>
        <w:pStyle w:val="ListParagraph"/>
        <w:numPr>
          <w:ilvl w:val="0"/>
          <w:numId w:val="56"/>
        </w:numPr>
      </w:pPr>
      <w:r>
        <w:t>what impact or effect</w:t>
      </w:r>
      <w:r w:rsidR="009225A1">
        <w:t xml:space="preserve"> disclosure of the information</w:t>
      </w:r>
      <w:r>
        <w:t xml:space="preserve"> may have</w:t>
      </w:r>
      <w:r w:rsidR="006C7BF7">
        <w:t xml:space="preserve"> and the likelihood of this occurring</w:t>
      </w:r>
      <w:r>
        <w:t xml:space="preserve">. </w:t>
      </w:r>
    </w:p>
    <w:p w14:paraId="3964393E" w14:textId="77777777" w:rsidR="00BD05A9" w:rsidRDefault="005269E8">
      <w:r>
        <w:t>Each factor needs to be considered for each part of the information that it is relevant to, rather than the information as a whole.</w:t>
      </w:r>
      <w:r w:rsidR="006368DC">
        <w:rPr>
          <w:rStyle w:val="FootnoteReference"/>
        </w:rPr>
        <w:footnoteReference w:id="199"/>
      </w:r>
      <w:r>
        <w:t xml:space="preserve"> </w:t>
      </w:r>
    </w:p>
    <w:p w14:paraId="6D244DDB" w14:textId="17DAA121" w:rsidR="004519FB" w:rsidRDefault="00C05F84">
      <w:r>
        <w:t>As the list of public interest factors in Schedule 2 is non-exhaustive, decision</w:t>
      </w:r>
      <w:r w:rsidR="0096731A">
        <w:noBreakHyphen/>
      </w:r>
      <w:r>
        <w:t xml:space="preserve">makers </w:t>
      </w:r>
      <w:r w:rsidR="00BB6651">
        <w:t>should consider if release of the information would provide any benefit or harm to the interests of the community</w:t>
      </w:r>
      <w:r w:rsidR="000B195B">
        <w:t xml:space="preserve"> at the time. </w:t>
      </w:r>
    </w:p>
    <w:p w14:paraId="315FFF1A" w14:textId="02566F20" w:rsidR="00496DFF" w:rsidRDefault="00496DFF" w:rsidP="00EA44E0">
      <w:r>
        <w:t>Guidance on ea</w:t>
      </w:r>
      <w:r w:rsidR="004519FB">
        <w:t xml:space="preserve">ch of the public interest factors listed in Schedule 2 </w:t>
      </w:r>
      <w:r>
        <w:t>is provided below.</w:t>
      </w:r>
      <w:r w:rsidRPr="00496DFF">
        <w:t xml:space="preserve"> </w:t>
      </w:r>
      <w:r>
        <w:t xml:space="preserve">In addition, common terms </w:t>
      </w:r>
      <w:r w:rsidR="00E41622">
        <w:t xml:space="preserve">and phrases </w:t>
      </w:r>
      <w:r>
        <w:t xml:space="preserve">used when defining the scope of these categories are described </w:t>
      </w:r>
      <w:r w:rsidR="004113C5">
        <w:t>above at</w:t>
      </w:r>
      <w:r>
        <w:t xml:space="preserve"> </w:t>
      </w:r>
      <w:hyperlink w:anchor="_Contrary_to_the" w:history="1">
        <w:r w:rsidR="004113C5">
          <w:rPr>
            <w:rStyle w:val="Hyperlink"/>
          </w:rPr>
          <w:t>[4]</w:t>
        </w:r>
      </w:hyperlink>
      <w:r>
        <w:t>.</w:t>
      </w:r>
    </w:p>
    <w:p w14:paraId="646C2C41" w14:textId="5A739539" w:rsidR="00496DFF" w:rsidRDefault="00496DFF" w:rsidP="00D30422">
      <w:pPr>
        <w:pBdr>
          <w:top w:val="single" w:sz="4" w:space="1" w:color="auto"/>
          <w:left w:val="single" w:sz="4" w:space="4" w:color="auto"/>
          <w:bottom w:val="single" w:sz="4" w:space="0" w:color="auto"/>
          <w:right w:val="single" w:sz="4" w:space="4" w:color="auto"/>
        </w:pBdr>
        <w:shd w:val="clear" w:color="auto" w:fill="D9E2F3" w:themeFill="accent5" w:themeFillTint="33"/>
        <w:rPr>
          <w:b/>
        </w:rPr>
      </w:pPr>
      <w:r>
        <w:rPr>
          <w:b/>
        </w:rPr>
        <w:t>Note</w:t>
      </w:r>
      <w:r w:rsidRPr="009A2A74">
        <w:rPr>
          <w:b/>
        </w:rPr>
        <w:t xml:space="preserve">: </w:t>
      </w:r>
    </w:p>
    <w:p w14:paraId="570210FC" w14:textId="27733D3E" w:rsidR="00496DFF" w:rsidRDefault="00496DFF" w:rsidP="00DD7414">
      <w:pPr>
        <w:pStyle w:val="ListParagraph"/>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t xml:space="preserve">Explaining </w:t>
      </w:r>
      <w:r w:rsidRPr="003A3566">
        <w:rPr>
          <w:b/>
        </w:rPr>
        <w:t>why</w:t>
      </w:r>
      <w:r>
        <w:t xml:space="preserve"> and </w:t>
      </w:r>
      <w:r w:rsidRPr="003A3566">
        <w:rPr>
          <w:b/>
        </w:rPr>
        <w:t>how</w:t>
      </w:r>
      <w:r>
        <w:t xml:space="preserve"> each factor applies to each part of the information will assist both the decision-maker in balancing the factors and the public in understanding how the decision was made.</w:t>
      </w:r>
    </w:p>
    <w:p w14:paraId="0B014AD2" w14:textId="7FA3064A" w:rsidR="0031519C" w:rsidRDefault="0031519C" w:rsidP="00D30422">
      <w:pPr>
        <w:pStyle w:val="ListParagraph"/>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t xml:space="preserve">Decision-makers should make sure that they do not take into account any factors identified as irrelevant factors </w:t>
      </w:r>
      <w:r w:rsidR="009A21A8">
        <w:rPr>
          <w:rFonts w:ascii="Calibri" w:hAnsi="Calibri" w:cs="Calibri"/>
        </w:rPr>
        <w:t>(</w:t>
      </w:r>
      <w:r>
        <w:t xml:space="preserve">see </w:t>
      </w:r>
      <w:hyperlink w:anchor="_Common_terms_1" w:history="1">
        <w:r w:rsidR="009A21A8">
          <w:rPr>
            <w:rStyle w:val="Hyperlink"/>
          </w:rPr>
          <w:t>[6.2]</w:t>
        </w:r>
      </w:hyperlink>
      <w:r w:rsidR="009A21A8" w:rsidRPr="009A21A8">
        <w:t xml:space="preserve"> below</w:t>
      </w:r>
      <w:r w:rsidR="009A21A8">
        <w:t xml:space="preserve">). </w:t>
      </w:r>
    </w:p>
    <w:p w14:paraId="38DCDD99" w14:textId="11FE964C" w:rsidR="000E713B" w:rsidRDefault="00496DFF" w:rsidP="00DD7414">
      <w:pPr>
        <w:pStyle w:val="ListParagraph"/>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t>Additional guidance on how to balance competing public interest considerations is also provided belo</w:t>
      </w:r>
      <w:r w:rsidR="004D6F7E">
        <w:t xml:space="preserve">w at </w:t>
      </w:r>
      <w:hyperlink w:anchor="_Balancing_the_public" w:history="1">
        <w:r w:rsidR="004D6F7E" w:rsidRPr="004D6F7E">
          <w:rPr>
            <w:rStyle w:val="Hyperlink"/>
          </w:rPr>
          <w:t>[9]</w:t>
        </w:r>
      </w:hyperlink>
      <w:r w:rsidR="004D6F7E">
        <w:t xml:space="preserve">. </w:t>
      </w:r>
    </w:p>
    <w:p w14:paraId="1B2D5AE1" w14:textId="77777777" w:rsidR="001428A4" w:rsidRDefault="001428A4" w:rsidP="001428A4">
      <w:pPr>
        <w:pStyle w:val="Heading2"/>
        <w:numPr>
          <w:ilvl w:val="1"/>
          <w:numId w:val="54"/>
        </w:numPr>
        <w:ind w:left="567" w:hanging="567"/>
      </w:pPr>
      <w:bookmarkStart w:id="724" w:name="_Common_terms_1"/>
      <w:bookmarkStart w:id="725" w:name="_Section_2.1,_Schedule"/>
      <w:bookmarkStart w:id="726" w:name="_Schedule_2,_section"/>
      <w:bookmarkStart w:id="727" w:name="_Toc152067333"/>
      <w:bookmarkEnd w:id="724"/>
      <w:bookmarkEnd w:id="725"/>
      <w:bookmarkEnd w:id="726"/>
      <w:r>
        <w:t>Irrelevant factors</w:t>
      </w:r>
      <w:bookmarkEnd w:id="727"/>
    </w:p>
    <w:p w14:paraId="3604362B" w14:textId="107794B4" w:rsidR="001428A4" w:rsidRPr="00FA0AA8" w:rsidRDefault="001428A4" w:rsidP="0096731A">
      <w:pPr>
        <w:pStyle w:val="Heading5"/>
      </w:pPr>
      <w:bookmarkStart w:id="728" w:name="_Toc43385549"/>
      <w:r>
        <w:t>Overview</w:t>
      </w:r>
      <w:bookmarkEnd w:id="728"/>
      <w:r>
        <w:t xml:space="preserve"> </w:t>
      </w:r>
    </w:p>
    <w:p w14:paraId="5A9ECD96" w14:textId="77777777" w:rsidR="001428A4" w:rsidRPr="00606E74" w:rsidRDefault="001428A4" w:rsidP="001428A4">
      <w:r>
        <w:t xml:space="preserve">The FOI Act also </w:t>
      </w:r>
      <w:r w:rsidRPr="00606E74">
        <w:t>sets out factors that are irrelevant and must not be taken into account under the public interest test.</w:t>
      </w:r>
      <w:r w:rsidRPr="00606E74">
        <w:rPr>
          <w:rStyle w:val="FootnoteReference"/>
        </w:rPr>
        <w:footnoteReference w:id="200"/>
      </w:r>
    </w:p>
    <w:p w14:paraId="1941D5A7" w14:textId="77777777" w:rsidR="001428A4" w:rsidRDefault="001428A4" w:rsidP="001428A4">
      <w:r w:rsidRPr="00606E74">
        <w:t>A decision-maker must disregard irrelevant factors that would undermine the integrity of the test.</w:t>
      </w:r>
      <w:r w:rsidRPr="00606E74">
        <w:rPr>
          <w:rStyle w:val="FootnoteReference"/>
        </w:rPr>
        <w:footnoteReference w:id="201"/>
      </w:r>
      <w:r w:rsidRPr="00606E74">
        <w:t xml:space="preserve"> </w:t>
      </w:r>
    </w:p>
    <w:p w14:paraId="0DAE1933" w14:textId="77777777" w:rsidR="001428A4" w:rsidRPr="00606E74" w:rsidRDefault="001428A4" w:rsidP="001428A4">
      <w:r w:rsidRPr="00606E74">
        <w:t>Section 17(2) lists the factors that must not be taken into account when deciding whether information is contrary to the public interest:</w:t>
      </w:r>
    </w:p>
    <w:p w14:paraId="6B096F79" w14:textId="77777777" w:rsidR="001428A4" w:rsidRPr="00606E74" w:rsidRDefault="001428A4" w:rsidP="001428A4">
      <w:pPr>
        <w:pStyle w:val="ListParagraph"/>
        <w:numPr>
          <w:ilvl w:val="0"/>
          <w:numId w:val="53"/>
        </w:numPr>
        <w:ind w:left="357" w:hanging="357"/>
      </w:pPr>
      <w:r w:rsidRPr="00606E74">
        <w:t>access to the information could result in embarrassment to the government, or cause a loss of confidence in the government</w:t>
      </w:r>
    </w:p>
    <w:p w14:paraId="64066CC4" w14:textId="77777777" w:rsidR="001428A4" w:rsidRDefault="001428A4" w:rsidP="001428A4">
      <w:pPr>
        <w:pStyle w:val="ListParagraph"/>
        <w:numPr>
          <w:ilvl w:val="0"/>
          <w:numId w:val="53"/>
        </w:numPr>
        <w:ind w:left="357" w:hanging="357"/>
      </w:pPr>
      <w:r w:rsidRPr="00606E74">
        <w:t>access to the information could result in a person misinterpreting or misunderstanding the information</w:t>
      </w:r>
    </w:p>
    <w:p w14:paraId="65878620" w14:textId="77777777" w:rsidR="001428A4" w:rsidRPr="00606E74" w:rsidRDefault="001428A4" w:rsidP="001428A4">
      <w:pPr>
        <w:pStyle w:val="ListParagraph"/>
        <w:numPr>
          <w:ilvl w:val="0"/>
          <w:numId w:val="53"/>
        </w:numPr>
        <w:ind w:left="357" w:hanging="357"/>
      </w:pPr>
      <w:r w:rsidRPr="00606E74">
        <w:t>the author of the information was (or is) of high seniority in an agency</w:t>
      </w:r>
    </w:p>
    <w:p w14:paraId="1B315B2F" w14:textId="77777777" w:rsidR="001428A4" w:rsidRPr="00606E74" w:rsidRDefault="001428A4" w:rsidP="001428A4">
      <w:pPr>
        <w:pStyle w:val="ListParagraph"/>
        <w:numPr>
          <w:ilvl w:val="0"/>
          <w:numId w:val="53"/>
        </w:numPr>
        <w:ind w:left="357" w:hanging="357"/>
      </w:pPr>
      <w:r w:rsidRPr="00606E74">
        <w:t>access to the information could result in confusion or unnecessary debate</w:t>
      </w:r>
    </w:p>
    <w:p w14:paraId="4F83E095" w14:textId="77777777" w:rsidR="001428A4" w:rsidRPr="00606E74" w:rsidRDefault="001428A4" w:rsidP="001428A4">
      <w:pPr>
        <w:pStyle w:val="ListParagraph"/>
        <w:numPr>
          <w:ilvl w:val="0"/>
          <w:numId w:val="53"/>
        </w:numPr>
        <w:ind w:left="357" w:hanging="357"/>
      </w:pPr>
      <w:r w:rsidRPr="00606E74">
        <w:t>access to the information could inhibit frankness in the provision of advice from the public service, and</w:t>
      </w:r>
    </w:p>
    <w:p w14:paraId="114B8B0D" w14:textId="07BC4912" w:rsidR="001428A4" w:rsidRPr="00606E74" w:rsidRDefault="001428A4" w:rsidP="001428A4">
      <w:pPr>
        <w:pStyle w:val="ListParagraph"/>
        <w:numPr>
          <w:ilvl w:val="0"/>
          <w:numId w:val="53"/>
        </w:numPr>
        <w:ind w:left="357" w:hanging="357"/>
      </w:pPr>
      <w:r w:rsidRPr="00606E74">
        <w:t>the applicant’s identity, circumstances, or reason for seeking access to the information</w:t>
      </w:r>
      <w:r>
        <w:t xml:space="preserve"> (unless the information request is personal information that is not about </w:t>
      </w:r>
      <w:r w:rsidRPr="000D6281">
        <w:t xml:space="preserve">the applicant – see </w:t>
      </w:r>
      <w:hyperlink w:anchor="_Information_requested_is" w:history="1">
        <w:r w:rsidR="000D6281" w:rsidRPr="000D6281">
          <w:rPr>
            <w:rStyle w:val="Hyperlink"/>
          </w:rPr>
          <w:t>[6.3]</w:t>
        </w:r>
      </w:hyperlink>
      <w:r w:rsidR="000D6281" w:rsidRPr="000D6281">
        <w:t xml:space="preserve"> </w:t>
      </w:r>
      <w:r w:rsidRPr="000D6281">
        <w:t>below).</w:t>
      </w:r>
      <w:r>
        <w:t xml:space="preserve"> </w:t>
      </w:r>
    </w:p>
    <w:p w14:paraId="1A2219D0" w14:textId="77777777" w:rsidR="001428A4" w:rsidRPr="00606E74" w:rsidRDefault="001428A4" w:rsidP="001428A4">
      <w:r w:rsidRPr="00606E74">
        <w:t>This list is non-exhaustive and there may be other factors that are identified as irrelevant to the test.</w:t>
      </w:r>
    </w:p>
    <w:p w14:paraId="56588989" w14:textId="2F3836A1" w:rsidR="001428A4" w:rsidRPr="00250C79" w:rsidRDefault="001428A4" w:rsidP="0096731A">
      <w:pPr>
        <w:ind w:right="-22"/>
        <w:rPr>
          <w:iCs/>
        </w:rPr>
      </w:pPr>
      <w:r w:rsidRPr="00606E74">
        <w:t xml:space="preserve">When drafting a decision notice, </w:t>
      </w:r>
      <w:r>
        <w:t xml:space="preserve">it is recommended that the decision-maker </w:t>
      </w:r>
      <w:r w:rsidRPr="00606E74">
        <w:t>state that they have not considered any of the irrelev</w:t>
      </w:r>
      <w:r>
        <w:t>ant considerations set out in s</w:t>
      </w:r>
      <w:r w:rsidRPr="00606E74">
        <w:t xml:space="preserve"> 17(</w:t>
      </w:r>
      <w:r>
        <w:t>2</w:t>
      </w:r>
      <w:r w:rsidRPr="00606E74">
        <w:t>). Similarly, where an applicant raises a concern in their submission that is irrelevant to the public interest, a decision-maker</w:t>
      </w:r>
      <w:r>
        <w:t xml:space="preserve"> should explain why </w:t>
      </w:r>
      <w:r w:rsidRPr="00606E74">
        <w:t>this issue was not considered in their decision-making.</w:t>
      </w:r>
      <w:r w:rsidR="00C4290C">
        <w:rPr>
          <w:rStyle w:val="FootnoteReference"/>
        </w:rPr>
        <w:footnoteReference w:id="202"/>
      </w:r>
      <w:r>
        <w:t xml:space="preserve"> </w:t>
      </w:r>
    </w:p>
    <w:p w14:paraId="1DA12EC7" w14:textId="77777777" w:rsidR="001428A4" w:rsidRPr="0016535A" w:rsidRDefault="001428A4" w:rsidP="001428A4">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16535A">
        <w:rPr>
          <w:b/>
        </w:rPr>
        <w:t>Note:</w:t>
      </w:r>
    </w:p>
    <w:p w14:paraId="4B8C523F" w14:textId="77777777" w:rsidR="001428A4" w:rsidRPr="0016535A" w:rsidRDefault="001428A4" w:rsidP="001428A4">
      <w:pPr>
        <w:pStyle w:val="ListParagraph"/>
        <w:keepNext/>
        <w:keepLines/>
        <w:numPr>
          <w:ilvl w:val="0"/>
          <w:numId w:val="13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In </w:t>
      </w:r>
      <w:r w:rsidRPr="0016535A">
        <w:rPr>
          <w:i/>
        </w:rPr>
        <w:t>Canberra Metro Construction and Chief Minister, Treasury and E</w:t>
      </w:r>
      <w:r>
        <w:rPr>
          <w:i/>
        </w:rPr>
        <w:t>conomic Development Directorate</w:t>
      </w:r>
      <w:r>
        <w:t>,</w:t>
      </w:r>
      <w:r>
        <w:rPr>
          <w:rStyle w:val="FootnoteReference"/>
        </w:rPr>
        <w:footnoteReference w:id="203"/>
      </w:r>
      <w:r>
        <w:t xml:space="preserve"> the Ombudsman discussed irrelevant factors that were raised in the submissions to review. Although Canberra Metro Construction expressed concern that disclosing the information would be misleading and result in misunderstanding, dissuading contractors from communicating issues at an early stage, the Ombudsman emphasised that ss 17(2)(b) and (e) prevented consideration of this concern.</w:t>
      </w:r>
    </w:p>
    <w:p w14:paraId="613C1F70" w14:textId="51F09A15" w:rsidR="001428A4" w:rsidRPr="002A1CE3" w:rsidRDefault="001428A4" w:rsidP="001428A4">
      <w:pPr>
        <w:pStyle w:val="Heading2"/>
        <w:keepNext w:val="0"/>
        <w:keepLines w:val="0"/>
        <w:numPr>
          <w:ilvl w:val="1"/>
          <w:numId w:val="54"/>
        </w:numPr>
        <w:spacing w:line="240" w:lineRule="auto"/>
        <w:ind w:left="567" w:hanging="567"/>
      </w:pPr>
      <w:bookmarkStart w:id="729" w:name="_Information_requested_is"/>
      <w:bookmarkEnd w:id="729"/>
      <w:r>
        <w:t xml:space="preserve"> </w:t>
      </w:r>
      <w:bookmarkStart w:id="730" w:name="_Toc152067334"/>
      <w:r w:rsidRPr="002A1CE3">
        <w:t xml:space="preserve">Information requested is </w:t>
      </w:r>
      <w:r w:rsidR="005074C0" w:rsidRPr="002A1CE3">
        <w:t>another</w:t>
      </w:r>
      <w:r w:rsidR="0099309E">
        <w:t xml:space="preserve"> person</w:t>
      </w:r>
      <w:r w:rsidR="005074C0" w:rsidRPr="002A1CE3">
        <w:t>’s</w:t>
      </w:r>
      <w:r w:rsidRPr="002A1CE3">
        <w:t xml:space="preserve"> personal information</w:t>
      </w:r>
      <w:bookmarkEnd w:id="730"/>
      <w:r w:rsidRPr="002A1CE3">
        <w:t xml:space="preserve"> </w:t>
      </w:r>
    </w:p>
    <w:p w14:paraId="46D05E51" w14:textId="05693159" w:rsidR="001428A4" w:rsidRPr="00E83A06" w:rsidRDefault="00C03726" w:rsidP="00C04B51">
      <w:r>
        <w:t>Section 17(3) provides that, d</w:t>
      </w:r>
      <w:r w:rsidR="00E40877">
        <w:t>espite s 17(2)(f), a</w:t>
      </w:r>
      <w:r w:rsidR="001428A4" w:rsidRPr="00E83A06">
        <w:t xml:space="preserve"> decision-maker may take into account an applicant’s identity, circumstances, and reason for seeking access </w:t>
      </w:r>
      <w:r w:rsidR="00B10189">
        <w:t>applying the public interest test</w:t>
      </w:r>
      <w:r w:rsidR="001428A4" w:rsidRPr="00E83A06">
        <w:t>, if the applicant is seeking personal information that is not their own.</w:t>
      </w:r>
      <w:r w:rsidR="001428A4" w:rsidRPr="00E83A06">
        <w:rPr>
          <w:rStyle w:val="FootnoteReference"/>
        </w:rPr>
        <w:footnoteReference w:id="204"/>
      </w:r>
      <w:r w:rsidR="001428A4" w:rsidRPr="00E83A06">
        <w:t xml:space="preserve"> </w:t>
      </w:r>
      <w:r w:rsidR="001F62E8">
        <w:t xml:space="preserve">Section 17(3) was inserted into the </w:t>
      </w:r>
      <w:r w:rsidR="0096731A">
        <w:t xml:space="preserve">FOI </w:t>
      </w:r>
      <w:r w:rsidR="001F62E8">
        <w:t>Act in 2023.</w:t>
      </w:r>
      <w:r w:rsidR="001F62E8">
        <w:rPr>
          <w:rStyle w:val="FootnoteReference"/>
        </w:rPr>
        <w:footnoteReference w:id="205"/>
      </w:r>
    </w:p>
    <w:p w14:paraId="42BF1CD2" w14:textId="1402ACA3" w:rsidR="001428A4" w:rsidRPr="00E83A06" w:rsidRDefault="001428A4" w:rsidP="001428A4">
      <w:r w:rsidRPr="00E83A06">
        <w:t>‘Personal information’ for the purpose of the FOI Act</w:t>
      </w:r>
      <w:r w:rsidR="00786E34">
        <w:t xml:space="preserve">: </w:t>
      </w:r>
    </w:p>
    <w:p w14:paraId="38C1847F" w14:textId="740F67EB" w:rsidR="001428A4" w:rsidRPr="00786E34" w:rsidRDefault="001428A4" w:rsidP="001428A4">
      <w:pPr>
        <w:ind w:left="720"/>
      </w:pPr>
      <w:r w:rsidRPr="00786E34">
        <w:t>(a) means information or an opinion (including information forming part of a database), whether true or not, about an individual whose identity is apparent, or can reasonably be ascertained, from the information or opinion; but</w:t>
      </w:r>
    </w:p>
    <w:p w14:paraId="7304DEAA" w14:textId="0E12A786" w:rsidR="001428A4" w:rsidRPr="00786E34" w:rsidRDefault="001428A4" w:rsidP="001428A4">
      <w:pPr>
        <w:ind w:left="720"/>
      </w:pPr>
      <w:r w:rsidRPr="00786E34">
        <w:t>(b) for an individual who is or has been an officer of an agency or staff member of a Minister, does not include information about—</w:t>
      </w:r>
    </w:p>
    <w:p w14:paraId="1CDF1A7E" w14:textId="77777777" w:rsidR="001428A4" w:rsidRPr="00786E34" w:rsidRDefault="001428A4" w:rsidP="001428A4">
      <w:pPr>
        <w:ind w:left="1440"/>
      </w:pPr>
      <w:r w:rsidRPr="00786E34">
        <w:t xml:space="preserve"> (i) the individual’s position or functions as an officer or staff member; or</w:t>
      </w:r>
    </w:p>
    <w:p w14:paraId="36081BA1" w14:textId="77777777" w:rsidR="001428A4" w:rsidRPr="00786E34" w:rsidRDefault="001428A4" w:rsidP="001428A4">
      <w:pPr>
        <w:ind w:left="720" w:firstLine="720"/>
      </w:pPr>
      <w:r w:rsidRPr="00786E34">
        <w:t xml:space="preserve"> (ii) things done by the individual in exercising functions as an officer or staff member.</w:t>
      </w:r>
      <w:r w:rsidRPr="00786E34">
        <w:rPr>
          <w:rStyle w:val="FootnoteReference"/>
        </w:rPr>
        <w:footnoteReference w:id="206"/>
      </w:r>
    </w:p>
    <w:p w14:paraId="7018D0BE" w14:textId="4DA93FA3" w:rsidR="001428A4" w:rsidRDefault="001428A4" w:rsidP="001428A4">
      <w:r w:rsidRPr="00E83A06">
        <w:t>The Ombudsman considers this exception will be relied on in limited circumstances</w:t>
      </w:r>
      <w:r w:rsidR="005D630C">
        <w:t xml:space="preserve">, </w:t>
      </w:r>
      <w:r w:rsidR="000918BB">
        <w:t xml:space="preserve">only </w:t>
      </w:r>
      <w:r w:rsidR="005D630C">
        <w:t xml:space="preserve">where it is appropriate </w:t>
      </w:r>
      <w:r w:rsidRPr="00E83A06">
        <w:t>to identif</w:t>
      </w:r>
      <w:r w:rsidR="004F3834">
        <w:t xml:space="preserve">y </w:t>
      </w:r>
      <w:r w:rsidR="003349DD">
        <w:t>if</w:t>
      </w:r>
      <w:r w:rsidRPr="00E83A06">
        <w:t xml:space="preserve"> factors favouring disclosure and non-disclosure</w:t>
      </w:r>
      <w:r w:rsidR="0086604C">
        <w:t xml:space="preserve"> which </w:t>
      </w:r>
      <w:r w:rsidR="009339E5">
        <w:t xml:space="preserve">involve </w:t>
      </w:r>
      <w:r w:rsidR="0086604C">
        <w:t>personal information</w:t>
      </w:r>
      <w:r w:rsidR="003349DD">
        <w:t xml:space="preserve"> apply.</w:t>
      </w:r>
      <w:r w:rsidRPr="00E83A06">
        <w:rPr>
          <w:rStyle w:val="FootnoteReference"/>
        </w:rPr>
        <w:footnoteReference w:id="207"/>
      </w:r>
      <w:r w:rsidRPr="00E83A06">
        <w:t xml:space="preserve"> </w:t>
      </w:r>
    </w:p>
    <w:p w14:paraId="030D0063" w14:textId="5A8304CA" w:rsidR="001428A4" w:rsidRPr="00E83A06" w:rsidRDefault="001428A4" w:rsidP="001428A4">
      <w:r w:rsidRPr="00E83A06">
        <w:rPr>
          <w:rFonts w:eastAsia="Times New Roman"/>
        </w:rPr>
        <w:t>As a general principle, decision</w:t>
      </w:r>
      <w:r w:rsidR="00C13660">
        <w:rPr>
          <w:rFonts w:eastAsia="Times New Roman"/>
        </w:rPr>
        <w:t>-</w:t>
      </w:r>
      <w:r w:rsidRPr="00E83A06">
        <w:rPr>
          <w:rFonts w:eastAsia="Times New Roman"/>
        </w:rPr>
        <w:t xml:space="preserve">makers should not treat FOI applicants differently on the basis of their identity, personal attributes, or reason for seeking information. </w:t>
      </w:r>
      <w:r w:rsidRPr="00E83A06">
        <w:t>The fact that an applicant is seeking information that is not their personal information is not a</w:t>
      </w:r>
      <w:r w:rsidR="0039594F">
        <w:t xml:space="preserve"> sufficient</w:t>
      </w:r>
      <w:r w:rsidRPr="00E83A06">
        <w:t xml:space="preserve"> reason for denying access to that information. </w:t>
      </w:r>
    </w:p>
    <w:p w14:paraId="0AB4AE31" w14:textId="0F173A70" w:rsidR="001428A4" w:rsidRPr="00E83A06" w:rsidRDefault="001428A4" w:rsidP="001428A4">
      <w:r w:rsidRPr="00E83A06">
        <w:t>Decision-makers still need to identify a</w:t>
      </w:r>
      <w:r w:rsidR="000D72CD">
        <w:t>ny</w:t>
      </w:r>
      <w:r w:rsidRPr="00E83A06">
        <w:t xml:space="preserve"> </w:t>
      </w:r>
      <w:r w:rsidR="000D72CD">
        <w:t xml:space="preserve">relevant </w:t>
      </w:r>
      <w:r w:rsidRPr="00E83A06">
        <w:t>factors favouring disclosure and non-disclosure, and balance these</w:t>
      </w:r>
      <w:r w:rsidR="000D72CD">
        <w:t>,</w:t>
      </w:r>
      <w:r w:rsidRPr="00E83A06">
        <w:t xml:space="preserve"> to decide whether disclosure</w:t>
      </w:r>
      <w:r w:rsidR="00366E7B">
        <w:t xml:space="preserve"> of the personal information</w:t>
      </w:r>
      <w:r w:rsidRPr="00E83A06">
        <w:t xml:space="preserve"> is contrary to the public interest.</w:t>
      </w:r>
      <w:r w:rsidR="001B5673">
        <w:t xml:space="preserve"> </w:t>
      </w:r>
      <w:r w:rsidRPr="00E83A06">
        <w:t xml:space="preserve">For example, this exception may be relied on where: </w:t>
      </w:r>
    </w:p>
    <w:p w14:paraId="508B42B3" w14:textId="1D257627" w:rsidR="001428A4" w:rsidRPr="00E83A06" w:rsidRDefault="001428A4" w:rsidP="001428A4">
      <w:pPr>
        <w:pStyle w:val="ListParagraph"/>
        <w:numPr>
          <w:ilvl w:val="0"/>
          <w:numId w:val="131"/>
        </w:numPr>
      </w:pPr>
      <w:r w:rsidRPr="00E83A06">
        <w:t>The decision</w:t>
      </w:r>
      <w:r w:rsidR="00C13660">
        <w:t>-</w:t>
      </w:r>
      <w:r w:rsidRPr="00E83A06">
        <w:t>maker considers a request from an individual seeking personal information about another individual in relation to a sexual harassment claim, where the claim does not relate to the applicant. The decision</w:t>
      </w:r>
      <w:r w:rsidR="00C13660">
        <w:t>-</w:t>
      </w:r>
      <w:r w:rsidRPr="00E83A06">
        <w:t xml:space="preserve">maker may take into account the identity of the applicant to determine whether factors favouring disclosure or non-disclosure are relevant, for example </w:t>
      </w:r>
      <w:r w:rsidR="00AC710E" w:rsidRPr="00E83A06">
        <w:t>– prejudice</w:t>
      </w:r>
      <w:r w:rsidRPr="00E83A06">
        <w:t xml:space="preserve"> the protection of an individual’s right to privacy or any other right under the HR Act.</w:t>
      </w:r>
      <w:r w:rsidRPr="00E83A06">
        <w:rPr>
          <w:rStyle w:val="FootnoteReference"/>
        </w:rPr>
        <w:footnoteReference w:id="208"/>
      </w:r>
      <w:r w:rsidRPr="00E83A06">
        <w:t xml:space="preserve"> </w:t>
      </w:r>
    </w:p>
    <w:p w14:paraId="098AB003" w14:textId="64421FFD" w:rsidR="001428A4" w:rsidRPr="00E83A06" w:rsidRDefault="001428A4" w:rsidP="001428A4">
      <w:pPr>
        <w:pStyle w:val="ListParagraph"/>
        <w:numPr>
          <w:ilvl w:val="0"/>
          <w:numId w:val="131"/>
        </w:numPr>
      </w:pPr>
      <w:r w:rsidRPr="00E83A06">
        <w:t>The decision</w:t>
      </w:r>
      <w:r w:rsidR="00C13660">
        <w:t>-</w:t>
      </w:r>
      <w:r w:rsidRPr="00E83A06">
        <w:t>maker considers a request from an individual seeking personal information about a deceased relative. The identity of the applicant and their relationship with the person whose information is being requested is relevant to the application of the public interest test.</w:t>
      </w:r>
      <w:r w:rsidRPr="00E83A06">
        <w:rPr>
          <w:rStyle w:val="FootnoteReference"/>
        </w:rPr>
        <w:footnoteReference w:id="209"/>
      </w:r>
    </w:p>
    <w:p w14:paraId="260BCF64" w14:textId="7B310925" w:rsidR="00542B11" w:rsidRDefault="001428A4" w:rsidP="00542B11">
      <w:pPr>
        <w:pStyle w:val="ListParagraph"/>
        <w:numPr>
          <w:ilvl w:val="0"/>
          <w:numId w:val="131"/>
        </w:numPr>
      </w:pPr>
      <w:r w:rsidRPr="00E83A06">
        <w:t>The decision</w:t>
      </w:r>
      <w:r w:rsidR="00C13660">
        <w:t>-</w:t>
      </w:r>
      <w:r w:rsidRPr="00E83A06">
        <w:t xml:space="preserve">maker considers a request from </w:t>
      </w:r>
      <w:r w:rsidR="006173E0">
        <w:t xml:space="preserve">a </w:t>
      </w:r>
      <w:r w:rsidR="001D628F">
        <w:t>community</w:t>
      </w:r>
      <w:r w:rsidR="006173E0">
        <w:t xml:space="preserve"> </w:t>
      </w:r>
      <w:r w:rsidRPr="00E83A06">
        <w:t>organisation seeking personal information about other individuals in relation to Stolen Generations records.</w:t>
      </w:r>
      <w:r w:rsidRPr="00E83A06">
        <w:rPr>
          <w:rStyle w:val="FootnoteReference"/>
        </w:rPr>
        <w:footnoteReference w:id="210"/>
      </w:r>
      <w:r w:rsidR="00542B11">
        <w:br/>
      </w:r>
    </w:p>
    <w:p w14:paraId="1413EDD8" w14:textId="77777777" w:rsidR="001428A4" w:rsidRPr="00E83A06" w:rsidRDefault="001428A4" w:rsidP="00E83A06">
      <w:pPr>
        <w:keepNext/>
        <w:keepLines/>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E83A06">
        <w:rPr>
          <w:b/>
        </w:rPr>
        <w:t>Note:</w:t>
      </w:r>
    </w:p>
    <w:p w14:paraId="5B9826AC" w14:textId="44CE86C3" w:rsidR="001428A4" w:rsidRPr="00E83A06" w:rsidRDefault="001428A4" w:rsidP="00E83A06">
      <w:pPr>
        <w:pStyle w:val="ListParagraph"/>
        <w:keepNext/>
        <w:keepLines/>
        <w:numPr>
          <w:ilvl w:val="0"/>
          <w:numId w:val="131"/>
        </w:numPr>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E83A06">
        <w:rPr>
          <w:bCs/>
        </w:rPr>
        <w:t>Decision-makers should carefully assess whether the information requested is joint personal information (where the information is also the personal information of the applicant</w:t>
      </w:r>
      <w:r w:rsidR="0075758C">
        <w:rPr>
          <w:bCs/>
        </w:rPr>
        <w:t>,</w:t>
      </w:r>
      <w:r w:rsidR="0075758C" w:rsidRPr="0075758C">
        <w:rPr>
          <w:bCs/>
        </w:rPr>
        <w:t xml:space="preserve"> </w:t>
      </w:r>
      <w:r w:rsidR="0075758C">
        <w:rPr>
          <w:bCs/>
        </w:rPr>
        <w:t xml:space="preserve">see </w:t>
      </w:r>
      <w:hyperlink w:anchor="_Assessing_joint_personal-informatio" w:history="1">
        <w:r w:rsidR="0075758C" w:rsidRPr="009D0F62">
          <w:rPr>
            <w:rStyle w:val="Hyperlink"/>
            <w:bCs/>
          </w:rPr>
          <w:t>[8.2]</w:t>
        </w:r>
      </w:hyperlink>
      <w:r w:rsidR="0075758C">
        <w:rPr>
          <w:bCs/>
        </w:rPr>
        <w:t xml:space="preserve"> below</w:t>
      </w:r>
      <w:r w:rsidRPr="00E83A06">
        <w:rPr>
          <w:bCs/>
        </w:rPr>
        <w:t>)</w:t>
      </w:r>
      <w:r w:rsidR="0075758C">
        <w:rPr>
          <w:bCs/>
        </w:rPr>
        <w:t xml:space="preserve">. </w:t>
      </w:r>
    </w:p>
    <w:p w14:paraId="77107EF4" w14:textId="77777777" w:rsidR="001428A4" w:rsidRPr="00E83A06" w:rsidRDefault="001428A4" w:rsidP="00E83A06">
      <w:pPr>
        <w:pStyle w:val="ListParagraph"/>
        <w:keepNext/>
        <w:keepLines/>
        <w:numPr>
          <w:ilvl w:val="0"/>
          <w:numId w:val="131"/>
        </w:numPr>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E83A06">
        <w:rPr>
          <w:bCs/>
        </w:rPr>
        <w:t xml:space="preserve">Decision-makers should consider clarifying the scope of the application with the applicant to confirm whether third party personal information is relevant to the request. </w:t>
      </w:r>
    </w:p>
    <w:p w14:paraId="38D33F3A" w14:textId="0B0F0636" w:rsidR="001428A4" w:rsidRPr="00E83A06" w:rsidRDefault="001428A4" w:rsidP="00E83A06">
      <w:pPr>
        <w:pStyle w:val="ListParagraph"/>
        <w:keepNext/>
        <w:keepLines/>
        <w:numPr>
          <w:ilvl w:val="0"/>
          <w:numId w:val="131"/>
        </w:numPr>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E83A06">
        <w:rPr>
          <w:bCs/>
        </w:rPr>
        <w:t xml:space="preserve">Decision-makers should confirm whether the applicant has any authorisation or approval to receive personal information that is not their own (for example, where the application is made on behalf of another person). </w:t>
      </w:r>
    </w:p>
    <w:p w14:paraId="27DFC10F" w14:textId="0EA70764" w:rsidR="00C20A72" w:rsidRPr="005A5BBC" w:rsidRDefault="00036F61" w:rsidP="0096731A">
      <w:pPr>
        <w:pStyle w:val="Heading2"/>
        <w:numPr>
          <w:ilvl w:val="0"/>
          <w:numId w:val="54"/>
        </w:numPr>
        <w:ind w:left="357" w:hanging="357"/>
      </w:pPr>
      <w:bookmarkStart w:id="732" w:name="_Schedule_2,_section_2"/>
      <w:bookmarkStart w:id="733" w:name="_Toc152067335"/>
      <w:bookmarkEnd w:id="732"/>
      <w:r>
        <w:t>Schedule 2, section 2.1 – factors favouring disclosure in the public interest</w:t>
      </w:r>
      <w:bookmarkEnd w:id="733"/>
      <w:r>
        <w:t xml:space="preserve"> </w:t>
      </w:r>
    </w:p>
    <w:p w14:paraId="19B6F708" w14:textId="0903A7A1" w:rsidR="003923D4" w:rsidRDefault="003923D4" w:rsidP="0096731A">
      <w:pPr>
        <w:ind w:right="-22"/>
      </w:pPr>
      <w:r>
        <w:t>A list of the most ‘commonly applicable relevant factors’</w:t>
      </w:r>
      <w:r>
        <w:rPr>
          <w:rStyle w:val="FootnoteReference"/>
        </w:rPr>
        <w:footnoteReference w:id="211"/>
      </w:r>
      <w:r>
        <w:t xml:space="preserve"> is included in s 2.1 of </w:t>
      </w:r>
      <w:r w:rsidR="00D91EBC">
        <w:t>S</w:t>
      </w:r>
      <w:r>
        <w:t>chedule 2</w:t>
      </w:r>
      <w:r w:rsidR="001F3169">
        <w:t xml:space="preserve">, and </w:t>
      </w:r>
      <w:r w:rsidR="00797284">
        <w:t xml:space="preserve">these factors </w:t>
      </w:r>
      <w:r w:rsidR="001F3169">
        <w:t>are explained below</w:t>
      </w:r>
      <w:r>
        <w:t xml:space="preserve">. </w:t>
      </w:r>
      <w:r w:rsidR="001F3169">
        <w:t>T</w:t>
      </w:r>
      <w:r>
        <w:t>his list is not</w:t>
      </w:r>
      <w:r w:rsidR="001F3169">
        <w:t>, however,</w:t>
      </w:r>
      <w:r>
        <w:t xml:space="preserve"> exhaustive and a decision-maker will need to identify and consider all factors that may be relevant to the public interest, i</w:t>
      </w:r>
      <w:r w:rsidR="00D91EBC">
        <w:t>ncluding factors not listed in S</w:t>
      </w:r>
      <w:r>
        <w:t>chedule</w:t>
      </w:r>
      <w:r w:rsidR="0096731A">
        <w:t> </w:t>
      </w:r>
      <w:r>
        <w:t>2.</w:t>
      </w:r>
    </w:p>
    <w:p w14:paraId="7AF538A5" w14:textId="443F9959" w:rsidR="00824DE5" w:rsidRDefault="0096731A" w:rsidP="001F3169">
      <w:pPr>
        <w:ind w:right="-164"/>
      </w:pPr>
      <w:r>
        <w:t>E</w:t>
      </w:r>
      <w:r w:rsidR="00824DE5">
        <w:t>xamples of scenarios where such factors have been considered relevant in Ombudsman FOI reviews have been provide</w:t>
      </w:r>
      <w:r w:rsidR="00824DE5" w:rsidRPr="008D19C6">
        <w:t>d. It is anticipated that this section of the guideline will expand over time</w:t>
      </w:r>
      <w:r>
        <w:t xml:space="preserve"> as the case law continues to grow</w:t>
      </w:r>
      <w:r w:rsidR="00824DE5" w:rsidRPr="008D19C6">
        <w:t>.</w:t>
      </w:r>
    </w:p>
    <w:p w14:paraId="575D83EC" w14:textId="77777777" w:rsidR="00FD5115" w:rsidRPr="00824DE5" w:rsidRDefault="00FD5115" w:rsidP="00B87CC6">
      <w:pPr>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824DE5">
        <w:rPr>
          <w:b/>
        </w:rPr>
        <w:t>Note:</w:t>
      </w:r>
    </w:p>
    <w:p w14:paraId="4A936DFD" w14:textId="66F4CAB8" w:rsidR="00824DE5" w:rsidRDefault="00FD5115" w:rsidP="00B87CC6">
      <w:pPr>
        <w:pStyle w:val="ListParagraph"/>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 xml:space="preserve">Decision-makers are encouraged to clearly identify which factors favouring disclosure apply and </w:t>
      </w:r>
      <w:r w:rsidR="001664B6">
        <w:t>the weight given to each factor (e.g. low, significant)</w:t>
      </w:r>
      <w:r>
        <w:t xml:space="preserve">, beyond the pro-disclosure bias of the FOI Act. </w:t>
      </w:r>
    </w:p>
    <w:p w14:paraId="6786D24F" w14:textId="77777777" w:rsidR="00824DE5" w:rsidRDefault="00FD5115" w:rsidP="00B87CC6">
      <w:pPr>
        <w:pStyle w:val="ListParagraph"/>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This will be important, particularly where a third party is involved who objects to release, so that they can understand how the decision-maker has balanced factors favouring disclosure and factors favouring nondisclosure.</w:t>
      </w:r>
    </w:p>
    <w:p w14:paraId="6D91EEEA" w14:textId="224260C3" w:rsidR="00824DE5" w:rsidRDefault="00824DE5" w:rsidP="00B87CC6">
      <w:pPr>
        <w:pStyle w:val="ListParagraph"/>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 xml:space="preserve">It is noted that some of these factors are likely to overlap and more than one may apply in relation to a particular case. </w:t>
      </w:r>
    </w:p>
    <w:p w14:paraId="2C604842" w14:textId="4E86E177" w:rsidR="000E713B" w:rsidRPr="009C1A86" w:rsidRDefault="000E713B" w:rsidP="005046A5">
      <w:pPr>
        <w:pStyle w:val="Heading2"/>
        <w:numPr>
          <w:ilvl w:val="1"/>
          <w:numId w:val="54"/>
        </w:numPr>
        <w:ind w:left="567" w:hanging="567"/>
      </w:pPr>
      <w:bookmarkStart w:id="734" w:name="_Toc43385550"/>
      <w:bookmarkStart w:id="735" w:name="_Toc152067336"/>
      <w:r w:rsidRPr="009C1A86">
        <w:t>Section 2.1(a)(i)</w:t>
      </w:r>
      <w:r w:rsidR="00824DE5" w:rsidRPr="009C1A86">
        <w:t xml:space="preserve"> – promote open discussion and </w:t>
      </w:r>
      <w:r w:rsidR="00116E53">
        <w:t xml:space="preserve">enhance </w:t>
      </w:r>
      <w:r w:rsidR="00824DE5" w:rsidRPr="009C1A86">
        <w:t>accountability</w:t>
      </w:r>
      <w:bookmarkEnd w:id="734"/>
      <w:bookmarkEnd w:id="735"/>
    </w:p>
    <w:p w14:paraId="46882F99" w14:textId="77777777" w:rsidR="00FF3202" w:rsidRDefault="003A3566" w:rsidP="003A3566">
      <w:r>
        <w:t>A factor favouring disclosure under s 2.</w:t>
      </w:r>
      <w:r w:rsidR="009C1A86">
        <w:t>1</w:t>
      </w:r>
      <w:r>
        <w:t xml:space="preserve">(a)(i) is that disclosure </w:t>
      </w:r>
      <w:r w:rsidR="008243E2">
        <w:t xml:space="preserve">could reasonably be expected to </w:t>
      </w:r>
      <w:r>
        <w:t>promote open discussion of public affairs and enhance the government’s accountability.</w:t>
      </w:r>
      <w:r w:rsidR="008243E2">
        <w:t xml:space="preserve"> </w:t>
      </w:r>
    </w:p>
    <w:p w14:paraId="4F91DC36" w14:textId="1ED4031D" w:rsidR="003A3566" w:rsidRDefault="008243E2" w:rsidP="0096731A">
      <w:pPr>
        <w:keepNext/>
        <w:keepLines/>
      </w:pPr>
      <w:r>
        <w:t>For example, this could include where disclosure would:</w:t>
      </w:r>
    </w:p>
    <w:p w14:paraId="62CF4986" w14:textId="18F9FBE1" w:rsidR="008243E2" w:rsidRDefault="008243E2" w:rsidP="0096731A">
      <w:pPr>
        <w:pStyle w:val="ListParagraph"/>
        <w:keepNext/>
        <w:keepLines/>
        <w:numPr>
          <w:ilvl w:val="0"/>
          <w:numId w:val="104"/>
        </w:numPr>
      </w:pPr>
      <w:r>
        <w:t>increase public knowledge and understanding of government processes</w:t>
      </w:r>
    </w:p>
    <w:p w14:paraId="494093D8" w14:textId="0CED4AD7" w:rsidR="008243E2" w:rsidRDefault="008243E2" w:rsidP="003313DC">
      <w:pPr>
        <w:pStyle w:val="ListParagraph"/>
        <w:numPr>
          <w:ilvl w:val="0"/>
          <w:numId w:val="104"/>
        </w:numPr>
      </w:pPr>
      <w:r>
        <w:t>enhance accountability regarding government funding decisions</w:t>
      </w:r>
    </w:p>
    <w:p w14:paraId="065CE197" w14:textId="7F074B86" w:rsidR="008243E2" w:rsidRDefault="008243E2" w:rsidP="003313DC">
      <w:pPr>
        <w:pStyle w:val="ListParagraph"/>
        <w:numPr>
          <w:ilvl w:val="0"/>
          <w:numId w:val="104"/>
        </w:numPr>
      </w:pPr>
      <w:r>
        <w:t>enhance transparency regarding government appointments</w:t>
      </w:r>
      <w:r w:rsidR="00116E53">
        <w:t>.</w:t>
      </w:r>
    </w:p>
    <w:p w14:paraId="1A6E86ED" w14:textId="5E40AB69" w:rsidR="008243E2" w:rsidRDefault="008243E2" w:rsidP="00FF3202">
      <w:pPr>
        <w:keepNext/>
        <w:keepLines/>
      </w:pPr>
      <w:r>
        <w:t>Scenarios where this factor has been considered relevant in Ombuds</w:t>
      </w:r>
      <w:r w:rsidR="001F3169">
        <w:t>man review decisions include where the application sought access to:</w:t>
      </w:r>
    </w:p>
    <w:p w14:paraId="71FCBDD3" w14:textId="6A5D3570" w:rsidR="001F3169" w:rsidRDefault="001F3169" w:rsidP="00FF3202">
      <w:pPr>
        <w:pStyle w:val="ListParagraph"/>
        <w:keepNext/>
        <w:keepLines/>
        <w:numPr>
          <w:ilvl w:val="0"/>
          <w:numId w:val="111"/>
        </w:numPr>
      </w:pPr>
      <w:r>
        <w:t>sexual harassment complaints and subsequent investigations</w:t>
      </w:r>
    </w:p>
    <w:p w14:paraId="273152A9" w14:textId="6AE7F33E" w:rsidR="001F3169" w:rsidRDefault="001F3169" w:rsidP="00FF3202">
      <w:pPr>
        <w:pStyle w:val="ListParagraph"/>
        <w:keepNext/>
        <w:keepLines/>
        <w:numPr>
          <w:ilvl w:val="0"/>
          <w:numId w:val="111"/>
        </w:numPr>
      </w:pPr>
      <w:r>
        <w:t>documents relating to land negotiations between the ACT and the Commonwealth governments</w:t>
      </w:r>
    </w:p>
    <w:p w14:paraId="5F6B745A" w14:textId="711C066F" w:rsidR="001F3169" w:rsidRDefault="001F3169" w:rsidP="00FF3202">
      <w:pPr>
        <w:pStyle w:val="ListParagraph"/>
        <w:keepNext/>
        <w:keepLines/>
        <w:numPr>
          <w:ilvl w:val="0"/>
          <w:numId w:val="111"/>
        </w:numPr>
      </w:pPr>
      <w:r>
        <w:t>the results of a governance scan of ACT Health completed by a consultancy firm</w:t>
      </w:r>
    </w:p>
    <w:p w14:paraId="4DDEB630" w14:textId="253A8304" w:rsidR="00FD5115" w:rsidRDefault="00FD5115" w:rsidP="00FF3202">
      <w:pPr>
        <w:pStyle w:val="ListParagraph"/>
        <w:keepNext/>
        <w:keepLines/>
        <w:numPr>
          <w:ilvl w:val="0"/>
          <w:numId w:val="111"/>
        </w:numPr>
      </w:pPr>
      <w:r>
        <w:t xml:space="preserve">documents regarding the expansion of </w:t>
      </w:r>
      <w:r w:rsidR="00116E53">
        <w:t xml:space="preserve">Casino </w:t>
      </w:r>
      <w:r>
        <w:t>Canberra</w:t>
      </w:r>
    </w:p>
    <w:p w14:paraId="0B573914" w14:textId="5646E707" w:rsidR="00FD5115" w:rsidRDefault="001B40A6" w:rsidP="00FF3202">
      <w:pPr>
        <w:pStyle w:val="ListParagraph"/>
        <w:keepNext/>
        <w:keepLines/>
        <w:numPr>
          <w:ilvl w:val="0"/>
          <w:numId w:val="111"/>
        </w:numPr>
      </w:pPr>
      <w:r>
        <w:t xml:space="preserve">community consultation </w:t>
      </w:r>
      <w:r w:rsidR="00FD5115">
        <w:t>conducted by the ACT government</w:t>
      </w:r>
    </w:p>
    <w:p w14:paraId="73090041" w14:textId="19D8CA1F" w:rsidR="00FD5115" w:rsidRDefault="00FD5115" w:rsidP="00FF3202">
      <w:pPr>
        <w:pStyle w:val="ListParagraph"/>
        <w:keepNext/>
        <w:keepLines/>
        <w:numPr>
          <w:ilvl w:val="0"/>
          <w:numId w:val="111"/>
        </w:numPr>
      </w:pPr>
      <w:r>
        <w:t>documents related to the Canberra Light Rail project safety audit and inspections</w:t>
      </w:r>
    </w:p>
    <w:p w14:paraId="2CCEBFFC" w14:textId="4BFECD72" w:rsidR="00FD5115" w:rsidRDefault="00FD5115" w:rsidP="00FF3202">
      <w:pPr>
        <w:pStyle w:val="ListParagraph"/>
        <w:keepNext/>
        <w:keepLines/>
        <w:numPr>
          <w:ilvl w:val="0"/>
          <w:numId w:val="111"/>
        </w:numPr>
      </w:pPr>
      <w:r>
        <w:t>emails about a third party provider engaged by ACT Health to provide medical imaging services</w:t>
      </w:r>
      <w:r w:rsidR="00FF3202">
        <w:t>.</w:t>
      </w:r>
    </w:p>
    <w:p w14:paraId="439EECB1" w14:textId="25840424" w:rsidR="003A3566" w:rsidRDefault="003A3566" w:rsidP="005046A5">
      <w:pPr>
        <w:pStyle w:val="Heading2"/>
        <w:numPr>
          <w:ilvl w:val="1"/>
          <w:numId w:val="54"/>
        </w:numPr>
        <w:ind w:left="567" w:hanging="567"/>
      </w:pPr>
      <w:bookmarkStart w:id="736" w:name="_Toc43385551"/>
      <w:bookmarkStart w:id="737" w:name="_Toc152067337"/>
      <w:r>
        <w:t>Section 2.1(a)(ii)</w:t>
      </w:r>
      <w:r w:rsidR="00824DE5">
        <w:t xml:space="preserve"> – contribute to positive and informed debate</w:t>
      </w:r>
      <w:bookmarkEnd w:id="736"/>
      <w:bookmarkEnd w:id="737"/>
    </w:p>
    <w:p w14:paraId="4C4F23F7" w14:textId="77777777" w:rsidR="00055F1C" w:rsidRDefault="003A3566" w:rsidP="008243E2">
      <w:r>
        <w:t>A factor favouring disclosure under s 2.</w:t>
      </w:r>
      <w:r w:rsidR="009C1A86">
        <w:t>1</w:t>
      </w:r>
      <w:r>
        <w:t>(a)(ii) is that disclosure could reasonably be expected to contribute to positive and informed debate on important issues or matters of public interest.</w:t>
      </w:r>
      <w:r w:rsidR="00055F1C">
        <w:t xml:space="preserve"> </w:t>
      </w:r>
    </w:p>
    <w:p w14:paraId="2EB7FB18" w14:textId="411E8E8A" w:rsidR="008243E2" w:rsidRDefault="008243E2" w:rsidP="008243E2">
      <w:r>
        <w:t>For example, this could include where disclosure would:</w:t>
      </w:r>
    </w:p>
    <w:p w14:paraId="63289C63" w14:textId="5D0BAE8F" w:rsidR="008243E2" w:rsidRDefault="00FD5115" w:rsidP="009B05C4">
      <w:pPr>
        <w:pStyle w:val="ListParagraph"/>
        <w:numPr>
          <w:ilvl w:val="0"/>
          <w:numId w:val="104"/>
        </w:numPr>
      </w:pPr>
      <w:r>
        <w:t>provide information which critically assesses a new government project or policy proposal</w:t>
      </w:r>
    </w:p>
    <w:p w14:paraId="24348715" w14:textId="14D3FB0A" w:rsidR="00FD5115" w:rsidRDefault="00FD5115" w:rsidP="009B05C4">
      <w:pPr>
        <w:pStyle w:val="ListParagraph"/>
        <w:numPr>
          <w:ilvl w:val="0"/>
          <w:numId w:val="104"/>
        </w:numPr>
      </w:pPr>
      <w:r>
        <w:t>provide contextual information regarding a government decision-making process</w:t>
      </w:r>
      <w:r w:rsidR="0099309E">
        <w:t>.</w:t>
      </w:r>
    </w:p>
    <w:p w14:paraId="6AB38B49" w14:textId="25CE77DA" w:rsidR="001F3169" w:rsidRDefault="001F3169" w:rsidP="001F3169">
      <w:r>
        <w:t>Scenarios where this factor has been considered relevant in Ombudsman review decisions include where the application sought access to:</w:t>
      </w:r>
    </w:p>
    <w:p w14:paraId="08E6EB55" w14:textId="47289439" w:rsidR="001F3169" w:rsidRDefault="001F3169" w:rsidP="009B05C4">
      <w:pPr>
        <w:pStyle w:val="ListParagraph"/>
        <w:numPr>
          <w:ilvl w:val="0"/>
          <w:numId w:val="111"/>
        </w:numPr>
      </w:pPr>
      <w:r>
        <w:t>documents relating to land negotiations between the ACT and the Commonwealth governments</w:t>
      </w:r>
    </w:p>
    <w:p w14:paraId="595A8A2D" w14:textId="7B47CC4B" w:rsidR="00FD5115" w:rsidRPr="00584D01" w:rsidRDefault="00FD5115" w:rsidP="009B05C4">
      <w:pPr>
        <w:pStyle w:val="ListParagraph"/>
        <w:numPr>
          <w:ilvl w:val="0"/>
          <w:numId w:val="111"/>
        </w:numPr>
      </w:pPr>
      <w:r w:rsidRPr="00584D01">
        <w:t xml:space="preserve">briefing notes prepared for </w:t>
      </w:r>
      <w:r w:rsidR="00A55D6C">
        <w:t>the Select Committee on Estimates</w:t>
      </w:r>
    </w:p>
    <w:p w14:paraId="3B6BDC20" w14:textId="24127CB1" w:rsidR="00FD5115" w:rsidRPr="006033C5" w:rsidRDefault="00FD5115" w:rsidP="009B05C4">
      <w:pPr>
        <w:pStyle w:val="ListParagraph"/>
        <w:numPr>
          <w:ilvl w:val="0"/>
          <w:numId w:val="111"/>
        </w:numPr>
      </w:pPr>
      <w:r w:rsidRPr="006033C5">
        <w:t>documents regarding the expansion of Canberra casino</w:t>
      </w:r>
    </w:p>
    <w:p w14:paraId="6D8370D6" w14:textId="1378CC86" w:rsidR="00FD5115" w:rsidRPr="006033C5" w:rsidRDefault="006033C5" w:rsidP="009B05C4">
      <w:pPr>
        <w:pStyle w:val="ListParagraph"/>
        <w:numPr>
          <w:ilvl w:val="0"/>
          <w:numId w:val="111"/>
        </w:numPr>
      </w:pPr>
      <w:r>
        <w:t>community consultation</w:t>
      </w:r>
      <w:r w:rsidRPr="006033C5">
        <w:t xml:space="preserve"> </w:t>
      </w:r>
      <w:r w:rsidR="00FD5115" w:rsidRPr="006033C5">
        <w:t>conducted by the ACT government</w:t>
      </w:r>
    </w:p>
    <w:p w14:paraId="50E99773" w14:textId="0B2DF1AD" w:rsidR="00FD5115" w:rsidRDefault="00FD5115" w:rsidP="009B05C4">
      <w:pPr>
        <w:pStyle w:val="ListParagraph"/>
        <w:numPr>
          <w:ilvl w:val="0"/>
          <w:numId w:val="111"/>
        </w:numPr>
      </w:pPr>
      <w:r>
        <w:t>documents related to the Canberra Light Rail project safety audit and inspections</w:t>
      </w:r>
    </w:p>
    <w:p w14:paraId="70896908" w14:textId="21AB85C8" w:rsidR="00FD5115" w:rsidRDefault="00FD5115" w:rsidP="009B05C4">
      <w:pPr>
        <w:pStyle w:val="ListParagraph"/>
        <w:numPr>
          <w:ilvl w:val="0"/>
          <w:numId w:val="111"/>
        </w:numPr>
      </w:pPr>
      <w:r>
        <w:t>emails about a third party provider engaged by ACT Health to provide medical imaging services</w:t>
      </w:r>
    </w:p>
    <w:p w14:paraId="69C49F33" w14:textId="49294B28" w:rsidR="00FD5115" w:rsidRDefault="009C1A86" w:rsidP="009B05C4">
      <w:pPr>
        <w:pStyle w:val="ListParagraph"/>
        <w:numPr>
          <w:ilvl w:val="0"/>
          <w:numId w:val="111"/>
        </w:numPr>
      </w:pPr>
      <w:r>
        <w:t xml:space="preserve">information relating to contamination in the </w:t>
      </w:r>
      <w:r w:rsidR="00FD5115">
        <w:t xml:space="preserve">Jervis Bay </w:t>
      </w:r>
      <w:r>
        <w:t xml:space="preserve">area </w:t>
      </w:r>
      <w:r w:rsidR="00FD5115">
        <w:t>and human health risk assessments</w:t>
      </w:r>
      <w:r w:rsidR="0099309E">
        <w:t>.</w:t>
      </w:r>
    </w:p>
    <w:p w14:paraId="58B4E7FB" w14:textId="77777777" w:rsidR="00FD5115" w:rsidRDefault="00FD5115" w:rsidP="006030CA">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FD5115">
        <w:rPr>
          <w:b/>
        </w:rPr>
        <w:t>Note:</w:t>
      </w:r>
    </w:p>
    <w:p w14:paraId="2F347AD3" w14:textId="40FBFDD9" w:rsidR="00FD5115" w:rsidRPr="00FD5115" w:rsidRDefault="00FD5115" w:rsidP="006030CA">
      <w:pPr>
        <w:pStyle w:val="ListParagraph"/>
        <w:numPr>
          <w:ilvl w:val="0"/>
          <w:numId w:val="113"/>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 xml:space="preserve">The Ombudsman </w:t>
      </w:r>
      <w:r w:rsidR="0046267D">
        <w:t>considers that this factor may apply even where</w:t>
      </w:r>
      <w:r>
        <w:t xml:space="preserve"> the information sought relates to a particular period in time and may now be out of date</w:t>
      </w:r>
      <w:r w:rsidR="004B7D27">
        <w:rPr>
          <w:rFonts w:ascii="Calibri" w:hAnsi="Calibri" w:cs="Calibri"/>
        </w:rPr>
        <w:t>—</w:t>
      </w:r>
      <w:r>
        <w:t xml:space="preserve">see discussion of the relevance of interim project reports in </w:t>
      </w:r>
      <w:r w:rsidRPr="00FD5115">
        <w:rPr>
          <w:i/>
        </w:rPr>
        <w:t>Canberra Metro Construction and Chief Minister, Treasury and Economic Development Directorate</w:t>
      </w:r>
      <w:r w:rsidR="005D6CC7">
        <w:t>.</w:t>
      </w:r>
      <w:r w:rsidR="005D6CC7">
        <w:rPr>
          <w:rStyle w:val="FootnoteReference"/>
        </w:rPr>
        <w:footnoteReference w:id="212"/>
      </w:r>
      <w:r>
        <w:t xml:space="preserve"> </w:t>
      </w:r>
    </w:p>
    <w:p w14:paraId="742469BE" w14:textId="6AD28BEB" w:rsidR="00FD5115" w:rsidRPr="00FD5115" w:rsidRDefault="00FD5115" w:rsidP="006030CA">
      <w:pPr>
        <w:pStyle w:val="ListParagraph"/>
        <w:numPr>
          <w:ilvl w:val="0"/>
          <w:numId w:val="113"/>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 xml:space="preserve">The Ombudsman </w:t>
      </w:r>
      <w:r w:rsidR="0046267D">
        <w:t>considers</w:t>
      </w:r>
      <w:r>
        <w:t xml:space="preserve"> that </w:t>
      </w:r>
      <w:r w:rsidR="0046267D">
        <w:t xml:space="preserve">the </w:t>
      </w:r>
      <w:r>
        <w:t xml:space="preserve">public interest in preliminary test results being disclosed </w:t>
      </w:r>
      <w:r w:rsidR="0046267D">
        <w:t>is not necessarily</w:t>
      </w:r>
      <w:r>
        <w:t xml:space="preserve"> diminished </w:t>
      </w:r>
      <w:r w:rsidR="00824DE5">
        <w:t>b</w:t>
      </w:r>
      <w:r>
        <w:t xml:space="preserve">y the release of </w:t>
      </w:r>
      <w:r w:rsidR="0046267D">
        <w:t xml:space="preserve">the </w:t>
      </w:r>
      <w:r>
        <w:t>final results.</w:t>
      </w:r>
      <w:r>
        <w:rPr>
          <w:rStyle w:val="FootnoteReference"/>
        </w:rPr>
        <w:footnoteReference w:id="213"/>
      </w:r>
      <w:r>
        <w:t xml:space="preserve"> </w:t>
      </w:r>
    </w:p>
    <w:p w14:paraId="286074BE" w14:textId="251A0EC9" w:rsidR="003A3566" w:rsidRDefault="003A3566" w:rsidP="005046A5">
      <w:pPr>
        <w:pStyle w:val="Heading2"/>
        <w:numPr>
          <w:ilvl w:val="1"/>
          <w:numId w:val="54"/>
        </w:numPr>
        <w:ind w:left="567" w:hanging="567"/>
      </w:pPr>
      <w:bookmarkStart w:id="738" w:name="_Toc43385552"/>
      <w:bookmarkStart w:id="739" w:name="_Toc152067338"/>
      <w:r>
        <w:t>Section 2.1(a)(iii)</w:t>
      </w:r>
      <w:r w:rsidR="00824DE5">
        <w:t xml:space="preserve"> – inform the community of government operations</w:t>
      </w:r>
      <w:bookmarkEnd w:id="738"/>
      <w:bookmarkEnd w:id="739"/>
    </w:p>
    <w:p w14:paraId="1BB1181B" w14:textId="4B7F6D83" w:rsidR="003A3566" w:rsidRDefault="003A3566" w:rsidP="000E713B">
      <w:r>
        <w:t>A factor favouring disclosure under s 2.</w:t>
      </w:r>
      <w:r w:rsidR="00F10425">
        <w:t>1</w:t>
      </w:r>
      <w:r>
        <w:t xml:space="preserve">(a)(iii) is that disclosure could reasonably be expected to inform the community of </w:t>
      </w:r>
      <w:r w:rsidR="00116E53">
        <w:t>the government’s</w:t>
      </w:r>
      <w:r>
        <w:t xml:space="preserve"> operations, including the policies, guidelines and codes of conduct followed by the government in its dealings with </w:t>
      </w:r>
      <w:r w:rsidR="0032337E">
        <w:t>members of</w:t>
      </w:r>
      <w:r>
        <w:t xml:space="preserve"> the community.</w:t>
      </w:r>
    </w:p>
    <w:p w14:paraId="3E95A463" w14:textId="029365CB" w:rsidR="008243E2" w:rsidRDefault="008243E2" w:rsidP="008243E2">
      <w:r>
        <w:t>For example, this could include where disclosure would</w:t>
      </w:r>
    </w:p>
    <w:p w14:paraId="0DD04D79" w14:textId="507668D2" w:rsidR="008243E2" w:rsidRDefault="00FD5115" w:rsidP="009B05C4">
      <w:pPr>
        <w:pStyle w:val="ListParagraph"/>
        <w:numPr>
          <w:ilvl w:val="0"/>
          <w:numId w:val="104"/>
        </w:numPr>
      </w:pPr>
      <w:r>
        <w:t xml:space="preserve">inform the community </w:t>
      </w:r>
      <w:r w:rsidR="00A30A74">
        <w:t xml:space="preserve">in relation to </w:t>
      </w:r>
      <w:r>
        <w:t>how a regulatory agency undertakes</w:t>
      </w:r>
      <w:r w:rsidR="00A30A74">
        <w:t xml:space="preserve"> its functions</w:t>
      </w:r>
      <w:r>
        <w:t>.</w:t>
      </w:r>
    </w:p>
    <w:p w14:paraId="3ACF3A8A" w14:textId="77777777" w:rsidR="001F3169" w:rsidRDefault="001F3169" w:rsidP="00846D9E">
      <w:pPr>
        <w:keepNext/>
        <w:keepLines/>
      </w:pPr>
      <w:r>
        <w:t>Scenarios where this factor has been considered relevant in Ombudsman review decisions include where the application sought access to:</w:t>
      </w:r>
    </w:p>
    <w:p w14:paraId="2535EFB5" w14:textId="7649A7D1" w:rsidR="00A30A74" w:rsidRDefault="00A30A74" w:rsidP="00A30A74">
      <w:pPr>
        <w:pStyle w:val="ListParagraph"/>
        <w:numPr>
          <w:ilvl w:val="0"/>
          <w:numId w:val="111"/>
        </w:numPr>
      </w:pPr>
      <w:r>
        <w:t>emails about a third party provider engaged by ACT Health to provide medical imaging services</w:t>
      </w:r>
      <w:r w:rsidR="0032337E">
        <w:t xml:space="preserve">. </w:t>
      </w:r>
    </w:p>
    <w:p w14:paraId="3378E3CC" w14:textId="2C84701C" w:rsidR="003A3566" w:rsidRDefault="003A3566" w:rsidP="005046A5">
      <w:pPr>
        <w:pStyle w:val="Heading2"/>
        <w:numPr>
          <w:ilvl w:val="1"/>
          <w:numId w:val="54"/>
        </w:numPr>
        <w:ind w:left="567" w:hanging="567"/>
      </w:pPr>
      <w:bookmarkStart w:id="740" w:name="_Toc43385553"/>
      <w:bookmarkStart w:id="741" w:name="_Toc152067339"/>
      <w:r>
        <w:t>Section 2.1(a)(iv)</w:t>
      </w:r>
      <w:r w:rsidR="00824DE5">
        <w:t xml:space="preserve"> – oversight of expenditure of public funds</w:t>
      </w:r>
      <w:bookmarkEnd w:id="740"/>
      <w:bookmarkEnd w:id="741"/>
    </w:p>
    <w:p w14:paraId="306C9AB1" w14:textId="4FC0C1AC" w:rsidR="003A3566" w:rsidRDefault="003A3566" w:rsidP="003A3566">
      <w:r>
        <w:t>A factor favouring disclosure under s 2.</w:t>
      </w:r>
      <w:r w:rsidR="00EB4811">
        <w:t>1</w:t>
      </w:r>
      <w:r>
        <w:t>(a)(iv) is that disclosure could reasonably be expected to ensure effective oversight of expenditure of public funds.</w:t>
      </w:r>
    </w:p>
    <w:p w14:paraId="33FF8571" w14:textId="77777777" w:rsidR="008243E2" w:rsidRDefault="008243E2" w:rsidP="008243E2">
      <w:r>
        <w:t>For example, this could include where disclosure would:</w:t>
      </w:r>
    </w:p>
    <w:p w14:paraId="6CAF1FF5" w14:textId="2003DCC8" w:rsidR="008243E2" w:rsidRDefault="00FD5115" w:rsidP="009B05C4">
      <w:pPr>
        <w:pStyle w:val="ListParagraph"/>
        <w:numPr>
          <w:ilvl w:val="0"/>
          <w:numId w:val="104"/>
        </w:numPr>
      </w:pPr>
      <w:r>
        <w:t>outline how public funds have been spent</w:t>
      </w:r>
    </w:p>
    <w:p w14:paraId="6C0449F2" w14:textId="48328209" w:rsidR="00FD5115" w:rsidRDefault="00FD5115" w:rsidP="009B05C4">
      <w:pPr>
        <w:pStyle w:val="ListParagraph"/>
        <w:numPr>
          <w:ilvl w:val="0"/>
          <w:numId w:val="104"/>
        </w:numPr>
      </w:pPr>
      <w:r>
        <w:t>explain how tender processes were carried out</w:t>
      </w:r>
      <w:r w:rsidR="0099309E">
        <w:t>.</w:t>
      </w:r>
    </w:p>
    <w:p w14:paraId="675BA8AC" w14:textId="77777777" w:rsidR="001F3169" w:rsidRDefault="001F3169" w:rsidP="001F3169">
      <w:r>
        <w:t>Scenarios where this factor has been considered relevant in Ombudsman review decisions include where the application sought access to:</w:t>
      </w:r>
    </w:p>
    <w:p w14:paraId="5AE4B28B" w14:textId="62E234E1" w:rsidR="001F3169" w:rsidRDefault="001F3169" w:rsidP="009B05C4">
      <w:pPr>
        <w:pStyle w:val="ListParagraph"/>
        <w:numPr>
          <w:ilvl w:val="0"/>
          <w:numId w:val="111"/>
        </w:numPr>
      </w:pPr>
      <w:r>
        <w:t>the results of a governance scan of ACT Health completed by a consultancy firm</w:t>
      </w:r>
    </w:p>
    <w:p w14:paraId="4418DC07" w14:textId="7506100C" w:rsidR="00FD5115" w:rsidRDefault="00FD5115" w:rsidP="009B05C4">
      <w:pPr>
        <w:pStyle w:val="ListParagraph"/>
        <w:numPr>
          <w:ilvl w:val="0"/>
          <w:numId w:val="111"/>
        </w:numPr>
      </w:pPr>
      <w:r>
        <w:t>documents related to the Canberra Light Rail project safety audit and inspections</w:t>
      </w:r>
    </w:p>
    <w:p w14:paraId="4C171FA6" w14:textId="2A4EC64E" w:rsidR="00FD5115" w:rsidRDefault="00FD5115" w:rsidP="009B05C4">
      <w:pPr>
        <w:pStyle w:val="ListParagraph"/>
        <w:numPr>
          <w:ilvl w:val="0"/>
          <w:numId w:val="111"/>
        </w:numPr>
      </w:pPr>
      <w:r>
        <w:t>emails about a third party provider engaged by ACT Health to provide medical imaging services</w:t>
      </w:r>
      <w:r w:rsidR="0099309E">
        <w:t>.</w:t>
      </w:r>
    </w:p>
    <w:p w14:paraId="5B31D62A" w14:textId="4B9B1BC5" w:rsidR="00F71E05" w:rsidRDefault="000E713B" w:rsidP="005046A5">
      <w:pPr>
        <w:pStyle w:val="Heading2"/>
        <w:numPr>
          <w:ilvl w:val="1"/>
          <w:numId w:val="54"/>
        </w:numPr>
        <w:ind w:left="567" w:hanging="567"/>
      </w:pPr>
      <w:bookmarkStart w:id="742" w:name="_Toc43385554"/>
      <w:bookmarkStart w:id="743" w:name="_Toc152067340"/>
      <w:r>
        <w:t>Section 2.1(a)(v)</w:t>
      </w:r>
      <w:r w:rsidR="00824DE5">
        <w:t xml:space="preserve"> – assist inquiry in deficiencies of conduct or administration</w:t>
      </w:r>
      <w:bookmarkEnd w:id="742"/>
      <w:bookmarkEnd w:id="743"/>
    </w:p>
    <w:p w14:paraId="347DC48D" w14:textId="49301810" w:rsidR="000E713B" w:rsidRDefault="003A3566" w:rsidP="000E713B">
      <w:r>
        <w:t>A factor favouring disclosure under s 2.</w:t>
      </w:r>
      <w:r w:rsidR="00303C86">
        <w:t>1</w:t>
      </w:r>
      <w:r>
        <w:t>(a)(v) is that disclosure could reasonably be expected to allow or assist inquiry into possible deficiencies in the conduct or administration of an agency or public official.</w:t>
      </w:r>
    </w:p>
    <w:p w14:paraId="2BB58190" w14:textId="77777777" w:rsidR="008243E2" w:rsidRDefault="008243E2" w:rsidP="00B87CC6">
      <w:pPr>
        <w:keepNext/>
        <w:keepLines/>
      </w:pPr>
      <w:r>
        <w:t>For example, this could include where disclosure would:</w:t>
      </w:r>
    </w:p>
    <w:p w14:paraId="6D382E60" w14:textId="4C826426" w:rsidR="008243E2" w:rsidRDefault="00FD5115" w:rsidP="00B87CC6">
      <w:pPr>
        <w:pStyle w:val="ListParagraph"/>
        <w:keepNext/>
        <w:keepLines/>
        <w:numPr>
          <w:ilvl w:val="0"/>
          <w:numId w:val="104"/>
        </w:numPr>
      </w:pPr>
      <w:r>
        <w:t xml:space="preserve">reveal allegations received about an agency  </w:t>
      </w:r>
    </w:p>
    <w:p w14:paraId="16220BFC" w14:textId="4D3873D1" w:rsidR="00FD5115" w:rsidRDefault="00FD5115" w:rsidP="00B87CC6">
      <w:pPr>
        <w:pStyle w:val="ListParagraph"/>
        <w:keepNext/>
        <w:keepLines/>
        <w:numPr>
          <w:ilvl w:val="0"/>
          <w:numId w:val="104"/>
        </w:numPr>
      </w:pPr>
      <w:r>
        <w:t>explain the results of an investigation into conduct breaches</w:t>
      </w:r>
      <w:r w:rsidR="00824DE5">
        <w:t xml:space="preserve"> by an ACT public servant</w:t>
      </w:r>
      <w:r w:rsidR="0099309E">
        <w:t>.</w:t>
      </w:r>
    </w:p>
    <w:p w14:paraId="57B91873" w14:textId="77777777" w:rsidR="00FD5115" w:rsidRDefault="008243E2" w:rsidP="00FD5115">
      <w:r>
        <w:t>Scenarios where this factor has been considered relevant in Ombudsman review decisions include</w:t>
      </w:r>
      <w:r w:rsidR="00FD5115">
        <w:t xml:space="preserve"> where the application sought access to:</w:t>
      </w:r>
    </w:p>
    <w:p w14:paraId="6025057E" w14:textId="3FDBC368" w:rsidR="00FD5115" w:rsidRDefault="00FD5115" w:rsidP="009B05C4">
      <w:pPr>
        <w:pStyle w:val="ListParagraph"/>
        <w:numPr>
          <w:ilvl w:val="0"/>
          <w:numId w:val="111"/>
        </w:numPr>
      </w:pPr>
      <w:r>
        <w:t>emails about a third party provider engaged by ACT Health to provide medical imaging services</w:t>
      </w:r>
      <w:r w:rsidR="0099309E">
        <w:t>.</w:t>
      </w:r>
    </w:p>
    <w:p w14:paraId="4BF1BA11" w14:textId="5DB3AA82" w:rsidR="003A3566" w:rsidRDefault="003A3566" w:rsidP="005046A5">
      <w:pPr>
        <w:pStyle w:val="Heading2"/>
        <w:numPr>
          <w:ilvl w:val="1"/>
          <w:numId w:val="54"/>
        </w:numPr>
        <w:ind w:left="567" w:hanging="567"/>
      </w:pPr>
      <w:bookmarkStart w:id="744" w:name="_Toc43385555"/>
      <w:bookmarkStart w:id="745" w:name="_Toc152067341"/>
      <w:r>
        <w:t>Section 2.1(a)(vi)</w:t>
      </w:r>
      <w:r w:rsidR="00824DE5">
        <w:t xml:space="preserve"> – reveal improper conduct</w:t>
      </w:r>
      <w:bookmarkEnd w:id="744"/>
      <w:bookmarkEnd w:id="745"/>
    </w:p>
    <w:p w14:paraId="548C53DF" w14:textId="729919D2" w:rsidR="003A3566" w:rsidRDefault="003A3566" w:rsidP="003A3566">
      <w:r>
        <w:t>A factor favouring disclosure under s 2.</w:t>
      </w:r>
      <w:r w:rsidR="00E65AB8">
        <w:t>1</w:t>
      </w:r>
      <w:r>
        <w:t xml:space="preserve">(a)(vi) is that disclosure could reasonably be expected to reveal or substantiate that an agency or public official has engaged in misconduct or negligent, improper or unlawful conduct or </w:t>
      </w:r>
      <w:r w:rsidR="0032337E">
        <w:t>has acted</w:t>
      </w:r>
      <w:r>
        <w:t xml:space="preserve"> maliciously or in bad faith.</w:t>
      </w:r>
      <w:r w:rsidR="008243E2">
        <w:t xml:space="preserve"> </w:t>
      </w:r>
    </w:p>
    <w:p w14:paraId="66CA70DE" w14:textId="77777777" w:rsidR="008243E2" w:rsidRDefault="008243E2" w:rsidP="008243E2">
      <w:r>
        <w:t>For example, this could include where disclosure would:</w:t>
      </w:r>
    </w:p>
    <w:p w14:paraId="144F2C20" w14:textId="06B9D46B" w:rsidR="00FD5115" w:rsidRDefault="00FD5115" w:rsidP="009B05C4">
      <w:pPr>
        <w:pStyle w:val="ListParagraph"/>
        <w:numPr>
          <w:ilvl w:val="0"/>
          <w:numId w:val="104"/>
        </w:numPr>
      </w:pPr>
      <w:r>
        <w:t>reveal dealings between an agency employee and a member of the public that were improper</w:t>
      </w:r>
    </w:p>
    <w:p w14:paraId="1BD9675A" w14:textId="5B57DF98" w:rsidR="00FD5115" w:rsidRDefault="00FD5115" w:rsidP="009B05C4">
      <w:pPr>
        <w:pStyle w:val="ListParagraph"/>
        <w:numPr>
          <w:ilvl w:val="0"/>
          <w:numId w:val="104"/>
        </w:numPr>
      </w:pPr>
      <w:r>
        <w:t xml:space="preserve">demonstrate a </w:t>
      </w:r>
      <w:r w:rsidR="00DE4335">
        <w:t xml:space="preserve">serious </w:t>
      </w:r>
      <w:r>
        <w:t>failure of a public servant to comply with agency policies</w:t>
      </w:r>
      <w:r w:rsidR="0099309E">
        <w:t>.</w:t>
      </w:r>
    </w:p>
    <w:p w14:paraId="4461859D" w14:textId="13EB55D6" w:rsidR="008243E2" w:rsidRPr="003A3566" w:rsidRDefault="00FD5115" w:rsidP="003A3566">
      <w:r>
        <w:t>It is considered that there would need to be some evidence that an agency or public official had engaged in such conduct, or acted in such a way, for this to apply.</w:t>
      </w:r>
    </w:p>
    <w:p w14:paraId="380C8CC3" w14:textId="48C19B63" w:rsidR="003A3566" w:rsidRDefault="003A3566" w:rsidP="005046A5">
      <w:pPr>
        <w:pStyle w:val="Heading2"/>
        <w:numPr>
          <w:ilvl w:val="1"/>
          <w:numId w:val="54"/>
        </w:numPr>
        <w:ind w:left="567" w:hanging="567"/>
      </w:pPr>
      <w:bookmarkStart w:id="746" w:name="_Toc43385556"/>
      <w:bookmarkStart w:id="747" w:name="_Toc152067342"/>
      <w:r>
        <w:t>Section 2.1(a)(vii)</w:t>
      </w:r>
      <w:r w:rsidR="00824DE5">
        <w:t xml:space="preserve"> – advance fair treatment of individuals</w:t>
      </w:r>
      <w:bookmarkEnd w:id="746"/>
      <w:bookmarkEnd w:id="747"/>
    </w:p>
    <w:p w14:paraId="23E54402" w14:textId="13E78E1C" w:rsidR="00FD5115" w:rsidRDefault="003A3566" w:rsidP="003A3566">
      <w:r>
        <w:t>A factor favouring disclosure under s 2.</w:t>
      </w:r>
      <w:r w:rsidR="00DB126A">
        <w:t>1</w:t>
      </w:r>
      <w:r>
        <w:t>(a)(vii) is that disclosure could reasonably be expected to advance the fair treatment of individuals and other entities in accordance with the law in their dealings with the government.</w:t>
      </w:r>
    </w:p>
    <w:p w14:paraId="4B9955FE" w14:textId="0D4478A3" w:rsidR="003A3566" w:rsidRDefault="00FD5115" w:rsidP="00FD5115">
      <w:r>
        <w:t>The Queensland Information Commissioner has noted, in the context of their similar public interest factor, that there is no requirement for a decision-maker to ensure that t</w:t>
      </w:r>
      <w:r w:rsidR="00824DE5">
        <w:t>he</w:t>
      </w:r>
      <w:r w:rsidR="00D74911">
        <w:t xml:space="preserve"> applicant</w:t>
      </w:r>
      <w:r>
        <w:t xml:space="preserve"> be </w:t>
      </w:r>
      <w:r w:rsidRPr="00FD5115">
        <w:rPr>
          <w:i/>
        </w:rPr>
        <w:t>subjectively</w:t>
      </w:r>
      <w:r>
        <w:t xml:space="preserve"> satisfied that he or she received fair treatment</w:t>
      </w:r>
      <w:r w:rsidR="00824DE5">
        <w:t xml:space="preserve"> in order for this to apply</w:t>
      </w:r>
      <w:r>
        <w:t>.</w:t>
      </w:r>
      <w:r>
        <w:rPr>
          <w:rStyle w:val="FootnoteReference"/>
        </w:rPr>
        <w:footnoteReference w:id="214"/>
      </w:r>
    </w:p>
    <w:p w14:paraId="12AB89B9" w14:textId="6DE2EB39" w:rsidR="000E713B" w:rsidRDefault="000E713B" w:rsidP="005046A5">
      <w:pPr>
        <w:pStyle w:val="Heading2"/>
        <w:numPr>
          <w:ilvl w:val="1"/>
          <w:numId w:val="54"/>
        </w:numPr>
        <w:ind w:left="567" w:hanging="567"/>
      </w:pPr>
      <w:bookmarkStart w:id="748" w:name="_Toc43385557"/>
      <w:bookmarkStart w:id="749" w:name="_Toc152067343"/>
      <w:r>
        <w:t>Section 2.1(a)(vii</w:t>
      </w:r>
      <w:r w:rsidR="003A3566">
        <w:t>i</w:t>
      </w:r>
      <w:r>
        <w:t>)</w:t>
      </w:r>
      <w:r w:rsidR="00824DE5">
        <w:t xml:space="preserve"> – reveal reason for government decision</w:t>
      </w:r>
      <w:bookmarkEnd w:id="748"/>
      <w:bookmarkEnd w:id="749"/>
    </w:p>
    <w:p w14:paraId="59CF3C9F" w14:textId="354378BA" w:rsidR="000E713B" w:rsidRDefault="003A3566" w:rsidP="00846D9E">
      <w:pPr>
        <w:ind w:right="-448"/>
      </w:pPr>
      <w:r>
        <w:t>A factor favouring disclosure under s 2.</w:t>
      </w:r>
      <w:r w:rsidR="00A9333D">
        <w:t>1</w:t>
      </w:r>
      <w:r>
        <w:t>(a)(viii) is that disclosure could reasonably be expected to reveal the reason for a government decision and any background or contextual information that informed the decision.</w:t>
      </w:r>
    </w:p>
    <w:p w14:paraId="7F7503CA" w14:textId="43505F94" w:rsidR="00FD5115" w:rsidRDefault="00FD5115" w:rsidP="000E713B">
      <w:r>
        <w:t xml:space="preserve">Revealing the reason for a government decision can serve to provide transparency and accountability to the decision-making process. </w:t>
      </w:r>
    </w:p>
    <w:p w14:paraId="12788919" w14:textId="77777777" w:rsidR="001F3169" w:rsidRDefault="001F3169" w:rsidP="006030CA">
      <w:r>
        <w:t>Scenarios where this factor has been considered relevant in Ombudsman review decisions include where the application sought access to:</w:t>
      </w:r>
    </w:p>
    <w:p w14:paraId="3530372F" w14:textId="1E386D67" w:rsidR="001F3169" w:rsidRDefault="001F3169" w:rsidP="006030CA">
      <w:pPr>
        <w:pStyle w:val="ListParagraph"/>
        <w:numPr>
          <w:ilvl w:val="0"/>
          <w:numId w:val="111"/>
        </w:numPr>
      </w:pPr>
      <w:r>
        <w:t>sexual harassment complaints and subsequent investigations</w:t>
      </w:r>
    </w:p>
    <w:p w14:paraId="75C9BB5E" w14:textId="35A286E8" w:rsidR="001F3169" w:rsidRDefault="001F3169" w:rsidP="006030CA">
      <w:pPr>
        <w:pStyle w:val="ListParagraph"/>
        <w:numPr>
          <w:ilvl w:val="0"/>
          <w:numId w:val="111"/>
        </w:numPr>
      </w:pPr>
      <w:r>
        <w:t>documents relating to land negotiations between the ACT and the Commonwealth governments</w:t>
      </w:r>
    </w:p>
    <w:p w14:paraId="6D2136F2" w14:textId="1BED03BD" w:rsidR="001F3169" w:rsidRDefault="001F3169" w:rsidP="006030CA">
      <w:pPr>
        <w:pStyle w:val="ListParagraph"/>
        <w:numPr>
          <w:ilvl w:val="0"/>
          <w:numId w:val="111"/>
        </w:numPr>
      </w:pPr>
      <w:r>
        <w:t>the results of a governance scan of ACT Health completed by a consultancy firm</w:t>
      </w:r>
    </w:p>
    <w:p w14:paraId="76B1C738" w14:textId="09B10997" w:rsidR="001F3169" w:rsidRDefault="00FD5115" w:rsidP="006030CA">
      <w:pPr>
        <w:pStyle w:val="ListParagraph"/>
        <w:numPr>
          <w:ilvl w:val="0"/>
          <w:numId w:val="111"/>
        </w:numPr>
      </w:pPr>
      <w:r>
        <w:t>investigations reports</w:t>
      </w:r>
    </w:p>
    <w:p w14:paraId="2CCA0417" w14:textId="7D668B47" w:rsidR="001F3169" w:rsidRDefault="001F3169" w:rsidP="006030CA">
      <w:pPr>
        <w:pStyle w:val="ListParagraph"/>
        <w:numPr>
          <w:ilvl w:val="0"/>
          <w:numId w:val="111"/>
        </w:numPr>
      </w:pPr>
      <w:r>
        <w:t>a</w:t>
      </w:r>
      <w:r w:rsidRPr="00FF1386">
        <w:t>ccess to agency documents about the applicant and her tenancy</w:t>
      </w:r>
    </w:p>
    <w:p w14:paraId="2545CAAF" w14:textId="05F10538" w:rsidR="00FD5115" w:rsidRDefault="00FD5115" w:rsidP="006030CA">
      <w:pPr>
        <w:pStyle w:val="ListParagraph"/>
        <w:numPr>
          <w:ilvl w:val="0"/>
          <w:numId w:val="111"/>
        </w:numPr>
      </w:pPr>
      <w:r>
        <w:t xml:space="preserve">information relating to the nomination of a third party for honorary appointment </w:t>
      </w:r>
    </w:p>
    <w:p w14:paraId="71DE1BB9" w14:textId="0765383E" w:rsidR="00FD5115" w:rsidRDefault="00FD5115" w:rsidP="006030CA">
      <w:pPr>
        <w:pStyle w:val="ListParagraph"/>
        <w:numPr>
          <w:ilvl w:val="0"/>
          <w:numId w:val="111"/>
        </w:numPr>
      </w:pPr>
      <w:r>
        <w:t>documents regarding the expansion of Canberra casino</w:t>
      </w:r>
      <w:r w:rsidR="0099309E">
        <w:t>.</w:t>
      </w:r>
    </w:p>
    <w:p w14:paraId="2671A172" w14:textId="5E1F880F" w:rsidR="00FD5115" w:rsidRPr="00897645" w:rsidRDefault="00FD5115" w:rsidP="003313DC">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97645">
        <w:rPr>
          <w:b/>
        </w:rPr>
        <w:t>Note:</w:t>
      </w:r>
    </w:p>
    <w:p w14:paraId="27204682" w14:textId="5C88260F" w:rsidR="006F633D" w:rsidRPr="00897645" w:rsidRDefault="00FD5115" w:rsidP="003313DC">
      <w:pPr>
        <w:pStyle w:val="ListParagraph"/>
        <w:numPr>
          <w:ilvl w:val="0"/>
          <w:numId w:val="112"/>
        </w:numPr>
        <w:pBdr>
          <w:top w:val="single" w:sz="4" w:space="1" w:color="auto"/>
          <w:left w:val="single" w:sz="4" w:space="4" w:color="auto"/>
          <w:bottom w:val="single" w:sz="4" w:space="1" w:color="auto"/>
          <w:right w:val="single" w:sz="4" w:space="4" w:color="auto"/>
        </w:pBdr>
        <w:shd w:val="clear" w:color="auto" w:fill="D9E2F3" w:themeFill="accent5" w:themeFillTint="33"/>
      </w:pPr>
      <w:r w:rsidRPr="00897645">
        <w:t xml:space="preserve">In some circumstances, the principles of transparency and accountability may not require full disclosure of all materials. This was discussed in the Ombudsman FOI review case of </w:t>
      </w:r>
      <w:r w:rsidRPr="00897645">
        <w:rPr>
          <w:i/>
        </w:rPr>
        <w:t>AK and the Education Directorate</w:t>
      </w:r>
      <w:r w:rsidR="00D74911" w:rsidRPr="00897645">
        <w:rPr>
          <w:i/>
        </w:rPr>
        <w:t>.</w:t>
      </w:r>
      <w:r w:rsidR="00D74911" w:rsidRPr="00897645">
        <w:rPr>
          <w:rStyle w:val="FootnoteReference"/>
          <w:i/>
        </w:rPr>
        <w:footnoteReference w:id="215"/>
      </w:r>
    </w:p>
    <w:p w14:paraId="6E28F11A" w14:textId="35EA1514" w:rsidR="006F633D" w:rsidRPr="00897645" w:rsidRDefault="006F633D" w:rsidP="003313DC">
      <w:pPr>
        <w:pStyle w:val="ListParagraph"/>
        <w:numPr>
          <w:ilvl w:val="0"/>
          <w:numId w:val="112"/>
        </w:numPr>
        <w:pBdr>
          <w:top w:val="single" w:sz="4" w:space="1" w:color="auto"/>
          <w:left w:val="single" w:sz="4" w:space="4" w:color="auto"/>
          <w:bottom w:val="single" w:sz="4" w:space="1" w:color="auto"/>
          <w:right w:val="single" w:sz="4" w:space="4" w:color="auto"/>
        </w:pBdr>
        <w:shd w:val="clear" w:color="auto" w:fill="D9E2F3" w:themeFill="accent5" w:themeFillTint="33"/>
      </w:pPr>
      <w:r w:rsidRPr="00897645">
        <w:t>The Ombudsman found that the applicant was provided with sufficient information relating to the complaint investigation process</w:t>
      </w:r>
      <w:r w:rsidR="00055F1C" w:rsidRPr="00897645">
        <w:t xml:space="preserve">, which outlined </w:t>
      </w:r>
      <w:r w:rsidRPr="00897645">
        <w:t xml:space="preserve">how the investigation was conducted, and how the conclusions and recommendations were reached. </w:t>
      </w:r>
      <w:r w:rsidR="00055F1C" w:rsidRPr="00897645">
        <w:t>As a result, t</w:t>
      </w:r>
      <w:r w:rsidRPr="00897645">
        <w:t xml:space="preserve">he principles of transparency and accountability </w:t>
      </w:r>
      <w:r w:rsidR="00055F1C" w:rsidRPr="00897645">
        <w:t xml:space="preserve">were given less </w:t>
      </w:r>
      <w:r w:rsidRPr="00897645">
        <w:t xml:space="preserve">weight in this review. </w:t>
      </w:r>
    </w:p>
    <w:p w14:paraId="1610C043" w14:textId="4E3384B6" w:rsidR="003A3566" w:rsidRDefault="003A3566" w:rsidP="005046A5">
      <w:pPr>
        <w:pStyle w:val="Heading2"/>
        <w:numPr>
          <w:ilvl w:val="1"/>
          <w:numId w:val="54"/>
        </w:numPr>
        <w:ind w:left="567" w:hanging="567"/>
      </w:pPr>
      <w:bookmarkStart w:id="750" w:name="_Toc43385558"/>
      <w:bookmarkStart w:id="751" w:name="_Toc152067344"/>
      <w:r>
        <w:t>Section 2.1(a)(ix)</w:t>
      </w:r>
      <w:r w:rsidR="00824DE5">
        <w:t xml:space="preserve"> – reveal incorrect information</w:t>
      </w:r>
      <w:bookmarkEnd w:id="750"/>
      <w:bookmarkEnd w:id="751"/>
    </w:p>
    <w:p w14:paraId="2C46F093" w14:textId="2EAE1A66" w:rsidR="003A3566" w:rsidRDefault="003A3566" w:rsidP="003A3566">
      <w:r>
        <w:t>A factor favouring disclosure under s 2.2(a)(ix) is that disclosure could reasonably be expected to reveal that the information was incorrect, out-of-date, misleading, gratuitous, unfairly subjective or irrelevant.</w:t>
      </w:r>
    </w:p>
    <w:p w14:paraId="7D52EDCB" w14:textId="2E8FE430" w:rsidR="00FD5115" w:rsidRDefault="00FD5115" w:rsidP="00FD5115">
      <w:r>
        <w:t xml:space="preserve">This factor has not yet been considered </w:t>
      </w:r>
      <w:r w:rsidR="008243E2">
        <w:t xml:space="preserve">relevant in </w:t>
      </w:r>
      <w:r>
        <w:t xml:space="preserve">any </w:t>
      </w:r>
      <w:r w:rsidR="008243E2">
        <w:t>Ombudsman review decisions</w:t>
      </w:r>
      <w:r>
        <w:t>. It is considered that there would, however, need to be some evidence that the information sought was in some way</w:t>
      </w:r>
      <w:r w:rsidR="00A1722F">
        <w:t xml:space="preserve"> </w:t>
      </w:r>
      <w:r>
        <w:t>incorr</w:t>
      </w:r>
      <w:r w:rsidR="00824DE5">
        <w:t>ect</w:t>
      </w:r>
      <w:r w:rsidR="00A1722F">
        <w:t>, out-of-date, misleading, gratuitous, unfairly subjective or irrelevant</w:t>
      </w:r>
      <w:r w:rsidR="00824DE5">
        <w:t xml:space="preserve"> for this </w:t>
      </w:r>
      <w:r w:rsidR="00A1722F">
        <w:t xml:space="preserve">factor to </w:t>
      </w:r>
      <w:r w:rsidR="00824DE5">
        <w:t>apply.</w:t>
      </w:r>
    </w:p>
    <w:p w14:paraId="335D553D" w14:textId="4170819E" w:rsidR="000E713B" w:rsidRDefault="000E713B" w:rsidP="005046A5">
      <w:pPr>
        <w:pStyle w:val="Heading2"/>
        <w:numPr>
          <w:ilvl w:val="1"/>
          <w:numId w:val="54"/>
        </w:numPr>
        <w:ind w:left="567" w:hanging="567"/>
      </w:pPr>
      <w:bookmarkStart w:id="752" w:name="_Toc43385559"/>
      <w:bookmarkStart w:id="753" w:name="_Toc152067345"/>
      <w:r>
        <w:t>Section 2.1(a)(x)</w:t>
      </w:r>
      <w:r w:rsidR="000E2DF8">
        <w:t xml:space="preserve"> – contribute to protection of the environment</w:t>
      </w:r>
      <w:bookmarkEnd w:id="752"/>
      <w:bookmarkEnd w:id="753"/>
    </w:p>
    <w:p w14:paraId="1E9BD017" w14:textId="572259D5" w:rsidR="000E713B" w:rsidRDefault="003A3566" w:rsidP="000E713B">
      <w:r>
        <w:t>A factor favouring disclosure under s 2.</w:t>
      </w:r>
      <w:r w:rsidR="00B85C25">
        <w:t>1</w:t>
      </w:r>
      <w:r>
        <w:t>(a)(x) is that disclosure could reasonably be expected to contribute to the protection of the environment.</w:t>
      </w:r>
    </w:p>
    <w:p w14:paraId="16AD51E3" w14:textId="77777777" w:rsidR="008243E2" w:rsidRDefault="008243E2" w:rsidP="008243E2">
      <w:r>
        <w:t>For example, this could include where disclosure would:</w:t>
      </w:r>
    </w:p>
    <w:p w14:paraId="122B3E45" w14:textId="75B5BBF0" w:rsidR="008243E2" w:rsidRDefault="00FD5115" w:rsidP="009B05C4">
      <w:pPr>
        <w:pStyle w:val="ListParagraph"/>
        <w:numPr>
          <w:ilvl w:val="0"/>
          <w:numId w:val="104"/>
        </w:numPr>
      </w:pPr>
      <w:r>
        <w:t>provide environmental management information for a particular area</w:t>
      </w:r>
    </w:p>
    <w:p w14:paraId="57F7E63D" w14:textId="5A8A0431" w:rsidR="00FD5115" w:rsidRDefault="00FD5115" w:rsidP="009B05C4">
      <w:pPr>
        <w:pStyle w:val="ListParagraph"/>
        <w:numPr>
          <w:ilvl w:val="0"/>
          <w:numId w:val="104"/>
        </w:numPr>
      </w:pPr>
      <w:r>
        <w:t>explain the environmental risks associated with a particular activity or proposal</w:t>
      </w:r>
      <w:r w:rsidR="0099309E">
        <w:t>.</w:t>
      </w:r>
    </w:p>
    <w:p w14:paraId="20009783" w14:textId="3980BA55" w:rsidR="008243E2" w:rsidRDefault="008243E2" w:rsidP="008243E2">
      <w:r>
        <w:t>Scenarios where this factor has been considered relevant in Ombudsman review decisions include</w:t>
      </w:r>
      <w:r w:rsidR="00FD5115">
        <w:t xml:space="preserve"> where the application sought access to:</w:t>
      </w:r>
    </w:p>
    <w:p w14:paraId="4D8EADC5" w14:textId="4B18B577" w:rsidR="008243E2" w:rsidRDefault="002023A4" w:rsidP="002023A4">
      <w:pPr>
        <w:pStyle w:val="ListParagraph"/>
        <w:numPr>
          <w:ilvl w:val="0"/>
          <w:numId w:val="111"/>
        </w:numPr>
      </w:pPr>
      <w:r>
        <w:t xml:space="preserve">information relating to contamination in the </w:t>
      </w:r>
      <w:r w:rsidR="00FD5115">
        <w:t xml:space="preserve">Jervis Bay </w:t>
      </w:r>
      <w:r>
        <w:t xml:space="preserve">area </w:t>
      </w:r>
      <w:r w:rsidR="00FD5115">
        <w:t>and human health risk assessments</w:t>
      </w:r>
    </w:p>
    <w:p w14:paraId="58186AAA" w14:textId="43D1D78A" w:rsidR="002023A4" w:rsidRDefault="002023A4" w:rsidP="002023A4">
      <w:pPr>
        <w:pStyle w:val="ListParagraph"/>
        <w:numPr>
          <w:ilvl w:val="0"/>
          <w:numId w:val="111"/>
        </w:numPr>
      </w:pPr>
      <w:r>
        <w:t>a draft site audit report and draft environmental management plan</w:t>
      </w:r>
      <w:r w:rsidR="0099309E">
        <w:t>.</w:t>
      </w:r>
      <w:r>
        <w:t xml:space="preserve"> </w:t>
      </w:r>
    </w:p>
    <w:p w14:paraId="630706F0" w14:textId="55A6C5FA" w:rsidR="003A3566" w:rsidRDefault="00761BFD" w:rsidP="005046A5">
      <w:pPr>
        <w:pStyle w:val="Heading2"/>
        <w:numPr>
          <w:ilvl w:val="1"/>
          <w:numId w:val="54"/>
        </w:numPr>
        <w:ind w:left="567" w:hanging="567"/>
      </w:pPr>
      <w:r>
        <w:t xml:space="preserve"> </w:t>
      </w:r>
      <w:bookmarkStart w:id="754" w:name="_Toc43385560"/>
      <w:bookmarkStart w:id="755" w:name="_Toc152067346"/>
      <w:r w:rsidR="003A3566">
        <w:t>Section 2.1(a)(xi)</w:t>
      </w:r>
      <w:r w:rsidR="00824DE5">
        <w:t xml:space="preserve"> </w:t>
      </w:r>
      <w:r w:rsidR="00E00BBF">
        <w:t xml:space="preserve">– </w:t>
      </w:r>
      <w:r w:rsidR="00824DE5">
        <w:t>reveal environmental or health risks</w:t>
      </w:r>
      <w:bookmarkEnd w:id="754"/>
      <w:bookmarkEnd w:id="755"/>
    </w:p>
    <w:p w14:paraId="66893BB3" w14:textId="71ABC288" w:rsidR="003A3566" w:rsidRDefault="003A3566" w:rsidP="000E713B">
      <w:r>
        <w:t>A factor favouring disclosure under s 2.</w:t>
      </w:r>
      <w:r w:rsidR="0077719C">
        <w:t>1</w:t>
      </w:r>
      <w:r>
        <w:t>(a)(xi) is that disclosure could reasonably be expected to reveal environmental or health risks or measures relating to public health and safety.</w:t>
      </w:r>
    </w:p>
    <w:p w14:paraId="4AA35ADF" w14:textId="77777777" w:rsidR="008243E2" w:rsidRDefault="008243E2" w:rsidP="006030CA">
      <w:r>
        <w:t>For example, this could include where disclosure would:</w:t>
      </w:r>
    </w:p>
    <w:p w14:paraId="4FE79818" w14:textId="7309C2BC" w:rsidR="00FD5115" w:rsidRDefault="00FD5115" w:rsidP="006030CA">
      <w:pPr>
        <w:pStyle w:val="ListParagraph"/>
        <w:numPr>
          <w:ilvl w:val="0"/>
          <w:numId w:val="104"/>
        </w:numPr>
      </w:pPr>
      <w:r>
        <w:t>provide environmental management information for a particular area</w:t>
      </w:r>
    </w:p>
    <w:p w14:paraId="02C2A491" w14:textId="05C1C3D7" w:rsidR="00FD5115" w:rsidRDefault="00FD5115" w:rsidP="006030CA">
      <w:pPr>
        <w:pStyle w:val="ListParagraph"/>
        <w:numPr>
          <w:ilvl w:val="0"/>
          <w:numId w:val="104"/>
        </w:numPr>
      </w:pPr>
      <w:r>
        <w:t>explain the health risks associated with a particular activity or proposal</w:t>
      </w:r>
    </w:p>
    <w:p w14:paraId="7582C3A1" w14:textId="504A9376" w:rsidR="00FD5115" w:rsidRDefault="00FD5115" w:rsidP="006030CA">
      <w:pPr>
        <w:pStyle w:val="ListParagraph"/>
        <w:numPr>
          <w:ilvl w:val="0"/>
          <w:numId w:val="104"/>
        </w:numPr>
      </w:pPr>
      <w:r>
        <w:t>contribute to improvements in food safety or health policy arrangements</w:t>
      </w:r>
    </w:p>
    <w:p w14:paraId="58080416" w14:textId="3BF4FDF8" w:rsidR="00FD5115" w:rsidRDefault="00FD5115" w:rsidP="006030CA">
      <w:pPr>
        <w:pStyle w:val="ListParagraph"/>
        <w:numPr>
          <w:ilvl w:val="0"/>
          <w:numId w:val="104"/>
        </w:numPr>
      </w:pPr>
      <w:r>
        <w:t>improve public safety by identifying community behaviour of concern</w:t>
      </w:r>
      <w:r w:rsidR="00660D03">
        <w:t>.</w:t>
      </w:r>
    </w:p>
    <w:p w14:paraId="049711FA" w14:textId="77777777" w:rsidR="00FD5115" w:rsidRDefault="00FD5115" w:rsidP="006030CA">
      <w:pPr>
        <w:keepNext/>
        <w:keepLines/>
      </w:pPr>
      <w:r>
        <w:t>Scenarios where this factor has been considered relevant in Ombudsman review decisions include where the application sought access to:</w:t>
      </w:r>
    </w:p>
    <w:p w14:paraId="329964A2" w14:textId="3746DB6B" w:rsidR="00FD5115" w:rsidRDefault="00C3177F" w:rsidP="006030CA">
      <w:pPr>
        <w:pStyle w:val="ListParagraph"/>
        <w:keepNext/>
        <w:keepLines/>
        <w:numPr>
          <w:ilvl w:val="0"/>
          <w:numId w:val="111"/>
        </w:numPr>
      </w:pPr>
      <w:r>
        <w:t xml:space="preserve">information relating to contamination in the </w:t>
      </w:r>
      <w:r w:rsidR="00FD5115">
        <w:t xml:space="preserve">Jervis Bay </w:t>
      </w:r>
      <w:r>
        <w:t xml:space="preserve">area </w:t>
      </w:r>
      <w:r w:rsidR="00FD5115">
        <w:t>and human health risk assessments</w:t>
      </w:r>
    </w:p>
    <w:p w14:paraId="1F22A39B" w14:textId="155791DE" w:rsidR="00C3177F" w:rsidRDefault="00C3177F" w:rsidP="006030CA">
      <w:pPr>
        <w:pStyle w:val="ListParagraph"/>
        <w:keepNext/>
        <w:keepLines/>
        <w:numPr>
          <w:ilvl w:val="0"/>
          <w:numId w:val="111"/>
        </w:numPr>
      </w:pPr>
      <w:r>
        <w:t>a draft site audit report and draft environmental management plan</w:t>
      </w:r>
      <w:r w:rsidR="00660D03">
        <w:t>.</w:t>
      </w:r>
      <w:r>
        <w:t xml:space="preserve"> </w:t>
      </w:r>
    </w:p>
    <w:p w14:paraId="75CC7474" w14:textId="77777777" w:rsidR="00824DE5" w:rsidRPr="00824DE5" w:rsidRDefault="00824DE5"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24DE5">
        <w:rPr>
          <w:b/>
        </w:rPr>
        <w:t>Note:</w:t>
      </w:r>
    </w:p>
    <w:p w14:paraId="397A2D99" w14:textId="256A3052" w:rsidR="00FD5115" w:rsidRDefault="00FD5115" w:rsidP="00B87CC6">
      <w:pPr>
        <w:pStyle w:val="ListParagraph"/>
        <w:numPr>
          <w:ilvl w:val="0"/>
          <w:numId w:val="111"/>
        </w:numPr>
        <w:pBdr>
          <w:top w:val="single" w:sz="4" w:space="1" w:color="auto"/>
          <w:left w:val="single" w:sz="4" w:space="4" w:color="auto"/>
          <w:bottom w:val="single" w:sz="4" w:space="1" w:color="auto"/>
          <w:right w:val="single" w:sz="4" w:space="4" w:color="auto"/>
        </w:pBdr>
        <w:shd w:val="clear" w:color="auto" w:fill="D9E2F3" w:themeFill="accent5" w:themeFillTint="33"/>
      </w:pPr>
      <w:r>
        <w:t>The Ombudsman is of the view that this factor could still be relevant even where information disclosed is several years old, but reveals potential environmental or health risks, or risks relevant at that time.</w:t>
      </w:r>
    </w:p>
    <w:p w14:paraId="2C5BB0AB" w14:textId="61802781" w:rsidR="003A3566" w:rsidRDefault="002520FF" w:rsidP="0032337E">
      <w:pPr>
        <w:pStyle w:val="Heading2"/>
        <w:numPr>
          <w:ilvl w:val="1"/>
          <w:numId w:val="54"/>
        </w:numPr>
        <w:ind w:left="567" w:hanging="567"/>
      </w:pPr>
      <w:r>
        <w:t xml:space="preserve"> </w:t>
      </w:r>
      <w:bookmarkStart w:id="756" w:name="_Toc43385561"/>
      <w:bookmarkStart w:id="757" w:name="_Toc152067347"/>
      <w:r w:rsidR="003A3566">
        <w:t>Section 2.1(a)(xii)</w:t>
      </w:r>
      <w:r w:rsidR="00824DE5">
        <w:t xml:space="preserve"> – contribute to maintenance of peace and order</w:t>
      </w:r>
      <w:bookmarkEnd w:id="756"/>
      <w:bookmarkEnd w:id="757"/>
    </w:p>
    <w:p w14:paraId="05D4DFF9" w14:textId="7F047B27" w:rsidR="003A3566" w:rsidRDefault="003A3566" w:rsidP="003313DC">
      <w:pPr>
        <w:keepNext/>
        <w:keepLines/>
      </w:pPr>
      <w:r>
        <w:t>A factor favouring disclosure under s 2.</w:t>
      </w:r>
      <w:r w:rsidR="008949F0">
        <w:t>1</w:t>
      </w:r>
      <w:r>
        <w:t>(a)(xii) is that disclosure could reasonably be expected to contribute to the maintenance of peace and order.</w:t>
      </w:r>
    </w:p>
    <w:p w14:paraId="43E535EA" w14:textId="77777777" w:rsidR="008243E2" w:rsidRDefault="008243E2" w:rsidP="008243E2">
      <w:r>
        <w:t>For example, this could include where disclosure would:</w:t>
      </w:r>
    </w:p>
    <w:p w14:paraId="4B523CA1" w14:textId="44EEC872" w:rsidR="008243E2" w:rsidRDefault="00824DE5" w:rsidP="009B05C4">
      <w:pPr>
        <w:pStyle w:val="ListParagraph"/>
        <w:numPr>
          <w:ilvl w:val="0"/>
          <w:numId w:val="104"/>
        </w:numPr>
      </w:pPr>
      <w:r>
        <w:t>explain arrangements in place to promote community safety</w:t>
      </w:r>
      <w:r w:rsidR="0099309E">
        <w:t>.</w:t>
      </w:r>
    </w:p>
    <w:p w14:paraId="10B03157" w14:textId="77777777" w:rsidR="009A6F2A" w:rsidRPr="00824DE5" w:rsidRDefault="009A6F2A"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24DE5">
        <w:rPr>
          <w:b/>
        </w:rPr>
        <w:t>Note:</w:t>
      </w:r>
    </w:p>
    <w:p w14:paraId="52619A6A" w14:textId="0CB0A079" w:rsidR="009A6F2A" w:rsidRDefault="009A6F2A" w:rsidP="00B87CC6">
      <w:pPr>
        <w:pStyle w:val="ListParagraph"/>
        <w:numPr>
          <w:ilvl w:val="0"/>
          <w:numId w:val="11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Queensland Information Commissioner has noted, in the context of their similar public interest factor, that it was </w:t>
      </w:r>
      <w:r w:rsidRPr="00824DE5">
        <w:rPr>
          <w:b/>
        </w:rPr>
        <w:t>not</w:t>
      </w:r>
      <w:r>
        <w:t xml:space="preserve"> relevant in a case where an applicant was seeking access to various documents relating to weapons licensing and a domestic dispute involving the applicant. It was noted that the information, if available, was already available to the relevant law enforcement agencies, and there was no information available to identify how disclosing it to the applicant would further contribute to peace and good order.</w:t>
      </w:r>
      <w:r>
        <w:rPr>
          <w:rStyle w:val="FootnoteReference"/>
        </w:rPr>
        <w:footnoteReference w:id="216"/>
      </w:r>
    </w:p>
    <w:p w14:paraId="0B7FFBAC" w14:textId="6F48BB0A" w:rsidR="003A3566" w:rsidRDefault="009A6F2A" w:rsidP="005046A5">
      <w:pPr>
        <w:pStyle w:val="Heading2"/>
        <w:numPr>
          <w:ilvl w:val="1"/>
          <w:numId w:val="54"/>
        </w:numPr>
        <w:ind w:left="567" w:hanging="567"/>
      </w:pPr>
      <w:r>
        <w:t xml:space="preserve"> </w:t>
      </w:r>
      <w:bookmarkStart w:id="758" w:name="_Toc43385562"/>
      <w:bookmarkStart w:id="759" w:name="_Toc152067348"/>
      <w:r w:rsidR="003A3566">
        <w:t>Section 2.1(a)(xiii)</w:t>
      </w:r>
      <w:r w:rsidR="00824DE5">
        <w:t xml:space="preserve"> – contribute to the administration of justice</w:t>
      </w:r>
      <w:bookmarkEnd w:id="758"/>
      <w:bookmarkEnd w:id="759"/>
    </w:p>
    <w:p w14:paraId="213BFC15" w14:textId="552314A5" w:rsidR="003A3566" w:rsidRDefault="003A3566" w:rsidP="000E713B">
      <w:r>
        <w:t>A factor favouring disclosure under s 2.</w:t>
      </w:r>
      <w:r w:rsidR="005D181F">
        <w:t>1</w:t>
      </w:r>
      <w:r>
        <w:t>(a)(xiii) is that disclosure could reasonably be expected to contribute to the administration of justice generally, including procedural fairness.</w:t>
      </w:r>
    </w:p>
    <w:p w14:paraId="3E21216D" w14:textId="77777777" w:rsidR="008243E2" w:rsidRPr="00897645" w:rsidRDefault="008243E2" w:rsidP="006030CA">
      <w:r>
        <w:t>For example, this could i</w:t>
      </w:r>
      <w:r w:rsidRPr="00897645">
        <w:t>nclude where disclosure would:</w:t>
      </w:r>
    </w:p>
    <w:p w14:paraId="4E3B0CB5" w14:textId="3DDBD083" w:rsidR="00FD5115" w:rsidRPr="00897645" w:rsidRDefault="00FD5115" w:rsidP="006030CA">
      <w:pPr>
        <w:pStyle w:val="ListParagraph"/>
        <w:numPr>
          <w:ilvl w:val="0"/>
          <w:numId w:val="104"/>
        </w:numPr>
      </w:pPr>
      <w:r w:rsidRPr="00897645">
        <w:t xml:space="preserve">enhance community </w:t>
      </w:r>
      <w:r w:rsidR="00991829" w:rsidRPr="00897645">
        <w:t>confidence in</w:t>
      </w:r>
      <w:r w:rsidRPr="00897645">
        <w:t xml:space="preserve"> the justice system</w:t>
      </w:r>
    </w:p>
    <w:p w14:paraId="38FD59FD" w14:textId="1992C8E1" w:rsidR="00FD5115" w:rsidRPr="00897645" w:rsidRDefault="00FD5115" w:rsidP="006030CA">
      <w:pPr>
        <w:pStyle w:val="ListParagraph"/>
        <w:numPr>
          <w:ilvl w:val="0"/>
          <w:numId w:val="104"/>
        </w:numPr>
      </w:pPr>
      <w:r w:rsidRPr="00897645">
        <w:t>enhance accountability in terms of the administration of justice</w:t>
      </w:r>
    </w:p>
    <w:p w14:paraId="2F31117E" w14:textId="78CEB5FF" w:rsidR="00FD5115" w:rsidRPr="00897645" w:rsidRDefault="00FD5115" w:rsidP="006030CA">
      <w:pPr>
        <w:pStyle w:val="ListParagraph"/>
        <w:numPr>
          <w:ilvl w:val="0"/>
          <w:numId w:val="104"/>
        </w:numPr>
      </w:pPr>
      <w:r w:rsidRPr="00897645">
        <w:t xml:space="preserve">ensure an applicant is given the opportunity to respond to allegations made against </w:t>
      </w:r>
      <w:r w:rsidR="0072013E" w:rsidRPr="00897645">
        <w:t>them</w:t>
      </w:r>
      <w:r w:rsidR="00660D03" w:rsidRPr="00897645">
        <w:t>.</w:t>
      </w:r>
    </w:p>
    <w:p w14:paraId="343D4235" w14:textId="2191C785" w:rsidR="001F3169" w:rsidRPr="00897645" w:rsidRDefault="00B80141" w:rsidP="006030CA">
      <w:r w:rsidRPr="00897645">
        <w:t xml:space="preserve">One scenario </w:t>
      </w:r>
      <w:r w:rsidR="001F3169" w:rsidRPr="00897645">
        <w:t xml:space="preserve">where this factor has been considered relevant in </w:t>
      </w:r>
      <w:r w:rsidRPr="00897645">
        <w:t xml:space="preserve">an </w:t>
      </w:r>
      <w:r w:rsidR="001F3169" w:rsidRPr="00897645">
        <w:t>Ombudsman review decision include</w:t>
      </w:r>
      <w:r w:rsidRPr="00897645">
        <w:t>s</w:t>
      </w:r>
      <w:r w:rsidR="001F3169" w:rsidRPr="00897645">
        <w:t xml:space="preserve"> where the application sought access to</w:t>
      </w:r>
      <w:r w:rsidR="00C02F06" w:rsidRPr="00897645">
        <w:t xml:space="preserve"> </w:t>
      </w:r>
      <w:r w:rsidR="001F3169" w:rsidRPr="00897645">
        <w:t>a complaint investigation preliminary assessment report</w:t>
      </w:r>
      <w:r w:rsidR="00C02F06" w:rsidRPr="00897645">
        <w:t xml:space="preserve">. In this case, </w:t>
      </w:r>
      <w:r w:rsidR="00991829" w:rsidRPr="00897645">
        <w:t>as the applicant had been given the opportunity to be heard and the complaint was not proceeding further, the Ombudsman considered that disclosure of the information sought would not contribute to the administration of justice, either generally or for the applicant</w:t>
      </w:r>
      <w:r w:rsidR="00C02F06" w:rsidRPr="00897645">
        <w:t>.</w:t>
      </w:r>
      <w:r w:rsidR="007A1336" w:rsidRPr="00897645">
        <w:rPr>
          <w:rStyle w:val="FootnoteReference"/>
        </w:rPr>
        <w:footnoteReference w:id="217"/>
      </w:r>
    </w:p>
    <w:p w14:paraId="68A4D10D" w14:textId="050744C4" w:rsidR="003A3566" w:rsidRPr="00897645" w:rsidRDefault="00E72309" w:rsidP="005046A5">
      <w:pPr>
        <w:pStyle w:val="Heading2"/>
        <w:numPr>
          <w:ilvl w:val="1"/>
          <w:numId w:val="54"/>
        </w:numPr>
        <w:ind w:left="567" w:hanging="567"/>
      </w:pPr>
      <w:r w:rsidRPr="00897645">
        <w:t xml:space="preserve"> </w:t>
      </w:r>
      <w:bookmarkStart w:id="760" w:name="_Toc43385563"/>
      <w:bookmarkStart w:id="761" w:name="_Toc152067349"/>
      <w:r w:rsidR="003A3566" w:rsidRPr="00897645">
        <w:t>Section 2.1(a)(xiv)</w:t>
      </w:r>
      <w:r w:rsidR="00824DE5" w:rsidRPr="00897645">
        <w:t xml:space="preserve"> – contribute to administration of justice for a person</w:t>
      </w:r>
      <w:bookmarkEnd w:id="760"/>
      <w:bookmarkEnd w:id="761"/>
    </w:p>
    <w:p w14:paraId="1B43FEEB" w14:textId="588A5D39" w:rsidR="003A3566" w:rsidRPr="00897645" w:rsidRDefault="003A3566" w:rsidP="000E713B">
      <w:r w:rsidRPr="00897645">
        <w:t>A factor favouring disclosure under s 2.</w:t>
      </w:r>
      <w:r w:rsidR="00BB414C" w:rsidRPr="00897645">
        <w:t>1</w:t>
      </w:r>
      <w:r w:rsidRPr="00897645">
        <w:t>(a)(xiv) is that disclosure could reasonably be expected to contribute to the administration of justice for a person.</w:t>
      </w:r>
    </w:p>
    <w:p w14:paraId="27CDB01E" w14:textId="77777777" w:rsidR="008243E2" w:rsidRPr="00897645" w:rsidRDefault="008243E2" w:rsidP="008243E2">
      <w:r w:rsidRPr="00897645">
        <w:t>For example, this could include where disclosure would:</w:t>
      </w:r>
    </w:p>
    <w:p w14:paraId="18EA3C61" w14:textId="28E9DFF7" w:rsidR="008243E2" w:rsidRPr="00897645" w:rsidRDefault="00FD5115" w:rsidP="009B05C4">
      <w:pPr>
        <w:pStyle w:val="ListParagraph"/>
        <w:numPr>
          <w:ilvl w:val="0"/>
          <w:numId w:val="104"/>
        </w:numPr>
      </w:pPr>
      <w:r w:rsidRPr="00897645">
        <w:t>assist the applicant to identify a cause of action</w:t>
      </w:r>
      <w:r w:rsidR="0099309E">
        <w:t>.</w:t>
      </w:r>
    </w:p>
    <w:p w14:paraId="6D1B01AB" w14:textId="7E168614" w:rsidR="008243E2" w:rsidRPr="00897645" w:rsidRDefault="00B80141" w:rsidP="008243E2">
      <w:r w:rsidRPr="00897645">
        <w:t xml:space="preserve">A scenario </w:t>
      </w:r>
      <w:r w:rsidR="008243E2" w:rsidRPr="00897645">
        <w:t xml:space="preserve">where this factor has been considered relevant in </w:t>
      </w:r>
      <w:r w:rsidRPr="00897645">
        <w:t xml:space="preserve">an </w:t>
      </w:r>
      <w:r w:rsidR="008243E2" w:rsidRPr="00897645">
        <w:t>Ombudsman review decision include</w:t>
      </w:r>
      <w:r w:rsidRPr="00897645">
        <w:t>s</w:t>
      </w:r>
      <w:r w:rsidR="008243E2" w:rsidRPr="00897645">
        <w:t>:</w:t>
      </w:r>
    </w:p>
    <w:p w14:paraId="73735CD7" w14:textId="0E9E0C61" w:rsidR="008243E2" w:rsidRPr="00897645" w:rsidRDefault="001F3169" w:rsidP="009B05C4">
      <w:pPr>
        <w:pStyle w:val="ListParagraph"/>
        <w:numPr>
          <w:ilvl w:val="0"/>
          <w:numId w:val="104"/>
        </w:numPr>
      </w:pPr>
      <w:r w:rsidRPr="00897645">
        <w:t>access to CCTV footage for an incident at the Alexander Maconochie Centre</w:t>
      </w:r>
      <w:r w:rsidR="00CA0B2C">
        <w:t xml:space="preserve"> (‘AMC’).</w:t>
      </w:r>
      <w:r w:rsidR="00B80141" w:rsidRPr="00897645">
        <w:rPr>
          <w:rStyle w:val="FootnoteReference"/>
        </w:rPr>
        <w:footnoteReference w:id="218"/>
      </w:r>
    </w:p>
    <w:p w14:paraId="671ED5B8" w14:textId="670CC292" w:rsidR="003A3566" w:rsidRPr="00897645" w:rsidRDefault="00C91862" w:rsidP="005046A5">
      <w:pPr>
        <w:pStyle w:val="Heading2"/>
        <w:numPr>
          <w:ilvl w:val="1"/>
          <w:numId w:val="54"/>
        </w:numPr>
        <w:ind w:left="567" w:hanging="567"/>
      </w:pPr>
      <w:r w:rsidRPr="00897645">
        <w:t xml:space="preserve"> </w:t>
      </w:r>
      <w:bookmarkStart w:id="762" w:name="_Toc43385564"/>
      <w:bookmarkStart w:id="763" w:name="_Toc152067350"/>
      <w:r w:rsidR="003A3566" w:rsidRPr="00897645">
        <w:t>Section 2.1(a)(xv)</w:t>
      </w:r>
      <w:r w:rsidR="00824DE5" w:rsidRPr="00897645">
        <w:t xml:space="preserve"> – contribute to the enforcement of criminal law</w:t>
      </w:r>
      <w:bookmarkEnd w:id="762"/>
      <w:bookmarkEnd w:id="763"/>
    </w:p>
    <w:p w14:paraId="690AD2C6" w14:textId="4F273C62" w:rsidR="003A3566" w:rsidRPr="00897645" w:rsidRDefault="003A3566" w:rsidP="000E713B">
      <w:r w:rsidRPr="00897645">
        <w:t>A factor favouring disclosure under s 2.</w:t>
      </w:r>
      <w:r w:rsidR="0094670C" w:rsidRPr="00897645">
        <w:t>1</w:t>
      </w:r>
      <w:r w:rsidRPr="00897645">
        <w:t>(a)(xv) is that disclosure could reasonably be expected to contribute to the enforcement of the criminal law.</w:t>
      </w:r>
    </w:p>
    <w:p w14:paraId="2329F781" w14:textId="77777777" w:rsidR="008243E2" w:rsidRPr="00897645" w:rsidRDefault="008243E2" w:rsidP="008243E2">
      <w:r w:rsidRPr="00897645">
        <w:t>For example, this could include where disclosure would:</w:t>
      </w:r>
    </w:p>
    <w:p w14:paraId="1C08D390" w14:textId="6114D18B" w:rsidR="008243E2" w:rsidRPr="00897645" w:rsidRDefault="0094670C" w:rsidP="009B05C4">
      <w:pPr>
        <w:pStyle w:val="ListParagraph"/>
        <w:numPr>
          <w:ilvl w:val="0"/>
          <w:numId w:val="104"/>
        </w:numPr>
      </w:pPr>
      <w:r w:rsidRPr="00897645">
        <w:t xml:space="preserve">reveal </w:t>
      </w:r>
      <w:r w:rsidR="00FD5115" w:rsidRPr="00897645">
        <w:t>substantiated claims regarding an individual</w:t>
      </w:r>
      <w:r w:rsidR="0099309E">
        <w:t>.</w:t>
      </w:r>
    </w:p>
    <w:p w14:paraId="02D6A987" w14:textId="767B0125" w:rsidR="008243E2" w:rsidRPr="00897645" w:rsidRDefault="00FD5115" w:rsidP="00FD5115">
      <w:r w:rsidRPr="00897645">
        <w:t>This factor has not yet been considered relevant in any Ombudsman review decisions.</w:t>
      </w:r>
    </w:p>
    <w:p w14:paraId="2488DC3E" w14:textId="3A5E8470" w:rsidR="003A3566" w:rsidRDefault="00C91862" w:rsidP="005046A5">
      <w:pPr>
        <w:pStyle w:val="Heading2"/>
        <w:numPr>
          <w:ilvl w:val="1"/>
          <w:numId w:val="54"/>
        </w:numPr>
        <w:ind w:left="567" w:hanging="567"/>
      </w:pPr>
      <w:r w:rsidRPr="00897645">
        <w:t xml:space="preserve"> </w:t>
      </w:r>
      <w:bookmarkStart w:id="764" w:name="_Toc43385565"/>
      <w:bookmarkStart w:id="765" w:name="_Toc152067351"/>
      <w:r w:rsidR="003A3566" w:rsidRPr="00897645">
        <w:t>Section 2.1(a)(xvi)</w:t>
      </w:r>
      <w:r w:rsidR="00824DE5" w:rsidRPr="00897645">
        <w:t xml:space="preserve"> – contribute to innovation and facilita</w:t>
      </w:r>
      <w:r w:rsidR="00824DE5">
        <w:t>te research</w:t>
      </w:r>
      <w:bookmarkEnd w:id="764"/>
      <w:bookmarkEnd w:id="765"/>
    </w:p>
    <w:p w14:paraId="2B55BBDE" w14:textId="2D913103" w:rsidR="003A3566" w:rsidRDefault="003A3566" w:rsidP="003A3566">
      <w:r>
        <w:t>A factor favouring disclosure under s 2.</w:t>
      </w:r>
      <w:r w:rsidR="002A50C0">
        <w:t>1</w:t>
      </w:r>
      <w:r>
        <w:t>(a)(xv</w:t>
      </w:r>
      <w:r w:rsidR="002A50C0">
        <w:t>i</w:t>
      </w:r>
      <w:r>
        <w:t>) is that disclosure could reasonably be expected to contribute to innovation and the facilitation of research.</w:t>
      </w:r>
    </w:p>
    <w:p w14:paraId="0492DC38" w14:textId="77777777" w:rsidR="008243E2" w:rsidRDefault="008243E2" w:rsidP="007A1336">
      <w:r>
        <w:t>For example, this could include where disclosure would:</w:t>
      </w:r>
    </w:p>
    <w:p w14:paraId="11170326" w14:textId="050B92D5" w:rsidR="008243E2" w:rsidRDefault="00FD5115" w:rsidP="007A1336">
      <w:pPr>
        <w:pStyle w:val="ListParagraph"/>
        <w:numPr>
          <w:ilvl w:val="0"/>
          <w:numId w:val="104"/>
        </w:numPr>
      </w:pPr>
      <w:r>
        <w:t>reveal results or discussions that would prompt further research</w:t>
      </w:r>
    </w:p>
    <w:p w14:paraId="280CB213" w14:textId="2A4E7812" w:rsidR="00FD5115" w:rsidRDefault="00FD5115" w:rsidP="007A1336">
      <w:pPr>
        <w:pStyle w:val="ListParagraph"/>
        <w:numPr>
          <w:ilvl w:val="0"/>
          <w:numId w:val="104"/>
        </w:numPr>
      </w:pPr>
      <w:r>
        <w:t>better inform the community regarding current analysis of a particular research topic</w:t>
      </w:r>
      <w:r w:rsidR="0099309E">
        <w:t>.</w:t>
      </w:r>
    </w:p>
    <w:p w14:paraId="63A39085" w14:textId="3265058C" w:rsidR="008243E2" w:rsidRDefault="00FD5115" w:rsidP="007A1336">
      <w:r>
        <w:t>This factor has not yet been considered relevant in any Ombudsman review decisions.</w:t>
      </w:r>
    </w:p>
    <w:p w14:paraId="1243C817" w14:textId="52928D28" w:rsidR="00FD5115" w:rsidRPr="00A632AF" w:rsidRDefault="00FD5115" w:rsidP="007A1336">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A632AF">
        <w:rPr>
          <w:b/>
        </w:rPr>
        <w:t>Note:</w:t>
      </w:r>
    </w:p>
    <w:p w14:paraId="57103ABA" w14:textId="2A98A109" w:rsidR="00FD5115" w:rsidRDefault="00FD5115" w:rsidP="007A1336">
      <w:pPr>
        <w:pStyle w:val="ListParagraph"/>
        <w:keepNext/>
        <w:keepLines/>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t>It is noted that the Queensland Information Commissioner gave low weight to this type of factor in a case where the relevant research was not yet completed and relatively inconclusive.</w:t>
      </w:r>
      <w:r>
        <w:rPr>
          <w:rStyle w:val="FootnoteReference"/>
        </w:rPr>
        <w:footnoteReference w:id="219"/>
      </w:r>
    </w:p>
    <w:p w14:paraId="3C66A4F2" w14:textId="325017F4" w:rsidR="00824DE5" w:rsidRDefault="00824DE5" w:rsidP="007A1336">
      <w:pPr>
        <w:pStyle w:val="ListParagraph"/>
        <w:keepNext/>
        <w:keepLines/>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For specific </w:t>
      </w:r>
      <w:r w:rsidR="00F265D1">
        <w:t>guidance</w:t>
      </w:r>
      <w:r>
        <w:t xml:space="preserve"> on the term ‘contribute’ see </w:t>
      </w:r>
      <w:r w:rsidR="003108AA">
        <w:t>[</w:t>
      </w:r>
      <w:hyperlink w:anchor="_Contribute_to" w:history="1">
        <w:r w:rsidR="003108AA" w:rsidRPr="003108AA">
          <w:rPr>
            <w:rStyle w:val="Hyperlink"/>
          </w:rPr>
          <w:t>4.1</w:t>
        </w:r>
      </w:hyperlink>
      <w:r w:rsidR="003108AA">
        <w:t xml:space="preserve">] above. </w:t>
      </w:r>
    </w:p>
    <w:p w14:paraId="1D44A1BC" w14:textId="5742D4CA" w:rsidR="000E713B" w:rsidRDefault="00175426" w:rsidP="005046A5">
      <w:pPr>
        <w:pStyle w:val="Heading2"/>
        <w:numPr>
          <w:ilvl w:val="1"/>
          <w:numId w:val="54"/>
        </w:numPr>
        <w:ind w:left="567" w:hanging="567"/>
      </w:pPr>
      <w:r>
        <w:t xml:space="preserve"> </w:t>
      </w:r>
      <w:bookmarkStart w:id="766" w:name="_Toc152067352"/>
      <w:bookmarkStart w:id="767" w:name="_Toc43385566"/>
      <w:r w:rsidR="000E713B">
        <w:t>Section 2.1(b)</w:t>
      </w:r>
      <w:r w:rsidR="00824DE5">
        <w:t xml:space="preserve"> – information is personal information</w:t>
      </w:r>
      <w:bookmarkEnd w:id="766"/>
      <w:r w:rsidR="00824DE5">
        <w:t xml:space="preserve"> </w:t>
      </w:r>
      <w:bookmarkEnd w:id="767"/>
    </w:p>
    <w:p w14:paraId="02701392" w14:textId="77777777" w:rsidR="003A3566" w:rsidRDefault="003A3566" w:rsidP="000E713B">
      <w:r>
        <w:t>A factor favouring disclosure under s 2.2(b) is that the information is personal information of:</w:t>
      </w:r>
    </w:p>
    <w:p w14:paraId="74007CE5" w14:textId="0EA9950C" w:rsidR="003A3566" w:rsidRDefault="003A3566" w:rsidP="009B05C4">
      <w:pPr>
        <w:pStyle w:val="ListParagraph"/>
        <w:numPr>
          <w:ilvl w:val="0"/>
          <w:numId w:val="103"/>
        </w:numPr>
      </w:pPr>
      <w:r>
        <w:t>the person making the request</w:t>
      </w:r>
      <w:r w:rsidR="00E4321B">
        <w:t xml:space="preserve"> </w:t>
      </w:r>
    </w:p>
    <w:p w14:paraId="2E20E59B" w14:textId="6EA03DB1" w:rsidR="000C2CDE" w:rsidRDefault="003A3566" w:rsidP="000C2CDE">
      <w:pPr>
        <w:pStyle w:val="ListParagraph"/>
        <w:numPr>
          <w:ilvl w:val="0"/>
          <w:numId w:val="103"/>
        </w:numPr>
      </w:pPr>
      <w:r>
        <w:t>a child, and the information is to be given to the child’s parent or guardian and disclosure is reasonably considered to be in the</w:t>
      </w:r>
      <w:r w:rsidR="000C2CDE">
        <w:t xml:space="preserve"> best interests of the child, or</w:t>
      </w:r>
    </w:p>
    <w:p w14:paraId="62F36C3C" w14:textId="18564347" w:rsidR="000C2CDE" w:rsidRPr="00BB4A05" w:rsidRDefault="003A3566" w:rsidP="000C2CDE">
      <w:pPr>
        <w:pStyle w:val="ListParagraph"/>
        <w:numPr>
          <w:ilvl w:val="0"/>
          <w:numId w:val="103"/>
        </w:numPr>
      </w:pPr>
      <w:r>
        <w:t>a deceased person</w:t>
      </w:r>
      <w:r w:rsidR="0019223C">
        <w:t>,</w:t>
      </w:r>
      <w:r>
        <w:t xml:space="preserve"> and the </w:t>
      </w:r>
      <w:r w:rsidR="00BD226E">
        <w:t xml:space="preserve">person </w:t>
      </w:r>
      <w:r>
        <w:t>making the request for the information is an eligible family member of the deceased person</w:t>
      </w:r>
      <w:r w:rsidR="000C2CDE">
        <w:t xml:space="preserve"> (see </w:t>
      </w:r>
      <w:r w:rsidR="00810BF2">
        <w:t>[</w:t>
      </w:r>
      <w:hyperlink w:anchor="_Section_2.2(b)(iii)_–_1" w:history="1">
        <w:r w:rsidR="00810BF2" w:rsidRPr="00810BF2">
          <w:rPr>
            <w:rStyle w:val="Hyperlink"/>
          </w:rPr>
          <w:t>8.21</w:t>
        </w:r>
      </w:hyperlink>
      <w:r w:rsidR="00810BF2">
        <w:t xml:space="preserve">] below). </w:t>
      </w:r>
    </w:p>
    <w:p w14:paraId="2E03E220" w14:textId="5CFFDCE3" w:rsidR="008243E2" w:rsidRDefault="008243E2" w:rsidP="008243E2">
      <w:r>
        <w:t>For example, this could include where</w:t>
      </w:r>
      <w:r w:rsidR="00824DE5">
        <w:t xml:space="preserve"> an applicant is seeking</w:t>
      </w:r>
      <w:r>
        <w:t>:</w:t>
      </w:r>
    </w:p>
    <w:p w14:paraId="55FD8C50" w14:textId="77777777" w:rsidR="00824DE5" w:rsidRDefault="00824DE5" w:rsidP="009B05C4">
      <w:pPr>
        <w:pStyle w:val="ListParagraph"/>
        <w:numPr>
          <w:ilvl w:val="0"/>
          <w:numId w:val="104"/>
        </w:numPr>
      </w:pPr>
      <w:r>
        <w:t>copies of applications made by them to an agency</w:t>
      </w:r>
    </w:p>
    <w:p w14:paraId="61E30526" w14:textId="77777777" w:rsidR="00824DE5" w:rsidRDefault="00824DE5" w:rsidP="009B05C4">
      <w:pPr>
        <w:pStyle w:val="ListParagraph"/>
        <w:numPr>
          <w:ilvl w:val="0"/>
          <w:numId w:val="104"/>
        </w:numPr>
      </w:pPr>
      <w:r>
        <w:t>reports about them held by an agency</w:t>
      </w:r>
    </w:p>
    <w:p w14:paraId="6606B01A" w14:textId="08C0481B" w:rsidR="008243E2" w:rsidRDefault="00824DE5" w:rsidP="009B05C4">
      <w:pPr>
        <w:pStyle w:val="ListParagraph"/>
        <w:numPr>
          <w:ilvl w:val="0"/>
          <w:numId w:val="104"/>
        </w:numPr>
      </w:pPr>
      <w:r>
        <w:t>allegations made about them to an agency</w:t>
      </w:r>
      <w:r w:rsidR="0099309E">
        <w:t>.</w:t>
      </w:r>
    </w:p>
    <w:p w14:paraId="73998581" w14:textId="77777777" w:rsidR="001F3169" w:rsidRDefault="001F3169" w:rsidP="001F3169">
      <w:bookmarkStart w:id="768" w:name="_Section_2.1,_Schedule_1"/>
      <w:bookmarkEnd w:id="768"/>
      <w:r>
        <w:t>Scenarios where this factor has been considered relevant in Ombudsman review decisions include where the application sought access to:</w:t>
      </w:r>
    </w:p>
    <w:p w14:paraId="63A3A923" w14:textId="0F0A2940" w:rsidR="001F3169" w:rsidRDefault="001F3169" w:rsidP="009B05C4">
      <w:pPr>
        <w:pStyle w:val="ListParagraph"/>
        <w:numPr>
          <w:ilvl w:val="0"/>
          <w:numId w:val="103"/>
        </w:numPr>
      </w:pPr>
      <w:r>
        <w:t>a complaint investigation preliminary assessment report</w:t>
      </w:r>
      <w:r w:rsidR="0099309E">
        <w:t>.</w:t>
      </w:r>
    </w:p>
    <w:p w14:paraId="4F07CC18" w14:textId="77777777" w:rsidR="00824DE5" w:rsidRPr="00FD5115" w:rsidRDefault="00824DE5" w:rsidP="003313DC">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FD5115">
        <w:rPr>
          <w:b/>
        </w:rPr>
        <w:t>Note:</w:t>
      </w:r>
    </w:p>
    <w:p w14:paraId="3AAFA12E" w14:textId="344840BC" w:rsidR="00824DE5" w:rsidRPr="00824DE5" w:rsidRDefault="00824DE5" w:rsidP="003313DC">
      <w:pPr>
        <w:pStyle w:val="ListParagraph"/>
        <w:keepNext/>
        <w:keepLines/>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t>Where the information relates to a child, for the public interest test to apply and this factor to be considered relevant, the information would need not to be within scope of s</w:t>
      </w:r>
      <w:r w:rsidR="00F30355">
        <w:t xml:space="preserve"> </w:t>
      </w:r>
      <w:r w:rsidRPr="00C83C92">
        <w:t>844</w:t>
      </w:r>
      <w:r>
        <w:t xml:space="preserve"> of the </w:t>
      </w:r>
      <w:r w:rsidR="00312204">
        <w:t>CYP</w:t>
      </w:r>
      <w:r>
        <w:t xml:space="preserve"> Act and deemed to be contrary to public interest information</w:t>
      </w:r>
      <w:r w:rsidR="001114FE">
        <w:rPr>
          <w:rFonts w:ascii="Calibri" w:hAnsi="Calibri" w:cs="Calibri"/>
        </w:rPr>
        <w:t>—</w:t>
      </w:r>
      <w:r>
        <w:t xml:space="preserve">see discussion at </w:t>
      </w:r>
      <w:r w:rsidR="00C83C92" w:rsidRPr="00C83C92">
        <w:t>[</w:t>
      </w:r>
      <w:hyperlink w:anchor="_Children_and_Young" w:history="1">
        <w:r w:rsidR="00C83C92" w:rsidRPr="00C83C92">
          <w:rPr>
            <w:rStyle w:val="Hyperlink"/>
          </w:rPr>
          <w:t>5.6</w:t>
        </w:r>
      </w:hyperlink>
      <w:r w:rsidR="00C83C92" w:rsidRPr="00C83C92">
        <w:t>].</w:t>
      </w:r>
      <w:r w:rsidR="00C83C92">
        <w:rPr>
          <w:rStyle w:val="Hyperlink"/>
        </w:rPr>
        <w:t xml:space="preserve"> </w:t>
      </w:r>
      <w:r>
        <w:t xml:space="preserve"> </w:t>
      </w:r>
    </w:p>
    <w:p w14:paraId="2861B463" w14:textId="7E237B62" w:rsidR="00C20A72" w:rsidRDefault="00C20A72" w:rsidP="003313DC">
      <w:pPr>
        <w:pStyle w:val="Heading2"/>
        <w:numPr>
          <w:ilvl w:val="0"/>
          <w:numId w:val="54"/>
        </w:numPr>
        <w:ind w:left="357" w:hanging="357"/>
      </w:pPr>
      <w:bookmarkStart w:id="769" w:name="_Schedule_2,_section_1"/>
      <w:bookmarkStart w:id="770" w:name="_Toc43385567"/>
      <w:bookmarkStart w:id="771" w:name="_Toc152067353"/>
      <w:bookmarkEnd w:id="769"/>
      <w:r>
        <w:t>Schedule 2</w:t>
      </w:r>
      <w:r w:rsidR="000B2080">
        <w:t>, s</w:t>
      </w:r>
      <w:r w:rsidR="00770C0D">
        <w:t>ection</w:t>
      </w:r>
      <w:r w:rsidR="000B2080">
        <w:t xml:space="preserve"> 2.2</w:t>
      </w:r>
      <w:r>
        <w:t xml:space="preserve"> – factors favouring nondisclosure in the public interest</w:t>
      </w:r>
      <w:bookmarkEnd w:id="770"/>
      <w:bookmarkEnd w:id="771"/>
    </w:p>
    <w:p w14:paraId="3774CA07" w14:textId="231B5628" w:rsidR="00FD5115" w:rsidRDefault="00FD5115" w:rsidP="00FD5115">
      <w:pPr>
        <w:ind w:right="-164"/>
      </w:pPr>
      <w:r>
        <w:t>A list of the most ‘commonly applicable relevant factors’</w:t>
      </w:r>
      <w:r>
        <w:rPr>
          <w:rStyle w:val="FootnoteReference"/>
        </w:rPr>
        <w:footnoteReference w:id="220"/>
      </w:r>
      <w:r>
        <w:t xml:space="preserve"> is included in s 2.2 of</w:t>
      </w:r>
      <w:r w:rsidR="00770C0D">
        <w:t xml:space="preserve"> S</w:t>
      </w:r>
      <w:r>
        <w:t xml:space="preserve">chedule 2, and </w:t>
      </w:r>
      <w:r w:rsidR="001D26A6">
        <w:t xml:space="preserve">these factors </w:t>
      </w:r>
      <w:r>
        <w:t xml:space="preserve">are explained below. This list is not, however, exhaustive and a decision-maker will need to identify and consider all factors that may be relevant to the public interest, including factors not listed in </w:t>
      </w:r>
      <w:r w:rsidR="00770C0D">
        <w:t xml:space="preserve">Schedule </w:t>
      </w:r>
      <w:r>
        <w:t>2.</w:t>
      </w:r>
    </w:p>
    <w:p w14:paraId="167749A9" w14:textId="77777777" w:rsidR="00FD5115" w:rsidRPr="00FD5115" w:rsidRDefault="00FD5115" w:rsidP="007A1336">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FD5115">
        <w:rPr>
          <w:b/>
        </w:rPr>
        <w:t>Note:</w:t>
      </w:r>
    </w:p>
    <w:p w14:paraId="5AF346D4" w14:textId="228257C7" w:rsidR="003D3BB3" w:rsidRDefault="00FD5115" w:rsidP="007A1336">
      <w:pPr>
        <w:pStyle w:val="ListParagraph"/>
        <w:keepNext/>
        <w:keepLines/>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Decision-makers are encouraged to clearly identify which factors favouring nondisclosure apply and</w:t>
      </w:r>
      <w:r w:rsidR="00606942">
        <w:t xml:space="preserve"> </w:t>
      </w:r>
      <w:r w:rsidR="003D3BB3">
        <w:t>the weight given to each factor (e.g. low, significant)</w:t>
      </w:r>
      <w:r>
        <w:t>. This</w:t>
      </w:r>
      <w:r w:rsidR="003947EB">
        <w:t> </w:t>
      </w:r>
      <w:r>
        <w:t>will be critical, particularly where access is not granted, so that the applicant can understand how the decision-maker has balanced factors favouring disclosure and factors favouring nondisclosure.</w:t>
      </w:r>
    </w:p>
    <w:p w14:paraId="21F2032B" w14:textId="44985249" w:rsidR="00F71E05" w:rsidRDefault="00F71E05" w:rsidP="009B05C4">
      <w:pPr>
        <w:pStyle w:val="Heading2"/>
        <w:numPr>
          <w:ilvl w:val="1"/>
          <w:numId w:val="54"/>
        </w:numPr>
        <w:ind w:left="567" w:right="261" w:hanging="567"/>
      </w:pPr>
      <w:bookmarkStart w:id="772" w:name="_Toc43385569"/>
      <w:bookmarkStart w:id="773" w:name="_Toc152067354"/>
      <w:r>
        <w:t>Section 2.2(a)(i) – prejudice collective responsibility of Cabinet</w:t>
      </w:r>
      <w:r w:rsidR="005315CD">
        <w:t xml:space="preserve"> or of members to the Assembly</w:t>
      </w:r>
      <w:bookmarkEnd w:id="772"/>
      <w:bookmarkEnd w:id="773"/>
    </w:p>
    <w:p w14:paraId="13AF5C9F" w14:textId="06CF377C" w:rsidR="000E713B" w:rsidRDefault="000E713B" w:rsidP="0096731A">
      <w:pPr>
        <w:ind w:right="-22"/>
      </w:pPr>
      <w:r>
        <w:t xml:space="preserve">A factor favouring nondisclosure under </w:t>
      </w:r>
      <w:r w:rsidR="008A662D">
        <w:t>s</w:t>
      </w:r>
      <w:r>
        <w:t xml:space="preserve"> 2.2(a)(i) is that disclosure </w:t>
      </w:r>
      <w:r w:rsidRPr="003947EB">
        <w:rPr>
          <w:i/>
        </w:rPr>
        <w:t>could reasonably be expected to prejudice</w:t>
      </w:r>
      <w:r>
        <w:t xml:space="preserve"> the collective responsibility of </w:t>
      </w:r>
      <w:r w:rsidR="001E3F10">
        <w:t>C</w:t>
      </w:r>
      <w:r>
        <w:t>abinet or the individual responsibility of members to the Assembly.</w:t>
      </w:r>
    </w:p>
    <w:p w14:paraId="5FCC63C1" w14:textId="4AA772A2" w:rsidR="00DE4DD6" w:rsidRPr="00DE4DD6" w:rsidRDefault="00DE4DD6" w:rsidP="00DE4DD6">
      <w:pPr>
        <w:pStyle w:val="Heading4"/>
      </w:pPr>
      <w:r w:rsidRPr="00DE4DD6">
        <w:t>Background</w:t>
      </w:r>
    </w:p>
    <w:p w14:paraId="73114157" w14:textId="625CF1CE" w:rsidR="003947EB" w:rsidRDefault="007B6AFB" w:rsidP="0096731A">
      <w:pPr>
        <w:ind w:right="-22"/>
      </w:pPr>
      <w:r>
        <w:t>The convention of the ‘collective responsibility of Cabinet’ is an important element of the Australian system of government.</w:t>
      </w:r>
      <w:r>
        <w:rPr>
          <w:rStyle w:val="FootnoteReference"/>
        </w:rPr>
        <w:footnoteReference w:id="221"/>
      </w:r>
      <w:r>
        <w:t xml:space="preserve"> It means that Ministers are collectively responsible for any decision made by Cabinet and are expected to give public support to Cabinet decisions, even if the Minister opposed it within Cabinet. As</w:t>
      </w:r>
      <w:r w:rsidR="0096731A">
        <w:t> </w:t>
      </w:r>
      <w:r>
        <w:t xml:space="preserve">a result, </w:t>
      </w:r>
      <w:r w:rsidRPr="007B2B0E">
        <w:t>Cabinet deliberations are confidential so that members of Cabinet can freely exchange differing views and at the same time Cabinet can present a united front in relation to any decision made.</w:t>
      </w:r>
      <w:r w:rsidRPr="00713CFE">
        <w:rPr>
          <w:rStyle w:val="FootnoteReference"/>
        </w:rPr>
        <w:footnoteReference w:id="222"/>
      </w:r>
    </w:p>
    <w:p w14:paraId="40CB8724" w14:textId="509B5B7A" w:rsidR="007B6AFB" w:rsidRPr="007B2B0E" w:rsidRDefault="007B6AFB" w:rsidP="0096731A">
      <w:pPr>
        <w:ind w:right="-22"/>
      </w:pPr>
      <w:r w:rsidRPr="007B2B0E">
        <w:t>The ‘individual responsibility of members to the Assembly’ means members are required to answer to the Assembly for their conduct, and in particular Ministers are required to answer to the Assembly in relation to the administration of their directorates.</w:t>
      </w:r>
      <w:r w:rsidRPr="007B2B0E">
        <w:rPr>
          <w:rStyle w:val="FootnoteReference"/>
        </w:rPr>
        <w:footnoteReference w:id="223"/>
      </w:r>
      <w:r w:rsidRPr="007B2B0E">
        <w:t xml:space="preserve"> </w:t>
      </w:r>
    </w:p>
    <w:p w14:paraId="002E89FC" w14:textId="18C863C0" w:rsidR="00DE4DD6" w:rsidRPr="00DE4DD6" w:rsidRDefault="00DE4DD6" w:rsidP="00DE4DD6">
      <w:pPr>
        <w:pStyle w:val="Heading4"/>
      </w:pPr>
      <w:r w:rsidRPr="00DE4DD6">
        <w:t>Overview</w:t>
      </w:r>
    </w:p>
    <w:p w14:paraId="70CDA26E" w14:textId="343939FE" w:rsidR="000E713B" w:rsidRDefault="000E713B" w:rsidP="000E713B">
      <w:r>
        <w:t xml:space="preserve">Section 1.6 provides that disclosure of the information is taken to be contrary to the public interest if it is </w:t>
      </w:r>
      <w:r w:rsidR="00923CA6">
        <w:t>C</w:t>
      </w:r>
      <w:r w:rsidRPr="00C175D3">
        <w:t>abinet information</w:t>
      </w:r>
      <w:r w:rsidR="009A7DC0">
        <w:rPr>
          <w:rFonts w:ascii="Calibri" w:hAnsi="Calibri" w:cs="Calibri"/>
        </w:rPr>
        <w:t>—</w:t>
      </w:r>
      <w:r>
        <w:t xml:space="preserve">see discussion at </w:t>
      </w:r>
      <w:r w:rsidR="006372C1">
        <w:t>[</w:t>
      </w:r>
      <w:hyperlink w:anchor="_Section_1.6_–" w:history="1">
        <w:r w:rsidR="006372C1" w:rsidRPr="006372C1">
          <w:rPr>
            <w:rStyle w:val="Hyperlink"/>
          </w:rPr>
          <w:t>5.9</w:t>
        </w:r>
      </w:hyperlink>
      <w:r w:rsidR="006372C1">
        <w:t xml:space="preserve">] </w:t>
      </w:r>
      <w:r w:rsidRPr="006372C1">
        <w:t>Cabinet information</w:t>
      </w:r>
      <w:r>
        <w:t xml:space="preserve">. </w:t>
      </w:r>
    </w:p>
    <w:p w14:paraId="3CB505D5" w14:textId="51C05150" w:rsidR="005B7153" w:rsidRDefault="007B2B0E" w:rsidP="0096731A">
      <w:pPr>
        <w:keepNext/>
        <w:keepLines/>
      </w:pPr>
      <w:r>
        <w:t xml:space="preserve">There may, however, </w:t>
      </w:r>
      <w:r w:rsidR="000E713B">
        <w:t xml:space="preserve">be information </w:t>
      </w:r>
      <w:r>
        <w:t xml:space="preserve">related to Cabinet processes, which is </w:t>
      </w:r>
      <w:r w:rsidR="000E713B">
        <w:t>out</w:t>
      </w:r>
      <w:r w:rsidR="005315CD">
        <w:t>side the</w:t>
      </w:r>
      <w:r w:rsidR="000E713B">
        <w:t xml:space="preserve"> scope of section 1.6, </w:t>
      </w:r>
      <w:r>
        <w:t>but</w:t>
      </w:r>
      <w:r w:rsidR="003947EB">
        <w:t> </w:t>
      </w:r>
      <w:r w:rsidR="000E713B">
        <w:t xml:space="preserve">disclosure of which </w:t>
      </w:r>
      <w:r>
        <w:t xml:space="preserve">may </w:t>
      </w:r>
      <w:r w:rsidR="005B7153">
        <w:t>prejudice:</w:t>
      </w:r>
    </w:p>
    <w:p w14:paraId="123EC08F" w14:textId="1C893E68" w:rsidR="005B7153" w:rsidRDefault="00F71E05" w:rsidP="0096731A">
      <w:pPr>
        <w:pStyle w:val="ListParagraph"/>
        <w:keepNext/>
        <w:keepLines/>
        <w:numPr>
          <w:ilvl w:val="0"/>
          <w:numId w:val="95"/>
        </w:numPr>
      </w:pPr>
      <w:r>
        <w:t>the collective responsibility of Cabinet</w:t>
      </w:r>
      <w:r w:rsidR="00F602AC">
        <w:t>, or</w:t>
      </w:r>
    </w:p>
    <w:p w14:paraId="2E05DAC2" w14:textId="04B7C440" w:rsidR="005B7153" w:rsidRPr="007B2B0E" w:rsidRDefault="005B7153" w:rsidP="0096731A">
      <w:pPr>
        <w:pStyle w:val="ListParagraph"/>
        <w:keepNext/>
        <w:keepLines/>
        <w:numPr>
          <w:ilvl w:val="0"/>
          <w:numId w:val="95"/>
        </w:numPr>
      </w:pPr>
      <w:r w:rsidRPr="007B2B0E">
        <w:t>the individual responsibility of members to the Assembly</w:t>
      </w:r>
      <w:r w:rsidR="00660D03">
        <w:t>.</w:t>
      </w:r>
    </w:p>
    <w:p w14:paraId="6ED6222B" w14:textId="034DC4C0" w:rsidR="00DE4DD6" w:rsidRDefault="00DE4DD6" w:rsidP="00DE4DD6">
      <w:pPr>
        <w:pStyle w:val="Heading4"/>
      </w:pPr>
      <w:r>
        <w:t>Examples</w:t>
      </w:r>
    </w:p>
    <w:p w14:paraId="115A6831" w14:textId="2283E382" w:rsidR="00DE4DD6" w:rsidRDefault="00DE4DD6" w:rsidP="00DE4DD6">
      <w:pPr>
        <w:pStyle w:val="ListParagraph"/>
        <w:keepNext/>
        <w:keepLines/>
        <w:ind w:left="0"/>
      </w:pPr>
      <w:r>
        <w:t>This could include where disclosure:</w:t>
      </w:r>
    </w:p>
    <w:p w14:paraId="21BA2477" w14:textId="20C955A0" w:rsidR="00DE4DD6" w:rsidRDefault="00DE4DD6" w:rsidP="009B05C4">
      <w:pPr>
        <w:pStyle w:val="ListParagraph"/>
        <w:keepNext/>
        <w:keepLines/>
        <w:numPr>
          <w:ilvl w:val="0"/>
          <w:numId w:val="123"/>
        </w:numPr>
      </w:pPr>
      <w:r>
        <w:t>would reveal a Minister’s personal views in relation to a Cabinet decision</w:t>
      </w:r>
      <w:r w:rsidR="004C30A3">
        <w:t>.</w:t>
      </w:r>
      <w:r>
        <w:rPr>
          <w:rStyle w:val="FootnoteReference"/>
        </w:rPr>
        <w:footnoteReference w:id="224"/>
      </w:r>
    </w:p>
    <w:p w14:paraId="125969A3" w14:textId="35F4FC0F" w:rsidR="00A632AF" w:rsidRPr="007B2B0E" w:rsidRDefault="00A632AF" w:rsidP="00B134F1">
      <w:pPr>
        <w:pBdr>
          <w:top w:val="single" w:sz="4" w:space="1" w:color="auto"/>
          <w:left w:val="single" w:sz="4" w:space="4" w:color="auto"/>
          <w:bottom w:val="single" w:sz="4" w:space="1" w:color="auto"/>
          <w:right w:val="single" w:sz="4" w:space="4" w:color="auto"/>
        </w:pBdr>
        <w:shd w:val="clear" w:color="auto" w:fill="DEEAF6" w:themeFill="accent1" w:themeFillTint="33"/>
        <w:rPr>
          <w:b/>
        </w:rPr>
      </w:pPr>
      <w:bookmarkStart w:id="774" w:name="_Ref10813433"/>
      <w:r w:rsidRPr="007B2B0E">
        <w:rPr>
          <w:b/>
        </w:rPr>
        <w:t>Note:</w:t>
      </w:r>
    </w:p>
    <w:p w14:paraId="5F3BC5C6" w14:textId="4E7D992D" w:rsidR="00A632AF" w:rsidRDefault="00D65E27" w:rsidP="00B134F1">
      <w:pPr>
        <w:pStyle w:val="ListParagraph"/>
        <w:numPr>
          <w:ilvl w:val="0"/>
          <w:numId w:val="91"/>
        </w:num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For specific </w:t>
      </w:r>
      <w:r w:rsidR="005906B9">
        <w:t>guidance</w:t>
      </w:r>
      <w:r>
        <w:t xml:space="preserve"> on the </w:t>
      </w:r>
      <w:r w:rsidR="00A632AF">
        <w:t>phrase ‘could reasonably be expected to’ and</w:t>
      </w:r>
      <w:r>
        <w:t xml:space="preserve"> the term prejudice see</w:t>
      </w:r>
      <w:r w:rsidR="00A632AF">
        <w:t xml:space="preserve"> </w:t>
      </w:r>
      <w:r w:rsidR="00373009">
        <w:t>[</w:t>
      </w:r>
      <w:hyperlink w:anchor="_Common_terms_and_1" w:history="1">
        <w:r w:rsidR="00373009" w:rsidRPr="00C61A66">
          <w:rPr>
            <w:rStyle w:val="Hyperlink"/>
          </w:rPr>
          <w:t>4</w:t>
        </w:r>
      </w:hyperlink>
      <w:r w:rsidR="00373009">
        <w:t>] above.</w:t>
      </w:r>
    </w:p>
    <w:p w14:paraId="14C8E09F" w14:textId="722767E0" w:rsidR="00F71E05" w:rsidRDefault="00F71E05" w:rsidP="009B05C4">
      <w:pPr>
        <w:pStyle w:val="Heading2"/>
        <w:numPr>
          <w:ilvl w:val="1"/>
          <w:numId w:val="54"/>
        </w:numPr>
        <w:spacing w:line="240" w:lineRule="auto"/>
        <w:ind w:left="567" w:hanging="567"/>
      </w:pPr>
      <w:bookmarkStart w:id="775" w:name="_Toc43385570"/>
      <w:bookmarkStart w:id="776" w:name="_Toc152067355"/>
      <w:r>
        <w:t xml:space="preserve">Section 2.2(a)(ii) – prejudice </w:t>
      </w:r>
      <w:r w:rsidR="0032337E">
        <w:t>an</w:t>
      </w:r>
      <w:r>
        <w:t xml:space="preserve"> individual’s right to privacy or any other right</w:t>
      </w:r>
      <w:bookmarkEnd w:id="775"/>
      <w:bookmarkEnd w:id="776"/>
      <w:r>
        <w:t xml:space="preserve"> </w:t>
      </w:r>
      <w:bookmarkEnd w:id="774"/>
    </w:p>
    <w:p w14:paraId="5E13280C" w14:textId="5CD43BD2" w:rsidR="009F6C8B" w:rsidRDefault="007B6AFB" w:rsidP="007B6AFB">
      <w:pPr>
        <w:ind w:right="261"/>
      </w:pPr>
      <w:r>
        <w:t xml:space="preserve">A factor favouring nondisclosure under s 2.2(a)(ii) is that </w:t>
      </w:r>
      <w:r w:rsidRPr="00821F9E">
        <w:t xml:space="preserve">disclosure </w:t>
      </w:r>
      <w:r w:rsidRPr="000139CD">
        <w:t>could reasonably be expected</w:t>
      </w:r>
      <w:r w:rsidRPr="00821F9E">
        <w:t xml:space="preserve"> to </w:t>
      </w:r>
      <w:r w:rsidRPr="000139CD">
        <w:t>prejudice</w:t>
      </w:r>
      <w:r>
        <w:t xml:space="preserve"> the protection of an individual’s right to privacy or any other right under </w:t>
      </w:r>
      <w:bookmarkStart w:id="777" w:name="_Hlk149902911"/>
      <w:r w:rsidR="0096731A">
        <w:t xml:space="preserve">the </w:t>
      </w:r>
      <w:r>
        <w:t>HR Act</w:t>
      </w:r>
      <w:r w:rsidRPr="005B7153">
        <w:t>.</w:t>
      </w:r>
      <w:r>
        <w:t xml:space="preserve"> </w:t>
      </w:r>
      <w:bookmarkEnd w:id="777"/>
    </w:p>
    <w:p w14:paraId="1053E2E5" w14:textId="77777777" w:rsidR="00A632AF" w:rsidRDefault="005B7153" w:rsidP="00B87CC6">
      <w:pPr>
        <w:keepNext/>
        <w:keepLines/>
        <w:pBdr>
          <w:top w:val="single" w:sz="4" w:space="1" w:color="auto"/>
          <w:left w:val="single" w:sz="4" w:space="4" w:color="auto"/>
          <w:bottom w:val="single" w:sz="4" w:space="1" w:color="auto"/>
          <w:right w:val="single" w:sz="4" w:space="4" w:color="auto"/>
        </w:pBdr>
        <w:shd w:val="clear" w:color="auto" w:fill="DEEAF6" w:themeFill="accent1" w:themeFillTint="33"/>
        <w:ind w:right="261"/>
        <w:rPr>
          <w:b/>
        </w:rPr>
      </w:pPr>
      <w:r w:rsidRPr="005B7153">
        <w:rPr>
          <w:b/>
        </w:rPr>
        <w:t xml:space="preserve">Note: </w:t>
      </w:r>
    </w:p>
    <w:p w14:paraId="35A17563" w14:textId="595947F4" w:rsidR="005B7153" w:rsidRDefault="005B7153" w:rsidP="00B87CC6">
      <w:pPr>
        <w:pStyle w:val="ListParagraph"/>
        <w:keepNext/>
        <w:keepLines/>
        <w:numPr>
          <w:ilvl w:val="0"/>
          <w:numId w:val="97"/>
        </w:numPr>
        <w:pBdr>
          <w:top w:val="single" w:sz="4" w:space="1" w:color="auto"/>
          <w:left w:val="single" w:sz="4" w:space="4" w:color="auto"/>
          <w:bottom w:val="single" w:sz="4" w:space="1" w:color="auto"/>
          <w:right w:val="single" w:sz="4" w:space="4" w:color="auto"/>
        </w:pBdr>
        <w:shd w:val="clear" w:color="auto" w:fill="DEEAF6" w:themeFill="accent1" w:themeFillTint="33"/>
        <w:ind w:right="261"/>
      </w:pPr>
      <w:r>
        <w:t xml:space="preserve">If this factor applies, it may be necessary to consult the affected individual before deciding to give access to this information (see </w:t>
      </w:r>
      <w:r w:rsidRPr="008D6F66">
        <w:t xml:space="preserve">s 38) </w:t>
      </w:r>
      <w:r w:rsidR="000C2CDE" w:rsidRPr="008D6F66">
        <w:t xml:space="preserve">– see </w:t>
      </w:r>
      <w:hyperlink r:id="rId65" w:history="1">
        <w:r w:rsidR="008D6F66" w:rsidRPr="008D6F66">
          <w:rPr>
            <w:rStyle w:val="Hyperlink"/>
          </w:rPr>
          <w:t>FOI Guidelines Vol 3 – Dealing with access applications</w:t>
        </w:r>
      </w:hyperlink>
      <w:r w:rsidR="008D6F66">
        <w:t xml:space="preserve">. </w:t>
      </w:r>
    </w:p>
    <w:p w14:paraId="6BC7F5AF" w14:textId="5DE1E3DE" w:rsidR="00DE4DD6" w:rsidRPr="00A632AF" w:rsidRDefault="00DE4DD6" w:rsidP="00B87CC6">
      <w:pPr>
        <w:pStyle w:val="ListParagraph"/>
        <w:keepNext/>
        <w:keepLines/>
        <w:numPr>
          <w:ilvl w:val="0"/>
          <w:numId w:val="97"/>
        </w:numPr>
        <w:pBdr>
          <w:top w:val="single" w:sz="4" w:space="1" w:color="auto"/>
          <w:left w:val="single" w:sz="4" w:space="4" w:color="auto"/>
          <w:bottom w:val="single" w:sz="4" w:space="1" w:color="auto"/>
          <w:right w:val="single" w:sz="4" w:space="4" w:color="auto"/>
        </w:pBdr>
        <w:shd w:val="clear" w:color="auto" w:fill="DEEAF6" w:themeFill="accent1" w:themeFillTint="33"/>
        <w:ind w:right="261"/>
        <w:rPr>
          <w:b/>
        </w:rPr>
      </w:pPr>
      <w:r>
        <w:t xml:space="preserve">For specific </w:t>
      </w:r>
      <w:r w:rsidR="005906B9">
        <w:t>guidance</w:t>
      </w:r>
      <w:r>
        <w:t xml:space="preserve"> on the phrase ‘could reasonably be expect</w:t>
      </w:r>
      <w:r w:rsidR="009A7DC0">
        <w:t>ed to’ and the term ‘prejudice’</w:t>
      </w:r>
      <w:r w:rsidR="009A7DC0">
        <w:br/>
      </w:r>
      <w:r>
        <w:t xml:space="preserve">see </w:t>
      </w:r>
      <w:hyperlink w:anchor="_Contrary_to_the" w:history="1">
        <w:r w:rsidR="00195BDF">
          <w:rPr>
            <w:rStyle w:val="Hyperlink"/>
          </w:rPr>
          <w:t>[4]</w:t>
        </w:r>
      </w:hyperlink>
      <w:r w:rsidRPr="00195BDF">
        <w:rPr>
          <w:rStyle w:val="Hyperlink"/>
          <w:u w:val="none"/>
        </w:rPr>
        <w:t xml:space="preserve"> </w:t>
      </w:r>
      <w:r w:rsidR="00195BDF" w:rsidRPr="00195BDF">
        <w:t>above.</w:t>
      </w:r>
      <w:r w:rsidR="00195BDF">
        <w:rPr>
          <w:rStyle w:val="Hyperlink"/>
        </w:rPr>
        <w:t xml:space="preserve"> </w:t>
      </w:r>
    </w:p>
    <w:p w14:paraId="01D2D282" w14:textId="2398A8FB" w:rsidR="00DE4DD6" w:rsidRDefault="00DE4DD6" w:rsidP="008A662D">
      <w:pPr>
        <w:pStyle w:val="Heading4"/>
      </w:pPr>
      <w:r>
        <w:t>Overview</w:t>
      </w:r>
    </w:p>
    <w:p w14:paraId="69C17DC2" w14:textId="2E20CD3C" w:rsidR="00DE4DD6" w:rsidRDefault="00DE4DD6" w:rsidP="00DE4DD6">
      <w:r>
        <w:t xml:space="preserve">Section 1.4 provides that disclosure of the information is taken to be contrary to the public interest if it would involve the unreasonable disclosure of </w:t>
      </w:r>
      <w:r w:rsidRPr="000139CD">
        <w:t xml:space="preserve">sensitive </w:t>
      </w:r>
      <w:r>
        <w:t>information about any individual (including a deceased person)</w:t>
      </w:r>
      <w:r w:rsidR="008A20E4">
        <w:rPr>
          <w:rFonts w:ascii="Calibri" w:hAnsi="Calibri" w:cs="Calibri"/>
        </w:rPr>
        <w:t>—</w:t>
      </w:r>
      <w:r>
        <w:t xml:space="preserve">see discussion at </w:t>
      </w:r>
      <w:r w:rsidR="00807B55">
        <w:t>[</w:t>
      </w:r>
      <w:hyperlink w:anchor="_Section_1.4_–" w:history="1">
        <w:r w:rsidR="00807B55">
          <w:rPr>
            <w:rStyle w:val="Hyperlink"/>
          </w:rPr>
          <w:t>5.7</w:t>
        </w:r>
      </w:hyperlink>
      <w:r w:rsidR="00807B55">
        <w:t xml:space="preserve">] above. </w:t>
      </w:r>
      <w:r>
        <w:t xml:space="preserve"> </w:t>
      </w:r>
    </w:p>
    <w:p w14:paraId="3C0B04B5" w14:textId="509680B8" w:rsidR="00DE4DD6" w:rsidRDefault="00DE4DD6" w:rsidP="00DE4DD6">
      <w:r>
        <w:t xml:space="preserve">There may, however, be other </w:t>
      </w:r>
      <w:r w:rsidRPr="000139CD">
        <w:t>personal i</w:t>
      </w:r>
      <w:r w:rsidRPr="00E455EE">
        <w:rPr>
          <w:iCs/>
        </w:rPr>
        <w:t>nformation</w:t>
      </w:r>
      <w:r>
        <w:t xml:space="preserve"> out of scope of s 1.4, disclosure of which may, nevertheless, prejudice an individual’s right to privacy</w:t>
      </w:r>
      <w:r w:rsidR="008A20E4">
        <w:rPr>
          <w:rFonts w:ascii="Calibri" w:hAnsi="Calibri" w:cs="Calibri"/>
        </w:rPr>
        <w:t>—</w:t>
      </w:r>
      <w:r>
        <w:t>or other rights</w:t>
      </w:r>
      <w:r w:rsidR="008A20E4">
        <w:rPr>
          <w:rFonts w:ascii="Calibri" w:hAnsi="Calibri" w:cs="Calibri"/>
        </w:rPr>
        <w:t>—</w:t>
      </w:r>
      <w:r>
        <w:t xml:space="preserve">under the HR Act. </w:t>
      </w:r>
    </w:p>
    <w:p w14:paraId="12232D77" w14:textId="51977DEB" w:rsidR="00DE4DD6" w:rsidRDefault="00DE4DD6" w:rsidP="00DE4DD6">
      <w:pPr>
        <w:ind w:right="119"/>
      </w:pPr>
      <w:r>
        <w:t>These rights are discussed below in more detail, with more specific guidance provided in terms of the right to privacy.</w:t>
      </w:r>
    </w:p>
    <w:p w14:paraId="4E4925CF" w14:textId="1063628C" w:rsidR="009F6C8B" w:rsidRDefault="00181305" w:rsidP="00DE4DD6">
      <w:pPr>
        <w:ind w:right="119"/>
      </w:pPr>
      <w:r>
        <w:t>Where</w:t>
      </w:r>
      <w:r w:rsidR="009F6C8B">
        <w:t xml:space="preserve"> an applicant has requested</w:t>
      </w:r>
      <w:r w:rsidR="00D11C1D">
        <w:t xml:space="preserve"> access to</w:t>
      </w:r>
      <w:r w:rsidR="009F6C8B">
        <w:t xml:space="preserve"> personal information that is not their own, the applicant’s identity, </w:t>
      </w:r>
      <w:r w:rsidR="00CB7D5A">
        <w:t>circumstances,</w:t>
      </w:r>
      <w:r w:rsidR="009F6C8B">
        <w:t xml:space="preserve"> and reasons for seeking access may be taken into account </w:t>
      </w:r>
      <w:r>
        <w:t>for the purpose of the public interest test</w:t>
      </w:r>
      <w:r w:rsidR="00D11C1D">
        <w:t xml:space="preserve"> (see </w:t>
      </w:r>
      <w:hyperlink w:anchor="_Information_requested_is" w:history="1">
        <w:r w:rsidR="00D11C1D" w:rsidRPr="009F6C8B">
          <w:rPr>
            <w:rStyle w:val="Hyperlink"/>
          </w:rPr>
          <w:t>[6.2]</w:t>
        </w:r>
      </w:hyperlink>
      <w:r w:rsidR="00D11C1D">
        <w:t xml:space="preserve"> above). </w:t>
      </w:r>
    </w:p>
    <w:p w14:paraId="3BC67E2F" w14:textId="7109812C" w:rsidR="0016535A" w:rsidRPr="0016535A" w:rsidRDefault="0016535A" w:rsidP="00B87CC6">
      <w:pPr>
        <w:pBdr>
          <w:top w:val="single" w:sz="4" w:space="1" w:color="auto"/>
          <w:left w:val="single" w:sz="4" w:space="4" w:color="auto"/>
          <w:bottom w:val="single" w:sz="4" w:space="1" w:color="auto"/>
          <w:right w:val="single" w:sz="4" w:space="4" w:color="auto"/>
        </w:pBdr>
        <w:shd w:val="clear" w:color="auto" w:fill="D9E2F3" w:themeFill="accent5" w:themeFillTint="33"/>
        <w:ind w:right="119"/>
        <w:rPr>
          <w:b/>
        </w:rPr>
      </w:pPr>
      <w:r w:rsidRPr="0016535A">
        <w:rPr>
          <w:b/>
        </w:rPr>
        <w:t>Note:</w:t>
      </w:r>
    </w:p>
    <w:p w14:paraId="14AD7590" w14:textId="535D87F6" w:rsidR="0016535A" w:rsidRDefault="0016535A" w:rsidP="00B87CC6">
      <w:pPr>
        <w:pStyle w:val="ListParagraph"/>
        <w:numPr>
          <w:ilvl w:val="0"/>
          <w:numId w:val="130"/>
        </w:numPr>
        <w:pBdr>
          <w:top w:val="single" w:sz="4" w:space="1" w:color="auto"/>
          <w:left w:val="single" w:sz="4" w:space="4" w:color="auto"/>
          <w:bottom w:val="single" w:sz="4" w:space="1" w:color="auto"/>
          <w:right w:val="single" w:sz="4" w:space="4" w:color="auto"/>
        </w:pBdr>
        <w:shd w:val="clear" w:color="auto" w:fill="D9E2F3" w:themeFill="accent5" w:themeFillTint="33"/>
        <w:ind w:right="119"/>
      </w:pPr>
      <w:r>
        <w:t xml:space="preserve">Where the information being considered is personal information of child, </w:t>
      </w:r>
      <w:r w:rsidRPr="00503EA1">
        <w:t>s 2.2(b)(i)</w:t>
      </w:r>
      <w:r>
        <w:t xml:space="preserve"> may also be a relevant factor against disclosure</w:t>
      </w:r>
      <w:r w:rsidR="00D82DFF">
        <w:t xml:space="preserve"> (see </w:t>
      </w:r>
      <w:hyperlink w:anchor="_Section_2.2(b)(i)_–" w:history="1">
        <w:r w:rsidR="00D82DFF">
          <w:rPr>
            <w:rStyle w:val="Hyperlink"/>
          </w:rPr>
          <w:t>[8.19]</w:t>
        </w:r>
      </w:hyperlink>
      <w:r w:rsidR="00D82DFF">
        <w:t xml:space="preserve"> below). </w:t>
      </w:r>
    </w:p>
    <w:p w14:paraId="353D6420" w14:textId="7DC70D7A" w:rsidR="005B7153" w:rsidRPr="005B7153" w:rsidRDefault="005B7153" w:rsidP="0032337E">
      <w:pPr>
        <w:pStyle w:val="Heading4"/>
      </w:pPr>
      <w:r w:rsidRPr="005B7153">
        <w:t>Right to privacy</w:t>
      </w:r>
    </w:p>
    <w:p w14:paraId="17BC3286" w14:textId="55196129" w:rsidR="00DE4DD6" w:rsidRDefault="007B6AFB" w:rsidP="000139CD">
      <w:pPr>
        <w:keepNext/>
        <w:keepLines/>
      </w:pPr>
      <w:r w:rsidRPr="005302E7">
        <w:t>Section 12(a)</w:t>
      </w:r>
      <w:r w:rsidRPr="00364A62">
        <w:t xml:space="preserve"> of the </w:t>
      </w:r>
      <w:r>
        <w:t xml:space="preserve">HR Act </w:t>
      </w:r>
      <w:r w:rsidRPr="00364A62">
        <w:t xml:space="preserve">provides that everyone has the right </w:t>
      </w:r>
      <w:r>
        <w:t xml:space="preserve">‘not to have his or her privacy, family, home or correspondence </w:t>
      </w:r>
      <w:r w:rsidRPr="000139CD">
        <w:t>interfered with unlawfully or arbitrarily</w:t>
      </w:r>
      <w:r w:rsidRPr="00CB7E17">
        <w:rPr>
          <w:iCs/>
        </w:rPr>
        <w:t>’</w:t>
      </w:r>
      <w:r>
        <w:t xml:space="preserve">. It does </w:t>
      </w:r>
      <w:r w:rsidRPr="007B6AFB">
        <w:rPr>
          <w:b/>
        </w:rPr>
        <w:t xml:space="preserve">not </w:t>
      </w:r>
      <w:r>
        <w:t xml:space="preserve">provide a general right to privacy, but rather a right not to have one’s privacy, family, home or correspondence interfered with </w:t>
      </w:r>
      <w:r w:rsidRPr="005B7153">
        <w:t>unlawfully or arbitrarily.</w:t>
      </w:r>
      <w:r w:rsidRPr="005B7153">
        <w:rPr>
          <w:rStyle w:val="FootnoteReference"/>
        </w:rPr>
        <w:footnoteReference w:id="225"/>
      </w:r>
      <w:r>
        <w:t xml:space="preserve"> </w:t>
      </w:r>
    </w:p>
    <w:p w14:paraId="4918AB6E" w14:textId="03878D4A" w:rsidR="005B7153" w:rsidRDefault="00DE4DD6" w:rsidP="00DE4DD6">
      <w:pPr>
        <w:ind w:right="403"/>
      </w:pPr>
      <w:r>
        <w:t>As a result, w</w:t>
      </w:r>
      <w:r w:rsidR="005B7153">
        <w:t>hen deciding whether s</w:t>
      </w:r>
      <w:r w:rsidR="008A25F7">
        <w:t xml:space="preserve"> </w:t>
      </w:r>
      <w:r w:rsidR="005B7153">
        <w:t>2.2(a)(ii) is relevant to the information being considered, decision</w:t>
      </w:r>
      <w:r>
        <w:noBreakHyphen/>
      </w:r>
      <w:r w:rsidR="005B7153">
        <w:t xml:space="preserve">makers need to consider whether disclosure could reasonably be expected to result in a breach of privacy legislation. </w:t>
      </w:r>
    </w:p>
    <w:p w14:paraId="03FA08DC" w14:textId="4DA6633A" w:rsidR="005B7153" w:rsidRDefault="005B7153" w:rsidP="00DE4DD6">
      <w:pPr>
        <w:keepNext/>
        <w:keepLines/>
      </w:pPr>
      <w:r>
        <w:t>T</w:t>
      </w:r>
      <w:r w:rsidR="00F71E05">
        <w:t xml:space="preserve">he </w:t>
      </w:r>
      <w:r w:rsidR="00C6321F" w:rsidRPr="005302E7">
        <w:t>IP Act</w:t>
      </w:r>
      <w:r w:rsidRPr="00DE4DD6">
        <w:rPr>
          <w:i/>
        </w:rPr>
        <w:t xml:space="preserve"> </w:t>
      </w:r>
      <w:r w:rsidR="00F71E05">
        <w:t xml:space="preserve">identifies the circumstances in which the disclosure of information may constitute a breach of an individual’s privacy. </w:t>
      </w:r>
      <w:r w:rsidR="00034324">
        <w:t>An</w:t>
      </w:r>
      <w:r w:rsidR="00DE4DD6">
        <w:t xml:space="preserve"> individual’s personal information must only be disclosed in accordance with the </w:t>
      </w:r>
      <w:r w:rsidR="00DE4DD6" w:rsidRPr="005302E7">
        <w:t>Territory Privacy Principles (TPPs)</w:t>
      </w:r>
      <w:r w:rsidR="00DE4DD6">
        <w:t xml:space="preserve"> in </w:t>
      </w:r>
      <w:r w:rsidR="00DE4DD6" w:rsidRPr="005302E7">
        <w:t>Schedule 1</w:t>
      </w:r>
      <w:r w:rsidR="00DE4DD6">
        <w:t xml:space="preserve"> of the IP Act.</w:t>
      </w:r>
    </w:p>
    <w:p w14:paraId="249BBE27" w14:textId="41B81B3B" w:rsidR="005B7153" w:rsidRDefault="008B4CBF" w:rsidP="009B05C4">
      <w:pPr>
        <w:pStyle w:val="ListParagraph"/>
        <w:numPr>
          <w:ilvl w:val="0"/>
          <w:numId w:val="96"/>
        </w:numPr>
      </w:pPr>
      <w:r>
        <w:t>F</w:t>
      </w:r>
      <w:r w:rsidR="00F71E05">
        <w:t xml:space="preserve">or example, </w:t>
      </w:r>
      <w:r w:rsidR="005A61B8" w:rsidRPr="005302E7">
        <w:t>TPP</w:t>
      </w:r>
      <w:r w:rsidR="00F71E05" w:rsidRPr="005302E7">
        <w:t xml:space="preserve"> 6</w:t>
      </w:r>
      <w:r w:rsidR="00F71E05">
        <w:t xml:space="preserve"> provides that an agency must not use or disclose personal information about an individual that was collected for a particular purpose for another purpose without consent, or unless one of the exceptions in </w:t>
      </w:r>
      <w:r w:rsidR="00F71E05" w:rsidRPr="005302E7">
        <w:t>TPP 6.2 or 6.3</w:t>
      </w:r>
      <w:r w:rsidR="00F71E05">
        <w:t xml:space="preserve"> apply.</w:t>
      </w:r>
      <w:r w:rsidR="00F71E05">
        <w:rPr>
          <w:rStyle w:val="FootnoteReference"/>
        </w:rPr>
        <w:footnoteReference w:id="226"/>
      </w:r>
    </w:p>
    <w:p w14:paraId="5AC0B8FD" w14:textId="1AC69621" w:rsidR="00DE4DD6" w:rsidRDefault="00DE4DD6" w:rsidP="00DE4DD6">
      <w:pPr>
        <w:ind w:right="545"/>
      </w:pPr>
      <w:r w:rsidRPr="005A61B8">
        <w:t xml:space="preserve">Further </w:t>
      </w:r>
      <w:r w:rsidR="005906B9">
        <w:t>guidance</w:t>
      </w:r>
      <w:r w:rsidRPr="005A61B8">
        <w:t xml:space="preserve"> regarding privacy legislation appli</w:t>
      </w:r>
      <w:r w:rsidR="005B5B4A">
        <w:t xml:space="preserve">cable in the ACT is available on the </w:t>
      </w:r>
      <w:r w:rsidR="00812073">
        <w:t>OAIC</w:t>
      </w:r>
      <w:r w:rsidR="005B5B4A">
        <w:t xml:space="preserve"> </w:t>
      </w:r>
      <w:r w:rsidR="005B5B4A" w:rsidRPr="00063A11">
        <w:t>website</w:t>
      </w:r>
      <w:r w:rsidR="00063A11">
        <w:t xml:space="preserve">: </w:t>
      </w:r>
      <w:hyperlink r:id="rId66" w:history="1">
        <w:r w:rsidR="00063A11" w:rsidRPr="00063A11">
          <w:rPr>
            <w:rStyle w:val="Hyperlink"/>
          </w:rPr>
          <w:t>Privacy in the ACT</w:t>
        </w:r>
      </w:hyperlink>
      <w:r w:rsidR="00063A11">
        <w:t xml:space="preserve">. </w:t>
      </w:r>
    </w:p>
    <w:p w14:paraId="15829883" w14:textId="77777777" w:rsidR="00DE4DD6" w:rsidRDefault="00DE4DD6" w:rsidP="00EE661D">
      <w:pPr>
        <w:keepNext/>
        <w:keepLines/>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Note:</w:t>
      </w:r>
    </w:p>
    <w:p w14:paraId="1BE114B4" w14:textId="29295CD0" w:rsidR="0016535A" w:rsidRDefault="00DE4DD6" w:rsidP="00EE661D">
      <w:pPr>
        <w:pStyle w:val="ListParagraph"/>
        <w:keepNext/>
        <w:keepLines/>
        <w:numPr>
          <w:ilvl w:val="0"/>
          <w:numId w:val="52"/>
        </w:numPr>
        <w:pBdr>
          <w:top w:val="single" w:sz="4" w:space="1" w:color="auto"/>
          <w:left w:val="single" w:sz="4" w:space="4" w:color="auto"/>
          <w:bottom w:val="single" w:sz="4" w:space="1" w:color="auto"/>
          <w:right w:val="single" w:sz="4" w:space="4" w:color="auto"/>
        </w:pBdr>
        <w:shd w:val="clear" w:color="auto" w:fill="DEEAF6" w:themeFill="accent1" w:themeFillTint="33"/>
      </w:pPr>
      <w:r>
        <w:t>Only ‘individuals’</w:t>
      </w:r>
      <w:r w:rsidR="00F73D0D">
        <w:rPr>
          <w:rFonts w:ascii="Calibri" w:hAnsi="Calibri" w:cs="Calibri"/>
        </w:rPr>
        <w:t>—</w:t>
      </w:r>
      <w:r>
        <w:t>that is, natural (non-deceased) persons</w:t>
      </w:r>
      <w:r w:rsidR="00F73D0D">
        <w:rPr>
          <w:rFonts w:ascii="Calibri" w:hAnsi="Calibri" w:cs="Calibri"/>
        </w:rPr>
        <w:t>—</w:t>
      </w:r>
      <w:r>
        <w:t>have a right to privacy.</w:t>
      </w:r>
      <w:r>
        <w:rPr>
          <w:rStyle w:val="FootnoteReference"/>
        </w:rPr>
        <w:footnoteReference w:id="227"/>
      </w:r>
    </w:p>
    <w:p w14:paraId="014AA2E9" w14:textId="2CFE2F74" w:rsidR="0016535A" w:rsidRDefault="0016535A" w:rsidP="00EE661D">
      <w:pPr>
        <w:pStyle w:val="ListParagraph"/>
        <w:keepNext/>
        <w:keepLines/>
        <w:numPr>
          <w:ilvl w:val="0"/>
          <w:numId w:val="52"/>
        </w:num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Where the information being considered is personal information of a deceased person, </w:t>
      </w:r>
      <w:r w:rsidRPr="00E906EF">
        <w:t>s 2.2(b)(iii)</w:t>
      </w:r>
      <w:r>
        <w:t xml:space="preserve"> may also be a relevant factor against disclosure.</w:t>
      </w:r>
    </w:p>
    <w:p w14:paraId="6D8CA62C" w14:textId="20106B78" w:rsidR="00DE4DD6" w:rsidRDefault="00DE4DD6" w:rsidP="00EE661D">
      <w:pPr>
        <w:pStyle w:val="ListParagraph"/>
        <w:keepNext/>
        <w:keepLines/>
        <w:numPr>
          <w:ilvl w:val="0"/>
          <w:numId w:val="52"/>
        </w:num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The definition of personal information does </w:t>
      </w:r>
      <w:r w:rsidRPr="005B7153">
        <w:rPr>
          <w:b/>
        </w:rPr>
        <w:t xml:space="preserve">not </w:t>
      </w:r>
      <w:r>
        <w:t xml:space="preserve">include personal health information about an individual, which is defined under the </w:t>
      </w:r>
      <w:hyperlink r:id="rId67" w:history="1">
        <w:r w:rsidRPr="00E96C5C">
          <w:rPr>
            <w:rStyle w:val="Hyperlink"/>
            <w:i/>
          </w:rPr>
          <w:t>Health Records (Privacy and Access) Act 1997</w:t>
        </w:r>
      </w:hyperlink>
      <w:r w:rsidRPr="005B7153">
        <w:rPr>
          <w:i/>
        </w:rPr>
        <w:t>.</w:t>
      </w:r>
      <w:r>
        <w:rPr>
          <w:i/>
        </w:rPr>
        <w:t xml:space="preserve"> </w:t>
      </w:r>
      <w:r w:rsidRPr="000D260F">
        <w:t xml:space="preserve">This Act </w:t>
      </w:r>
      <w:r>
        <w:t>includes separate provisions for requesting access, and making decisions, to disclose such sensitive health information.</w:t>
      </w:r>
      <w:r>
        <w:rPr>
          <w:rStyle w:val="FootnoteReference"/>
        </w:rPr>
        <w:footnoteReference w:id="228"/>
      </w:r>
      <w:r>
        <w:t xml:space="preserve"> </w:t>
      </w:r>
    </w:p>
    <w:p w14:paraId="4F6EFABC" w14:textId="4E769F0B" w:rsidR="00DE4DD6" w:rsidRDefault="00DE4DD6" w:rsidP="00EE661D">
      <w:pPr>
        <w:pStyle w:val="ListParagraph"/>
        <w:keepNext/>
        <w:keepLines/>
        <w:numPr>
          <w:ilvl w:val="0"/>
          <w:numId w:val="52"/>
        </w:num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In </w:t>
      </w:r>
      <w:r w:rsidRPr="00DE4DD6">
        <w:rPr>
          <w:i/>
        </w:rPr>
        <w:t>Alistair Coe and Health Directorate</w:t>
      </w:r>
      <w:r>
        <w:rPr>
          <w:rStyle w:val="FootnoteReference"/>
          <w:i/>
        </w:rPr>
        <w:footnoteReference w:id="229"/>
      </w:r>
      <w:r w:rsidRPr="00DE4DD6">
        <w:rPr>
          <w:i/>
        </w:rPr>
        <w:t xml:space="preserve"> and Master Builders Association of the ACT and Chief Minister, Treasury and Economic Development Directorate</w:t>
      </w:r>
      <w:r>
        <w:t>,</w:t>
      </w:r>
      <w:r>
        <w:rPr>
          <w:rStyle w:val="FootnoteReference"/>
        </w:rPr>
        <w:footnoteReference w:id="230"/>
      </w:r>
      <w:r>
        <w:t xml:space="preserve"> the Ombudsman has, however, taken the view that in some circumstances, prejudice to a </w:t>
      </w:r>
      <w:r w:rsidRPr="00DE4DD6">
        <w:rPr>
          <w:i/>
        </w:rPr>
        <w:t>general</w:t>
      </w:r>
      <w:r>
        <w:t xml:space="preserve"> right to privacy can be a public interest factor favouring nondisclosure. This will depend on the facts of the situation such as consideration of what information is already available to the applicant.</w:t>
      </w:r>
    </w:p>
    <w:p w14:paraId="122992A5" w14:textId="3ACD4E32" w:rsidR="00DE4DD6" w:rsidRDefault="00DE4DD6" w:rsidP="00DE4DD6">
      <w:pPr>
        <w:pStyle w:val="Heading5"/>
      </w:pPr>
      <w:r>
        <w:t>Balancing privacy considerations and the pro-disclosure bias</w:t>
      </w:r>
    </w:p>
    <w:p w14:paraId="6A86ACA1" w14:textId="77777777" w:rsidR="00DE4DD6" w:rsidRDefault="003D6FD0" w:rsidP="003947EB">
      <w:r>
        <w:t xml:space="preserve">There is generally a very strong public interest in protecting an individual’s right to privacy, but depending on the circumstances the extent of the prejudice expected to result from disclosure can be diminished. </w:t>
      </w:r>
    </w:p>
    <w:p w14:paraId="1EEF04B1" w14:textId="2D7C3774" w:rsidR="005B7153" w:rsidRDefault="005B7153" w:rsidP="00713CFE">
      <w:r>
        <w:t>In</w:t>
      </w:r>
      <w:r w:rsidR="00DE4DD6">
        <w:t> </w:t>
      </w:r>
      <w:r>
        <w:t xml:space="preserve">considering whether the disclosure of information could reasonably be expected to prejudice the protection of an individual’s right to privacy, </w:t>
      </w:r>
      <w:r w:rsidR="005315CD">
        <w:t xml:space="preserve">matters for </w:t>
      </w:r>
      <w:r>
        <w:t xml:space="preserve">the information officer </w:t>
      </w:r>
      <w:r w:rsidR="005315CD">
        <w:t xml:space="preserve">to </w:t>
      </w:r>
      <w:r>
        <w:t>consider</w:t>
      </w:r>
      <w:r w:rsidR="005315CD">
        <w:t xml:space="preserve"> include</w:t>
      </w:r>
      <w:r>
        <w:t>:</w:t>
      </w:r>
      <w:r>
        <w:rPr>
          <w:rStyle w:val="FootnoteReference"/>
        </w:rPr>
        <w:footnoteReference w:id="231"/>
      </w:r>
    </w:p>
    <w:p w14:paraId="5293B7AB" w14:textId="7EDD8B5D" w:rsidR="005B7153" w:rsidRDefault="005B7153" w:rsidP="00713CFE">
      <w:pPr>
        <w:pStyle w:val="ListParagraph"/>
        <w:numPr>
          <w:ilvl w:val="0"/>
          <w:numId w:val="6"/>
        </w:numPr>
      </w:pPr>
      <w:r>
        <w:t>the extent to which the information is well-known or publicly available</w:t>
      </w:r>
      <w:r>
        <w:rPr>
          <w:rStyle w:val="FootnoteReference"/>
        </w:rPr>
        <w:footnoteReference w:id="232"/>
      </w:r>
    </w:p>
    <w:p w14:paraId="07F9EBE6" w14:textId="77777777" w:rsidR="005B7153" w:rsidRDefault="005B7153" w:rsidP="00713CFE">
      <w:pPr>
        <w:pStyle w:val="ListParagraph"/>
        <w:numPr>
          <w:ilvl w:val="0"/>
          <w:numId w:val="6"/>
        </w:numPr>
      </w:pPr>
      <w:r>
        <w:t>the nature of the information</w:t>
      </w:r>
      <w:r>
        <w:rPr>
          <w:rStyle w:val="FootnoteReference"/>
        </w:rPr>
        <w:footnoteReference w:id="233"/>
      </w:r>
    </w:p>
    <w:p w14:paraId="19DB82B1" w14:textId="77777777" w:rsidR="005B7153" w:rsidRDefault="005B7153" w:rsidP="00713CFE">
      <w:pPr>
        <w:pStyle w:val="ListParagraph"/>
        <w:numPr>
          <w:ilvl w:val="0"/>
          <w:numId w:val="6"/>
        </w:numPr>
      </w:pPr>
      <w:r>
        <w:t>the circumstances in which the agency or Minister collected the information, and in particular whether it was provided on a confidential basis</w:t>
      </w:r>
      <w:r>
        <w:rPr>
          <w:rStyle w:val="FootnoteReference"/>
        </w:rPr>
        <w:footnoteReference w:id="234"/>
      </w:r>
      <w:r w:rsidRPr="00D10138">
        <w:rPr>
          <w:rStyle w:val="FootnoteReference"/>
          <w:highlight w:val="yellow"/>
        </w:rPr>
        <w:t xml:space="preserve"> </w:t>
      </w:r>
    </w:p>
    <w:p w14:paraId="15317341" w14:textId="77777777" w:rsidR="005B7153" w:rsidRDefault="005B7153" w:rsidP="00713CFE">
      <w:pPr>
        <w:pStyle w:val="ListParagraph"/>
        <w:numPr>
          <w:ilvl w:val="0"/>
          <w:numId w:val="6"/>
        </w:numPr>
      </w:pPr>
      <w:r>
        <w:t>any detriment that disclosure may cause to the person to whom the information relates</w:t>
      </w:r>
      <w:r>
        <w:rPr>
          <w:rStyle w:val="FootnoteReference"/>
        </w:rPr>
        <w:footnoteReference w:id="235"/>
      </w:r>
      <w:r>
        <w:t xml:space="preserve">  </w:t>
      </w:r>
    </w:p>
    <w:p w14:paraId="251F4BDF" w14:textId="694D939E" w:rsidR="005B7153" w:rsidRDefault="005B7153" w:rsidP="00713CFE">
      <w:pPr>
        <w:pStyle w:val="ListParagraph"/>
        <w:numPr>
          <w:ilvl w:val="0"/>
          <w:numId w:val="6"/>
        </w:numPr>
      </w:pPr>
      <w:r>
        <w:t>any opposition to disclosure of the information expressed or likely to be held by that person</w:t>
      </w:r>
    </w:p>
    <w:p w14:paraId="3CAE79E3" w14:textId="6440A8BC" w:rsidR="005B7153" w:rsidRDefault="005B7153" w:rsidP="00713CFE">
      <w:pPr>
        <w:pStyle w:val="ListParagraph"/>
        <w:numPr>
          <w:ilvl w:val="0"/>
          <w:numId w:val="6"/>
        </w:numPr>
      </w:pPr>
      <w:r>
        <w:t>the fact that restrictions cannot be placed on the use or dissemination of information released under the FOI Act</w:t>
      </w:r>
      <w:r w:rsidR="0099309E">
        <w:t>.</w:t>
      </w:r>
      <w:r>
        <w:rPr>
          <w:rStyle w:val="FootnoteReference"/>
        </w:rPr>
        <w:footnoteReference w:id="236"/>
      </w:r>
    </w:p>
    <w:p w14:paraId="3CC8988F" w14:textId="30EF311C" w:rsidR="007065C1" w:rsidRDefault="007065C1" w:rsidP="00EE661D">
      <w:pPr>
        <w:keepNext/>
        <w:keepLines/>
        <w:ind w:right="-22"/>
      </w:pPr>
      <w:r>
        <w:t>The Ombudsman has considered s 2.2(a)(ii) relevant in the context of possible disclosure of the details of:</w:t>
      </w:r>
    </w:p>
    <w:p w14:paraId="52CF984F" w14:textId="1D0969E8" w:rsidR="007065C1" w:rsidRDefault="007065C1" w:rsidP="00EE661D">
      <w:pPr>
        <w:pStyle w:val="ListParagraph"/>
        <w:keepNext/>
        <w:keepLines/>
        <w:numPr>
          <w:ilvl w:val="0"/>
          <w:numId w:val="116"/>
        </w:numPr>
        <w:ind w:right="119"/>
      </w:pPr>
      <w:r>
        <w:t>an informant who provided information about a medical condition alleged to affect the applicant’s ability to drive</w:t>
      </w:r>
      <w:r>
        <w:rPr>
          <w:rStyle w:val="FootnoteReference"/>
        </w:rPr>
        <w:footnoteReference w:id="237"/>
      </w:r>
    </w:p>
    <w:p w14:paraId="66CD6E28" w14:textId="30B86721" w:rsidR="007065C1" w:rsidRDefault="007065C1" w:rsidP="00EE661D">
      <w:pPr>
        <w:pStyle w:val="ListParagraph"/>
        <w:keepNext/>
        <w:keepLines/>
        <w:numPr>
          <w:ilvl w:val="0"/>
          <w:numId w:val="116"/>
        </w:numPr>
        <w:ind w:right="545"/>
      </w:pPr>
      <w:r>
        <w:t>detainees involved in an incident at the AMC and their personal information</w:t>
      </w:r>
      <w:r>
        <w:rPr>
          <w:rStyle w:val="FootnoteReference"/>
        </w:rPr>
        <w:footnoteReference w:id="238"/>
      </w:r>
      <w:r>
        <w:t xml:space="preserve"> </w:t>
      </w:r>
    </w:p>
    <w:p w14:paraId="4AB1AB03" w14:textId="580F34F8" w:rsidR="007065C1" w:rsidRDefault="007065C1" w:rsidP="00EE661D">
      <w:pPr>
        <w:pStyle w:val="ListParagraph"/>
        <w:keepNext/>
        <w:keepLines/>
        <w:numPr>
          <w:ilvl w:val="0"/>
          <w:numId w:val="116"/>
        </w:numPr>
        <w:ind w:right="545"/>
      </w:pPr>
      <w:r>
        <w:t xml:space="preserve">the names of witnesses and </w:t>
      </w:r>
      <w:r w:rsidR="00EE17EE">
        <w:t>statements given as part of a workplace code of conduct complaint investigation</w:t>
      </w:r>
      <w:r w:rsidR="00660D03">
        <w:t>.</w:t>
      </w:r>
      <w:r>
        <w:rPr>
          <w:rStyle w:val="FootnoteReference"/>
        </w:rPr>
        <w:footnoteReference w:id="239"/>
      </w:r>
      <w:r>
        <w:t xml:space="preserve"> </w:t>
      </w:r>
    </w:p>
    <w:p w14:paraId="36AD7A7B" w14:textId="181F0834" w:rsidR="007065C1" w:rsidRDefault="007065C1" w:rsidP="007065C1">
      <w:pPr>
        <w:ind w:right="545"/>
      </w:pPr>
      <w:r>
        <w:t>This factor was, however, given little weight in terms of disclosure of an individual’s name where the person involved was not acting in a personal or private capacity, but rather representing his firm in business dealings with the ACT Government.</w:t>
      </w:r>
      <w:r>
        <w:rPr>
          <w:rStyle w:val="FootnoteReference"/>
        </w:rPr>
        <w:footnoteReference w:id="240"/>
      </w:r>
      <w:r>
        <w:t xml:space="preserve"> A similar approach was taken in the case of </w:t>
      </w:r>
      <w:r w:rsidRPr="006C23F1">
        <w:rPr>
          <w:i/>
        </w:rPr>
        <w:t>Dentsu X and Chief Minister, Treasury and Economic Development Directorate</w:t>
      </w:r>
      <w:r w:rsidRPr="00713CFE">
        <w:t>.</w:t>
      </w:r>
      <w:r w:rsidRPr="00713CFE">
        <w:rPr>
          <w:rStyle w:val="FootnoteReference"/>
        </w:rPr>
        <w:footnoteReference w:id="241"/>
      </w:r>
      <w:r w:rsidR="00DE4DD6">
        <w:rPr>
          <w:i/>
        </w:rPr>
        <w:t xml:space="preserve"> </w:t>
      </w:r>
    </w:p>
    <w:p w14:paraId="0784157E" w14:textId="798A6EE8" w:rsidR="00C25833" w:rsidRPr="002A1CE3" w:rsidRDefault="00DE4DD6" w:rsidP="00246FCD">
      <w:pPr>
        <w:pStyle w:val="Heading5"/>
      </w:pPr>
      <w:bookmarkStart w:id="778" w:name="_Assessing_joint_personal-informatio"/>
      <w:bookmarkEnd w:id="778"/>
      <w:r w:rsidRPr="002A1CE3">
        <w:t xml:space="preserve">Assessing joint </w:t>
      </w:r>
      <w:r w:rsidR="0032337E" w:rsidRPr="002A1CE3">
        <w:t>personal information</w:t>
      </w:r>
    </w:p>
    <w:p w14:paraId="4C6C99C2" w14:textId="6AEB5708" w:rsidR="00CB7D5A" w:rsidRPr="002A1CE3" w:rsidRDefault="00C25833" w:rsidP="00CB7D5A">
      <w:pPr>
        <w:ind w:right="545"/>
      </w:pPr>
      <w:r w:rsidRPr="002A1CE3">
        <w:t xml:space="preserve">Where information contains the personal information of more than one person, it is important to </w:t>
      </w:r>
      <w:r w:rsidR="005D3AE6" w:rsidRPr="002A1CE3">
        <w:t xml:space="preserve">carefully consider the rights of each person. </w:t>
      </w:r>
      <w:r w:rsidR="00BF3EFD" w:rsidRPr="002A1CE3">
        <w:t xml:space="preserve"> </w:t>
      </w:r>
    </w:p>
    <w:p w14:paraId="14D825FB" w14:textId="5F060955" w:rsidR="00C25833" w:rsidRDefault="00CB7D5A" w:rsidP="007065C1">
      <w:pPr>
        <w:ind w:right="545"/>
      </w:pPr>
      <w:r w:rsidRPr="002A1CE3">
        <w:t>It may be necessary to consider the relationships of the parties to determine whether disclose of the information would be an intrusion into the privacy of the individuals involved.</w:t>
      </w:r>
      <w:r>
        <w:t xml:space="preserve"> </w:t>
      </w:r>
    </w:p>
    <w:p w14:paraId="2817EF9F" w14:textId="77777777" w:rsidR="004432E3" w:rsidRDefault="007065C1" w:rsidP="007065C1">
      <w:pPr>
        <w:ind w:right="545"/>
      </w:pPr>
      <w:r>
        <w:t xml:space="preserve">In the case of </w:t>
      </w:r>
      <w:r w:rsidRPr="007065C1">
        <w:rPr>
          <w:i/>
        </w:rPr>
        <w:t>'AD' and Health Directorate,</w:t>
      </w:r>
      <w:r w:rsidR="002E05F8">
        <w:rPr>
          <w:rStyle w:val="FootnoteReference"/>
          <w:i/>
        </w:rPr>
        <w:footnoteReference w:id="242"/>
      </w:r>
      <w:r w:rsidRPr="007065C1">
        <w:rPr>
          <w:i/>
        </w:rPr>
        <w:t xml:space="preserve"> </w:t>
      </w:r>
      <w:r>
        <w:t>the Ombudsman considered what approach to take where the information sought comprises joint information, rather than the sole personal information of the applicant.</w:t>
      </w:r>
      <w:r w:rsidR="007C4B19">
        <w:t xml:space="preserve"> </w:t>
      </w:r>
    </w:p>
    <w:p w14:paraId="425C68C9" w14:textId="6B2FE959" w:rsidR="00DE4DD6" w:rsidRDefault="007065C1" w:rsidP="007065C1">
      <w:pPr>
        <w:ind w:right="545"/>
      </w:pPr>
      <w:r>
        <w:t xml:space="preserve">The Ombudsman found that in this case the applicant’s personal information </w:t>
      </w:r>
      <w:r w:rsidR="00DE4DD6">
        <w:t>was</w:t>
      </w:r>
      <w:r>
        <w:t xml:space="preserve"> so intertwined with the personal information of the other individuals that the report would lose its meaning and the context if the personal information of other individuals were removed.</w:t>
      </w:r>
      <w:r>
        <w:rPr>
          <w:rStyle w:val="FootnoteReference"/>
        </w:rPr>
        <w:footnoteReference w:id="243"/>
      </w:r>
      <w:r>
        <w:t xml:space="preserve"> </w:t>
      </w:r>
    </w:p>
    <w:p w14:paraId="1A3E37B7" w14:textId="50D7AA30" w:rsidR="00CB7D5A" w:rsidRPr="00E06151" w:rsidRDefault="007065C1" w:rsidP="00E06151">
      <w:pPr>
        <w:ind w:right="545"/>
      </w:pPr>
      <w:r>
        <w:t xml:space="preserve">A similar approach was taken in the case of </w:t>
      </w:r>
      <w:r w:rsidRPr="00CB08F0">
        <w:rPr>
          <w:i/>
        </w:rPr>
        <w:t>‘AE’ and Health Directorate</w:t>
      </w:r>
      <w:r>
        <w:rPr>
          <w:i/>
        </w:rPr>
        <w:t>.</w:t>
      </w:r>
      <w:r w:rsidRPr="00713CFE">
        <w:rPr>
          <w:rStyle w:val="FootnoteReference"/>
        </w:rPr>
        <w:footnoteReference w:id="244"/>
      </w:r>
      <w:r w:rsidRPr="00DC3FB4">
        <w:t xml:space="preserve"> </w:t>
      </w:r>
    </w:p>
    <w:p w14:paraId="1F0AF074" w14:textId="77777777" w:rsidR="00DE4DD6" w:rsidRPr="00487689" w:rsidRDefault="00DE4DD6" w:rsidP="00DE4DD6">
      <w:pPr>
        <w:pStyle w:val="Heading5"/>
      </w:pPr>
      <w:r w:rsidRPr="00487689">
        <w:t>Can I take into account evidence of likely use for information?</w:t>
      </w:r>
    </w:p>
    <w:p w14:paraId="6F21582D" w14:textId="77777777" w:rsidR="009646E6" w:rsidRPr="00487689" w:rsidRDefault="00E106E0" w:rsidP="00DE4DD6">
      <w:r w:rsidRPr="00487689">
        <w:t xml:space="preserve">The Ombudsman considers that an </w:t>
      </w:r>
      <w:r w:rsidR="007325DB" w:rsidRPr="00487689">
        <w:t>a</w:t>
      </w:r>
      <w:r w:rsidRPr="00487689">
        <w:t>pplicant’s intended or likely use or dissemination of the information may be taken into account for the limited purpose of determining whether disclosure could reasonably be expected to prejudice the protection of an individual’s right to privacy. This is because the FOI Act is intended to be administered with a pro-disclosure bias.</w:t>
      </w:r>
      <w:r w:rsidRPr="00487689">
        <w:rPr>
          <w:rStyle w:val="FootnoteReference"/>
        </w:rPr>
        <w:footnoteReference w:id="245"/>
      </w:r>
    </w:p>
    <w:p w14:paraId="3513346B" w14:textId="249C1401" w:rsidR="001028E7" w:rsidRDefault="00457A5C" w:rsidP="00B87CC6">
      <w:r w:rsidRPr="00487689">
        <w:t>Section 17(2)(f)</w:t>
      </w:r>
      <w:r w:rsidR="00937AEA" w:rsidRPr="00487689">
        <w:t xml:space="preserve"> </w:t>
      </w:r>
      <w:r w:rsidR="00E106E0" w:rsidRPr="00487689">
        <w:t>provides that decision-makers</w:t>
      </w:r>
      <w:r w:rsidR="00937AEA" w:rsidRPr="00487689">
        <w:t xml:space="preserve"> must not take into account an </w:t>
      </w:r>
      <w:r w:rsidR="00E106E0" w:rsidRPr="00487689">
        <w:t>applicant’s reason for seeking access to the information</w:t>
      </w:r>
      <w:r w:rsidR="00E07F0A">
        <w:t xml:space="preserve"> (see exception at </w:t>
      </w:r>
      <w:hyperlink w:anchor="_Information_requested_is" w:history="1">
        <w:r w:rsidR="00E07F0A" w:rsidRPr="00E07F0A">
          <w:rPr>
            <w:rStyle w:val="Hyperlink"/>
          </w:rPr>
          <w:t>[6.2]</w:t>
        </w:r>
      </w:hyperlink>
      <w:r w:rsidR="00E07F0A">
        <w:t xml:space="preserve"> above). </w:t>
      </w:r>
      <w:r w:rsidR="00F7156C" w:rsidRPr="00487689">
        <w:t>This</w:t>
      </w:r>
      <w:r w:rsidR="00E106E0" w:rsidRPr="00487689">
        <w:t xml:space="preserve"> should therefore not be interpreted as requiring decision-makers to assume disclosure of the information will be to the ‘world at large’. </w:t>
      </w:r>
    </w:p>
    <w:p w14:paraId="1A0FFF75" w14:textId="5A742744" w:rsidR="00E106E0" w:rsidRDefault="00E106E0" w:rsidP="00B87CC6">
      <w:r w:rsidRPr="00487689">
        <w:t>W</w:t>
      </w:r>
      <w:r w:rsidR="00F7156C" w:rsidRPr="00487689">
        <w:t>here there is evidence that the</w:t>
      </w:r>
      <w:r w:rsidRPr="00487689">
        <w:t xml:space="preserve"> applicant does not intend or is unlikely to widely disseminate the information, disclosure of the information may be less likely to prejudice the protection of an individual’s right to privacy.</w:t>
      </w:r>
      <w:r w:rsidRPr="00487689">
        <w:rPr>
          <w:rStyle w:val="FootnoteReference"/>
        </w:rPr>
        <w:footnoteReference w:id="246"/>
      </w:r>
    </w:p>
    <w:p w14:paraId="75D6A35B" w14:textId="230CA786" w:rsidR="00CB7D5A" w:rsidRDefault="00CB7D5A" w:rsidP="00CB7D5A">
      <w:pPr>
        <w:pStyle w:val="Heading5"/>
      </w:pPr>
      <w:r w:rsidRPr="00EA44E0">
        <w:t>Family violence</w:t>
      </w:r>
      <w:r>
        <w:t xml:space="preserve">  </w:t>
      </w:r>
    </w:p>
    <w:p w14:paraId="6B16FF88" w14:textId="01D9B99D" w:rsidR="004643B8" w:rsidRDefault="004643B8" w:rsidP="004643B8">
      <w:pPr>
        <w:ind w:right="545"/>
      </w:pPr>
      <w:r>
        <w:t xml:space="preserve">The FOI Act does not contain express provisions relating to </w:t>
      </w:r>
      <w:r w:rsidR="0099309E">
        <w:t xml:space="preserve">consideration of </w:t>
      </w:r>
      <w:r>
        <w:t>family violence. However, consideration</w:t>
      </w:r>
      <w:r w:rsidR="0099309E">
        <w:t xml:space="preserve"> of such matter</w:t>
      </w:r>
      <w:r>
        <w:t xml:space="preserve">s may be relevant when determining whether disclosure of personal information, including joint personal information, would be contrary to the public interest.  </w:t>
      </w:r>
    </w:p>
    <w:p w14:paraId="0FB9D11C" w14:textId="77777777" w:rsidR="004D0EA0" w:rsidRDefault="004D0EA0" w:rsidP="004D0EA0">
      <w:pPr>
        <w:ind w:right="545"/>
      </w:pPr>
      <w:r>
        <w:t xml:space="preserve">Where decision-makers are aware of allegations of family violence, it is important to first consider whether to deal with the application noting respondents can refuse: </w:t>
      </w:r>
    </w:p>
    <w:p w14:paraId="6697E1DB" w14:textId="7287F9EC" w:rsidR="004D0EA0" w:rsidRDefault="004D0EA0" w:rsidP="00EA44E0">
      <w:pPr>
        <w:pStyle w:val="ListParagraph"/>
        <w:numPr>
          <w:ilvl w:val="0"/>
          <w:numId w:val="153"/>
        </w:numPr>
        <w:ind w:right="545"/>
      </w:pPr>
      <w:r>
        <w:t>if the information is contrary to the public interest information and confirming or denying that the information is held by the respondent would, or could be reasonably expected to endanger the life or physical safety of a person; or be an unreasonable limitation on a person’s rights under the Human Rights Act; or significantly prejudice an ongoing criminal investigation;</w:t>
      </w:r>
      <w:r w:rsidR="00254F6E">
        <w:rPr>
          <w:rStyle w:val="FootnoteReference"/>
        </w:rPr>
        <w:footnoteReference w:id="247"/>
      </w:r>
      <w:r>
        <w:t xml:space="preserve"> or </w:t>
      </w:r>
    </w:p>
    <w:p w14:paraId="6BC081B9" w14:textId="1F426303" w:rsidR="004D0EA0" w:rsidRDefault="004D0EA0" w:rsidP="00EA44E0">
      <w:pPr>
        <w:pStyle w:val="ListParagraph"/>
        <w:numPr>
          <w:ilvl w:val="0"/>
          <w:numId w:val="153"/>
        </w:numPr>
        <w:ind w:right="545"/>
      </w:pPr>
      <w:r>
        <w:t>if dealing with the application would involve an abuse of process, including harassment or intimidation of a person, or an unreasonable request for personal information</w:t>
      </w:r>
      <w:r w:rsidR="0099309E">
        <w:t>.</w:t>
      </w:r>
      <w:r w:rsidR="00254F6E">
        <w:rPr>
          <w:rStyle w:val="FootnoteReference"/>
        </w:rPr>
        <w:footnoteReference w:id="248"/>
      </w:r>
      <w:r>
        <w:t xml:space="preserve"> </w:t>
      </w:r>
    </w:p>
    <w:p w14:paraId="04C6740F" w14:textId="5D48144C" w:rsidR="004D0EA0" w:rsidRDefault="004D0EA0" w:rsidP="004D0EA0">
      <w:pPr>
        <w:ind w:right="545"/>
      </w:pPr>
      <w:r>
        <w:t>Personal information of parties involved in family violence matters may be taken to be contrary to the public interest information under Schedule 1. For example, personal information may be protected under a family violence order where disclosure would be contempt of court or prohibited under law.</w:t>
      </w:r>
      <w:r w:rsidR="0014770C">
        <w:rPr>
          <w:rStyle w:val="FootnoteReference"/>
        </w:rPr>
        <w:footnoteReference w:id="249"/>
      </w:r>
      <w:r>
        <w:t xml:space="preserve">   </w:t>
      </w:r>
    </w:p>
    <w:p w14:paraId="667CE8BE" w14:textId="41261BAF" w:rsidR="003C0743" w:rsidRDefault="003C0743" w:rsidP="003C0743">
      <w:pPr>
        <w:ind w:right="545"/>
      </w:pPr>
      <w:r>
        <w:t xml:space="preserve">The objects of the </w:t>
      </w:r>
      <w:hyperlink r:id="rId68" w:history="1">
        <w:r w:rsidRPr="0081581E">
          <w:rPr>
            <w:rStyle w:val="Hyperlink"/>
            <w:i/>
            <w:iCs/>
          </w:rPr>
          <w:t>Family Violence Act 2016</w:t>
        </w:r>
      </w:hyperlink>
      <w:r>
        <w:t xml:space="preserve"> (</w:t>
      </w:r>
      <w:r w:rsidR="0072373E">
        <w:t>‘</w:t>
      </w:r>
      <w:r>
        <w:t>Family Violence Act</w:t>
      </w:r>
      <w:r w:rsidR="0072373E">
        <w:t>’</w:t>
      </w:r>
      <w:r>
        <w:t>) include to prevent and reduce family violence, ensure the safety and protection of people (including children) and encourage perpetrators of family violence to be accountable for their conduct.</w:t>
      </w:r>
      <w:r>
        <w:rPr>
          <w:rStyle w:val="FootnoteReference"/>
        </w:rPr>
        <w:footnoteReference w:id="250"/>
      </w:r>
      <w:r>
        <w:t xml:space="preserve"> </w:t>
      </w:r>
    </w:p>
    <w:p w14:paraId="60F9BBC1" w14:textId="77777777" w:rsidR="003C0743" w:rsidRDefault="003C0743" w:rsidP="003C0743">
      <w:r>
        <w:t>Family violence means any of the following behaviour by a person in relation to a family member of the person:</w:t>
      </w:r>
      <w:r>
        <w:rPr>
          <w:rStyle w:val="FootnoteReference"/>
        </w:rPr>
        <w:footnoteReference w:id="251"/>
      </w:r>
      <w:r>
        <w:t xml:space="preserve"> </w:t>
      </w:r>
    </w:p>
    <w:p w14:paraId="67A4C92E" w14:textId="77777777" w:rsidR="003C0743" w:rsidRDefault="003C0743" w:rsidP="003C0743">
      <w:pPr>
        <w:pStyle w:val="ListParagraph"/>
        <w:numPr>
          <w:ilvl w:val="0"/>
          <w:numId w:val="6"/>
        </w:numPr>
      </w:pPr>
      <w:r w:rsidRPr="00CB7D5A">
        <w:t>physical violence or abuse</w:t>
      </w:r>
    </w:p>
    <w:p w14:paraId="37C6E365" w14:textId="77777777" w:rsidR="003C0743" w:rsidRPr="00CB7D5A" w:rsidRDefault="003C0743" w:rsidP="003C0743">
      <w:pPr>
        <w:pStyle w:val="ListParagraph"/>
        <w:numPr>
          <w:ilvl w:val="0"/>
          <w:numId w:val="6"/>
        </w:numPr>
      </w:pPr>
      <w:r>
        <w:rPr>
          <w:color w:val="000000"/>
          <w:shd w:val="clear" w:color="auto" w:fill="FFFFFF"/>
        </w:rPr>
        <w:t>sexual violence or abuse</w:t>
      </w:r>
    </w:p>
    <w:p w14:paraId="640E72EE" w14:textId="77777777" w:rsidR="003C0743" w:rsidRPr="00CB7D5A" w:rsidRDefault="003C0743" w:rsidP="003C0743">
      <w:pPr>
        <w:pStyle w:val="ListParagraph"/>
        <w:numPr>
          <w:ilvl w:val="0"/>
          <w:numId w:val="6"/>
        </w:numPr>
      </w:pPr>
      <w:r>
        <w:rPr>
          <w:color w:val="000000"/>
          <w:shd w:val="clear" w:color="auto" w:fill="FFFFFF"/>
        </w:rPr>
        <w:t>emotional or psychological abuse</w:t>
      </w:r>
    </w:p>
    <w:p w14:paraId="195BFB1E" w14:textId="77777777" w:rsidR="003C0743" w:rsidRPr="00CB7D5A" w:rsidRDefault="003C0743" w:rsidP="003C0743">
      <w:pPr>
        <w:pStyle w:val="ListParagraph"/>
        <w:numPr>
          <w:ilvl w:val="0"/>
          <w:numId w:val="6"/>
        </w:numPr>
      </w:pPr>
      <w:r>
        <w:rPr>
          <w:color w:val="000000"/>
          <w:shd w:val="clear" w:color="auto" w:fill="FFFFFF"/>
        </w:rPr>
        <w:t>economic abuse</w:t>
      </w:r>
    </w:p>
    <w:p w14:paraId="78BD5B87" w14:textId="77777777" w:rsidR="003C0743" w:rsidRPr="00CB7D5A" w:rsidRDefault="003C0743" w:rsidP="003C0743">
      <w:pPr>
        <w:pStyle w:val="ListParagraph"/>
        <w:numPr>
          <w:ilvl w:val="0"/>
          <w:numId w:val="6"/>
        </w:numPr>
      </w:pPr>
      <w:r>
        <w:rPr>
          <w:color w:val="000000"/>
          <w:shd w:val="clear" w:color="auto" w:fill="FFFFFF"/>
        </w:rPr>
        <w:t>threatening behaviour</w:t>
      </w:r>
    </w:p>
    <w:p w14:paraId="136D3BA3" w14:textId="77777777" w:rsidR="003C0743" w:rsidRPr="00CB7D5A" w:rsidRDefault="003C0743" w:rsidP="003C0743">
      <w:pPr>
        <w:pStyle w:val="ListParagraph"/>
        <w:numPr>
          <w:ilvl w:val="0"/>
          <w:numId w:val="6"/>
        </w:numPr>
      </w:pPr>
      <w:r>
        <w:rPr>
          <w:color w:val="000000"/>
          <w:shd w:val="clear" w:color="auto" w:fill="FFFFFF"/>
        </w:rPr>
        <w:t xml:space="preserve">coercion or any other behaviour that – </w:t>
      </w:r>
    </w:p>
    <w:p w14:paraId="60959DC7" w14:textId="77777777" w:rsidR="003C0743" w:rsidRPr="00CB7D5A" w:rsidRDefault="003C0743" w:rsidP="003C0743">
      <w:pPr>
        <w:pStyle w:val="ListParagraph"/>
        <w:numPr>
          <w:ilvl w:val="1"/>
          <w:numId w:val="6"/>
        </w:numPr>
      </w:pPr>
      <w:r>
        <w:rPr>
          <w:color w:val="000000"/>
          <w:shd w:val="clear" w:color="auto" w:fill="FFFFFF"/>
        </w:rPr>
        <w:t>controls or dominates the family member; and</w:t>
      </w:r>
    </w:p>
    <w:p w14:paraId="66D2B2A8" w14:textId="77777777" w:rsidR="003C0743" w:rsidRPr="00CB7D5A" w:rsidRDefault="003C0743" w:rsidP="003C0743">
      <w:pPr>
        <w:pStyle w:val="ListParagraph"/>
        <w:numPr>
          <w:ilvl w:val="1"/>
          <w:numId w:val="6"/>
        </w:numPr>
      </w:pPr>
      <w:r>
        <w:rPr>
          <w:color w:val="000000"/>
          <w:shd w:val="clear" w:color="auto" w:fill="FFFFFF"/>
        </w:rPr>
        <w:t>causes the family member to feel fear for the safety or wellbeing of the family member or another person; or</w:t>
      </w:r>
    </w:p>
    <w:p w14:paraId="13273F22" w14:textId="7035CEEB" w:rsidR="003C0743" w:rsidRDefault="003C0743" w:rsidP="00EA44E0">
      <w:pPr>
        <w:pStyle w:val="ListParagraph"/>
        <w:numPr>
          <w:ilvl w:val="0"/>
          <w:numId w:val="6"/>
        </w:numPr>
        <w:ind w:right="545"/>
      </w:pPr>
      <w:r w:rsidRPr="00EA44E0">
        <w:rPr>
          <w:color w:val="000000"/>
          <w:shd w:val="clear" w:color="auto" w:fill="FFFFFF"/>
        </w:rPr>
        <w:t>behaviour that causes a child to hear, witness or otherwise be exposed to behaviour mentioned above, or the effects of the behaviour.</w:t>
      </w:r>
    </w:p>
    <w:p w14:paraId="78357C17" w14:textId="7183CC2B" w:rsidR="002672B3" w:rsidRDefault="00181C6D" w:rsidP="00973C48">
      <w:r>
        <w:t xml:space="preserve">When assessing the personal information of parties allegedly involved in family violence matters, decision-makers should consider if release of the information could reasonably be expected to </w:t>
      </w:r>
      <w:r w:rsidR="006373AA">
        <w:t xml:space="preserve">contribute to, or facilitate the behaviours listed above. </w:t>
      </w:r>
    </w:p>
    <w:p w14:paraId="40405E65" w14:textId="77777777" w:rsidR="00B941E5" w:rsidRPr="00DD1AA2" w:rsidRDefault="00B941E5" w:rsidP="00B941E5">
      <w:r>
        <w:t xml:space="preserve">For example, decision-makers may identify the release of the residential address of an individual who has experienced family violence could reasonably be expected to prejudice the protection of their right to privacy or any other right under the Human Rights Act as that individual may be located and exposed to threatening behaviour. </w:t>
      </w:r>
    </w:p>
    <w:p w14:paraId="03DBBFDA" w14:textId="34483F2E" w:rsidR="00A644AE" w:rsidRDefault="00A644AE" w:rsidP="00973C48">
      <w:pPr>
        <w:rPr>
          <w:color w:val="000000"/>
          <w:shd w:val="clear" w:color="auto" w:fill="FFFFFF"/>
        </w:rPr>
      </w:pPr>
      <w:r>
        <w:t xml:space="preserve">Decision-makers may take into account the applicant’s identity, circumstances, and reasons for seeking access when deciding whether </w:t>
      </w:r>
      <w:r>
        <w:rPr>
          <w:color w:val="000000"/>
          <w:shd w:val="clear" w:color="auto" w:fill="FFFFFF"/>
        </w:rPr>
        <w:t xml:space="preserve">disclosure of the personal information of another person would, on balance, be contrary to the public interest (see </w:t>
      </w:r>
      <w:hyperlink w:anchor="_Information_requested_is" w:history="1">
        <w:r w:rsidRPr="00973C48">
          <w:rPr>
            <w:rStyle w:val="Hyperlink"/>
            <w:shd w:val="clear" w:color="auto" w:fill="FFFFFF"/>
          </w:rPr>
          <w:t>[6.2]</w:t>
        </w:r>
      </w:hyperlink>
      <w:r>
        <w:rPr>
          <w:color w:val="000000"/>
          <w:shd w:val="clear" w:color="auto" w:fill="FFFFFF"/>
        </w:rPr>
        <w:t xml:space="preserve"> above). </w:t>
      </w:r>
    </w:p>
    <w:p w14:paraId="0FFD5935" w14:textId="683C9311" w:rsidR="00B941E5" w:rsidRPr="00A644AE" w:rsidRDefault="00B941E5" w:rsidP="00973C48">
      <w:pPr>
        <w:rPr>
          <w:color w:val="000000"/>
          <w:shd w:val="clear" w:color="auto" w:fill="FFFFFF"/>
        </w:rPr>
      </w:pPr>
      <w:r>
        <w:t>For example, a factor favouring nondisclosure which may apply to joint personal financial information is that disclosure could reasonably be expected to expose a person to economic abuse by a family member.</w:t>
      </w:r>
    </w:p>
    <w:p w14:paraId="3E4FE05A" w14:textId="65B75E9B" w:rsidR="008A662D" w:rsidRDefault="008A662D" w:rsidP="00EE661D">
      <w:pPr>
        <w:pStyle w:val="Heading5"/>
      </w:pPr>
      <w:bookmarkStart w:id="779" w:name="_Should_the_names"/>
      <w:bookmarkEnd w:id="779"/>
      <w:r>
        <w:t>Should the names of agency staff be disclosed</w:t>
      </w:r>
      <w:r w:rsidR="005A61B8">
        <w:t>?</w:t>
      </w:r>
    </w:p>
    <w:p w14:paraId="1207B674" w14:textId="77777777" w:rsidR="00713CFE" w:rsidRDefault="00DE4DD6" w:rsidP="00EE661D">
      <w:r>
        <w:t>T</w:t>
      </w:r>
      <w:r w:rsidR="005B7153">
        <w:t xml:space="preserve">he disclosure of information about agency or Ministerial staff will </w:t>
      </w:r>
      <w:r w:rsidR="005B7153" w:rsidRPr="00E85BD9">
        <w:rPr>
          <w:b/>
        </w:rPr>
        <w:t>not</w:t>
      </w:r>
      <w:r w:rsidR="00E85BD9">
        <w:t xml:space="preserve"> </w:t>
      </w:r>
      <w:r>
        <w:t xml:space="preserve">generally </w:t>
      </w:r>
      <w:r w:rsidR="00E85BD9">
        <w:t xml:space="preserve">be considered to </w:t>
      </w:r>
      <w:r w:rsidR="005B7153">
        <w:t>prejudice the protection of the individual’s right to privacy where the information is wholly related to the individual’s routine day-to-day work activities.</w:t>
      </w:r>
      <w:r w:rsidR="005B7153">
        <w:rPr>
          <w:rStyle w:val="FootnoteReference"/>
        </w:rPr>
        <w:footnoteReference w:id="252"/>
      </w:r>
      <w:r w:rsidR="005B7153">
        <w:t xml:space="preserve"> </w:t>
      </w:r>
    </w:p>
    <w:p w14:paraId="5FD86BD3" w14:textId="77777777" w:rsidR="004432E3" w:rsidRDefault="007C4B19" w:rsidP="005B7153">
      <w:r>
        <w:t>T</w:t>
      </w:r>
      <w:r w:rsidRPr="007C4B19">
        <w:t xml:space="preserve">he definition of ‘personal information’ in the </w:t>
      </w:r>
      <w:r>
        <w:t>Dictionary to the FOI Act</w:t>
      </w:r>
      <w:r w:rsidRPr="007C4B19">
        <w:t xml:space="preserve"> </w:t>
      </w:r>
      <w:r>
        <w:t>provides that</w:t>
      </w:r>
      <w:r w:rsidRPr="007C4B19">
        <w:t xml:space="preserve"> for an individual who is or has been an officer of an agency or staff member of a Minister, personal information does </w:t>
      </w:r>
      <w:r w:rsidRPr="006E19A3">
        <w:rPr>
          <w:b/>
        </w:rPr>
        <w:t>not include</w:t>
      </w:r>
      <w:r w:rsidRPr="007C4B19">
        <w:t xml:space="preserve"> information about the individual’s position or functions as an officer or staff member, or things done by the individual in exercising functions as an officer or staff member</w:t>
      </w:r>
      <w:r>
        <w:t xml:space="preserve">. </w:t>
      </w:r>
    </w:p>
    <w:p w14:paraId="77BBB973" w14:textId="39507D01" w:rsidR="00E85BD9" w:rsidRDefault="007C4B19" w:rsidP="005B7153">
      <w:r>
        <w:t>Disclosure of</w:t>
      </w:r>
      <w:r w:rsidR="005B7153">
        <w:t xml:space="preserve"> information </w:t>
      </w:r>
      <w:r>
        <w:t xml:space="preserve">that </w:t>
      </w:r>
      <w:r w:rsidR="005B7153">
        <w:t>will only reveal that the individual i</w:t>
      </w:r>
      <w:r w:rsidR="003D6FD0">
        <w:t>s performing their work duties, is considered to contribute to accountability and transparency of government action and decision-making.</w:t>
      </w:r>
    </w:p>
    <w:p w14:paraId="7F61BC26" w14:textId="4EAD5ACF" w:rsidR="001E26B2" w:rsidRDefault="00800E4E" w:rsidP="00FF3202">
      <w:pPr>
        <w:ind w:right="-306"/>
      </w:pPr>
      <w:r>
        <w:t xml:space="preserve">For </w:t>
      </w:r>
      <w:r w:rsidR="001E26B2">
        <w:t xml:space="preserve">public servant </w:t>
      </w:r>
      <w:r>
        <w:t>names to be withheld</w:t>
      </w:r>
      <w:r w:rsidR="003947EB">
        <w:t xml:space="preserve"> </w:t>
      </w:r>
      <w:r w:rsidR="007C4B19">
        <w:t xml:space="preserve">from disclosure </w:t>
      </w:r>
      <w:r w:rsidR="003947EB">
        <w:t>on privacy grounds</w:t>
      </w:r>
      <w:r>
        <w:t>, the Ombudsman considers that</w:t>
      </w:r>
      <w:r w:rsidR="001E26B2">
        <w:t>:</w:t>
      </w:r>
    </w:p>
    <w:p w14:paraId="488AC599" w14:textId="596AF8EC" w:rsidR="005B7153" w:rsidRDefault="00800E4E" w:rsidP="008712A5">
      <w:pPr>
        <w:pStyle w:val="ListParagraph"/>
        <w:numPr>
          <w:ilvl w:val="0"/>
          <w:numId w:val="52"/>
        </w:numPr>
        <w:ind w:right="-306"/>
      </w:pPr>
      <w:r>
        <w:t xml:space="preserve">the information would need to be </w:t>
      </w:r>
      <w:r w:rsidR="005B7153" w:rsidRPr="001E26B2">
        <w:rPr>
          <w:b/>
        </w:rPr>
        <w:t>not</w:t>
      </w:r>
      <w:r w:rsidR="005B7153">
        <w:t xml:space="preserve"> wholly related to routine day-to-day work activities</w:t>
      </w:r>
      <w:r w:rsidR="001E26B2">
        <w:t xml:space="preserve"> – for example, information about:</w:t>
      </w:r>
    </w:p>
    <w:p w14:paraId="0ECB5B46" w14:textId="77777777" w:rsidR="005B7153" w:rsidRDefault="005B7153" w:rsidP="008712A5">
      <w:pPr>
        <w:pStyle w:val="ListParagraph"/>
        <w:numPr>
          <w:ilvl w:val="1"/>
          <w:numId w:val="52"/>
        </w:numPr>
      </w:pPr>
      <w:r>
        <w:t>workplace complaints or investigations</w:t>
      </w:r>
      <w:r>
        <w:rPr>
          <w:rStyle w:val="FootnoteReference"/>
        </w:rPr>
        <w:footnoteReference w:id="253"/>
      </w:r>
      <w:r>
        <w:t xml:space="preserve"> </w:t>
      </w:r>
    </w:p>
    <w:p w14:paraId="2A7933FE" w14:textId="3777A9A1" w:rsidR="005B7153" w:rsidRDefault="005B7153" w:rsidP="008712A5">
      <w:pPr>
        <w:pStyle w:val="ListParagraph"/>
        <w:numPr>
          <w:ilvl w:val="1"/>
          <w:numId w:val="52"/>
        </w:numPr>
      </w:pPr>
      <w:r>
        <w:t>recruitment processes or performance reviews</w:t>
      </w:r>
      <w:r>
        <w:rPr>
          <w:rStyle w:val="FootnoteReference"/>
        </w:rPr>
        <w:footnoteReference w:id="254"/>
      </w:r>
    </w:p>
    <w:p w14:paraId="0DD34F1E" w14:textId="77777777" w:rsidR="00800E4E" w:rsidRDefault="005B7153" w:rsidP="008712A5">
      <w:pPr>
        <w:pStyle w:val="ListParagraph"/>
        <w:numPr>
          <w:ilvl w:val="1"/>
          <w:numId w:val="52"/>
        </w:numPr>
      </w:pPr>
      <w:r>
        <w:t>reasonable personal use of staff e</w:t>
      </w:r>
      <w:r w:rsidR="00800E4E">
        <w:t>mails, devices or ICT resources</w:t>
      </w:r>
      <w:r>
        <w:rPr>
          <w:rStyle w:val="FootnoteReference"/>
        </w:rPr>
        <w:footnoteReference w:id="255"/>
      </w:r>
    </w:p>
    <w:p w14:paraId="78024C37" w14:textId="3455B6C0" w:rsidR="00A632AF" w:rsidRDefault="00800E4E" w:rsidP="008712A5">
      <w:pPr>
        <w:pStyle w:val="ListParagraph"/>
        <w:numPr>
          <w:ilvl w:val="1"/>
          <w:numId w:val="52"/>
        </w:numPr>
      </w:pPr>
      <w:r>
        <w:t>reasons for personal leave</w:t>
      </w:r>
      <w:r w:rsidR="005B7153">
        <w:t xml:space="preserve"> </w:t>
      </w:r>
    </w:p>
    <w:p w14:paraId="5750A0BE" w14:textId="530DD266" w:rsidR="00696FE4" w:rsidRDefault="00696FE4" w:rsidP="008712A5">
      <w:pPr>
        <w:pStyle w:val="ListParagraph"/>
        <w:numPr>
          <w:ilvl w:val="1"/>
          <w:numId w:val="52"/>
        </w:numPr>
      </w:pPr>
      <w:r>
        <w:t>job applications and/or resumes</w:t>
      </w:r>
      <w:r w:rsidR="0099309E">
        <w:t>, or</w:t>
      </w:r>
    </w:p>
    <w:p w14:paraId="07EF3D14" w14:textId="3353E9C8" w:rsidR="001E26B2" w:rsidRDefault="001E26B2" w:rsidP="008712A5">
      <w:pPr>
        <w:pStyle w:val="ListParagraph"/>
        <w:numPr>
          <w:ilvl w:val="0"/>
          <w:numId w:val="52"/>
        </w:numPr>
      </w:pPr>
      <w:r>
        <w:t xml:space="preserve">there needs to be some additional reasons or </w:t>
      </w:r>
      <w:r w:rsidRPr="003947EB">
        <w:rPr>
          <w:b/>
        </w:rPr>
        <w:t>special circu</w:t>
      </w:r>
      <w:r w:rsidR="009D1A6F" w:rsidRPr="003947EB">
        <w:rPr>
          <w:b/>
        </w:rPr>
        <w:t>mstances</w:t>
      </w:r>
      <w:r w:rsidR="009D1A6F">
        <w:t xml:space="preserve"> – for example, where</w:t>
      </w:r>
      <w:r w:rsidR="003947EB">
        <w:t> </w:t>
      </w:r>
      <w:r w:rsidR="009D1A6F">
        <w:t>disclosure could:</w:t>
      </w:r>
    </w:p>
    <w:p w14:paraId="2ADC6E70" w14:textId="4DAC6E4E" w:rsidR="009D1A6F" w:rsidRDefault="009D1A6F" w:rsidP="008712A5">
      <w:pPr>
        <w:pStyle w:val="ListParagraph"/>
        <w:numPr>
          <w:ilvl w:val="1"/>
          <w:numId w:val="52"/>
        </w:numPr>
      </w:pPr>
      <w:r>
        <w:t>affect the personal safety of officers</w:t>
      </w:r>
    </w:p>
    <w:p w14:paraId="6B108485" w14:textId="0167700D" w:rsidR="009D1A6F" w:rsidRDefault="009D1A6F" w:rsidP="008712A5">
      <w:pPr>
        <w:pStyle w:val="ListParagraph"/>
        <w:numPr>
          <w:ilvl w:val="1"/>
          <w:numId w:val="52"/>
        </w:numPr>
      </w:pPr>
      <w:r>
        <w:t>lead to harassment or intimidation of officers</w:t>
      </w:r>
    </w:p>
    <w:p w14:paraId="0D372DD2" w14:textId="7542DA9C" w:rsidR="009D1A6F" w:rsidRDefault="009D1A6F" w:rsidP="008712A5">
      <w:pPr>
        <w:pStyle w:val="ListParagraph"/>
        <w:numPr>
          <w:ilvl w:val="1"/>
          <w:numId w:val="52"/>
        </w:numPr>
      </w:pPr>
      <w:r>
        <w:t>cause detriment to the family members of an officer</w:t>
      </w:r>
    </w:p>
    <w:p w14:paraId="20C976EE" w14:textId="37996F68" w:rsidR="00CA11C1" w:rsidRDefault="00CA11C1" w:rsidP="008712A5">
      <w:pPr>
        <w:pStyle w:val="ListParagraph"/>
        <w:numPr>
          <w:ilvl w:val="1"/>
          <w:numId w:val="52"/>
        </w:numPr>
      </w:pPr>
      <w:r>
        <w:t>result in officers being targeted for abuse on the internet</w:t>
      </w:r>
      <w:r w:rsidR="00660D03">
        <w:t>.</w:t>
      </w:r>
    </w:p>
    <w:p w14:paraId="7AE08F9E" w14:textId="77777777" w:rsidR="003947EB" w:rsidRDefault="00CA11C1" w:rsidP="00B87CC6">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Pr>
          <w:b/>
        </w:rPr>
        <w:t>Note:</w:t>
      </w:r>
    </w:p>
    <w:p w14:paraId="242C277E" w14:textId="2431B091" w:rsidR="003947EB" w:rsidRPr="003947EB" w:rsidRDefault="003947EB" w:rsidP="00B87CC6">
      <w:pPr>
        <w:pStyle w:val="ListParagraph"/>
        <w:keepNext/>
        <w:keepLines/>
        <w:numPr>
          <w:ilvl w:val="0"/>
          <w:numId w:val="115"/>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The Ombudsman considers that alongside a public servant’s name, it would not be unreasonable to release their position and work contact details (for example, work phone number and email address). It is, however, reasonable to redact more personal details such as dates and places of birth, signatures,</w:t>
      </w:r>
      <w:r w:rsidR="007065C1">
        <w:t xml:space="preserve"> personal email addresses</w:t>
      </w:r>
      <w:r>
        <w:t xml:space="preserve"> and personal mobile telephone numbers.</w:t>
      </w:r>
      <w:r w:rsidR="007065C1">
        <w:rPr>
          <w:rStyle w:val="FootnoteReference"/>
        </w:rPr>
        <w:footnoteReference w:id="256"/>
      </w:r>
      <w:r>
        <w:t xml:space="preserve"> </w:t>
      </w:r>
    </w:p>
    <w:p w14:paraId="39BB0444" w14:textId="499EBBFB" w:rsidR="003947EB" w:rsidRPr="003947EB" w:rsidRDefault="003947EB" w:rsidP="00B87CC6">
      <w:pPr>
        <w:pStyle w:val="ListParagraph"/>
        <w:numPr>
          <w:ilvl w:val="0"/>
          <w:numId w:val="115"/>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 xml:space="preserve">Whether work mobile </w:t>
      </w:r>
      <w:r w:rsidR="00217C22">
        <w:t>tele</w:t>
      </w:r>
      <w:r>
        <w:t xml:space="preserve">phone numbers should be released </w:t>
      </w:r>
      <w:r w:rsidR="00DE4DD6">
        <w:t xml:space="preserve">is likely to </w:t>
      </w:r>
      <w:r w:rsidR="000B56E1">
        <w:t>depend on the circumstances</w:t>
      </w:r>
      <w:r w:rsidR="000B56E1">
        <w:rPr>
          <w:rFonts w:ascii="Calibri" w:hAnsi="Calibri" w:cs="Calibri"/>
        </w:rPr>
        <w:t>—</w:t>
      </w:r>
      <w:r>
        <w:t>for example, whether the number is commonly released externally and/or include</w:t>
      </w:r>
      <w:r w:rsidR="008B021A">
        <w:t>d</w:t>
      </w:r>
      <w:r>
        <w:t xml:space="preserve"> in the signature block of the officer.</w:t>
      </w:r>
    </w:p>
    <w:p w14:paraId="23A7DE73" w14:textId="508E5C10" w:rsidR="00CA11C1" w:rsidRDefault="00CA11C1" w:rsidP="00B87CC6">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There is no blanket </w:t>
      </w:r>
      <w:r w:rsidR="00FB4590">
        <w:t>rule that</w:t>
      </w:r>
      <w:r>
        <w:t xml:space="preserve"> the names of junior public servants can be withheld from disclosure. The</w:t>
      </w:r>
      <w:r w:rsidR="00713CFE">
        <w:t> </w:t>
      </w:r>
      <w:r>
        <w:t>commentary above applies to public servants at all levels.</w:t>
      </w:r>
    </w:p>
    <w:p w14:paraId="3834F1E2" w14:textId="12504540" w:rsidR="005B7153" w:rsidRPr="005A61B8" w:rsidRDefault="005B7153" w:rsidP="00DE4DD6">
      <w:pPr>
        <w:pStyle w:val="Heading4"/>
      </w:pPr>
      <w:r w:rsidRPr="005A61B8">
        <w:t>Other rights under HR Act</w:t>
      </w:r>
    </w:p>
    <w:p w14:paraId="20A2C00E" w14:textId="6DDC3F08" w:rsidR="007B6AFB" w:rsidRDefault="007B6AFB" w:rsidP="007B6AFB">
      <w:r w:rsidRPr="00B12028">
        <w:t xml:space="preserve">Parts </w:t>
      </w:r>
      <w:r w:rsidRPr="0014401B">
        <w:t>3</w:t>
      </w:r>
      <w:r w:rsidRPr="00B12028">
        <w:t xml:space="preserve"> and </w:t>
      </w:r>
      <w:r w:rsidRPr="0014401B">
        <w:t>3A</w:t>
      </w:r>
      <w:r w:rsidRPr="00235B5D">
        <w:t xml:space="preserve"> of the</w:t>
      </w:r>
      <w:r>
        <w:t xml:space="preserve"> HR Act</w:t>
      </w:r>
      <w:r w:rsidRPr="007B6AFB">
        <w:rPr>
          <w:i/>
        </w:rPr>
        <w:t xml:space="preserve"> </w:t>
      </w:r>
      <w:r w:rsidRPr="00235B5D">
        <w:t xml:space="preserve">recognise </w:t>
      </w:r>
      <w:r>
        <w:t xml:space="preserve">various </w:t>
      </w:r>
      <w:r w:rsidRPr="00235B5D">
        <w:t xml:space="preserve">rights </w:t>
      </w:r>
      <w:r>
        <w:t>summarised as follows:</w:t>
      </w:r>
    </w:p>
    <w:p w14:paraId="1EAEAC55" w14:textId="77777777" w:rsidR="007B6AFB" w:rsidRDefault="007B6AFB" w:rsidP="009B05C4">
      <w:pPr>
        <w:pStyle w:val="ListParagraph"/>
        <w:numPr>
          <w:ilvl w:val="0"/>
          <w:numId w:val="95"/>
        </w:numPr>
      </w:pPr>
      <w:r>
        <w:t>the right to recognition as a person and equality before the law (s 8)</w:t>
      </w:r>
    </w:p>
    <w:p w14:paraId="2E160B27" w14:textId="77777777" w:rsidR="007B6AFB" w:rsidRDefault="007B6AFB" w:rsidP="009B05C4">
      <w:pPr>
        <w:pStyle w:val="ListParagraph"/>
        <w:numPr>
          <w:ilvl w:val="0"/>
          <w:numId w:val="95"/>
        </w:numPr>
      </w:pPr>
      <w:r>
        <w:t>the right to life (s 9)</w:t>
      </w:r>
    </w:p>
    <w:p w14:paraId="1EB69B94" w14:textId="77777777" w:rsidR="007B6AFB" w:rsidRDefault="007B6AFB" w:rsidP="009B05C4">
      <w:pPr>
        <w:pStyle w:val="ListParagraph"/>
        <w:numPr>
          <w:ilvl w:val="0"/>
          <w:numId w:val="95"/>
        </w:numPr>
      </w:pPr>
      <w:r>
        <w:t>protection from torture and cruel, inhuman or degrading treatment (s 10)</w:t>
      </w:r>
    </w:p>
    <w:p w14:paraId="5E7B5062" w14:textId="77777777" w:rsidR="007B6AFB" w:rsidRDefault="007B6AFB" w:rsidP="009B05C4">
      <w:pPr>
        <w:pStyle w:val="ListParagraph"/>
        <w:numPr>
          <w:ilvl w:val="0"/>
          <w:numId w:val="95"/>
        </w:numPr>
      </w:pPr>
      <w:r>
        <w:t>protection of the family and children (s 11)</w:t>
      </w:r>
    </w:p>
    <w:p w14:paraId="3BC7B4B7" w14:textId="77777777" w:rsidR="007B6AFB" w:rsidRDefault="007B6AFB" w:rsidP="009B05C4">
      <w:pPr>
        <w:pStyle w:val="ListParagraph"/>
        <w:numPr>
          <w:ilvl w:val="0"/>
          <w:numId w:val="95"/>
        </w:numPr>
      </w:pPr>
      <w:r>
        <w:t>the right to not have privacy, family, home or correspondence unlawfully or arbitrarily interfered with or reputation unlawfully attacked (s 12)</w:t>
      </w:r>
    </w:p>
    <w:p w14:paraId="776CA6A5" w14:textId="77777777" w:rsidR="007B6AFB" w:rsidRDefault="007B6AFB" w:rsidP="009B05C4">
      <w:pPr>
        <w:pStyle w:val="ListParagraph"/>
        <w:numPr>
          <w:ilvl w:val="0"/>
          <w:numId w:val="95"/>
        </w:numPr>
      </w:pPr>
      <w:r>
        <w:t>the right to freedom of movement (s 13)</w:t>
      </w:r>
    </w:p>
    <w:p w14:paraId="1E4203CD" w14:textId="77777777" w:rsidR="007B6AFB" w:rsidRDefault="007B6AFB" w:rsidP="009B05C4">
      <w:pPr>
        <w:pStyle w:val="ListParagraph"/>
        <w:numPr>
          <w:ilvl w:val="0"/>
          <w:numId w:val="95"/>
        </w:numPr>
      </w:pPr>
      <w:r>
        <w:t>the right to freedom of thought, conscience, religion and belief (s 14)</w:t>
      </w:r>
    </w:p>
    <w:p w14:paraId="65988CB0" w14:textId="77777777" w:rsidR="007B6AFB" w:rsidRDefault="007B6AFB" w:rsidP="009B05C4">
      <w:pPr>
        <w:pStyle w:val="ListParagraph"/>
        <w:numPr>
          <w:ilvl w:val="0"/>
          <w:numId w:val="95"/>
        </w:numPr>
      </w:pPr>
      <w:r>
        <w:t>the right of peaceful assembly and freedom of association (s 15)</w:t>
      </w:r>
    </w:p>
    <w:p w14:paraId="285A2523" w14:textId="77777777" w:rsidR="007B6AFB" w:rsidRDefault="007B6AFB" w:rsidP="009B05C4">
      <w:pPr>
        <w:pStyle w:val="ListParagraph"/>
        <w:numPr>
          <w:ilvl w:val="0"/>
          <w:numId w:val="95"/>
        </w:numPr>
      </w:pPr>
      <w:r>
        <w:t>the right to hold opinions without interference and freedom of expression (s 16)</w:t>
      </w:r>
    </w:p>
    <w:p w14:paraId="254F8A74" w14:textId="77777777" w:rsidR="007B6AFB" w:rsidRDefault="007B6AFB" w:rsidP="009B05C4">
      <w:pPr>
        <w:pStyle w:val="ListParagraph"/>
        <w:numPr>
          <w:ilvl w:val="0"/>
          <w:numId w:val="95"/>
        </w:numPr>
      </w:pPr>
      <w:r>
        <w:t>the right to take part in public life (s 17)</w:t>
      </w:r>
    </w:p>
    <w:p w14:paraId="777F5CB4" w14:textId="77777777" w:rsidR="007B6AFB" w:rsidRDefault="007B6AFB" w:rsidP="009B05C4">
      <w:pPr>
        <w:pStyle w:val="ListParagraph"/>
        <w:numPr>
          <w:ilvl w:val="0"/>
          <w:numId w:val="95"/>
        </w:numPr>
      </w:pPr>
      <w:r>
        <w:t>the right to liberty and security of person (s 18)</w:t>
      </w:r>
    </w:p>
    <w:p w14:paraId="6C145A0D" w14:textId="77777777" w:rsidR="007B6AFB" w:rsidRDefault="007B6AFB" w:rsidP="009B05C4">
      <w:pPr>
        <w:pStyle w:val="ListParagraph"/>
        <w:numPr>
          <w:ilvl w:val="0"/>
          <w:numId w:val="95"/>
        </w:numPr>
      </w:pPr>
      <w:r>
        <w:t>the right to humane treatment when deprived of liberty (s 19)</w:t>
      </w:r>
    </w:p>
    <w:p w14:paraId="63CF9DE1" w14:textId="77777777" w:rsidR="007B6AFB" w:rsidRDefault="007B6AFB" w:rsidP="009B05C4">
      <w:pPr>
        <w:pStyle w:val="ListParagraph"/>
        <w:numPr>
          <w:ilvl w:val="0"/>
          <w:numId w:val="95"/>
        </w:numPr>
      </w:pPr>
      <w:r>
        <w:t>rights surrounding the treatment of children in the criminal process (s 20)</w:t>
      </w:r>
    </w:p>
    <w:p w14:paraId="2EE8B601" w14:textId="77777777" w:rsidR="007B6AFB" w:rsidRDefault="007B6AFB" w:rsidP="009B05C4">
      <w:pPr>
        <w:pStyle w:val="ListParagraph"/>
        <w:numPr>
          <w:ilvl w:val="0"/>
          <w:numId w:val="95"/>
        </w:numPr>
      </w:pPr>
      <w:r>
        <w:t>the right to a fair trial (s 21)</w:t>
      </w:r>
    </w:p>
    <w:p w14:paraId="309B021B" w14:textId="77777777" w:rsidR="007B6AFB" w:rsidRDefault="007B6AFB" w:rsidP="009B05C4">
      <w:pPr>
        <w:pStyle w:val="ListParagraph"/>
        <w:numPr>
          <w:ilvl w:val="0"/>
          <w:numId w:val="95"/>
        </w:numPr>
      </w:pPr>
      <w:r>
        <w:t>the right to be presumed innocent until proved guilty according to law (s 22)</w:t>
      </w:r>
    </w:p>
    <w:p w14:paraId="45AC930F" w14:textId="77777777" w:rsidR="007B6AFB" w:rsidRDefault="007B6AFB" w:rsidP="009B05C4">
      <w:pPr>
        <w:pStyle w:val="ListParagraph"/>
        <w:numPr>
          <w:ilvl w:val="0"/>
          <w:numId w:val="95"/>
        </w:numPr>
      </w:pPr>
      <w:r>
        <w:t>the right to compensation for wrongful conviction (s 23)</w:t>
      </w:r>
    </w:p>
    <w:p w14:paraId="08928AB5" w14:textId="77777777" w:rsidR="007B6AFB" w:rsidRDefault="007B6AFB" w:rsidP="009B05C4">
      <w:pPr>
        <w:pStyle w:val="ListParagraph"/>
        <w:numPr>
          <w:ilvl w:val="0"/>
          <w:numId w:val="95"/>
        </w:numPr>
      </w:pPr>
      <w:r>
        <w:t>the right not to be tried or punished more than once (s 24)</w:t>
      </w:r>
    </w:p>
    <w:p w14:paraId="78DFF693" w14:textId="77777777" w:rsidR="007B6AFB" w:rsidRPr="007B6AFB" w:rsidRDefault="007B6AFB" w:rsidP="009B05C4">
      <w:pPr>
        <w:pStyle w:val="ListParagraph"/>
        <w:numPr>
          <w:ilvl w:val="0"/>
          <w:numId w:val="95"/>
        </w:numPr>
      </w:pPr>
      <w:r>
        <w:t>the right not to be held guilty of a criminal offence in circumstances where the conduct was not a criminal offence at the time it was engaged in (s 25)</w:t>
      </w:r>
    </w:p>
    <w:p w14:paraId="430367C7" w14:textId="77777777" w:rsidR="007B6AFB" w:rsidRDefault="007B6AFB" w:rsidP="009B05C4">
      <w:pPr>
        <w:pStyle w:val="ListParagraph"/>
        <w:numPr>
          <w:ilvl w:val="0"/>
          <w:numId w:val="95"/>
        </w:numPr>
      </w:pPr>
      <w:r>
        <w:t>the right to freedom from forced work (slavery or servitude, forced or compulsory labour) (s 26)</w:t>
      </w:r>
    </w:p>
    <w:p w14:paraId="74B1193A" w14:textId="4CA9611A" w:rsidR="007B6AFB" w:rsidRDefault="007B6AFB" w:rsidP="009B05C4">
      <w:pPr>
        <w:pStyle w:val="ListParagraph"/>
        <w:numPr>
          <w:ilvl w:val="0"/>
          <w:numId w:val="95"/>
        </w:numPr>
        <w:ind w:right="-448"/>
      </w:pPr>
      <w:r>
        <w:t>cultural and other rights of Aboriginal and Torres Strait Islander peoples and other minorities (s 27), and</w:t>
      </w:r>
    </w:p>
    <w:p w14:paraId="18FF0D39" w14:textId="3F585FC3" w:rsidR="007B6AFB" w:rsidRDefault="007B6AFB" w:rsidP="009B05C4">
      <w:pPr>
        <w:pStyle w:val="ListParagraph"/>
        <w:numPr>
          <w:ilvl w:val="0"/>
          <w:numId w:val="95"/>
        </w:numPr>
      </w:pPr>
      <w:r>
        <w:t>the right to education (s 27A).</w:t>
      </w:r>
    </w:p>
    <w:p w14:paraId="2688670A" w14:textId="410C8EEF" w:rsidR="00A632AF" w:rsidRDefault="00A632AF" w:rsidP="00713CFE">
      <w:r w:rsidRPr="00A632AF">
        <w:t xml:space="preserve">The ACT HRC has a collection of factsheets available on their </w:t>
      </w:r>
      <w:hyperlink r:id="rId69" w:history="1">
        <w:r w:rsidRPr="00B6695B">
          <w:rPr>
            <w:rStyle w:val="Hyperlink"/>
          </w:rPr>
          <w:t>website</w:t>
        </w:r>
      </w:hyperlink>
      <w:r w:rsidRPr="00A632AF">
        <w:t xml:space="preserve"> on each of the rights under the HR Act</w:t>
      </w:r>
      <w:r w:rsidR="003947EB">
        <w:t xml:space="preserve"> </w:t>
      </w:r>
      <w:r w:rsidRPr="00A632AF">
        <w:t xml:space="preserve">which may provide useful </w:t>
      </w:r>
      <w:r w:rsidR="00746F0E">
        <w:t xml:space="preserve">guidance for </w:t>
      </w:r>
      <w:r w:rsidRPr="00A632AF">
        <w:t>decision</w:t>
      </w:r>
      <w:r w:rsidR="00C13660">
        <w:t>-</w:t>
      </w:r>
      <w:r w:rsidRPr="00A632AF">
        <w:t>makers</w:t>
      </w:r>
      <w:r w:rsidR="003947EB">
        <w:t xml:space="preserve"> when assessing whether </w:t>
      </w:r>
      <w:r w:rsidR="003947EB" w:rsidRPr="00C017DA">
        <w:t xml:space="preserve">disclosure </w:t>
      </w:r>
      <w:r w:rsidR="003947EB" w:rsidRPr="000139CD">
        <w:t>could reasonably be expected</w:t>
      </w:r>
      <w:r w:rsidR="003947EB" w:rsidRPr="00C017DA">
        <w:t xml:space="preserve"> to </w:t>
      </w:r>
      <w:r w:rsidR="003947EB" w:rsidRPr="000139CD">
        <w:t>prejudice</w:t>
      </w:r>
      <w:r w:rsidR="003947EB" w:rsidRPr="00C017DA">
        <w:t xml:space="preserve"> one of these rights.</w:t>
      </w:r>
    </w:p>
    <w:tbl>
      <w:tblPr>
        <w:tblStyle w:val="TableGrid"/>
        <w:tblW w:w="0" w:type="auto"/>
        <w:tblLook w:val="04A0" w:firstRow="1" w:lastRow="0" w:firstColumn="1" w:lastColumn="0" w:noHBand="0" w:noVBand="1"/>
      </w:tblPr>
      <w:tblGrid>
        <w:gridCol w:w="9607"/>
      </w:tblGrid>
      <w:tr w:rsidR="00F71E05" w14:paraId="7B73C8D2" w14:textId="77777777" w:rsidTr="00B87CC6">
        <w:tc>
          <w:tcPr>
            <w:tcW w:w="9607" w:type="dxa"/>
            <w:shd w:val="clear" w:color="auto" w:fill="D9E2F3" w:themeFill="accent5" w:themeFillTint="33"/>
          </w:tcPr>
          <w:p w14:paraId="3A5982D1" w14:textId="77777777" w:rsidR="00F71E05" w:rsidRDefault="00F71E05" w:rsidP="000139CD">
            <w:pPr>
              <w:rPr>
                <w:b/>
              </w:rPr>
            </w:pPr>
            <w:r>
              <w:rPr>
                <w:b/>
              </w:rPr>
              <w:t>Note:</w:t>
            </w:r>
          </w:p>
          <w:p w14:paraId="69E92889" w14:textId="64E09510" w:rsidR="00E85BD9" w:rsidRDefault="00E85BD9" w:rsidP="000139CD">
            <w:pPr>
              <w:pStyle w:val="ListParagraph"/>
              <w:numPr>
                <w:ilvl w:val="0"/>
                <w:numId w:val="51"/>
              </w:numPr>
              <w:spacing w:after="160" w:line="259" w:lineRule="auto"/>
            </w:pPr>
            <w:r>
              <w:t xml:space="preserve">The Ombudsman will add to these guidelines specific </w:t>
            </w:r>
            <w:r w:rsidR="005906B9">
              <w:t>guidance</w:t>
            </w:r>
            <w:r>
              <w:t xml:space="preserve"> on particular rights where our </w:t>
            </w:r>
            <w:r w:rsidR="005906B9">
              <w:t>guidance</w:t>
            </w:r>
            <w:r>
              <w:t xml:space="preserve"> is sought or issues are raised in FOI review applications.</w:t>
            </w:r>
          </w:p>
          <w:p w14:paraId="46A89785" w14:textId="77777777" w:rsidR="00E3224F" w:rsidRDefault="00026F7D" w:rsidP="000139CD">
            <w:pPr>
              <w:pStyle w:val="ListParagraph"/>
              <w:numPr>
                <w:ilvl w:val="0"/>
                <w:numId w:val="51"/>
              </w:numPr>
              <w:spacing w:after="160" w:line="259" w:lineRule="auto"/>
            </w:pPr>
            <w:r>
              <w:t>Where</w:t>
            </w:r>
            <w:r w:rsidR="00DE4DD6">
              <w:t xml:space="preserve"> disclosure may prejudice the protection </w:t>
            </w:r>
            <w:r>
              <w:t xml:space="preserve">of </w:t>
            </w:r>
            <w:r w:rsidR="00DE4DD6">
              <w:t>the above right</w:t>
            </w:r>
            <w:r>
              <w:t>s,</w:t>
            </w:r>
            <w:r w:rsidR="00DE4DD6">
              <w:t xml:space="preserve"> other factors favouring non</w:t>
            </w:r>
          </w:p>
          <w:p w14:paraId="15446217" w14:textId="68C85711" w:rsidR="005B7153" w:rsidRPr="005862FC" w:rsidRDefault="00DE4DD6" w:rsidP="000139CD">
            <w:pPr>
              <w:pStyle w:val="ListParagraph"/>
              <w:spacing w:after="160" w:line="259" w:lineRule="auto"/>
              <w:ind w:left="360"/>
            </w:pPr>
            <w:r>
              <w:t>disclosure</w:t>
            </w:r>
            <w:r w:rsidR="00026F7D">
              <w:t xml:space="preserve"> may also be relevant</w:t>
            </w:r>
            <w:r>
              <w:t xml:space="preserve">. For example, </w:t>
            </w:r>
            <w:r w:rsidR="005B7153">
              <w:t xml:space="preserve">circumstances in which the disclosure of information may prejudice the protection of the right to a fair hearing and the cultural rights of Aboriginal and Torres Strait Islander peoples may overlap with </w:t>
            </w:r>
            <w:hyperlink w:anchor="_Section_2.2(a)(v)_–" w:history="1">
              <w:r w:rsidRPr="00DE4DD6">
                <w:rPr>
                  <w:rStyle w:val="Hyperlink"/>
                </w:rPr>
                <w:t>s</w:t>
              </w:r>
              <w:r w:rsidR="0029733A">
                <w:rPr>
                  <w:rStyle w:val="Hyperlink"/>
                </w:rPr>
                <w:t xml:space="preserve"> </w:t>
              </w:r>
              <w:r w:rsidRPr="00DE4DD6">
                <w:rPr>
                  <w:rStyle w:val="Hyperlink"/>
                </w:rPr>
                <w:t>2.2(a)(v)</w:t>
              </w:r>
            </w:hyperlink>
            <w:r>
              <w:t xml:space="preserve"> and </w:t>
            </w:r>
            <w:hyperlink w:anchor="_Section_2.2(a)(xviii)_–" w:history="1">
              <w:r w:rsidRPr="00DE4DD6">
                <w:rPr>
                  <w:rStyle w:val="Hyperlink"/>
                </w:rPr>
                <w:t>s</w:t>
              </w:r>
              <w:r w:rsidR="0029733A">
                <w:rPr>
                  <w:rStyle w:val="Hyperlink"/>
                </w:rPr>
                <w:t xml:space="preserve"> </w:t>
              </w:r>
              <w:r w:rsidRPr="00DE4DD6">
                <w:rPr>
                  <w:rStyle w:val="Hyperlink"/>
                </w:rPr>
                <w:t>2.2(a)(xviii)</w:t>
              </w:r>
            </w:hyperlink>
            <w:r w:rsidR="00874B2C">
              <w:rPr>
                <w:rStyle w:val="Hyperlink"/>
              </w:rPr>
              <w:t xml:space="preserve"> respectively</w:t>
            </w:r>
            <w:r w:rsidR="005B7153">
              <w:t>.</w:t>
            </w:r>
            <w:r w:rsidR="005B7153">
              <w:rPr>
                <w:rStyle w:val="FootnoteReference"/>
              </w:rPr>
              <w:footnoteReference w:id="257"/>
            </w:r>
            <w:r w:rsidR="005B7153">
              <w:t xml:space="preserve"> </w:t>
            </w:r>
          </w:p>
        </w:tc>
      </w:tr>
    </w:tbl>
    <w:p w14:paraId="74637001" w14:textId="3E7AA07A" w:rsidR="00F71E05" w:rsidRPr="008A662D" w:rsidRDefault="00F71E05" w:rsidP="0032337E">
      <w:pPr>
        <w:pStyle w:val="Heading2"/>
        <w:numPr>
          <w:ilvl w:val="1"/>
          <w:numId w:val="54"/>
        </w:numPr>
        <w:ind w:left="567" w:hanging="567"/>
      </w:pPr>
      <w:bookmarkStart w:id="780" w:name="_Toc43385571"/>
      <w:bookmarkStart w:id="781" w:name="_Toc152067356"/>
      <w:r w:rsidRPr="008A662D">
        <w:t>Section 2.2(a)(iii) – prejudice security, law enforcement or public safety</w:t>
      </w:r>
      <w:bookmarkEnd w:id="780"/>
      <w:bookmarkEnd w:id="781"/>
    </w:p>
    <w:p w14:paraId="11CC7BCE" w14:textId="7B1529EC" w:rsidR="008A662D" w:rsidRDefault="008A662D" w:rsidP="000139CD">
      <w:pPr>
        <w:keepNext/>
        <w:keepLines/>
      </w:pPr>
      <w:r>
        <w:t>A factor favouring nondisclosure under s 2.2(a)(ii</w:t>
      </w:r>
      <w:r w:rsidR="006C6F12">
        <w:t>i</w:t>
      </w:r>
      <w:r>
        <w:t>) is that disclosure could reasonably be expected to prejudice security, law enforcement or public safety.</w:t>
      </w:r>
    </w:p>
    <w:p w14:paraId="2B26FCF6" w14:textId="5FE4AD87" w:rsidR="00DE4DD6" w:rsidRDefault="00DE4DD6" w:rsidP="00DE4DD6">
      <w:pPr>
        <w:pStyle w:val="Heading4"/>
      </w:pPr>
      <w:r>
        <w:t>Overview</w:t>
      </w:r>
    </w:p>
    <w:p w14:paraId="506F84F9" w14:textId="53083D51" w:rsidR="008A662D" w:rsidRDefault="008A662D" w:rsidP="008A662D">
      <w:r>
        <w:t xml:space="preserve">Section 1.13 </w:t>
      </w:r>
      <w:r w:rsidR="00B6695B">
        <w:t xml:space="preserve">of Schedule 2 </w:t>
      </w:r>
      <w:r>
        <w:t xml:space="preserve">provides that disclosure of the information is taken to be contrary to the public interest if </w:t>
      </w:r>
      <w:r w:rsidR="00235D65">
        <w:t>disclosure would or could reasonably be expected to damage the security of the Commonwealth, the Territory or a State</w:t>
      </w:r>
      <w:r w:rsidR="00E823A1">
        <w:rPr>
          <w:rFonts w:ascii="Calibri" w:hAnsi="Calibri" w:cs="Calibri"/>
        </w:rPr>
        <w:t>—</w:t>
      </w:r>
      <w:r>
        <w:t xml:space="preserve">see discussion at </w:t>
      </w:r>
      <w:r w:rsidR="006372C1">
        <w:t>[</w:t>
      </w:r>
      <w:hyperlink w:anchor="_Section_1.13_–" w:history="1">
        <w:r w:rsidR="006372C1" w:rsidRPr="006372C1">
          <w:rPr>
            <w:rStyle w:val="Hyperlink"/>
          </w:rPr>
          <w:t>5.16</w:t>
        </w:r>
      </w:hyperlink>
      <w:r w:rsidR="006372C1">
        <w:t>]</w:t>
      </w:r>
      <w:r w:rsidRPr="006372C1">
        <w:t xml:space="preserve"> National, Territory or State security information</w:t>
      </w:r>
      <w:r>
        <w:t xml:space="preserve">. </w:t>
      </w:r>
    </w:p>
    <w:p w14:paraId="25CCBE24" w14:textId="5A2D06F7" w:rsidR="00F71E05" w:rsidRDefault="006C6F12" w:rsidP="008C6ACD">
      <w:pPr>
        <w:ind w:right="-22"/>
      </w:pPr>
      <w:r>
        <w:t xml:space="preserve">Section 2.2(a)(iii) may be relevant where the information relates to ‘security’ more generally, rather than </w:t>
      </w:r>
      <w:r w:rsidR="008A662D" w:rsidRPr="008A662D">
        <w:t xml:space="preserve">the security of the </w:t>
      </w:r>
      <w:r w:rsidR="00F71E05" w:rsidRPr="008A662D">
        <w:t>Commonw</w:t>
      </w:r>
      <w:r w:rsidR="008A662D" w:rsidRPr="008A662D">
        <w:t>ealth, the Territory or a State.</w:t>
      </w:r>
      <w:r w:rsidR="00F71E05" w:rsidRPr="008A662D">
        <w:t xml:space="preserve"> It may extend, for example, to circumstances where disclosure of the information would reveal inadequacies in an agency or third party’s security arrangements.</w:t>
      </w:r>
      <w:r w:rsidR="00F71E05" w:rsidRPr="008A662D">
        <w:rPr>
          <w:rStyle w:val="FootnoteReference"/>
        </w:rPr>
        <w:footnoteReference w:id="258"/>
      </w:r>
      <w:r w:rsidR="00F71E05" w:rsidRPr="008A662D">
        <w:t xml:space="preserve"> </w:t>
      </w:r>
    </w:p>
    <w:p w14:paraId="6564ED15" w14:textId="6A953C4C" w:rsidR="00DE4DD6" w:rsidRDefault="00DE4DD6" w:rsidP="0096731A">
      <w:pPr>
        <w:pStyle w:val="Heading4"/>
      </w:pPr>
      <w:r>
        <w:t>What does law enforcement include?</w:t>
      </w:r>
    </w:p>
    <w:p w14:paraId="2BFDDFFD" w14:textId="67B532CF" w:rsidR="00F71E05" w:rsidRDefault="00F71E05" w:rsidP="0096731A">
      <w:pPr>
        <w:keepNext/>
        <w:keepLines/>
        <w:ind w:right="119"/>
      </w:pPr>
      <w:r w:rsidRPr="008A662D">
        <w:t>‘Law enforcement’ includes the enforcement of any Act, subordinate law, statutory instrument or the common law.</w:t>
      </w:r>
      <w:r w:rsidRPr="008A662D">
        <w:rPr>
          <w:rStyle w:val="FootnoteReference"/>
        </w:rPr>
        <w:footnoteReference w:id="259"/>
      </w:r>
      <w:r w:rsidRPr="008A662D">
        <w:t xml:space="preserve"> For this factor to apply, the information should</w:t>
      </w:r>
      <w:r w:rsidR="00FC495A">
        <w:t>, however,</w:t>
      </w:r>
      <w:r w:rsidRPr="008A662D">
        <w:t xml:space="preserve"> have a connection with the criminal law or the processes of upholding or enforcing civil law or administering a law.</w:t>
      </w:r>
      <w:r w:rsidRPr="008A662D">
        <w:rPr>
          <w:rStyle w:val="FootnoteReference"/>
        </w:rPr>
        <w:footnoteReference w:id="260"/>
      </w:r>
      <w:r w:rsidRPr="008A662D">
        <w:t xml:space="preserve"> This extends to agencies administering legislative schemes and requirements, monitoring compliance and investigating breaches.</w:t>
      </w:r>
    </w:p>
    <w:p w14:paraId="079295E3" w14:textId="44353B8F" w:rsidR="00DE4DD6" w:rsidRDefault="00DE4DD6" w:rsidP="00DE4DD6">
      <w:pPr>
        <w:pStyle w:val="Heading4"/>
      </w:pPr>
      <w:r>
        <w:t>Balancing security considerations and the pro-disclosure bias</w:t>
      </w:r>
    </w:p>
    <w:p w14:paraId="75530DA8" w14:textId="46FE2549" w:rsidR="00DE4DD6" w:rsidRDefault="00F71E05" w:rsidP="00F71E05">
      <w:r w:rsidRPr="008A662D">
        <w:t xml:space="preserve">When considering this factor, </w:t>
      </w:r>
      <w:r w:rsidR="00B60325">
        <w:t>decision-makers</w:t>
      </w:r>
      <w:r w:rsidRPr="008A662D">
        <w:t xml:space="preserve"> should consider not only what the prejudice may be from disclosure of the information but also whether disclosure, in combination with information already available to the applicant, would cause harm.</w:t>
      </w:r>
      <w:r w:rsidR="00B60325">
        <w:t xml:space="preserve"> </w:t>
      </w:r>
    </w:p>
    <w:p w14:paraId="7AE325B7" w14:textId="013D139B" w:rsidR="00DE4DD6"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396BA394" w14:textId="74B513CB" w:rsidR="00FC495A" w:rsidRPr="00DE4DD6" w:rsidRDefault="00DE4DD6" w:rsidP="00B87CC6">
      <w:pPr>
        <w:pStyle w:val="ListParagraph"/>
        <w:numPr>
          <w:ilvl w:val="0"/>
          <w:numId w:val="124"/>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‘Public safety’ is confined to ‘physical safety’ and does not extend to psychological harm.</w:t>
      </w:r>
      <w:r>
        <w:rPr>
          <w:rStyle w:val="FootnoteReference"/>
        </w:rPr>
        <w:footnoteReference w:id="261"/>
      </w:r>
      <w:r>
        <w:t xml:space="preserve"> </w:t>
      </w:r>
      <w:r w:rsidR="00FC495A" w:rsidRPr="008A662D">
        <w:t>For</w:t>
      </w:r>
      <w:r w:rsidR="0096731A">
        <w:t> </w:t>
      </w:r>
      <w:r w:rsidR="00D67EC6">
        <w:t>further guidance</w:t>
      </w:r>
      <w:r w:rsidR="00D67EC6">
        <w:rPr>
          <w:rFonts w:ascii="Calibri" w:hAnsi="Calibri" w:cs="Calibri"/>
        </w:rPr>
        <w:t>—</w:t>
      </w:r>
      <w:r w:rsidR="00FC495A" w:rsidRPr="008A662D">
        <w:t>see</w:t>
      </w:r>
      <w:r w:rsidR="006372C1">
        <w:t xml:space="preserve"> [</w:t>
      </w:r>
      <w:hyperlink w:anchor="_Endanger_life_or" w:history="1">
        <w:r w:rsidR="006372C1" w:rsidRPr="006372C1">
          <w:rPr>
            <w:rStyle w:val="Hyperlink"/>
          </w:rPr>
          <w:t>5.17</w:t>
        </w:r>
      </w:hyperlink>
      <w:r w:rsidR="006372C1">
        <w:t>]</w:t>
      </w:r>
      <w:r w:rsidR="00FC495A" w:rsidRPr="008A662D">
        <w:t xml:space="preserve"> </w:t>
      </w:r>
      <w:r w:rsidR="0046233D" w:rsidRPr="006372C1">
        <w:t>e</w:t>
      </w:r>
      <w:r w:rsidR="00FC495A" w:rsidRPr="006372C1">
        <w:t>ndanger life or physical safety – s</w:t>
      </w:r>
      <w:r w:rsidR="00B6695B" w:rsidRPr="006372C1">
        <w:t xml:space="preserve"> </w:t>
      </w:r>
      <w:r w:rsidR="00FC495A" w:rsidRPr="006372C1">
        <w:t>1.14(1)(c)</w:t>
      </w:r>
      <w:r w:rsidR="00FC495A" w:rsidRPr="008A662D">
        <w:t>.</w:t>
      </w:r>
    </w:p>
    <w:p w14:paraId="1B9372B2" w14:textId="65BC37AF" w:rsidR="00DE4DD6" w:rsidRPr="00FC495A" w:rsidRDefault="00DE4DD6"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to</w:t>
      </w:r>
      <w:r w:rsidR="00D15733">
        <w:t>’ and the term ‘prejudice’, see</w:t>
      </w:r>
      <w:r w:rsidR="00D15733">
        <w:br/>
      </w:r>
      <w:r w:rsidR="00373009">
        <w:t>[</w:t>
      </w:r>
      <w:hyperlink w:anchor="_Common_terms_and_1" w:history="1">
        <w:r w:rsidR="00373009" w:rsidRPr="00C61A66">
          <w:rPr>
            <w:rStyle w:val="Hyperlink"/>
          </w:rPr>
          <w:t>4</w:t>
        </w:r>
      </w:hyperlink>
      <w:r w:rsidR="00373009">
        <w:t>] above.</w:t>
      </w:r>
    </w:p>
    <w:p w14:paraId="5C7E1CB3" w14:textId="088BFA1A" w:rsidR="00F71E05" w:rsidRPr="008A662D" w:rsidRDefault="00F71E05" w:rsidP="009B05C4">
      <w:pPr>
        <w:pStyle w:val="Heading2"/>
        <w:numPr>
          <w:ilvl w:val="1"/>
          <w:numId w:val="54"/>
        </w:numPr>
        <w:ind w:left="567" w:hanging="567"/>
      </w:pPr>
      <w:bookmarkStart w:id="782" w:name="_Section_2.2(a)(iv)_–"/>
      <w:bookmarkStart w:id="783" w:name="_Toc43385572"/>
      <w:bookmarkStart w:id="784" w:name="_Toc152067357"/>
      <w:bookmarkEnd w:id="782"/>
      <w:r w:rsidRPr="008A662D">
        <w:t>Section 2.2(a)(iv) – impede the administration of justice generally</w:t>
      </w:r>
      <w:bookmarkEnd w:id="783"/>
      <w:bookmarkEnd w:id="784"/>
    </w:p>
    <w:p w14:paraId="6307B7A5" w14:textId="7330537A" w:rsidR="007B6AFB" w:rsidRDefault="008A662D" w:rsidP="005F5066">
      <w:r>
        <w:t>A factor favouring nondisclosure under s 2.2(a)(iv) is that disclosure could reasonably be expected to impede the administration of justice generally</w:t>
      </w:r>
      <w:r w:rsidR="002E5BB3">
        <w:t>, including procedural fairness</w:t>
      </w:r>
      <w:r>
        <w:t>.</w:t>
      </w:r>
      <w:r w:rsidR="005F5066">
        <w:t xml:space="preserve"> This reflects that there </w:t>
      </w:r>
      <w:r w:rsidR="007B6AFB" w:rsidRPr="008A662D">
        <w:t>is a public interest in promoting the administration of justice free from prejudice and interference.</w:t>
      </w:r>
      <w:r w:rsidR="007B6AFB" w:rsidRPr="008A662D">
        <w:rPr>
          <w:rStyle w:val="FootnoteReference"/>
        </w:rPr>
        <w:footnoteReference w:id="262"/>
      </w:r>
      <w:r w:rsidR="007B6AFB" w:rsidRPr="008A662D">
        <w:t xml:space="preserve"> </w:t>
      </w:r>
    </w:p>
    <w:p w14:paraId="46552EDC" w14:textId="1596DDF2" w:rsidR="004C3EDB" w:rsidRDefault="004C3EDB" w:rsidP="007A1336">
      <w:r w:rsidRPr="008A662D">
        <w:t>‘Procedural fairness’ means acting fairly in making a decision. It relates to the process by which a decision is reached, rather than the substance of the decision, and traditionally involves two requirements: a fair hearing and the absence of bias.</w:t>
      </w:r>
      <w:r w:rsidRPr="008A662D">
        <w:rPr>
          <w:rStyle w:val="FootnoteReference"/>
        </w:rPr>
        <w:footnoteReference w:id="263"/>
      </w:r>
      <w:r w:rsidRPr="008A662D">
        <w:t xml:space="preserve"> </w:t>
      </w:r>
    </w:p>
    <w:p w14:paraId="3E8584CC" w14:textId="47B4BDC7" w:rsidR="00DE4DD6" w:rsidRDefault="00DE4DD6" w:rsidP="00B87CC6">
      <w:pPr>
        <w:pStyle w:val="Heading4"/>
      </w:pPr>
      <w:r>
        <w:t>Examples</w:t>
      </w:r>
    </w:p>
    <w:p w14:paraId="2EA43511" w14:textId="481E1E28" w:rsidR="00F71E05" w:rsidRPr="006C7F0A" w:rsidRDefault="000A3867" w:rsidP="00B87CC6">
      <w:pPr>
        <w:keepNext/>
        <w:keepLines/>
        <w:ind w:right="-164"/>
      </w:pPr>
      <w:r w:rsidRPr="000A3867">
        <w:t xml:space="preserve">Circumstances where the disclosure of information could reasonably be expected to impede the administration of justice </w:t>
      </w:r>
      <w:r w:rsidR="006C7F0A">
        <w:t xml:space="preserve">include </w:t>
      </w:r>
      <w:r w:rsidR="00F71E05" w:rsidRPr="008A662D">
        <w:t xml:space="preserve">where disclosure may: </w:t>
      </w:r>
    </w:p>
    <w:p w14:paraId="3A7C9B2F" w14:textId="00735F8B" w:rsidR="006C7F0A" w:rsidRDefault="006C7F0A" w:rsidP="00B87CC6">
      <w:pPr>
        <w:pStyle w:val="ListParagraph"/>
        <w:keepNext/>
        <w:keepLines/>
        <w:numPr>
          <w:ilvl w:val="0"/>
          <w:numId w:val="31"/>
        </w:numPr>
        <w:spacing w:line="256" w:lineRule="auto"/>
      </w:pPr>
      <w:r>
        <w:t>prejudice procedural fairness by revealing unsubstantiated allegations before a formal investigation has been able to proceed</w:t>
      </w:r>
      <w:r>
        <w:rPr>
          <w:rStyle w:val="FootnoteReference"/>
        </w:rPr>
        <w:footnoteReference w:id="264"/>
      </w:r>
      <w:r>
        <w:t xml:space="preserve"> </w:t>
      </w:r>
    </w:p>
    <w:p w14:paraId="6C948EE3" w14:textId="361E10F0" w:rsidR="00F71E05" w:rsidRPr="008A662D" w:rsidRDefault="00F71E05" w:rsidP="00B87CC6">
      <w:pPr>
        <w:pStyle w:val="ListParagraph"/>
        <w:keepNext/>
        <w:keepLines/>
        <w:numPr>
          <w:ilvl w:val="0"/>
          <w:numId w:val="31"/>
        </w:numPr>
        <w:spacing w:line="256" w:lineRule="auto"/>
      </w:pPr>
      <w:r w:rsidRPr="008A662D">
        <w:t>reveal information exchanged on a ‘without prejudice’ basis in a dispute resolution process</w:t>
      </w:r>
      <w:r w:rsidRPr="008A662D">
        <w:rPr>
          <w:rStyle w:val="FootnoteReference"/>
        </w:rPr>
        <w:footnoteReference w:id="265"/>
      </w:r>
    </w:p>
    <w:p w14:paraId="013F7C24" w14:textId="1A27FF5C" w:rsidR="006C7F0A" w:rsidRPr="008A662D" w:rsidRDefault="00F71E05" w:rsidP="00B87CC6">
      <w:pPr>
        <w:pStyle w:val="ListParagraph"/>
        <w:keepNext/>
        <w:keepLines/>
        <w:numPr>
          <w:ilvl w:val="0"/>
          <w:numId w:val="31"/>
        </w:numPr>
        <w:spacing w:line="257" w:lineRule="auto"/>
        <w:ind w:left="357" w:hanging="357"/>
        <w:contextualSpacing w:val="0"/>
      </w:pPr>
      <w:r w:rsidRPr="008A662D">
        <w:t>undermine working relations between law enforcement bodies</w:t>
      </w:r>
      <w:r w:rsidR="00D11375">
        <w:t>.</w:t>
      </w:r>
      <w:r w:rsidRPr="008A662D">
        <w:rPr>
          <w:rStyle w:val="FootnoteReference"/>
        </w:rPr>
        <w:footnoteReference w:id="266"/>
      </w:r>
    </w:p>
    <w:p w14:paraId="0246EFD5" w14:textId="77777777" w:rsidR="00D94911" w:rsidRPr="00D94911"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766B61AB" w14:textId="25ECCE60" w:rsidR="00D94911" w:rsidRPr="00A632AF" w:rsidRDefault="00D94911"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w:t>
      </w:r>
      <w:r w:rsidR="00B47E33">
        <w:t>d to’ and the term ‘impede’ see</w:t>
      </w:r>
      <w:r w:rsidR="00B47E33">
        <w:br/>
      </w:r>
      <w:r w:rsidR="00C61A66">
        <w:t>[</w:t>
      </w:r>
      <w:hyperlink w:anchor="_Common_terms_and_1" w:history="1">
        <w:r w:rsidR="00C61A66" w:rsidRPr="00C61A66">
          <w:rPr>
            <w:rStyle w:val="Hyperlink"/>
          </w:rPr>
          <w:t>4</w:t>
        </w:r>
      </w:hyperlink>
      <w:r w:rsidR="00C61A66">
        <w:t xml:space="preserve">] above. </w:t>
      </w:r>
    </w:p>
    <w:p w14:paraId="49DEBD63" w14:textId="3E1EB372" w:rsidR="00F71E05" w:rsidRPr="000948B7" w:rsidRDefault="007E3CCB" w:rsidP="009B05C4">
      <w:pPr>
        <w:pStyle w:val="Heading2"/>
        <w:numPr>
          <w:ilvl w:val="1"/>
          <w:numId w:val="54"/>
        </w:numPr>
        <w:ind w:left="567" w:hanging="567"/>
      </w:pPr>
      <w:bookmarkStart w:id="785" w:name="_Section_2.2(a)(v)_–"/>
      <w:bookmarkStart w:id="786" w:name="_Toc43385573"/>
      <w:bookmarkStart w:id="787" w:name="_Toc152067358"/>
      <w:bookmarkEnd w:id="785"/>
      <w:r>
        <w:t>S</w:t>
      </w:r>
      <w:r w:rsidR="00F71E05" w:rsidRPr="000948B7">
        <w:t>ection 2.2(a)(v) – impede the administration of justice for a person</w:t>
      </w:r>
      <w:bookmarkEnd w:id="786"/>
      <w:bookmarkEnd w:id="787"/>
    </w:p>
    <w:p w14:paraId="01146027" w14:textId="0AA323AE" w:rsidR="00F71E05" w:rsidRDefault="008A662D" w:rsidP="006C7F0A">
      <w:pPr>
        <w:ind w:right="-164"/>
      </w:pPr>
      <w:r w:rsidRPr="008A662D">
        <w:t xml:space="preserve">A factor favouring nondisclosure under s 2.2(a)(v) is that disclosure could reasonably be expected to impede the administration of justice </w:t>
      </w:r>
      <w:r w:rsidR="00F71E05" w:rsidRPr="008A662D">
        <w:t>for a particular person</w:t>
      </w:r>
      <w:r w:rsidRPr="008A662D">
        <w:t>,</w:t>
      </w:r>
      <w:r w:rsidR="00F71E05" w:rsidRPr="008A662D">
        <w:t xml:space="preserve"> rather than the administration of justice generally.</w:t>
      </w:r>
    </w:p>
    <w:p w14:paraId="0772E474" w14:textId="520FB4BC" w:rsidR="00DE4DD6" w:rsidRPr="008A662D" w:rsidRDefault="00DE4DD6" w:rsidP="00DE4DD6">
      <w:pPr>
        <w:pStyle w:val="Heading4"/>
      </w:pPr>
      <w:r>
        <w:t>Overview</w:t>
      </w:r>
    </w:p>
    <w:p w14:paraId="08D4CB4E" w14:textId="4B5ABAC4" w:rsidR="00DE4DD6" w:rsidRDefault="008A662D" w:rsidP="00DE4DD6">
      <w:pPr>
        <w:keepNext/>
        <w:keepLines/>
      </w:pPr>
      <w:r w:rsidRPr="006372C1">
        <w:t>Section 1.14(1)(e)</w:t>
      </w:r>
      <w:r>
        <w:t xml:space="preserve"> </w:t>
      </w:r>
      <w:r w:rsidR="00DB37EE">
        <w:t xml:space="preserve">of Schedule 1 </w:t>
      </w:r>
      <w:r>
        <w:t xml:space="preserve">provides that disclosure of the information is taken to be contrary to the </w:t>
      </w:r>
      <w:r w:rsidRPr="008A662D">
        <w:t>public interest if it would</w:t>
      </w:r>
      <w:r>
        <w:t>,</w:t>
      </w:r>
      <w:r w:rsidRPr="008A662D">
        <w:t xml:space="preserve"> or could</w:t>
      </w:r>
      <w:r>
        <w:t>,</w:t>
      </w:r>
      <w:r w:rsidRPr="008A662D">
        <w:t xml:space="preserve"> reasonably be expected to prejudice a person’s fair trial or the impartial adjudication of a matter before a court or tribunal</w:t>
      </w:r>
      <w:r w:rsidR="00215DFC">
        <w:rPr>
          <w:rFonts w:ascii="Calibri" w:hAnsi="Calibri" w:cs="Calibri"/>
        </w:rPr>
        <w:t>—</w:t>
      </w:r>
      <w:r w:rsidRPr="008A662D">
        <w:t>see discussion at</w:t>
      </w:r>
      <w:r w:rsidR="006372C1">
        <w:t xml:space="preserve"> [</w:t>
      </w:r>
      <w:hyperlink w:anchor="_Prejudice_to_a" w:history="1">
        <w:r w:rsidR="006372C1" w:rsidRPr="006372C1">
          <w:rPr>
            <w:rStyle w:val="Hyperlink"/>
          </w:rPr>
          <w:t>5.17</w:t>
        </w:r>
      </w:hyperlink>
      <w:r w:rsidR="006372C1">
        <w:t>]</w:t>
      </w:r>
      <w:r w:rsidRPr="008A662D">
        <w:t xml:space="preserve"> </w:t>
      </w:r>
      <w:r w:rsidRPr="006372C1">
        <w:t>Prejudice to a fair trial or impartial adjudication – s</w:t>
      </w:r>
      <w:r w:rsidR="00EF54CE" w:rsidRPr="006372C1">
        <w:t xml:space="preserve"> </w:t>
      </w:r>
      <w:r w:rsidRPr="006372C1">
        <w:t>1.14(1)(e)</w:t>
      </w:r>
      <w:r>
        <w:t>.</w:t>
      </w:r>
      <w:r w:rsidR="00DE4DD6">
        <w:t xml:space="preserve"> </w:t>
      </w:r>
      <w:r w:rsidRPr="008A662D">
        <w:t xml:space="preserve">This factor may, however, apply more broadly. </w:t>
      </w:r>
    </w:p>
    <w:p w14:paraId="77EC418E" w14:textId="7C4AB077" w:rsidR="00DE4DD6" w:rsidRDefault="00DE4DD6" w:rsidP="00DE4DD6">
      <w:pPr>
        <w:pStyle w:val="Heading4"/>
      </w:pPr>
      <w:r>
        <w:t>Examples</w:t>
      </w:r>
    </w:p>
    <w:p w14:paraId="6BD93381" w14:textId="49275311" w:rsidR="00DE4DD6" w:rsidRDefault="00DE4DD6" w:rsidP="00F71E05">
      <w:r>
        <w:t xml:space="preserve">This could include where </w:t>
      </w:r>
      <w:r w:rsidR="00F71E05" w:rsidRPr="008A662D">
        <w:t>disclosure of the information would damage a party’s position in a proceeding.</w:t>
      </w:r>
      <w:r w:rsidR="00F71E05" w:rsidRPr="008A662D">
        <w:rPr>
          <w:rStyle w:val="FootnoteReference"/>
        </w:rPr>
        <w:footnoteReference w:id="267"/>
      </w:r>
      <w:r w:rsidR="00F71E05" w:rsidRPr="008A662D">
        <w:t xml:space="preserve"> </w:t>
      </w:r>
    </w:p>
    <w:p w14:paraId="508A6AE1" w14:textId="77777777" w:rsidR="00DE4DD6"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378DD950" w14:textId="698FE67E" w:rsidR="00DE4DD6" w:rsidRPr="00DE4DD6" w:rsidRDefault="00DE4DD6"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rsidRPr="008A662D">
        <w:t xml:space="preserve">It may be possible for a party’s position in a proceeding to be obstructed or hindered by disclosure of a document without necessarily affecting the impartial adjudication of the matter by the court or tribunal. </w:t>
      </w:r>
    </w:p>
    <w:p w14:paraId="754781BC" w14:textId="2B02D434" w:rsidR="00D94911" w:rsidRPr="00A632AF" w:rsidRDefault="00D94911"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w:t>
      </w:r>
      <w:r w:rsidR="00FF379D">
        <w:t>d to’ and the term ‘impede’ see</w:t>
      </w:r>
      <w:r w:rsidR="00FF379D">
        <w:br/>
      </w:r>
      <w:r w:rsidR="00C61A66">
        <w:t>[</w:t>
      </w:r>
      <w:hyperlink w:anchor="_Common_terms_and_1" w:history="1">
        <w:r w:rsidR="00C61A66" w:rsidRPr="00C61A66">
          <w:rPr>
            <w:rStyle w:val="Hyperlink"/>
          </w:rPr>
          <w:t>4</w:t>
        </w:r>
      </w:hyperlink>
      <w:r w:rsidR="00C61A66">
        <w:t>] above.</w:t>
      </w:r>
    </w:p>
    <w:p w14:paraId="3304E5E7" w14:textId="77777777" w:rsidR="00F71E05" w:rsidRPr="000948B7" w:rsidRDefault="00F71E05" w:rsidP="009B05C4">
      <w:pPr>
        <w:pStyle w:val="Heading2"/>
        <w:numPr>
          <w:ilvl w:val="1"/>
          <w:numId w:val="54"/>
        </w:numPr>
        <w:ind w:left="567" w:hanging="567"/>
      </w:pPr>
      <w:bookmarkStart w:id="788" w:name="_Toc43385574"/>
      <w:bookmarkStart w:id="789" w:name="_Toc152067359"/>
      <w:r w:rsidRPr="000948B7">
        <w:t>Section 2.2(a)(vi) – prejudice the security or good order of a correctional centre</w:t>
      </w:r>
      <w:bookmarkEnd w:id="788"/>
      <w:bookmarkEnd w:id="789"/>
    </w:p>
    <w:p w14:paraId="3636BC91" w14:textId="1915AE70" w:rsidR="00D2157C" w:rsidRDefault="000948B7" w:rsidP="00F71E05">
      <w:r w:rsidRPr="008A662D">
        <w:t>A factor favouring nondisclosure under s 2.2(a)(v</w:t>
      </w:r>
      <w:r>
        <w:t>i</w:t>
      </w:r>
      <w:r w:rsidRPr="008A662D">
        <w:t xml:space="preserve">) is that disclosure could reasonably be expected to </w:t>
      </w:r>
      <w:r>
        <w:t>prejudice the security o</w:t>
      </w:r>
      <w:r w:rsidR="00D2157C">
        <w:t>r</w:t>
      </w:r>
      <w:r>
        <w:t xml:space="preserve"> good order of a correctional centre. </w:t>
      </w:r>
      <w:r w:rsidR="00D2157C">
        <w:t>This reflects that there may be a public interest harm in disclosing information that has been brought into existence specifically to ensure that a correctional centre operates effectively.</w:t>
      </w:r>
    </w:p>
    <w:p w14:paraId="1856BEC9" w14:textId="64D81892" w:rsidR="00424A01" w:rsidRDefault="00D2157C" w:rsidP="00D2157C">
      <w:pPr>
        <w:pStyle w:val="Heading4"/>
      </w:pPr>
      <w:r>
        <w:t>Overview</w:t>
      </w:r>
    </w:p>
    <w:p w14:paraId="00C1C29B" w14:textId="324AA7D2" w:rsidR="00D2157C" w:rsidRDefault="00D2157C" w:rsidP="00F71E05">
      <w:r>
        <w:t xml:space="preserve">In the ACT, this may be relevant in the context of </w:t>
      </w:r>
      <w:r w:rsidR="005756A0">
        <w:t>information</w:t>
      </w:r>
      <w:r w:rsidR="00EF0D8E">
        <w:t xml:space="preserve"> relating to the </w:t>
      </w:r>
      <w:r>
        <w:t>AMC or the Bimberi Youth Justice Centre (</w:t>
      </w:r>
      <w:r w:rsidR="00B518F0">
        <w:t>‘</w:t>
      </w:r>
      <w:r>
        <w:t>BYJC</w:t>
      </w:r>
      <w:r w:rsidR="00B518F0">
        <w:t>’</w:t>
      </w:r>
      <w:r>
        <w:t>).</w:t>
      </w:r>
    </w:p>
    <w:p w14:paraId="2FD33EA1" w14:textId="3379F81E" w:rsidR="00D2157C" w:rsidRDefault="00D2157C" w:rsidP="00F71E05">
      <w:r>
        <w:t>Decision-makers are encouraged not to simply assume this factor is relevant where assessing information about the AMC or the BYJC</w:t>
      </w:r>
      <w:r w:rsidR="00184DFA">
        <w:rPr>
          <w:rFonts w:ascii="Calibri" w:hAnsi="Calibri" w:cs="Calibri"/>
        </w:rPr>
        <w:t>—</w:t>
      </w:r>
      <w:r>
        <w:t>noting there is a public interest in transparency of AMC and BYJC operations where appropriate, given the vulnerability of individuals detained in these centres.</w:t>
      </w:r>
    </w:p>
    <w:p w14:paraId="57CB866D" w14:textId="6D841EB4" w:rsidR="00D2157C" w:rsidRDefault="00D2157C" w:rsidP="00F71E05">
      <w:r>
        <w:t xml:space="preserve">Decision-makers should consider whether disclosure would actually </w:t>
      </w:r>
      <w:r w:rsidR="007C4B19">
        <w:t xml:space="preserve">adversely </w:t>
      </w:r>
      <w:r>
        <w:t xml:space="preserve">impact </w:t>
      </w:r>
      <w:r w:rsidR="006D2C8F">
        <w:t xml:space="preserve">the </w:t>
      </w:r>
      <w:r>
        <w:t>security or good order at the centre</w:t>
      </w:r>
      <w:r w:rsidR="00184DFA">
        <w:rPr>
          <w:rFonts w:ascii="Calibri" w:hAnsi="Calibri" w:cs="Calibri"/>
        </w:rPr>
        <w:t>—</w:t>
      </w:r>
      <w:r>
        <w:t xml:space="preserve">for example, </w:t>
      </w:r>
      <w:r w:rsidR="00E162D5">
        <w:t xml:space="preserve">by </w:t>
      </w:r>
      <w:r>
        <w:t>prejudic</w:t>
      </w:r>
      <w:r w:rsidR="00E162D5">
        <w:t>ing</w:t>
      </w:r>
      <w:r>
        <w:t xml:space="preserve"> procedures for protecting public safety at the prison.</w:t>
      </w:r>
    </w:p>
    <w:p w14:paraId="26F0213C" w14:textId="77777777" w:rsidR="00846D9E" w:rsidRPr="00D94911" w:rsidRDefault="00846D9E"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 xml:space="preserve">Note: </w:t>
      </w:r>
    </w:p>
    <w:p w14:paraId="6537C486" w14:textId="0766FA82" w:rsidR="00846D9E" w:rsidRPr="00A632AF" w:rsidRDefault="00846D9E"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w:t>
      </w:r>
      <w:r w:rsidR="00C94641">
        <w:t>o’ and the term ‘prejudice’ see</w:t>
      </w:r>
      <w:r w:rsidR="00C94641">
        <w:br/>
      </w:r>
      <w:r w:rsidR="000B26E1">
        <w:t>[</w:t>
      </w:r>
      <w:hyperlink w:anchor="_Common_terms_and_1" w:history="1">
        <w:r w:rsidR="000B26E1" w:rsidRPr="00C61A66">
          <w:rPr>
            <w:rStyle w:val="Hyperlink"/>
          </w:rPr>
          <w:t>4</w:t>
        </w:r>
      </w:hyperlink>
      <w:r w:rsidR="000B26E1">
        <w:t>] above.</w:t>
      </w:r>
    </w:p>
    <w:p w14:paraId="0DF481A9" w14:textId="06E9CFD0" w:rsidR="00D2157C" w:rsidRDefault="00D2157C" w:rsidP="0096731A">
      <w:pPr>
        <w:pStyle w:val="Heading4"/>
      </w:pPr>
      <w:r>
        <w:t>Examples</w:t>
      </w:r>
    </w:p>
    <w:p w14:paraId="5B95F832" w14:textId="392F9D98" w:rsidR="00424A01" w:rsidRPr="000948B7" w:rsidRDefault="00424A01" w:rsidP="0096731A">
      <w:pPr>
        <w:keepNext/>
        <w:keepLines/>
      </w:pPr>
      <w:r>
        <w:t xml:space="preserve">This could </w:t>
      </w:r>
      <w:r w:rsidR="00D2157C">
        <w:t>be a relevant factor w</w:t>
      </w:r>
      <w:r>
        <w:t>here, f</w:t>
      </w:r>
      <w:r w:rsidR="000948B7">
        <w:t>or example, disclosure of CCTV footage taken in a correctional centre</w:t>
      </w:r>
      <w:r w:rsidR="00D2157C">
        <w:t xml:space="preserve"> is sought and disclosure </w:t>
      </w:r>
      <w:r w:rsidR="000948B7">
        <w:t>could have broader security implications</w:t>
      </w:r>
      <w:r w:rsidR="00B447C4">
        <w:t>;</w:t>
      </w:r>
      <w:r w:rsidR="000948B7">
        <w:rPr>
          <w:rStyle w:val="FootnoteReference"/>
        </w:rPr>
        <w:footnoteReference w:id="268"/>
      </w:r>
      <w:r w:rsidR="00E21E23">
        <w:t xml:space="preserve"> or disclosure of a telephone recording could reveal inf</w:t>
      </w:r>
      <w:r w:rsidR="00B447C4">
        <w:t>ormation about prison security.</w:t>
      </w:r>
      <w:r w:rsidR="00E21E23">
        <w:rPr>
          <w:rStyle w:val="FootnoteReference"/>
        </w:rPr>
        <w:footnoteReference w:id="269"/>
      </w:r>
      <w:r w:rsidR="00E21E23">
        <w:t xml:space="preserve"> </w:t>
      </w:r>
    </w:p>
    <w:p w14:paraId="0DB7312F" w14:textId="4FC6AC5B" w:rsidR="00F71E05" w:rsidRPr="000948B7" w:rsidRDefault="00F71E05" w:rsidP="009B05C4">
      <w:pPr>
        <w:pStyle w:val="Heading2"/>
        <w:numPr>
          <w:ilvl w:val="1"/>
          <w:numId w:val="54"/>
        </w:numPr>
        <w:ind w:left="567" w:hanging="567"/>
      </w:pPr>
      <w:bookmarkStart w:id="790" w:name="_Toc43385575"/>
      <w:bookmarkStart w:id="791" w:name="_Toc152067360"/>
      <w:r w:rsidRPr="000948B7">
        <w:t>Section 2.2(a)(vii) – impede the protection of the environment</w:t>
      </w:r>
      <w:bookmarkEnd w:id="790"/>
      <w:bookmarkEnd w:id="791"/>
    </w:p>
    <w:p w14:paraId="35B16AB4" w14:textId="6B42DE2D" w:rsidR="00D2157C" w:rsidRDefault="000948B7" w:rsidP="00D2157C">
      <w:r w:rsidRPr="008A662D">
        <w:t>A factor favouring nondisclosure under s 2.2(a)(v</w:t>
      </w:r>
      <w:r>
        <w:t>ii</w:t>
      </w:r>
      <w:r w:rsidRPr="008A662D">
        <w:t xml:space="preserve">) is that disclosure could reasonably be expected to </w:t>
      </w:r>
      <w:r>
        <w:t>impede the protection of the environment.</w:t>
      </w:r>
      <w:r w:rsidR="00D2157C" w:rsidRPr="00D2157C">
        <w:t xml:space="preserve"> </w:t>
      </w:r>
      <w:r w:rsidR="00D2157C">
        <w:t>This reflects that there may be a public interest harm in disclosing information that has been brought into existence specifically to ensure that the environment in the ACT is protected, and environmental degradation is prevented.</w:t>
      </w:r>
    </w:p>
    <w:p w14:paraId="430E6375" w14:textId="29E17F52" w:rsidR="00D2157C" w:rsidRDefault="00D2157C" w:rsidP="00D2157C">
      <w:pPr>
        <w:pStyle w:val="Heading4"/>
      </w:pPr>
      <w:r>
        <w:t>Overview</w:t>
      </w:r>
    </w:p>
    <w:p w14:paraId="6000CC25" w14:textId="719A70EE" w:rsidR="00D2157C" w:rsidRDefault="00D2157C" w:rsidP="00D2157C">
      <w:r>
        <w:t xml:space="preserve">The </w:t>
      </w:r>
      <w:r w:rsidRPr="00B518F0">
        <w:t>Environmental Protection Authority (</w:t>
      </w:r>
      <w:r w:rsidR="00E96FAB">
        <w:t>‘</w:t>
      </w:r>
      <w:r w:rsidRPr="00B518F0">
        <w:t>EPA</w:t>
      </w:r>
      <w:r w:rsidR="00E96FAB">
        <w:t>’</w:t>
      </w:r>
      <w:r w:rsidRPr="00B518F0">
        <w:t>)</w:t>
      </w:r>
      <w:r>
        <w:t xml:space="preserve"> is responsible for environmental protection functions in the ACT and consequently, may produce information of relevance to this factor. </w:t>
      </w:r>
      <w:r w:rsidR="000B41E9">
        <w:t>However, s</w:t>
      </w:r>
      <w:r>
        <w:t xml:space="preserve"> 2.</w:t>
      </w:r>
      <w:r w:rsidR="007E3CCB">
        <w:t>2(a)(vii) is not limited to EPA-</w:t>
      </w:r>
      <w:r>
        <w:t>related activities.</w:t>
      </w:r>
    </w:p>
    <w:p w14:paraId="0B820AB8" w14:textId="77777777" w:rsidR="00D2157C" w:rsidRPr="00D94911" w:rsidRDefault="00D2157C" w:rsidP="00B87CC6">
      <w:pPr>
        <w:pStyle w:val="ListParagraph"/>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16E1FB0E" w14:textId="1B017514" w:rsidR="00D2157C" w:rsidRPr="00A632AF" w:rsidRDefault="00D2157C" w:rsidP="00B87CC6">
      <w:pPr>
        <w:pStyle w:val="ListParagraph"/>
        <w:keepNext/>
        <w:keepLines/>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w:t>
      </w:r>
      <w:r w:rsidR="008D7CAA">
        <w:t>d to’ and the term ‘impede’ see</w:t>
      </w:r>
      <w:r w:rsidR="008D7CAA">
        <w:br/>
      </w:r>
      <w:r w:rsidR="000B26E1">
        <w:t>[</w:t>
      </w:r>
      <w:hyperlink w:anchor="_Common_terms_and_1" w:history="1">
        <w:r w:rsidR="000B26E1" w:rsidRPr="00C61A66">
          <w:rPr>
            <w:rStyle w:val="Hyperlink"/>
          </w:rPr>
          <w:t>4</w:t>
        </w:r>
      </w:hyperlink>
      <w:r w:rsidR="000B26E1">
        <w:t>] above.</w:t>
      </w:r>
    </w:p>
    <w:p w14:paraId="7DB306A4" w14:textId="7D02347C" w:rsidR="00D2157C" w:rsidRDefault="00D2157C" w:rsidP="00D2157C">
      <w:pPr>
        <w:pStyle w:val="Heading4"/>
      </w:pPr>
      <w:r>
        <w:t>Examples</w:t>
      </w:r>
    </w:p>
    <w:p w14:paraId="48EAE9B8" w14:textId="08268BFA" w:rsidR="00E21E23" w:rsidRDefault="00424A01" w:rsidP="00E21E23">
      <w:r>
        <w:t xml:space="preserve">This could </w:t>
      </w:r>
      <w:r w:rsidR="00D2157C">
        <w:t>be a relevant factor</w:t>
      </w:r>
      <w:r>
        <w:t xml:space="preserve"> where </w:t>
      </w:r>
      <w:r w:rsidR="00E21E23">
        <w:t xml:space="preserve">disclosure of information could </w:t>
      </w:r>
      <w:r w:rsidR="007C4B19">
        <w:t xml:space="preserve">adversely </w:t>
      </w:r>
      <w:r w:rsidR="00E21E23">
        <w:t xml:space="preserve">impact an agency’s functions </w:t>
      </w:r>
      <w:r w:rsidR="003601D6">
        <w:t xml:space="preserve">in </w:t>
      </w:r>
      <w:r w:rsidR="00E21E23">
        <w:t>regulating th</w:t>
      </w:r>
      <w:r w:rsidR="00D2157C">
        <w:t>e protection of the environment</w:t>
      </w:r>
      <w:r w:rsidR="00CD26AE">
        <w:rPr>
          <w:rFonts w:ascii="Calibri" w:hAnsi="Calibri" w:cs="Calibri"/>
        </w:rPr>
        <w:t>—</w:t>
      </w:r>
      <w:r w:rsidR="00D2157C">
        <w:t>as was found to be the case in the Ombudsman FOI review case discussed below.</w:t>
      </w:r>
    </w:p>
    <w:p w14:paraId="508F449C" w14:textId="34C7410B" w:rsidR="004C1BCA" w:rsidRPr="00474428" w:rsidRDefault="004C1BCA" w:rsidP="007A1336">
      <w:pPr>
        <w:pBdr>
          <w:top w:val="single" w:sz="4" w:space="1" w:color="auto"/>
          <w:left w:val="single" w:sz="4" w:space="4" w:color="auto"/>
          <w:bottom w:val="single" w:sz="4" w:space="1" w:color="auto"/>
          <w:right w:val="single" w:sz="4" w:space="4" w:color="auto"/>
        </w:pBdr>
        <w:shd w:val="clear" w:color="auto" w:fill="D9E2F3" w:themeFill="accent5" w:themeFillTint="33"/>
        <w:rPr>
          <w:b/>
          <w:bCs/>
        </w:rPr>
      </w:pPr>
      <w:r w:rsidRPr="0094288C">
        <w:rPr>
          <w:b/>
          <w:bCs/>
          <w:iCs/>
        </w:rPr>
        <w:t>Case study:</w:t>
      </w:r>
      <w:r>
        <w:rPr>
          <w:b/>
          <w:bCs/>
          <w:i/>
          <w:iCs/>
        </w:rPr>
        <w:t xml:space="preserve"> ‘AH’ and Chief Minister, Treasury and Economic Development</w:t>
      </w:r>
      <w:r>
        <w:rPr>
          <w:rStyle w:val="FootnoteReference"/>
          <w:b/>
          <w:bCs/>
        </w:rPr>
        <w:footnoteReference w:id="270"/>
      </w:r>
    </w:p>
    <w:p w14:paraId="2347F2EF" w14:textId="155218D6" w:rsidR="004C1BCA" w:rsidRDefault="004C1BCA"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applicant sought access to a </w:t>
      </w:r>
      <w:r w:rsidR="003601D6">
        <w:t xml:space="preserve">draft </w:t>
      </w:r>
      <w:r>
        <w:t>site audit report and a</w:t>
      </w:r>
      <w:r w:rsidR="003601D6">
        <w:t xml:space="preserve"> draft</w:t>
      </w:r>
      <w:r>
        <w:t xml:space="preserve"> environment management plan relating to land in Fyshwick. </w:t>
      </w:r>
    </w:p>
    <w:p w14:paraId="2FFD44C5" w14:textId="1A61AFD0" w:rsidR="00D2157C" w:rsidRDefault="004C1BCA"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found the documents were provided to the </w:t>
      </w:r>
      <w:r w:rsidR="007E3CCB">
        <w:t>EPA</w:t>
      </w:r>
      <w:r>
        <w:t xml:space="preserve"> voluntarily and disclosure of these</w:t>
      </w:r>
      <w:r w:rsidR="001033B0">
        <w:t xml:space="preserve"> draft</w:t>
      </w:r>
      <w:r>
        <w:t xml:space="preserve"> documents would </w:t>
      </w:r>
      <w:r>
        <w:rPr>
          <w:i/>
        </w:rPr>
        <w:t>inter alia</w:t>
      </w:r>
      <w:r>
        <w:t xml:space="preserve"> adversely impact the EPA’s ability to carry out its environmental protection functions.</w:t>
      </w:r>
    </w:p>
    <w:p w14:paraId="0469672E" w14:textId="10B335E0" w:rsidR="00D2157C" w:rsidRDefault="00D2157C"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This was because it would impact the ability of the EPA to develop cooperative working relationships with other organisations in future. </w:t>
      </w:r>
    </w:p>
    <w:p w14:paraId="755031B0" w14:textId="77777777" w:rsidR="00F71E05" w:rsidRDefault="00F71E05" w:rsidP="009B05C4">
      <w:pPr>
        <w:pStyle w:val="Heading2"/>
        <w:numPr>
          <w:ilvl w:val="1"/>
          <w:numId w:val="54"/>
        </w:numPr>
        <w:ind w:left="567" w:hanging="567"/>
      </w:pPr>
      <w:bookmarkStart w:id="792" w:name="_Toc43385576"/>
      <w:bookmarkStart w:id="793" w:name="_Toc152067361"/>
      <w:r>
        <w:t>Section 2.2(a)(viii) – prejudice the economy of the Territory</w:t>
      </w:r>
      <w:bookmarkEnd w:id="792"/>
      <w:bookmarkEnd w:id="793"/>
    </w:p>
    <w:p w14:paraId="26F793F7" w14:textId="5F77CD1F" w:rsidR="007B6AFB" w:rsidRDefault="00A632AF" w:rsidP="007B6AFB">
      <w:r>
        <w:t xml:space="preserve">A factor favouring nondisclosure under </w:t>
      </w:r>
      <w:r w:rsidR="00033BF7">
        <w:t xml:space="preserve">s </w:t>
      </w:r>
      <w:r>
        <w:t>2.2(a)(</w:t>
      </w:r>
      <w:r w:rsidR="000948B7">
        <w:t>v</w:t>
      </w:r>
      <w:r>
        <w:t>i</w:t>
      </w:r>
      <w:r w:rsidR="000948B7">
        <w:t>ii</w:t>
      </w:r>
      <w:r>
        <w:t>) is that disclosure could reasonably be expected to prejudice the economy of the Territory.</w:t>
      </w:r>
      <w:r w:rsidR="00424A01">
        <w:t xml:space="preserve"> This reflects that agencies and m</w:t>
      </w:r>
      <w:r w:rsidR="007B6AFB">
        <w:t xml:space="preserve">inisters need to be able to keep certain information confidential in order to carry out and manage the Territory’s economic policy. </w:t>
      </w:r>
    </w:p>
    <w:p w14:paraId="508B5198" w14:textId="5D49F6CE" w:rsidR="00872A65" w:rsidRDefault="00872A65" w:rsidP="00872A65">
      <w:pPr>
        <w:pStyle w:val="Heading4"/>
      </w:pPr>
      <w:r>
        <w:t>Overview</w:t>
      </w:r>
    </w:p>
    <w:p w14:paraId="7849326E" w14:textId="383CB9E0" w:rsidR="00F71E05" w:rsidRDefault="00F71E05" w:rsidP="00F71E05">
      <w:r>
        <w:t xml:space="preserve">The FOI Act </w:t>
      </w:r>
      <w:r w:rsidR="00A632AF">
        <w:t>is</w:t>
      </w:r>
      <w:r>
        <w:t xml:space="preserve"> silent on what constitutes the economy of the Territory.</w:t>
      </w:r>
      <w:r w:rsidR="00724A79">
        <w:t xml:space="preserve"> The Ombudsman’s view is, however, that i</w:t>
      </w:r>
      <w:r>
        <w:t>n considering the Territory’s economic policy, it is relevant to consider the guidance on economic indicators for the ACT as provided by the ACT Treasury. They include economic growth, labour mar</w:t>
      </w:r>
      <w:r w:rsidR="00C74ABC">
        <w:t>ket, prices and housing market.</w:t>
      </w:r>
      <w:r>
        <w:rPr>
          <w:rStyle w:val="FootnoteReference"/>
        </w:rPr>
        <w:footnoteReference w:id="271"/>
      </w:r>
    </w:p>
    <w:p w14:paraId="779A02E2" w14:textId="77777777" w:rsidR="00872A65" w:rsidRPr="00D94911" w:rsidRDefault="00872A65"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6A6D9694" w14:textId="5AFC2196" w:rsidR="00872A65" w:rsidRPr="00A632AF" w:rsidRDefault="00872A65" w:rsidP="00B87CC6">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w:t>
      </w:r>
      <w:r w:rsidR="0055728A">
        <w:t>o’ and the term ‘prejudice’ see</w:t>
      </w:r>
      <w:r w:rsidR="0055728A">
        <w:br/>
      </w:r>
      <w:r w:rsidR="00373009">
        <w:t>[</w:t>
      </w:r>
      <w:hyperlink w:anchor="_Common_terms_and_1" w:history="1">
        <w:r w:rsidR="00373009" w:rsidRPr="00C61A66">
          <w:rPr>
            <w:rStyle w:val="Hyperlink"/>
          </w:rPr>
          <w:t>4</w:t>
        </w:r>
      </w:hyperlink>
      <w:r w:rsidR="00373009">
        <w:t>] above.</w:t>
      </w:r>
    </w:p>
    <w:p w14:paraId="05F0ACC9" w14:textId="77777777" w:rsidR="00872A65" w:rsidRDefault="00872A65" w:rsidP="00872A65">
      <w:pPr>
        <w:pStyle w:val="Heading4"/>
      </w:pPr>
      <w:r>
        <w:t>Examples</w:t>
      </w:r>
    </w:p>
    <w:p w14:paraId="2B209A07" w14:textId="77777777" w:rsidR="00F71E05" w:rsidRDefault="00F71E05" w:rsidP="00F71E05">
      <w:r>
        <w:t xml:space="preserve">Circumstances in which the disclosure of information could reasonably be expected to prejudice the economy of the Territory may include where disclosure may: </w:t>
      </w:r>
    </w:p>
    <w:p w14:paraId="1CC1BFF5" w14:textId="4C2CD684" w:rsidR="00F71E05" w:rsidRDefault="00F71E05" w:rsidP="008712A5">
      <w:pPr>
        <w:pStyle w:val="ListParagraph"/>
        <w:numPr>
          <w:ilvl w:val="0"/>
          <w:numId w:val="32"/>
        </w:numPr>
        <w:spacing w:line="256" w:lineRule="auto"/>
      </w:pPr>
      <w:r>
        <w:t>place the Territory at a disadvantage in negotiating with private sector</w:t>
      </w:r>
      <w:r w:rsidR="007065C1">
        <w:t xml:space="preserve"> entities on a commercial basis</w:t>
      </w:r>
      <w:r>
        <w:rPr>
          <w:rStyle w:val="FootnoteReference"/>
        </w:rPr>
        <w:footnoteReference w:id="272"/>
      </w:r>
    </w:p>
    <w:p w14:paraId="4FEDE36F" w14:textId="240EBD56" w:rsidR="00F71E05" w:rsidRDefault="00F71E05" w:rsidP="008712A5">
      <w:pPr>
        <w:pStyle w:val="ListParagraph"/>
        <w:numPr>
          <w:ilvl w:val="0"/>
          <w:numId w:val="32"/>
        </w:numPr>
        <w:spacing w:line="256" w:lineRule="auto"/>
      </w:pPr>
      <w:r>
        <w:t>prevent the Territory from obtaining commercial and investment advice in future without concern of broader disclosure</w:t>
      </w:r>
      <w:r>
        <w:rPr>
          <w:rStyle w:val="FootnoteReference"/>
        </w:rPr>
        <w:footnoteReference w:id="273"/>
      </w:r>
      <w:r>
        <w:t xml:space="preserve"> or</w:t>
      </w:r>
    </w:p>
    <w:p w14:paraId="743AF376" w14:textId="0CC717DC" w:rsidR="00F71E05" w:rsidRDefault="00F71E05" w:rsidP="008712A5">
      <w:pPr>
        <w:pStyle w:val="ListParagraph"/>
        <w:numPr>
          <w:ilvl w:val="0"/>
          <w:numId w:val="32"/>
        </w:numPr>
        <w:spacing w:line="256" w:lineRule="auto"/>
      </w:pPr>
      <w:r>
        <w:t>affect the public’s perception of, and confidence in, certain entities or an industry</w:t>
      </w:r>
      <w:r w:rsidR="00660D03">
        <w:t>.</w:t>
      </w:r>
      <w:r>
        <w:rPr>
          <w:rStyle w:val="FootnoteReference"/>
        </w:rPr>
        <w:footnoteReference w:id="274"/>
      </w:r>
      <w:r>
        <w:t xml:space="preserve"> </w:t>
      </w:r>
    </w:p>
    <w:p w14:paraId="29B325DB" w14:textId="29DB68E3" w:rsidR="00872A65" w:rsidRDefault="00872A65" w:rsidP="00872A65">
      <w:r>
        <w:t>The Ombudsman considered this factor in the case discussed below.</w:t>
      </w:r>
    </w:p>
    <w:p w14:paraId="58C00EE9" w14:textId="2FBF8F1A" w:rsidR="00872A65" w:rsidRPr="00872A65" w:rsidRDefault="00872A65" w:rsidP="007A1336">
      <w:pPr>
        <w:pBdr>
          <w:top w:val="single" w:sz="4" w:space="1" w:color="auto"/>
          <w:left w:val="single" w:sz="4" w:space="4" w:color="auto"/>
          <w:bottom w:val="single" w:sz="4" w:space="1" w:color="auto"/>
          <w:right w:val="single" w:sz="4" w:space="4" w:color="auto"/>
        </w:pBdr>
        <w:shd w:val="clear" w:color="auto" w:fill="D9E2F3" w:themeFill="accent5" w:themeFillTint="33"/>
        <w:rPr>
          <w:b/>
          <w:bCs/>
        </w:rPr>
      </w:pPr>
      <w:r w:rsidRPr="003C4BDB">
        <w:rPr>
          <w:b/>
          <w:bCs/>
          <w:iCs/>
        </w:rPr>
        <w:t>Case study:</w:t>
      </w:r>
      <w:r w:rsidRPr="00872A65">
        <w:rPr>
          <w:b/>
          <w:bCs/>
          <w:i/>
          <w:iCs/>
        </w:rPr>
        <w:t xml:space="preserve"> Google Australia Pty Ltd and Wing Aviation Pty Ltd and Environment, Planning and Sustainable Development Directorate</w:t>
      </w:r>
      <w:r>
        <w:rPr>
          <w:rStyle w:val="FootnoteReference"/>
          <w:b/>
          <w:bCs/>
        </w:rPr>
        <w:footnoteReference w:id="275"/>
      </w:r>
    </w:p>
    <w:p w14:paraId="5B08DE01" w14:textId="09770C86" w:rsidR="00872A65" w:rsidRDefault="00872A65"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A third party objected to release of a fauna study report which related to ‘Project </w:t>
      </w:r>
      <w:r w:rsidR="00E60B70">
        <w:t>W</w:t>
      </w:r>
      <w:r>
        <w:t>ing’</w:t>
      </w:r>
      <w:r w:rsidR="00E60B70">
        <w:t>,</w:t>
      </w:r>
      <w:r>
        <w:t xml:space="preserve"> a trial commercial drone delivery service in the ACT, </w:t>
      </w:r>
      <w:r w:rsidRPr="0013236E">
        <w:rPr>
          <w:i/>
        </w:rPr>
        <w:t>inter alia</w:t>
      </w:r>
      <w:r>
        <w:t xml:space="preserve"> on the ground that </w:t>
      </w:r>
      <w:r w:rsidR="00E60B70">
        <w:t xml:space="preserve">disclosure </w:t>
      </w:r>
      <w:r>
        <w:t xml:space="preserve">would prejudice the economy of the </w:t>
      </w:r>
      <w:r w:rsidR="00E60B70">
        <w:t>T</w:t>
      </w:r>
      <w:r>
        <w:t xml:space="preserve">erritory. </w:t>
      </w:r>
    </w:p>
    <w:p w14:paraId="4D2F845E" w14:textId="5A36573D" w:rsidR="00872A65" w:rsidRDefault="00F75980"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The third party</w:t>
      </w:r>
      <w:r w:rsidR="00872A65">
        <w:t xml:space="preserve"> claimed </w:t>
      </w:r>
      <w:r>
        <w:t>disclosure</w:t>
      </w:r>
      <w:r w:rsidR="00872A65">
        <w:t xml:space="preserve"> would prejudice the </w:t>
      </w:r>
      <w:r>
        <w:t xml:space="preserve">Territory’s economy by impacting the </w:t>
      </w:r>
      <w:r w:rsidR="00872A65">
        <w:t xml:space="preserve">diversity of the economy and due to the potential loss of Wing’s influence in growing the technology sector in the ACT. </w:t>
      </w:r>
    </w:p>
    <w:p w14:paraId="768732F1" w14:textId="5B3CC09D" w:rsidR="00872A65" w:rsidRDefault="00872A65"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The Ombudsman was not, however, satisfied that disclosing the report could reasonably be expected to prevent future commercial and investment advice flowing to the ACT Government from Wing or other investors.</w:t>
      </w:r>
    </w:p>
    <w:p w14:paraId="149AE36A" w14:textId="3168BD7F" w:rsidR="00F71E05" w:rsidRDefault="00F71E05" w:rsidP="001E149C">
      <w:pPr>
        <w:pStyle w:val="Heading2"/>
        <w:numPr>
          <w:ilvl w:val="1"/>
          <w:numId w:val="54"/>
        </w:numPr>
        <w:spacing w:line="240" w:lineRule="auto"/>
        <w:ind w:left="562" w:hanging="562"/>
      </w:pPr>
      <w:bookmarkStart w:id="794" w:name="_Toc43385577"/>
      <w:bookmarkStart w:id="795" w:name="_Toc152067362"/>
      <w:r>
        <w:t xml:space="preserve">Section 2.2(a)(ix) – prejudice flow of information to </w:t>
      </w:r>
      <w:r w:rsidR="00E06A22">
        <w:t xml:space="preserve">law enforcement or </w:t>
      </w:r>
      <w:r>
        <w:t>regulatory agency</w:t>
      </w:r>
      <w:bookmarkEnd w:id="794"/>
      <w:bookmarkEnd w:id="795"/>
    </w:p>
    <w:p w14:paraId="1FDB4F5C" w14:textId="75989FEB" w:rsidR="00F71E05" w:rsidRPr="007D5F59" w:rsidRDefault="007D5F59" w:rsidP="007D5F59">
      <w:r w:rsidRPr="007D5F59">
        <w:t xml:space="preserve">A factor favouring nondisclosure under </w:t>
      </w:r>
      <w:r w:rsidR="00E06A22">
        <w:t>s</w:t>
      </w:r>
      <w:r w:rsidR="00E06A22" w:rsidRPr="007D5F59">
        <w:t xml:space="preserve"> </w:t>
      </w:r>
      <w:r w:rsidRPr="007D5F59">
        <w:t xml:space="preserve">2.2(a)(ix) is that disclosure could reasonably be expected to prejudice </w:t>
      </w:r>
      <w:r w:rsidR="00F71E05" w:rsidRPr="007D5F59">
        <w:t xml:space="preserve">the flow of information to the police or another law enforcement agency or regulatory agency. </w:t>
      </w:r>
    </w:p>
    <w:p w14:paraId="39AF1937" w14:textId="5DC9F59D" w:rsidR="007B6AFB" w:rsidRDefault="00424A01" w:rsidP="0096731A">
      <w:pPr>
        <w:keepNext/>
        <w:keepLines/>
        <w:ind w:right="-187"/>
      </w:pPr>
      <w:r>
        <w:t>This reflects that l</w:t>
      </w:r>
      <w:r w:rsidR="007B6AFB">
        <w:t>aw enforcement and regulatory agencies often rely on the public to alert them to breaches of the law or regulatory schemes. That is, the efficient and effective use of the resources of such agencies is facilitated by them being able to obtain information from various members of the community and receive ‘as</w:t>
      </w:r>
      <w:r>
        <w:t> </w:t>
      </w:r>
      <w:r w:rsidR="007B6AFB">
        <w:t>much cooperation as possible’.</w:t>
      </w:r>
      <w:r w:rsidR="007B6AFB">
        <w:rPr>
          <w:rStyle w:val="FootnoteReference"/>
        </w:rPr>
        <w:footnoteReference w:id="276"/>
      </w:r>
    </w:p>
    <w:p w14:paraId="0AC1F060" w14:textId="300CBDE8" w:rsidR="00872A65" w:rsidRDefault="00872A65" w:rsidP="00872A65">
      <w:pPr>
        <w:pStyle w:val="Heading4"/>
      </w:pPr>
      <w:r>
        <w:t>Overview</w:t>
      </w:r>
    </w:p>
    <w:p w14:paraId="2F652EF4" w14:textId="68E239BD" w:rsidR="007D5F59" w:rsidRDefault="007D5F59" w:rsidP="007D5F59">
      <w:pPr>
        <w:ind w:right="-330"/>
      </w:pPr>
      <w:r>
        <w:t>The disclosure of certain categories of information relating to law enforcement is taken to be contrary to the public interest</w:t>
      </w:r>
      <w:r w:rsidR="00041304">
        <w:rPr>
          <w:rFonts w:ascii="Calibri" w:hAnsi="Calibri" w:cs="Calibri"/>
        </w:rPr>
        <w:t>—</w:t>
      </w:r>
      <w:r>
        <w:t xml:space="preserve">see </w:t>
      </w:r>
      <w:hyperlink w:anchor="_Section_1.14_–_1" w:history="1">
        <w:r w:rsidR="00785D6B">
          <w:rPr>
            <w:rStyle w:val="Hyperlink"/>
          </w:rPr>
          <w:t>[5.17]</w:t>
        </w:r>
      </w:hyperlink>
      <w:r w:rsidR="00872A65">
        <w:t xml:space="preserve"> </w:t>
      </w:r>
      <w:r>
        <w:t xml:space="preserve">The focus of s 2.2(a)(ix) is, however, on the </w:t>
      </w:r>
      <w:r w:rsidRPr="0048264F">
        <w:rPr>
          <w:i/>
        </w:rPr>
        <w:t>flow of information</w:t>
      </w:r>
      <w:r>
        <w:t xml:space="preserve"> to the police and other law enforcement or regulatory agencies. That is, situations where disclosure could reasonably be expected to:</w:t>
      </w:r>
    </w:p>
    <w:p w14:paraId="57C72546" w14:textId="77777777" w:rsidR="007D5F59" w:rsidRDefault="007D5F59" w:rsidP="008712A5">
      <w:pPr>
        <w:pStyle w:val="ListParagraph"/>
        <w:numPr>
          <w:ilvl w:val="0"/>
          <w:numId w:val="33"/>
        </w:numPr>
      </w:pPr>
      <w:r>
        <w:t>discourage individuals from coming forward with relevant information and concerns, and/or</w:t>
      </w:r>
    </w:p>
    <w:p w14:paraId="0DEDD815" w14:textId="0957D329" w:rsidR="007D5F59" w:rsidRDefault="007D5F59" w:rsidP="008712A5">
      <w:pPr>
        <w:pStyle w:val="ListParagraph"/>
        <w:numPr>
          <w:ilvl w:val="0"/>
          <w:numId w:val="33"/>
        </w:numPr>
      </w:pPr>
      <w:r>
        <w:t xml:space="preserve">negatively impact a ‘free flow’ of information to these agencies – </w:t>
      </w:r>
      <w:r w:rsidR="00E06A22">
        <w:t>either in</w:t>
      </w:r>
      <w:r>
        <w:t xml:space="preserve"> relation to a particular case</w:t>
      </w:r>
      <w:r w:rsidR="00E06A22">
        <w:t xml:space="preserve"> or generally</w:t>
      </w:r>
      <w:r>
        <w:t xml:space="preserve">. </w:t>
      </w:r>
    </w:p>
    <w:p w14:paraId="783DCFB6" w14:textId="1048E1DC" w:rsidR="00872A65" w:rsidRDefault="00872A65" w:rsidP="00872A65">
      <w:r>
        <w:t>Decision-makers should consider whether the information:</w:t>
      </w:r>
    </w:p>
    <w:p w14:paraId="76566157" w14:textId="77777777" w:rsidR="00872A65" w:rsidRDefault="00872A65" w:rsidP="009B05C4">
      <w:pPr>
        <w:pStyle w:val="ListParagraph"/>
        <w:numPr>
          <w:ilvl w:val="0"/>
          <w:numId w:val="99"/>
        </w:numPr>
      </w:pPr>
      <w:r>
        <w:t xml:space="preserve">relates to the police or another law enforcement or regulatory agency? </w:t>
      </w:r>
    </w:p>
    <w:p w14:paraId="6AE139EB" w14:textId="77777777" w:rsidR="00872A65" w:rsidRDefault="00872A65" w:rsidP="009B05C4">
      <w:pPr>
        <w:pStyle w:val="ListParagraph"/>
        <w:numPr>
          <w:ilvl w:val="0"/>
          <w:numId w:val="99"/>
        </w:numPr>
      </w:pPr>
      <w:r>
        <w:t>was provided as a result of contractual or legal obligations or if the information was voluntarily provided by the third party?</w:t>
      </w:r>
    </w:p>
    <w:p w14:paraId="5D77DB30" w14:textId="2BF2A9D5" w:rsidR="00872A65" w:rsidRDefault="00872A65" w:rsidP="00846D9E">
      <w:pPr>
        <w:pStyle w:val="ListParagraph"/>
        <w:numPr>
          <w:ilvl w:val="0"/>
          <w:numId w:val="99"/>
        </w:numPr>
        <w:ind w:left="357" w:hanging="357"/>
        <w:contextualSpacing w:val="0"/>
      </w:pPr>
      <w:r>
        <w:t>if disclosed would discourage such individuals or entities from providing further reports to the agency in future?</w:t>
      </w:r>
    </w:p>
    <w:p w14:paraId="591760E7" w14:textId="4AC00E5A" w:rsidR="00872A65" w:rsidRPr="00D94911" w:rsidRDefault="00872A65" w:rsidP="00B87CC6">
      <w:pPr>
        <w:pStyle w:val="ListParagraph"/>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4A51B2F9" w14:textId="58FD8F3F"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It does not need to be demonstrate that any prejudice to the flow of information would also prejudice the relevant agency’s ability to effectively discharge its enforcement functions.</w:t>
      </w:r>
      <w:r w:rsidR="006D0465">
        <w:rPr>
          <w:rStyle w:val="FootnoteReference"/>
        </w:rPr>
        <w:footnoteReference w:id="277"/>
      </w:r>
      <w:r>
        <w:t xml:space="preserve"> </w:t>
      </w:r>
    </w:p>
    <w:p w14:paraId="3E2BD8FD" w14:textId="1C20E2E5"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The Queensland Information Commissioner rejected an argument that only a ‘person making a false complaint’ would be ‘dissuaded from making a complaint’ to a law enforcement agency because it would be </w:t>
      </w:r>
      <w:r w:rsidR="00B11016">
        <w:t>publicly</w:t>
      </w:r>
      <w:r>
        <w:t xml:space="preserve"> released.</w:t>
      </w:r>
      <w:r>
        <w:rPr>
          <w:rStyle w:val="FootnoteReference"/>
        </w:rPr>
        <w:footnoteReference w:id="278"/>
      </w:r>
      <w:r>
        <w:t xml:space="preserve"> The Ombudsman agrees with this approach.</w:t>
      </w:r>
    </w:p>
    <w:p w14:paraId="4D425CE5" w14:textId="7D199D18"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w:t>
      </w:r>
      <w:r w:rsidR="00C36F87">
        <w:t>o’ and the term ‘prejudice’ see</w:t>
      </w:r>
      <w:r w:rsidR="00C36F87">
        <w:br/>
      </w:r>
      <w:r w:rsidR="00373009">
        <w:t>[</w:t>
      </w:r>
      <w:hyperlink w:anchor="_Common_terms_and_1" w:history="1">
        <w:r w:rsidR="00373009" w:rsidRPr="00C61A66">
          <w:rPr>
            <w:rStyle w:val="Hyperlink"/>
          </w:rPr>
          <w:t>4</w:t>
        </w:r>
      </w:hyperlink>
      <w:r w:rsidR="00373009">
        <w:t>] above.</w:t>
      </w:r>
    </w:p>
    <w:p w14:paraId="08EB10EE" w14:textId="1C16684D" w:rsidR="00872A65" w:rsidRDefault="00872A65" w:rsidP="00872A65">
      <w:pPr>
        <w:pStyle w:val="Heading4"/>
      </w:pPr>
      <w:r>
        <w:t>Examples</w:t>
      </w:r>
    </w:p>
    <w:p w14:paraId="78875573" w14:textId="42436800" w:rsidR="007D5F59" w:rsidRPr="008E0148" w:rsidRDefault="00872A65" w:rsidP="007D5F59">
      <w:r>
        <w:t xml:space="preserve">This factor could be relevant where the information </w:t>
      </w:r>
      <w:r w:rsidR="007C4B19">
        <w:t>being considered for disclosure</w:t>
      </w:r>
      <w:r>
        <w:t xml:space="preserve"> includes</w:t>
      </w:r>
      <w:r w:rsidR="007D5F59">
        <w:t>:</w:t>
      </w:r>
    </w:p>
    <w:p w14:paraId="7AE602FA" w14:textId="77777777" w:rsidR="007D5F59" w:rsidRDefault="007D5F59" w:rsidP="008712A5">
      <w:pPr>
        <w:pStyle w:val="ListParagraph"/>
        <w:numPr>
          <w:ilvl w:val="0"/>
          <w:numId w:val="33"/>
        </w:numPr>
        <w:ind w:right="-613"/>
      </w:pPr>
      <w:r>
        <w:t>the details of allegations or complaints made to such agencies, including unsubstantiated allegations</w:t>
      </w:r>
    </w:p>
    <w:p w14:paraId="650D27BB" w14:textId="77777777" w:rsidR="007D5F59" w:rsidRDefault="007D5F59" w:rsidP="008712A5">
      <w:pPr>
        <w:pStyle w:val="ListParagraph"/>
        <w:numPr>
          <w:ilvl w:val="0"/>
          <w:numId w:val="33"/>
        </w:numPr>
        <w:ind w:right="-613"/>
      </w:pPr>
      <w:r>
        <w:t>the identity of complainants or witnesses</w:t>
      </w:r>
      <w:r>
        <w:rPr>
          <w:rStyle w:val="FootnoteReference"/>
        </w:rPr>
        <w:footnoteReference w:id="279"/>
      </w:r>
      <w:r>
        <w:t xml:space="preserve"> </w:t>
      </w:r>
    </w:p>
    <w:p w14:paraId="44BA14F7" w14:textId="77777777" w:rsidR="007D5F59" w:rsidRDefault="007D5F59" w:rsidP="008712A5">
      <w:pPr>
        <w:pStyle w:val="ListParagraph"/>
        <w:numPr>
          <w:ilvl w:val="0"/>
          <w:numId w:val="33"/>
        </w:numPr>
      </w:pPr>
      <w:r>
        <w:t xml:space="preserve">investigation documents </w:t>
      </w:r>
    </w:p>
    <w:p w14:paraId="31C30E04" w14:textId="025BEF24" w:rsidR="007D5F59" w:rsidRDefault="007D5F59" w:rsidP="008712A5">
      <w:pPr>
        <w:pStyle w:val="ListParagraph"/>
        <w:numPr>
          <w:ilvl w:val="0"/>
          <w:numId w:val="33"/>
        </w:numPr>
      </w:pPr>
      <w:r>
        <w:t>witness statements.</w:t>
      </w:r>
    </w:p>
    <w:p w14:paraId="1BF1E078" w14:textId="77777777" w:rsidR="00872A65" w:rsidRDefault="00872A65" w:rsidP="00250C79">
      <w:pPr>
        <w:keepNext/>
        <w:keepLines/>
      </w:pPr>
    </w:p>
    <w:p w14:paraId="490D2236" w14:textId="77777777" w:rsidR="00872A65" w:rsidRPr="00D94911" w:rsidRDefault="00872A65" w:rsidP="007A1336">
      <w:pPr>
        <w:pStyle w:val="ListParagraph"/>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68AD21EE" w14:textId="07722CD0" w:rsidR="00C74ABC" w:rsidRPr="00872A65" w:rsidRDefault="00C74ABC" w:rsidP="007A133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The Ombudsman considered this factor in </w:t>
      </w:r>
      <w:r w:rsidRPr="00872A65">
        <w:rPr>
          <w:i/>
        </w:rPr>
        <w:t>Canberra Metro Construction and Chief Minister, Treasury and Economic Development Directorate</w:t>
      </w:r>
      <w:r w:rsidR="006D0465">
        <w:rPr>
          <w:i/>
        </w:rPr>
        <w:t>,</w:t>
      </w:r>
      <w:r>
        <w:rPr>
          <w:rStyle w:val="FootnoteReference"/>
          <w:i/>
        </w:rPr>
        <w:footnoteReference w:id="280"/>
      </w:r>
      <w:r>
        <w:t xml:space="preserve"> but found it not to be relevant. In making this assessment, the Ombudsman took into account that the relevant documents were provided due to contractual and legal obligations</w:t>
      </w:r>
      <w:r w:rsidR="006675BF">
        <w:rPr>
          <w:rFonts w:ascii="Calibri" w:hAnsi="Calibri" w:cs="Calibri"/>
        </w:rPr>
        <w:t>—</w:t>
      </w:r>
      <w:r w:rsidR="00872A65">
        <w:t>that is, not on a voluntary basis.</w:t>
      </w:r>
    </w:p>
    <w:p w14:paraId="4307C2B9" w14:textId="0F1156F3" w:rsidR="00F71E05" w:rsidRPr="007D5F59" w:rsidRDefault="006D0465" w:rsidP="009B05C4">
      <w:pPr>
        <w:pStyle w:val="Heading2"/>
        <w:numPr>
          <w:ilvl w:val="1"/>
          <w:numId w:val="54"/>
        </w:numPr>
        <w:ind w:left="567" w:hanging="567"/>
      </w:pPr>
      <w:r>
        <w:t xml:space="preserve"> </w:t>
      </w:r>
      <w:bookmarkStart w:id="796" w:name="_Toc43385578"/>
      <w:bookmarkStart w:id="797" w:name="_Toc152067363"/>
      <w:r w:rsidR="00F71E05" w:rsidRPr="007D5F59">
        <w:t>Section 2.2(a)(x) – prejudice intergovernmental relations</w:t>
      </w:r>
      <w:bookmarkEnd w:id="796"/>
      <w:bookmarkEnd w:id="797"/>
    </w:p>
    <w:p w14:paraId="37B5DFC1" w14:textId="39554BB1" w:rsidR="00E034B4" w:rsidRDefault="007D5F59" w:rsidP="007D5F59">
      <w:pPr>
        <w:keepNext/>
        <w:keepLines/>
      </w:pPr>
      <w:r w:rsidRPr="007D5F59">
        <w:t xml:space="preserve">A factor favouring nondisclosure under </w:t>
      </w:r>
      <w:r w:rsidR="00843CD6">
        <w:t xml:space="preserve">s </w:t>
      </w:r>
      <w:r w:rsidRPr="007D5F59">
        <w:t xml:space="preserve">2.2(a)(x) is that disclosure could reasonably be expected to prejudice </w:t>
      </w:r>
      <w:r w:rsidR="00F71E05" w:rsidRPr="007D5F59">
        <w:t>intergovernmental relations</w:t>
      </w:r>
      <w:r w:rsidR="001A3B11">
        <w:t xml:space="preserve">. The disclosure of information may prejudice intergovernmental relations </w:t>
      </w:r>
      <w:r w:rsidR="00F71E05" w:rsidRPr="007D5F59">
        <w:t>due to the nature of the information or the circumstances in which the information was received by the ACT government.</w:t>
      </w:r>
    </w:p>
    <w:p w14:paraId="586220B5" w14:textId="1031DA44" w:rsidR="00872A65" w:rsidRDefault="00872A65" w:rsidP="00872A65">
      <w:pPr>
        <w:pStyle w:val="Heading4"/>
      </w:pPr>
      <w:r>
        <w:t>Overview</w:t>
      </w:r>
    </w:p>
    <w:p w14:paraId="6133FB56" w14:textId="09088169" w:rsidR="007B6AFB" w:rsidRPr="007D5F59" w:rsidRDefault="007B6AFB" w:rsidP="007B6AFB">
      <w:r w:rsidRPr="007D5F59">
        <w:t xml:space="preserve">‘Intergovernmental relations’ refers to the working relationship between the ACT </w:t>
      </w:r>
      <w:r w:rsidR="00613968">
        <w:t>G</w:t>
      </w:r>
      <w:r w:rsidRPr="007D5F59">
        <w:t>overnment and the government of the Commonwealth, a State or Territory, or a foreign country. This working relationship includes the interactions between the agencies and Ministers of different governments.</w:t>
      </w:r>
      <w:r w:rsidRPr="007D5F59">
        <w:rPr>
          <w:rStyle w:val="FootnoteReference"/>
        </w:rPr>
        <w:footnoteReference w:id="281"/>
      </w:r>
      <w:r w:rsidRPr="007D5F59">
        <w:t xml:space="preserve"> </w:t>
      </w:r>
    </w:p>
    <w:p w14:paraId="19F5B84A" w14:textId="009B23EE" w:rsidR="00E034B4" w:rsidRDefault="00E034B4" w:rsidP="00E034B4">
      <w:r>
        <w:t>Decision-makers should consider whether:</w:t>
      </w:r>
    </w:p>
    <w:p w14:paraId="4A81E034" w14:textId="05B9559B" w:rsidR="00171740" w:rsidRDefault="00171740" w:rsidP="009B05C4">
      <w:pPr>
        <w:pStyle w:val="ListParagraph"/>
        <w:numPr>
          <w:ilvl w:val="0"/>
          <w:numId w:val="99"/>
        </w:numPr>
      </w:pPr>
      <w:r>
        <w:t xml:space="preserve">the information being considered </w:t>
      </w:r>
      <w:r w:rsidR="00E034B4">
        <w:t>was communicated in confidence</w:t>
      </w:r>
      <w:r w:rsidR="0096731A">
        <w:t>, and</w:t>
      </w:r>
    </w:p>
    <w:p w14:paraId="19512AE1" w14:textId="339E8EED" w:rsidR="00E034B4" w:rsidRDefault="007065C1" w:rsidP="0099309E">
      <w:pPr>
        <w:pStyle w:val="ListParagraph"/>
        <w:numPr>
          <w:ilvl w:val="0"/>
          <w:numId w:val="99"/>
        </w:numPr>
      </w:pPr>
      <w:r>
        <w:t>d</w:t>
      </w:r>
      <w:r w:rsidR="00E034B4">
        <w:t>isclosure would reasonably cause damage to the relationship</w:t>
      </w:r>
      <w:r w:rsidR="0096731A">
        <w:t>.</w:t>
      </w:r>
      <w:r w:rsidR="004432E3">
        <w:br/>
      </w:r>
    </w:p>
    <w:p w14:paraId="7B074F00" w14:textId="77777777" w:rsidR="00872A65" w:rsidRPr="00D94911" w:rsidRDefault="00872A65" w:rsidP="00B87CC6">
      <w:pPr>
        <w:pStyle w:val="ListParagraph"/>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626EB35A" w14:textId="77777777" w:rsidR="00872A65" w:rsidRPr="00E034B4"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rsidRPr="007D5F59">
        <w:t>Normally, intergovernmental relations will not be prejudiced by the disclosure of information that could reasonably be expected to lead to a falling out between individuals working within different governments, even if there may be some loss of cooperation between the individuals.</w:t>
      </w:r>
      <w:r w:rsidRPr="007D5F59">
        <w:rPr>
          <w:rStyle w:val="FootnoteReference"/>
        </w:rPr>
        <w:footnoteReference w:id="282"/>
      </w:r>
      <w:r w:rsidRPr="007D5F59">
        <w:t xml:space="preserve"> </w:t>
      </w:r>
    </w:p>
    <w:p w14:paraId="4BE36361" w14:textId="2DCC5576"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rsidRPr="007D5F59">
        <w:t xml:space="preserve">If this factor applies, it may be </w:t>
      </w:r>
      <w:r w:rsidRPr="000C2CDE">
        <w:t>necessary to consult the affected government before deciding to give access to this information</w:t>
      </w:r>
      <w:r w:rsidR="009515A9" w:rsidRPr="000C2CDE">
        <w:t>.</w:t>
      </w:r>
      <w:r w:rsidR="009515A9" w:rsidRPr="000C2CDE">
        <w:rPr>
          <w:rStyle w:val="FootnoteReference"/>
        </w:rPr>
        <w:footnoteReference w:id="283"/>
      </w:r>
      <w:r w:rsidRPr="000C2CDE">
        <w:t xml:space="preserve"> </w:t>
      </w:r>
      <w:r w:rsidR="00AE00C7" w:rsidRPr="000C2CDE">
        <w:t xml:space="preserve">For more information, see </w:t>
      </w:r>
      <w:hyperlink r:id="rId70" w:history="1">
        <w:r w:rsidR="00934054" w:rsidRPr="00934054">
          <w:rPr>
            <w:rStyle w:val="Hyperlink"/>
          </w:rPr>
          <w:t>FOI Guidelines Vol 3 – Dealing with access applications</w:t>
        </w:r>
      </w:hyperlink>
      <w:r w:rsidR="00934054">
        <w:t xml:space="preserve">. </w:t>
      </w:r>
    </w:p>
    <w:p w14:paraId="6D68585A" w14:textId="38E6F331"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w:t>
      </w:r>
      <w:r w:rsidR="008B7C89">
        <w:t>o’ and the term ‘prejudice’ see</w:t>
      </w:r>
      <w:r w:rsidR="008B7C89">
        <w:br/>
      </w:r>
      <w:r w:rsidR="00373009">
        <w:t>[</w:t>
      </w:r>
      <w:hyperlink w:anchor="_Common_terms_and_1" w:history="1">
        <w:r w:rsidR="00373009" w:rsidRPr="00C61A66">
          <w:rPr>
            <w:rStyle w:val="Hyperlink"/>
          </w:rPr>
          <w:t>4</w:t>
        </w:r>
      </w:hyperlink>
      <w:r w:rsidR="00373009">
        <w:t>] above.</w:t>
      </w:r>
    </w:p>
    <w:p w14:paraId="2FA46BB5" w14:textId="4AC9A835" w:rsidR="00872A65" w:rsidRDefault="00872A65" w:rsidP="00872A65">
      <w:pPr>
        <w:pStyle w:val="Heading4"/>
      </w:pPr>
      <w:r>
        <w:t>Examples</w:t>
      </w:r>
    </w:p>
    <w:p w14:paraId="0828E5D9" w14:textId="609E3000" w:rsidR="00872A65" w:rsidRPr="007D5F59" w:rsidRDefault="00872A65" w:rsidP="0096731A">
      <w:pPr>
        <w:keepNext/>
        <w:keepLines/>
        <w:ind w:right="-22"/>
      </w:pPr>
      <w:r w:rsidRPr="007D5F59">
        <w:t>Types of information that may prejudice intergovernmental relations if disclosed may include</w:t>
      </w:r>
      <w:r>
        <w:t xml:space="preserve"> information that</w:t>
      </w:r>
      <w:r w:rsidRPr="007D5F59">
        <w:t xml:space="preserve">: </w:t>
      </w:r>
    </w:p>
    <w:p w14:paraId="24067094" w14:textId="77777777" w:rsidR="00872A65" w:rsidRPr="007D5F59" w:rsidRDefault="00872A65" w:rsidP="00872A65">
      <w:pPr>
        <w:pStyle w:val="ListParagraph"/>
        <w:numPr>
          <w:ilvl w:val="0"/>
          <w:numId w:val="34"/>
        </w:numPr>
        <w:spacing w:line="256" w:lineRule="auto"/>
      </w:pPr>
      <w:r w:rsidRPr="007D5F59">
        <w:t>contains criticism of another government, agency or Minister,</w:t>
      </w:r>
      <w:r w:rsidRPr="007D5F59">
        <w:rPr>
          <w:rStyle w:val="FootnoteReference"/>
        </w:rPr>
        <w:footnoteReference w:id="284"/>
      </w:r>
      <w:r w:rsidRPr="007D5F59">
        <w:t xml:space="preserve"> or </w:t>
      </w:r>
    </w:p>
    <w:p w14:paraId="2619A0D4" w14:textId="77777777" w:rsidR="00872A65" w:rsidRPr="007D5F59" w:rsidRDefault="00872A65" w:rsidP="00872A65">
      <w:pPr>
        <w:pStyle w:val="ListParagraph"/>
        <w:numPr>
          <w:ilvl w:val="0"/>
          <w:numId w:val="34"/>
        </w:numPr>
        <w:spacing w:line="256" w:lineRule="auto"/>
      </w:pPr>
      <w:r w:rsidRPr="007D5F59">
        <w:t>reveals ACT government policy proposals that may upset another government</w:t>
      </w:r>
      <w:r>
        <w:t>.</w:t>
      </w:r>
      <w:r w:rsidRPr="007D5F59">
        <w:rPr>
          <w:rStyle w:val="FootnoteReference"/>
        </w:rPr>
        <w:footnoteReference w:id="285"/>
      </w:r>
    </w:p>
    <w:p w14:paraId="403BAE4C" w14:textId="42B07D45" w:rsidR="00872A65" w:rsidRPr="007D5F59" w:rsidRDefault="00872A65" w:rsidP="00872A65">
      <w:r w:rsidRPr="007D5F59">
        <w:t>The disclosure of information may also prejudice intergovernmental relations where the information was provided to the ACT government on a confidential basis</w:t>
      </w:r>
      <w:r w:rsidRPr="007D5F59">
        <w:rPr>
          <w:rStyle w:val="FootnoteReference"/>
        </w:rPr>
        <w:footnoteReference w:id="286"/>
      </w:r>
      <w:r w:rsidRPr="007D5F59">
        <w:t xml:space="preserve"> and disclosure may: </w:t>
      </w:r>
    </w:p>
    <w:p w14:paraId="4C9A65D0" w14:textId="77777777" w:rsidR="00872A65" w:rsidRPr="007D5F59" w:rsidRDefault="00872A65" w:rsidP="00872A65">
      <w:pPr>
        <w:pStyle w:val="ListParagraph"/>
        <w:numPr>
          <w:ilvl w:val="0"/>
          <w:numId w:val="35"/>
        </w:numPr>
        <w:spacing w:line="256" w:lineRule="auto"/>
      </w:pPr>
      <w:r w:rsidRPr="007D5F59">
        <w:t>adversely affect ongoing intergovernmental negotiations</w:t>
      </w:r>
      <w:r w:rsidRPr="007D5F59">
        <w:rPr>
          <w:rStyle w:val="FootnoteReference"/>
        </w:rPr>
        <w:footnoteReference w:id="287"/>
      </w:r>
    </w:p>
    <w:p w14:paraId="5A40ABFC" w14:textId="77777777" w:rsidR="00872A65" w:rsidRPr="007D5F59" w:rsidRDefault="00872A65" w:rsidP="00872A65">
      <w:pPr>
        <w:pStyle w:val="ListParagraph"/>
        <w:numPr>
          <w:ilvl w:val="0"/>
          <w:numId w:val="35"/>
        </w:numPr>
        <w:spacing w:line="256" w:lineRule="auto"/>
        <w:ind w:right="828"/>
      </w:pPr>
      <w:r w:rsidRPr="007D5F59">
        <w:t>cause another government to be hesitant about providing information to the ACT government in future,</w:t>
      </w:r>
      <w:r w:rsidRPr="007D5F59">
        <w:rPr>
          <w:rStyle w:val="FootnoteReference"/>
        </w:rPr>
        <w:footnoteReference w:id="288"/>
      </w:r>
      <w:r w:rsidRPr="007D5F59">
        <w:t xml:space="preserve"> or </w:t>
      </w:r>
    </w:p>
    <w:p w14:paraId="7E12D110" w14:textId="773FD6A9" w:rsidR="00872A65" w:rsidRPr="007D5F59" w:rsidRDefault="00872A65" w:rsidP="00872A65">
      <w:pPr>
        <w:pStyle w:val="ListParagraph"/>
        <w:numPr>
          <w:ilvl w:val="0"/>
          <w:numId w:val="35"/>
        </w:numPr>
        <w:spacing w:line="256" w:lineRule="auto"/>
      </w:pPr>
      <w:r w:rsidRPr="007D5F59">
        <w:t>result in a loss of trust and cooperation between governments.</w:t>
      </w:r>
      <w:r w:rsidRPr="007D5F59">
        <w:rPr>
          <w:rStyle w:val="FootnoteReference"/>
        </w:rPr>
        <w:footnoteReference w:id="289"/>
      </w:r>
    </w:p>
    <w:p w14:paraId="319192C9" w14:textId="77777777" w:rsidR="00872A65" w:rsidRPr="00872A65" w:rsidRDefault="00872A65"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72A65">
        <w:rPr>
          <w:b/>
        </w:rPr>
        <w:t>Note:</w:t>
      </w:r>
    </w:p>
    <w:p w14:paraId="1676B004" w14:textId="1587BEAE" w:rsidR="00872A65" w:rsidRDefault="00E034B4" w:rsidP="00B87CC6">
      <w:pPr>
        <w:pStyle w:val="ListParagraph"/>
        <w:numPr>
          <w:ilvl w:val="0"/>
          <w:numId w:val="125"/>
        </w:numPr>
        <w:pBdr>
          <w:top w:val="single" w:sz="4" w:space="1" w:color="auto"/>
          <w:left w:val="single" w:sz="4" w:space="4" w:color="auto"/>
          <w:bottom w:val="single" w:sz="4" w:space="1" w:color="auto"/>
          <w:right w:val="single" w:sz="4" w:space="4" w:color="auto"/>
        </w:pBdr>
        <w:shd w:val="clear" w:color="auto" w:fill="D9E2F3" w:themeFill="accent5" w:themeFillTint="33"/>
      </w:pPr>
      <w:r>
        <w:t>T</w:t>
      </w:r>
      <w:r w:rsidR="00171740">
        <w:t xml:space="preserve">he Ombudsman </w:t>
      </w:r>
      <w:r>
        <w:t>considered this factor in</w:t>
      </w:r>
      <w:r w:rsidR="00171740">
        <w:t xml:space="preserve"> </w:t>
      </w:r>
      <w:r w:rsidRPr="00872A65">
        <w:rPr>
          <w:i/>
        </w:rPr>
        <w:t>Alistair Coe and Chief Minister, Treasury and Economic Development Directorate</w:t>
      </w:r>
      <w:r>
        <w:rPr>
          <w:rStyle w:val="FootnoteReference"/>
          <w:i/>
        </w:rPr>
        <w:footnoteReference w:id="290"/>
      </w:r>
      <w:r>
        <w:t xml:space="preserve"> but found it not to be relevant.</w:t>
      </w:r>
      <w:r w:rsidR="00872A65">
        <w:t xml:space="preserve"> </w:t>
      </w:r>
      <w:r w:rsidR="00AE00C7">
        <w:t>In making this assessment,</w:t>
      </w:r>
      <w:r w:rsidR="00AE00C7">
        <w:br/>
      </w:r>
      <w:r>
        <w:t>the Ombudsman took into account that</w:t>
      </w:r>
      <w:r w:rsidR="00171740">
        <w:t xml:space="preserve"> </w:t>
      </w:r>
      <w:r>
        <w:t>the information at issue consisted only of ACT government briefing notes, as</w:t>
      </w:r>
      <w:r w:rsidR="00424A01">
        <w:t> </w:t>
      </w:r>
      <w:r>
        <w:t>opposed to confidential com</w:t>
      </w:r>
      <w:r w:rsidR="00171740">
        <w:t>munications between governments.</w:t>
      </w:r>
    </w:p>
    <w:p w14:paraId="13133A83" w14:textId="192C41C9" w:rsidR="00E034B4" w:rsidRPr="007D5F59" w:rsidRDefault="00171740" w:rsidP="00B87CC6">
      <w:pPr>
        <w:pStyle w:val="ListParagraph"/>
        <w:numPr>
          <w:ilvl w:val="0"/>
          <w:numId w:val="125"/>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In </w:t>
      </w:r>
      <w:r w:rsidRPr="00872A65">
        <w:rPr>
          <w:i/>
        </w:rPr>
        <w:t>Department of Defence and Health Directorate</w:t>
      </w:r>
      <w:r w:rsidR="00273DDE" w:rsidRPr="00872A65">
        <w:rPr>
          <w:i/>
        </w:rPr>
        <w:t>,</w:t>
      </w:r>
      <w:r>
        <w:rPr>
          <w:rStyle w:val="FootnoteReference"/>
          <w:i/>
        </w:rPr>
        <w:footnoteReference w:id="291"/>
      </w:r>
      <w:r w:rsidRPr="00872A65">
        <w:rPr>
          <w:i/>
        </w:rPr>
        <w:t xml:space="preserve"> </w:t>
      </w:r>
      <w:r>
        <w:t>the Ombudsman again found this factor not to be relevant because it was not apparent that the information was exchanged in confidence. The</w:t>
      </w:r>
      <w:r w:rsidR="00872A65">
        <w:t> </w:t>
      </w:r>
      <w:r>
        <w:t xml:space="preserve">Ombudsman also placed weight on the fact that ACT Health did not share the </w:t>
      </w:r>
      <w:r w:rsidR="00273DDE">
        <w:t>Department of Defence’s</w:t>
      </w:r>
      <w:r>
        <w:t xml:space="preserve"> concerns that the information could possibly prejudice intergovernmental relations.</w:t>
      </w:r>
    </w:p>
    <w:p w14:paraId="14777CBC" w14:textId="1BB88F98" w:rsidR="00F71E05" w:rsidRDefault="00642BB9" w:rsidP="009B05C4">
      <w:pPr>
        <w:pStyle w:val="Heading2"/>
        <w:numPr>
          <w:ilvl w:val="1"/>
          <w:numId w:val="54"/>
        </w:numPr>
        <w:spacing w:line="240" w:lineRule="auto"/>
        <w:ind w:left="567" w:hanging="567"/>
      </w:pPr>
      <w:r>
        <w:t xml:space="preserve"> </w:t>
      </w:r>
      <w:bookmarkStart w:id="798" w:name="_Toc43385579"/>
      <w:bookmarkStart w:id="799" w:name="_Toc152067364"/>
      <w:r w:rsidR="00F71E05">
        <w:t>Section 2.2(a)(xi) – prejudice trade secrets, business affairs or research</w:t>
      </w:r>
      <w:bookmarkEnd w:id="798"/>
      <w:bookmarkEnd w:id="799"/>
      <w:r w:rsidR="007D5F59">
        <w:t xml:space="preserve"> </w:t>
      </w:r>
    </w:p>
    <w:p w14:paraId="7CDCE3B0" w14:textId="2A381A47" w:rsidR="007B6AFB" w:rsidRDefault="007D5F59" w:rsidP="0096731A">
      <w:pPr>
        <w:keepNext/>
        <w:keepLines/>
        <w:ind w:right="-22"/>
      </w:pPr>
      <w:r w:rsidRPr="007D5F59">
        <w:t xml:space="preserve">A factor favouring nondisclosure under </w:t>
      </w:r>
      <w:r w:rsidR="00C57D54">
        <w:t xml:space="preserve">s </w:t>
      </w:r>
      <w:r w:rsidRPr="007D5F59">
        <w:t>2.2(a)(x</w:t>
      </w:r>
      <w:r>
        <w:t>i</w:t>
      </w:r>
      <w:r w:rsidRPr="007D5F59">
        <w:t xml:space="preserve">) is that disclosure could reasonably be expected to prejudice </w:t>
      </w:r>
      <w:r>
        <w:t>trade secrets, business affairs or research</w:t>
      </w:r>
      <w:r w:rsidR="000E2DF8">
        <w:t xml:space="preserve"> of any agency or person</w:t>
      </w:r>
      <w:r>
        <w:t xml:space="preserve">. </w:t>
      </w:r>
      <w:r w:rsidR="00872A65">
        <w:t xml:space="preserve">These provisions are designed to protect the </w:t>
      </w:r>
      <w:r w:rsidR="000B3CA8">
        <w:t xml:space="preserve">trade secrets, </w:t>
      </w:r>
      <w:r w:rsidR="00872A65">
        <w:t>business interests</w:t>
      </w:r>
      <w:r w:rsidR="000B3CA8">
        <w:t xml:space="preserve"> and research</w:t>
      </w:r>
      <w:r w:rsidR="00872A65">
        <w:t xml:space="preserve"> of third parties, and ensure that the FOI Act is not used to obtain commercial information about competitors, distorting the proper functioning of markets. They also reflect the fact that </w:t>
      </w:r>
      <w:r w:rsidR="00424A01">
        <w:t xml:space="preserve">the ACT </w:t>
      </w:r>
      <w:r w:rsidR="008C04C7">
        <w:t>G</w:t>
      </w:r>
      <w:r w:rsidR="007B6AFB">
        <w:t>overnment frequently deal</w:t>
      </w:r>
      <w:r w:rsidR="00424A01">
        <w:t>s</w:t>
      </w:r>
      <w:r w:rsidR="007B6AFB">
        <w:t xml:space="preserve"> with private third pa</w:t>
      </w:r>
      <w:r w:rsidR="00424A01">
        <w:t xml:space="preserve">rties on a daily basis, and </w:t>
      </w:r>
      <w:r w:rsidR="007B6AFB">
        <w:t xml:space="preserve">such </w:t>
      </w:r>
      <w:r w:rsidR="00576D16">
        <w:t xml:space="preserve">third parties </w:t>
      </w:r>
      <w:r w:rsidR="007B6AFB">
        <w:t>should not be adversely affected by the operation of the FOI Act.</w:t>
      </w:r>
      <w:r w:rsidR="007B6AFB">
        <w:rPr>
          <w:rStyle w:val="FootnoteReference"/>
        </w:rPr>
        <w:footnoteReference w:id="292"/>
      </w:r>
      <w:r w:rsidR="007B6AFB">
        <w:t xml:space="preserve"> </w:t>
      </w:r>
    </w:p>
    <w:p w14:paraId="6F8ECC1C" w14:textId="623A51C1" w:rsidR="00872A65" w:rsidRDefault="00872A65" w:rsidP="00872A65">
      <w:pPr>
        <w:pStyle w:val="Heading5"/>
      </w:pPr>
      <w:r>
        <w:t>Overview</w:t>
      </w:r>
    </w:p>
    <w:p w14:paraId="561001A9" w14:textId="166B094C" w:rsidR="00114E38" w:rsidRDefault="007D5F59" w:rsidP="00114E38">
      <w:r>
        <w:t>‘Person’ for the purposes of this factor includes a corporation as well as an individual.</w:t>
      </w:r>
      <w:r>
        <w:rPr>
          <w:rStyle w:val="FootnoteReference"/>
        </w:rPr>
        <w:footnoteReference w:id="293"/>
      </w:r>
      <w:r w:rsidR="00424A01">
        <w:t xml:space="preserve"> Each of the other terms included in s</w:t>
      </w:r>
      <w:r w:rsidR="00BE7372">
        <w:t xml:space="preserve"> </w:t>
      </w:r>
      <w:r w:rsidR="00424A01">
        <w:t>2.2(a)(ix) are explained below in more detail.</w:t>
      </w:r>
      <w:r w:rsidR="00985776">
        <w:t xml:space="preserve"> </w:t>
      </w:r>
      <w:r w:rsidR="00114E38">
        <w:t xml:space="preserve">When considering whether this factor applies, </w:t>
      </w:r>
      <w:r w:rsidR="007229C7">
        <w:t>decision-makers</w:t>
      </w:r>
      <w:r w:rsidR="00114E38">
        <w:t xml:space="preserve"> may want to consider:</w:t>
      </w:r>
    </w:p>
    <w:p w14:paraId="3F1C84B0" w14:textId="378B5DE4" w:rsidR="00114E38" w:rsidRDefault="00114E38" w:rsidP="008712A5">
      <w:pPr>
        <w:pStyle w:val="ListParagraph"/>
        <w:numPr>
          <w:ilvl w:val="0"/>
          <w:numId w:val="49"/>
        </w:numPr>
      </w:pPr>
      <w:r>
        <w:t xml:space="preserve">the extent to which the information is </w:t>
      </w:r>
      <w:r w:rsidR="009B0CAD">
        <w:t>well-known or publicly available</w:t>
      </w:r>
    </w:p>
    <w:p w14:paraId="56CCF70F" w14:textId="20F1CBA6" w:rsidR="00872A65" w:rsidRDefault="00872A65" w:rsidP="00872A65">
      <w:pPr>
        <w:pStyle w:val="ListParagraph"/>
        <w:numPr>
          <w:ilvl w:val="1"/>
          <w:numId w:val="49"/>
        </w:numPr>
      </w:pPr>
      <w:r>
        <w:t xml:space="preserve">if it is common knowledge, </w:t>
      </w:r>
      <w:r w:rsidR="009B0CAD">
        <w:t xml:space="preserve">disclosure </w:t>
      </w:r>
      <w:r>
        <w:t>is unlikely to prejudice business interests</w:t>
      </w:r>
    </w:p>
    <w:p w14:paraId="441B3B0A" w14:textId="4E38FDF2" w:rsidR="00114E38" w:rsidRDefault="00114E38" w:rsidP="008712A5">
      <w:pPr>
        <w:pStyle w:val="ListParagraph"/>
        <w:numPr>
          <w:ilvl w:val="0"/>
          <w:numId w:val="49"/>
        </w:numPr>
      </w:pPr>
      <w:r>
        <w:t>the extent of measures taken to guard the sensitivity of the information</w:t>
      </w:r>
    </w:p>
    <w:p w14:paraId="485553CB" w14:textId="3CB9A86D" w:rsidR="00872A65" w:rsidRDefault="00114E38" w:rsidP="00872A65">
      <w:pPr>
        <w:pStyle w:val="ListParagraph"/>
        <w:numPr>
          <w:ilvl w:val="0"/>
          <w:numId w:val="49"/>
        </w:numPr>
        <w:ind w:left="357" w:hanging="357"/>
        <w:contextualSpacing w:val="0"/>
      </w:pPr>
      <w:r>
        <w:t xml:space="preserve">what negative implications might </w:t>
      </w:r>
      <w:r w:rsidR="007C4B19">
        <w:t>there be for</w:t>
      </w:r>
      <w:r>
        <w:t xml:space="preserve"> the third party if</w:t>
      </w:r>
      <w:r w:rsidR="00856B78">
        <w:t xml:space="preserve"> the information were disclosed</w:t>
      </w:r>
      <w:r w:rsidR="0099309E">
        <w:t>.</w:t>
      </w:r>
    </w:p>
    <w:p w14:paraId="0F9FA21E" w14:textId="16462ABF" w:rsidR="00872A65" w:rsidRDefault="00872A65" w:rsidP="00872A65">
      <w:r>
        <w:t>The Ombudsman also considers that there is a stronger public interest in disclosing information where it sheds light on a business relationship between an entity and a government agency, as opposed to information that is obtained by a government agency due to an administrative or regulatory process (e.g. tax collection, licence applications).</w:t>
      </w:r>
    </w:p>
    <w:p w14:paraId="52CFC950" w14:textId="77777777" w:rsidR="00872A65" w:rsidRPr="00D94911" w:rsidRDefault="00872A65"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083F608D" w14:textId="6E3A8934" w:rsidR="000C2CDE" w:rsidRPr="000C2CDE" w:rsidRDefault="00872A65" w:rsidP="00B87CC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If this factor applies, it is necessary to consult the affected third party before deciding to give access to the information</w:t>
      </w:r>
      <w:r w:rsidR="00642BB9">
        <w:t>.</w:t>
      </w:r>
      <w:r w:rsidR="00642BB9">
        <w:rPr>
          <w:rStyle w:val="FootnoteReference"/>
        </w:rPr>
        <w:footnoteReference w:id="294"/>
      </w:r>
      <w:r>
        <w:t xml:space="preserve"> </w:t>
      </w:r>
      <w:r w:rsidR="00642BB9" w:rsidRPr="000C2CDE">
        <w:t>For more information, see</w:t>
      </w:r>
      <w:r w:rsidR="000C2CDE" w:rsidRPr="000C2CDE">
        <w:t xml:space="preserve"> </w:t>
      </w:r>
      <w:hyperlink r:id="rId71" w:history="1">
        <w:r w:rsidR="00934054" w:rsidRPr="00934054">
          <w:rPr>
            <w:rStyle w:val="Hyperlink"/>
          </w:rPr>
          <w:t>FOI Guidelines Vol 3 – Dealing with access applications.</w:t>
        </w:r>
      </w:hyperlink>
      <w:r w:rsidR="00934054">
        <w:t xml:space="preserve"> </w:t>
      </w:r>
    </w:p>
    <w:p w14:paraId="063B21D4" w14:textId="76A767C4" w:rsidR="00872A65" w:rsidRPr="007065C1" w:rsidRDefault="00872A65" w:rsidP="00B87CC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If the decision-maker has decided that the information will not be disclosed, then the third party does not, however, need to be consulted.</w:t>
      </w:r>
    </w:p>
    <w:p w14:paraId="258D68FB" w14:textId="7E0C463B" w:rsidR="00872A65" w:rsidRPr="00872A65" w:rsidRDefault="00872A65" w:rsidP="00B87CC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BF54F6">
        <w:t>guidance</w:t>
      </w:r>
      <w:r>
        <w:t xml:space="preserve"> on the phrase ‘could reasonably be expected t</w:t>
      </w:r>
      <w:r w:rsidR="00F26F61">
        <w:t>o’ and the term ‘prejudice’ see</w:t>
      </w:r>
      <w:r w:rsidR="00F26F61">
        <w:br/>
      </w:r>
      <w:r w:rsidR="00373009">
        <w:t>[</w:t>
      </w:r>
      <w:hyperlink w:anchor="_Common_terms_and_1" w:history="1">
        <w:r w:rsidR="00373009" w:rsidRPr="00C61A66">
          <w:rPr>
            <w:rStyle w:val="Hyperlink"/>
          </w:rPr>
          <w:t>4</w:t>
        </w:r>
      </w:hyperlink>
      <w:r w:rsidR="00373009">
        <w:t>] above.</w:t>
      </w:r>
    </w:p>
    <w:p w14:paraId="3F9D0DC0" w14:textId="3993C4E3" w:rsidR="00F71E05" w:rsidRPr="00C6353D" w:rsidRDefault="00F71E05" w:rsidP="00872A65">
      <w:pPr>
        <w:pStyle w:val="Heading5"/>
      </w:pPr>
      <w:r>
        <w:t>Trade secrets</w:t>
      </w:r>
    </w:p>
    <w:p w14:paraId="1F4ECAC0" w14:textId="77777777" w:rsidR="00846D9E" w:rsidRDefault="00F71E05" w:rsidP="00F71E05">
      <w:r>
        <w:t>‘Trade secrets’ are formulas, patterns, devices or compilations of information which give an advantage over competitors who do not know or use them.</w:t>
      </w:r>
      <w:r>
        <w:rPr>
          <w:rStyle w:val="FootnoteReference"/>
        </w:rPr>
        <w:footnoteReference w:id="295"/>
      </w:r>
      <w:r>
        <w:t xml:space="preserve"> </w:t>
      </w:r>
    </w:p>
    <w:p w14:paraId="13BD142D" w14:textId="3E034A86" w:rsidR="00872A65" w:rsidRDefault="00F71E05" w:rsidP="00F71E05">
      <w:r>
        <w:t>A trade secret may be prejudiced where the disclosure of the information in question will destroy or diminish the commercial value of the information.</w:t>
      </w:r>
      <w:r>
        <w:rPr>
          <w:rStyle w:val="FootnoteReference"/>
        </w:rPr>
        <w:footnoteReference w:id="296"/>
      </w:r>
      <w:r>
        <w:t xml:space="preserve"> </w:t>
      </w:r>
    </w:p>
    <w:p w14:paraId="6C89BDB6" w14:textId="59A2D97F" w:rsidR="00872A65" w:rsidRDefault="00872A65" w:rsidP="00B87CC6">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Pr>
          <w:b/>
        </w:rPr>
        <w:t>Note:</w:t>
      </w:r>
    </w:p>
    <w:p w14:paraId="3449E391" w14:textId="77777777" w:rsidR="00872A65" w:rsidRPr="00872A65" w:rsidRDefault="00856B78" w:rsidP="00B87CC6">
      <w:pPr>
        <w:pStyle w:val="ListParagraph"/>
        <w:keepNext/>
        <w:keepLines/>
        <w:numPr>
          <w:ilvl w:val="0"/>
          <w:numId w:val="126"/>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In determining whether information has commercial value, the Ombudsman has taken into account whether it describes a particular methodology or any proprietary processes.</w:t>
      </w:r>
      <w:r>
        <w:rPr>
          <w:rStyle w:val="FootnoteReference"/>
        </w:rPr>
        <w:footnoteReference w:id="297"/>
      </w:r>
      <w:r w:rsidR="00872A65">
        <w:t xml:space="preserve"> </w:t>
      </w:r>
    </w:p>
    <w:p w14:paraId="0CA189DE" w14:textId="0734D375" w:rsidR="00856B78" w:rsidRPr="00872A65" w:rsidRDefault="00856B78" w:rsidP="00B87CC6">
      <w:pPr>
        <w:pStyle w:val="ListParagraph"/>
        <w:keepNext/>
        <w:keepLines/>
        <w:numPr>
          <w:ilvl w:val="0"/>
          <w:numId w:val="126"/>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The Ombudsman has also identified that the passing of time may diminish the sensitivity of business information to the point where it no longer has any commercial value</w:t>
      </w:r>
      <w:r w:rsidR="00EA3CA3">
        <w:t>.</w:t>
      </w:r>
      <w:r>
        <w:rPr>
          <w:rStyle w:val="FootnoteReference"/>
        </w:rPr>
        <w:footnoteReference w:id="298"/>
      </w:r>
    </w:p>
    <w:p w14:paraId="3C5A6655" w14:textId="77777777" w:rsidR="00F71E05" w:rsidRDefault="00F71E05" w:rsidP="00872A65">
      <w:pPr>
        <w:pStyle w:val="Heading5"/>
      </w:pPr>
      <w:r>
        <w:t>Business affairs</w:t>
      </w:r>
    </w:p>
    <w:p w14:paraId="1C7527E9" w14:textId="77777777" w:rsidR="004E259B" w:rsidRDefault="00F71E05" w:rsidP="00193187">
      <w:r>
        <w:t>‘Business affairs’ means ‘the totality of the money-making affairs’ of an agency or person as distinct from ‘private or internal affairs’.</w:t>
      </w:r>
      <w:r>
        <w:rPr>
          <w:rStyle w:val="FootnoteReference"/>
        </w:rPr>
        <w:footnoteReference w:id="299"/>
      </w:r>
      <w:r>
        <w:t xml:space="preserve"> </w:t>
      </w:r>
      <w:r w:rsidR="007D5F59">
        <w:t>The Ombudsman considers that t</w:t>
      </w:r>
      <w:r>
        <w:t>he disclosure of information may prejudice business affairs where it would cause reputational harm</w:t>
      </w:r>
      <w:r>
        <w:rPr>
          <w:rStyle w:val="FootnoteReference"/>
        </w:rPr>
        <w:footnoteReference w:id="300"/>
      </w:r>
      <w:r>
        <w:t xml:space="preserve"> or increase competitive pressures.</w:t>
      </w:r>
      <w:r>
        <w:rPr>
          <w:rStyle w:val="FootnoteReference"/>
        </w:rPr>
        <w:footnoteReference w:id="301"/>
      </w:r>
      <w:r w:rsidR="004E259B">
        <w:t xml:space="preserve"> </w:t>
      </w:r>
    </w:p>
    <w:p w14:paraId="7DC622D7" w14:textId="77777777" w:rsidR="004E259B" w:rsidRDefault="00F71E05" w:rsidP="00193187">
      <w:r>
        <w:t>Competitive pressures may be increased by the disclosure of commercially sensitive informatio</w:t>
      </w:r>
      <w:r w:rsidR="00193187">
        <w:t>n, such as pricing information.</w:t>
      </w:r>
      <w:r w:rsidR="004E259B">
        <w:t xml:space="preserve"> </w:t>
      </w:r>
    </w:p>
    <w:p w14:paraId="7314A7F0" w14:textId="5588D7A8" w:rsidR="00F71E05" w:rsidRDefault="00F71E05" w:rsidP="004E259B">
      <w:pPr>
        <w:keepNext/>
        <w:keepLines/>
      </w:pPr>
      <w:r>
        <w:t>The sensitivity of business information</w:t>
      </w:r>
      <w:r w:rsidR="00872A65">
        <w:t xml:space="preserve"> is likely to </w:t>
      </w:r>
      <w:r>
        <w:t xml:space="preserve">depend on: </w:t>
      </w:r>
    </w:p>
    <w:p w14:paraId="7A7B92F4" w14:textId="1608D973" w:rsidR="00F71E05" w:rsidRDefault="00F71E05" w:rsidP="004E259B">
      <w:pPr>
        <w:pStyle w:val="ListParagraph"/>
        <w:keepNext/>
        <w:keepLines/>
        <w:numPr>
          <w:ilvl w:val="0"/>
          <w:numId w:val="100"/>
        </w:numPr>
        <w:ind w:left="357" w:hanging="357"/>
      </w:pPr>
      <w:r>
        <w:t>the natur</w:t>
      </w:r>
      <w:r w:rsidR="00193187">
        <w:t>e and detail of the information</w:t>
      </w:r>
    </w:p>
    <w:p w14:paraId="71C182B7" w14:textId="25A69FB1" w:rsidR="00F71E05" w:rsidRDefault="00F71E05" w:rsidP="004E259B">
      <w:pPr>
        <w:pStyle w:val="ListParagraph"/>
        <w:keepNext/>
        <w:keepLines/>
        <w:numPr>
          <w:ilvl w:val="0"/>
          <w:numId w:val="100"/>
        </w:numPr>
        <w:ind w:left="357" w:hanging="357"/>
      </w:pPr>
      <w:r>
        <w:t>whether it is current or merely h</w:t>
      </w:r>
      <w:r w:rsidR="00193187">
        <w:t>istorical</w:t>
      </w:r>
    </w:p>
    <w:p w14:paraId="27C08BDC" w14:textId="7EF71151" w:rsidR="00F71E05" w:rsidRDefault="00F71E05" w:rsidP="004E259B">
      <w:pPr>
        <w:pStyle w:val="ListParagraph"/>
        <w:keepNext/>
        <w:keepLines/>
        <w:numPr>
          <w:ilvl w:val="0"/>
          <w:numId w:val="100"/>
        </w:numPr>
        <w:ind w:left="357" w:hanging="357"/>
      </w:pPr>
      <w:r>
        <w:t>the nature and custom of the particular market</w:t>
      </w:r>
    </w:p>
    <w:p w14:paraId="20C2479F" w14:textId="77777777" w:rsidR="00F71E05" w:rsidRDefault="00F71E05" w:rsidP="009B05C4">
      <w:pPr>
        <w:pStyle w:val="ListParagraph"/>
        <w:numPr>
          <w:ilvl w:val="0"/>
          <w:numId w:val="100"/>
        </w:numPr>
        <w:ind w:left="357" w:hanging="357"/>
      </w:pPr>
      <w:r>
        <w:t>any other circumstances which may affect its sensitivity in any particular case.</w:t>
      </w:r>
      <w:r>
        <w:rPr>
          <w:rStyle w:val="FootnoteReference"/>
        </w:rPr>
        <w:footnoteReference w:id="302"/>
      </w:r>
    </w:p>
    <w:p w14:paraId="58426A4A" w14:textId="77777777" w:rsidR="00F71E05" w:rsidRDefault="00F71E05" w:rsidP="00872A65">
      <w:pPr>
        <w:pStyle w:val="Heading5"/>
      </w:pPr>
      <w:r>
        <w:t>Research</w:t>
      </w:r>
    </w:p>
    <w:p w14:paraId="10FEBEC3" w14:textId="6F824290" w:rsidR="007D5F59" w:rsidRDefault="00F71E05" w:rsidP="00F71E05">
      <w:r>
        <w:t>‘Research’ refers to an inquiry or investigation into a subject. It is not limited to academic research, but</w:t>
      </w:r>
      <w:r w:rsidR="00193187">
        <w:t> </w:t>
      </w:r>
      <w:r>
        <w:t>may extend</w:t>
      </w:r>
      <w:r w:rsidR="00245358">
        <w:t>,</w:t>
      </w:r>
      <w:r>
        <w:t xml:space="preserve"> for example</w:t>
      </w:r>
      <w:r w:rsidR="00245358">
        <w:t>,</w:t>
      </w:r>
      <w:r>
        <w:t xml:space="preserve"> to market research.</w:t>
      </w:r>
      <w:r>
        <w:rPr>
          <w:rStyle w:val="FootnoteReference"/>
        </w:rPr>
        <w:footnoteReference w:id="303"/>
      </w:r>
      <w:r>
        <w:t xml:space="preserve"> </w:t>
      </w:r>
    </w:p>
    <w:p w14:paraId="06F47652" w14:textId="08611F69" w:rsidR="00F71E05" w:rsidRDefault="00F71E05" w:rsidP="007D5F59">
      <w:pPr>
        <w:keepNext/>
        <w:keepLines/>
      </w:pPr>
      <w:r>
        <w:t>Circumstances in which the research of an agency or person may be prejudiced by the disclosure of information may include where disclosure would:</w:t>
      </w:r>
    </w:p>
    <w:p w14:paraId="6B6BEEAB" w14:textId="77777777" w:rsidR="00F71E05" w:rsidRDefault="00F71E05" w:rsidP="009B05C4">
      <w:pPr>
        <w:pStyle w:val="ListParagraph"/>
        <w:keepNext/>
        <w:keepLines/>
        <w:numPr>
          <w:ilvl w:val="0"/>
          <w:numId w:val="100"/>
        </w:numPr>
      </w:pPr>
      <w:r>
        <w:t>allow others to publish papers before the agency or person conducting the research,</w:t>
      </w:r>
      <w:r>
        <w:rPr>
          <w:rStyle w:val="FootnoteReference"/>
        </w:rPr>
        <w:footnoteReference w:id="304"/>
      </w:r>
      <w:r>
        <w:t xml:space="preserve"> or </w:t>
      </w:r>
    </w:p>
    <w:p w14:paraId="26B00FE2" w14:textId="0033BD52" w:rsidR="00F71E05" w:rsidRDefault="00F71E05" w:rsidP="0096731A">
      <w:pPr>
        <w:pStyle w:val="ListParagraph"/>
        <w:keepNext/>
        <w:keepLines/>
        <w:numPr>
          <w:ilvl w:val="0"/>
          <w:numId w:val="100"/>
        </w:numPr>
        <w:ind w:right="-22"/>
      </w:pPr>
      <w:r>
        <w:t>compromise the effectiveness or integrity of the research by revealing its purpose, conduct or results.</w:t>
      </w:r>
      <w:r>
        <w:rPr>
          <w:rStyle w:val="FootnoteReference"/>
        </w:rPr>
        <w:footnoteReference w:id="305"/>
      </w:r>
    </w:p>
    <w:p w14:paraId="107FB34B" w14:textId="6D281BC7" w:rsidR="00872A65" w:rsidRDefault="00872A65" w:rsidP="00872A65">
      <w:pPr>
        <w:pStyle w:val="Heading4"/>
      </w:pPr>
      <w:r>
        <w:t>Examples</w:t>
      </w:r>
    </w:p>
    <w:p w14:paraId="13DCE4CB" w14:textId="77777777" w:rsidR="00872A65" w:rsidRDefault="00872A65" w:rsidP="00872A65">
      <w:r>
        <w:t>Circumstances in which the Ombudsman has found this factor to be relevant include where the information included:</w:t>
      </w:r>
    </w:p>
    <w:p w14:paraId="1C420A9A" w14:textId="77777777" w:rsidR="00872A65" w:rsidRDefault="00872A65" w:rsidP="00872A65">
      <w:pPr>
        <w:pStyle w:val="ListParagraph"/>
        <w:numPr>
          <w:ilvl w:val="0"/>
          <w:numId w:val="49"/>
        </w:numPr>
      </w:pPr>
      <w:r>
        <w:t>unsubstantiated allegations about the ability of a third party to deliver medical imaging services</w:t>
      </w:r>
      <w:r>
        <w:rPr>
          <w:rStyle w:val="FootnoteReference"/>
        </w:rPr>
        <w:footnoteReference w:id="306"/>
      </w:r>
    </w:p>
    <w:p w14:paraId="2C9D7B08" w14:textId="77777777" w:rsidR="00872A65" w:rsidRDefault="00872A65" w:rsidP="00872A65">
      <w:pPr>
        <w:pStyle w:val="ListParagraph"/>
        <w:numPr>
          <w:ilvl w:val="0"/>
          <w:numId w:val="49"/>
        </w:numPr>
      </w:pPr>
      <w:r>
        <w:t>detailed costing information that would enable a competitor to identify the price of individual advertising items and compare rates</w:t>
      </w:r>
      <w:r>
        <w:rPr>
          <w:rStyle w:val="FootnoteReference"/>
        </w:rPr>
        <w:footnoteReference w:id="307"/>
      </w:r>
    </w:p>
    <w:p w14:paraId="3085A784" w14:textId="1101D863" w:rsidR="00872A65" w:rsidRDefault="00872A65" w:rsidP="00872A65">
      <w:pPr>
        <w:pStyle w:val="ListParagraph"/>
        <w:numPr>
          <w:ilvl w:val="0"/>
          <w:numId w:val="49"/>
        </w:numPr>
        <w:ind w:left="357" w:hanging="357"/>
        <w:contextualSpacing w:val="0"/>
      </w:pPr>
      <w:r>
        <w:t>specific advice concerning a business’ commercial operations, including risk mitigation strategies based on information provided by the business that is considered to be commercially sensitive</w:t>
      </w:r>
      <w:r w:rsidR="00660D03">
        <w:t>.</w:t>
      </w:r>
      <w:r>
        <w:rPr>
          <w:rStyle w:val="FootnoteReference"/>
        </w:rPr>
        <w:footnoteReference w:id="308"/>
      </w:r>
    </w:p>
    <w:p w14:paraId="07859711" w14:textId="77777777" w:rsidR="00872A65" w:rsidRPr="00D94911" w:rsidRDefault="00872A65"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2B010DD7" w14:textId="366536E9" w:rsidR="00872A65" w:rsidRPr="00872A65" w:rsidRDefault="00872A65" w:rsidP="00B87CC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Agencies are reminded that the person seeking to prevent disclosure of government information bears the onus of establishing that the information is contrary to the public interest information.</w:t>
      </w:r>
      <w:r w:rsidR="00041E2C">
        <w:rPr>
          <w:rStyle w:val="FootnoteReference"/>
        </w:rPr>
        <w:footnoteReference w:id="309"/>
      </w:r>
    </w:p>
    <w:p w14:paraId="47F8082C" w14:textId="3F9AA175" w:rsidR="00F71E05" w:rsidRDefault="007E3CCB" w:rsidP="009B05C4">
      <w:pPr>
        <w:pStyle w:val="Heading2"/>
        <w:numPr>
          <w:ilvl w:val="1"/>
          <w:numId w:val="54"/>
        </w:numPr>
        <w:spacing w:line="240" w:lineRule="auto"/>
        <w:ind w:left="567" w:hanging="567"/>
      </w:pPr>
      <w:r>
        <w:t xml:space="preserve"> </w:t>
      </w:r>
      <w:bookmarkStart w:id="800" w:name="_Toc43385580"/>
      <w:bookmarkStart w:id="801" w:name="_Toc152067365"/>
      <w:r w:rsidR="00F71E05">
        <w:t>Section 2.2(a)(xii) – prejudice an agency’s ability to obtain confidential information</w:t>
      </w:r>
      <w:bookmarkEnd w:id="800"/>
      <w:bookmarkEnd w:id="801"/>
    </w:p>
    <w:p w14:paraId="295F3E89" w14:textId="36EC5B82" w:rsidR="007D5F59" w:rsidRDefault="007D5F59" w:rsidP="00F71E05">
      <w:pPr>
        <w:ind w:left="-76"/>
      </w:pPr>
      <w:r w:rsidRPr="007D5F59">
        <w:t>A factor</w:t>
      </w:r>
      <w:r w:rsidR="00BE1142">
        <w:t xml:space="preserve"> favouring nondisclosure under s </w:t>
      </w:r>
      <w:r w:rsidRPr="007D5F59">
        <w:t>2.2(a)(x</w:t>
      </w:r>
      <w:r>
        <w:t>ii</w:t>
      </w:r>
      <w:r w:rsidRPr="007D5F59">
        <w:t xml:space="preserve">) is that disclosure could reasonably be expected </w:t>
      </w:r>
      <w:r w:rsidR="0096731A" w:rsidRPr="007D5F59">
        <w:t>to</w:t>
      </w:r>
      <w:r w:rsidR="0096731A">
        <w:t xml:space="preserve"> </w:t>
      </w:r>
      <w:r w:rsidR="0096731A" w:rsidRPr="007D5F59">
        <w:t>prejudice</w:t>
      </w:r>
      <w:r w:rsidRPr="007D5F59">
        <w:t xml:space="preserve"> </w:t>
      </w:r>
      <w:r>
        <w:t>an agency’s ability to obtain confidential information.</w:t>
      </w:r>
    </w:p>
    <w:p w14:paraId="28EB3D0B" w14:textId="0816B22B" w:rsidR="00872A65" w:rsidRDefault="00872A65" w:rsidP="00872A65">
      <w:pPr>
        <w:pStyle w:val="Heading4"/>
      </w:pPr>
      <w:r>
        <w:t>Overview</w:t>
      </w:r>
    </w:p>
    <w:p w14:paraId="55A28384" w14:textId="6DE2977A" w:rsidR="00872A65" w:rsidRDefault="00E12C0A" w:rsidP="00EF53AB">
      <w:pPr>
        <w:ind w:left="-76"/>
      </w:pPr>
      <w:hyperlink w:anchor="_Identify_confidential_source" w:history="1">
        <w:r w:rsidR="00EF53AB">
          <w:rPr>
            <w:rStyle w:val="Hyperlink"/>
          </w:rPr>
          <w:t>Section 1.14(1)(b</w:t>
        </w:r>
        <w:r w:rsidR="00EF53AB" w:rsidRPr="006C7F0A">
          <w:rPr>
            <w:rStyle w:val="Hyperlink"/>
          </w:rPr>
          <w:t>)</w:t>
        </w:r>
      </w:hyperlink>
      <w:r w:rsidR="00EF53AB">
        <w:t xml:space="preserve"> provides that disclosure of the information is taken to be contrary to the </w:t>
      </w:r>
      <w:r w:rsidR="00EF53AB" w:rsidRPr="008A662D">
        <w:t>public interest if it would</w:t>
      </w:r>
      <w:r w:rsidR="00EF53AB">
        <w:t>,</w:t>
      </w:r>
      <w:r w:rsidR="00EF53AB" w:rsidRPr="008A662D">
        <w:t xml:space="preserve"> or could</w:t>
      </w:r>
      <w:r w:rsidR="00EF53AB">
        <w:t>,</w:t>
      </w:r>
      <w:r w:rsidR="00EF53AB" w:rsidRPr="008A662D">
        <w:t xml:space="preserve"> reasonably be expected to </w:t>
      </w:r>
      <w:r w:rsidR="00EF53AB">
        <w:t>identify a confidential source.</w:t>
      </w:r>
      <w:r w:rsidR="00872A65">
        <w:t xml:space="preserve"> </w:t>
      </w:r>
    </w:p>
    <w:p w14:paraId="383932CE" w14:textId="5121DA4F" w:rsidR="00F71E05" w:rsidRPr="00EF53AB" w:rsidRDefault="00EF53AB" w:rsidP="006030CA">
      <w:pPr>
        <w:keepNext/>
        <w:keepLines/>
        <w:ind w:left="-76"/>
      </w:pPr>
      <w:r>
        <w:t xml:space="preserve">This factor, however, applies more broadly </w:t>
      </w:r>
      <w:r w:rsidR="005B1DE5">
        <w:t xml:space="preserve">and is likely to be particularly relevant </w:t>
      </w:r>
      <w:r>
        <w:t>where</w:t>
      </w:r>
      <w:r w:rsidR="00F71E05">
        <w:t xml:space="preserve">: </w:t>
      </w:r>
    </w:p>
    <w:p w14:paraId="055EEB72" w14:textId="31EB43A1" w:rsidR="00F71E05" w:rsidRDefault="00F71E05" w:rsidP="006030CA">
      <w:pPr>
        <w:pStyle w:val="ListParagraph"/>
        <w:keepNext/>
        <w:keepLines/>
        <w:numPr>
          <w:ilvl w:val="0"/>
          <w:numId w:val="101"/>
        </w:numPr>
        <w:spacing w:line="256" w:lineRule="auto"/>
      </w:pPr>
      <w:r>
        <w:t xml:space="preserve">the information </w:t>
      </w:r>
      <w:r w:rsidR="005B1DE5">
        <w:t xml:space="preserve">that is sought </w:t>
      </w:r>
      <w:r>
        <w:t>is of a confidential nature</w:t>
      </w:r>
      <w:r w:rsidR="005B1DE5">
        <w:t xml:space="preserve"> </w:t>
      </w:r>
      <w:r w:rsidR="005B1DE5" w:rsidRPr="005B1DE5">
        <w:rPr>
          <w:b/>
        </w:rPr>
        <w:t>and</w:t>
      </w:r>
    </w:p>
    <w:p w14:paraId="257B2964" w14:textId="23B3789D" w:rsidR="00F71E05" w:rsidRDefault="00F71E05" w:rsidP="006030CA">
      <w:pPr>
        <w:pStyle w:val="ListParagraph"/>
        <w:keepNext/>
        <w:keepLines/>
        <w:numPr>
          <w:ilvl w:val="0"/>
          <w:numId w:val="101"/>
        </w:numPr>
        <w:spacing w:line="256" w:lineRule="auto"/>
      </w:pPr>
      <w:r>
        <w:t>it was obtained in confidence</w:t>
      </w:r>
      <w:r w:rsidR="005B1DE5">
        <w:t>.</w:t>
      </w:r>
      <w:r>
        <w:t xml:space="preserve"> </w:t>
      </w:r>
    </w:p>
    <w:p w14:paraId="110DE013" w14:textId="2237B34C" w:rsidR="007D5F59" w:rsidRDefault="00F71E05" w:rsidP="00B87CC6">
      <w:pPr>
        <w:pBdr>
          <w:top w:val="single" w:sz="4" w:space="1" w:color="auto"/>
          <w:left w:val="single" w:sz="4" w:space="4" w:color="auto"/>
          <w:bottom w:val="single" w:sz="4" w:space="1" w:color="auto"/>
          <w:right w:val="single" w:sz="4" w:space="4" w:color="auto"/>
        </w:pBdr>
        <w:shd w:val="clear" w:color="auto" w:fill="D9E2F3" w:themeFill="accent5" w:themeFillTint="33"/>
      </w:pPr>
      <w:r>
        <w:rPr>
          <w:b/>
        </w:rPr>
        <w:t>Note:</w:t>
      </w:r>
      <w:r>
        <w:t xml:space="preserve"> </w:t>
      </w:r>
    </w:p>
    <w:p w14:paraId="36C6E7F5" w14:textId="4871C6E6" w:rsidR="00872A65" w:rsidRDefault="003B71A1"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spacing w:line="256" w:lineRule="auto"/>
      </w:pPr>
      <w:r>
        <w:t>The Ombudsman has</w:t>
      </w:r>
      <w:r w:rsidR="00872A65">
        <w:t xml:space="preserve"> recognised that governments have to balance the commercial interests of business with the principle</w:t>
      </w:r>
      <w:r>
        <w:t>s of openness and transparency. T</w:t>
      </w:r>
      <w:r w:rsidR="00872A65">
        <w:t>he weight of the public interest in protecting business information will depend on a number of factors including ‘how commercially sensitive the information is, its age, its current relevan</w:t>
      </w:r>
      <w:r w:rsidR="00842014">
        <w:t>ce</w:t>
      </w:r>
      <w:r w:rsidR="00872A65">
        <w:t xml:space="preserve"> and the extent to which it has entered the public domain</w:t>
      </w:r>
      <w:r w:rsidR="00842014">
        <w:t>’</w:t>
      </w:r>
      <w:r w:rsidR="00872A65">
        <w:t>.</w:t>
      </w:r>
      <w:r w:rsidR="00872A65">
        <w:rPr>
          <w:rStyle w:val="FootnoteReference"/>
        </w:rPr>
        <w:footnoteReference w:id="310"/>
      </w:r>
    </w:p>
    <w:p w14:paraId="05D6B23F" w14:textId="0C1DCFB5" w:rsidR="007065C1" w:rsidRDefault="007065C1"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spacing w:line="256" w:lineRule="auto"/>
      </w:pPr>
      <w:r>
        <w:t>Agencies are reminded that the person seeking to prevent disclosure of government information bears the onus of establishing that the information is contrary to the public interest information.</w:t>
      </w:r>
      <w:r w:rsidR="003B71A1">
        <w:rPr>
          <w:rStyle w:val="FootnoteReference"/>
        </w:rPr>
        <w:footnoteReference w:id="311"/>
      </w:r>
    </w:p>
    <w:p w14:paraId="0068D05E" w14:textId="543B35DF" w:rsidR="00872A65" w:rsidRDefault="00872A65"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spacing w:line="256" w:lineRule="auto"/>
      </w:pPr>
      <w:r>
        <w:t xml:space="preserve">For specific </w:t>
      </w:r>
      <w:r w:rsidR="00BF54F6">
        <w:t>guidance</w:t>
      </w:r>
      <w:r>
        <w:t xml:space="preserve"> on the phrase ‘could reasonably be expected t</w:t>
      </w:r>
      <w:r w:rsidR="002E51DF">
        <w:t>o’ and the term ‘prejudice’ see</w:t>
      </w:r>
      <w:r w:rsidR="002E51DF">
        <w:br/>
      </w:r>
      <w:r w:rsidR="00373009">
        <w:t>[</w:t>
      </w:r>
      <w:hyperlink w:anchor="_Common_terms_and_1" w:history="1">
        <w:r w:rsidR="00373009" w:rsidRPr="00C61A66">
          <w:rPr>
            <w:rStyle w:val="Hyperlink"/>
          </w:rPr>
          <w:t>4</w:t>
        </w:r>
      </w:hyperlink>
      <w:r w:rsidR="00373009">
        <w:t>] above.</w:t>
      </w:r>
    </w:p>
    <w:p w14:paraId="19FD7AB8" w14:textId="77777777" w:rsidR="00F71E05" w:rsidRDefault="00F71E05" w:rsidP="00872A65">
      <w:pPr>
        <w:pStyle w:val="Heading5"/>
      </w:pPr>
      <w:r>
        <w:t>Information of a confidential nature</w:t>
      </w:r>
    </w:p>
    <w:p w14:paraId="2C599B5B" w14:textId="199D77D7" w:rsidR="00F71E05" w:rsidRDefault="00F71E05" w:rsidP="00F71E05">
      <w:r>
        <w:t>Information is of a confidential nature if it is secret or only known to a limited group.</w:t>
      </w:r>
      <w:r>
        <w:rPr>
          <w:rStyle w:val="FootnoteReference"/>
        </w:rPr>
        <w:footnoteReference w:id="312"/>
      </w:r>
      <w:r>
        <w:t xml:space="preserve"> The passage of time may mean that information that was once confidential may no longer be confidential as, for example, it</w:t>
      </w:r>
      <w:r w:rsidR="00872A65">
        <w:t> </w:t>
      </w:r>
      <w:r>
        <w:t xml:space="preserve">may have become publicly available. </w:t>
      </w:r>
    </w:p>
    <w:p w14:paraId="04A9BE3A" w14:textId="77777777" w:rsidR="00F71E05" w:rsidRDefault="00F71E05" w:rsidP="00F71E05">
      <w:r>
        <w:t>Agencies should note that a ‘confidential’ (or similar) marker does not automatically make the information confidential for the purposes of this factor favouring nondisclosure.</w:t>
      </w:r>
      <w:r>
        <w:rPr>
          <w:rStyle w:val="FootnoteReference"/>
        </w:rPr>
        <w:footnoteReference w:id="313"/>
      </w:r>
      <w:r>
        <w:t xml:space="preserve"> Agencies are still required to make an independent assessment of the claim of confidential information.</w:t>
      </w:r>
    </w:p>
    <w:p w14:paraId="7EF36FD3" w14:textId="77777777" w:rsidR="00F71E05" w:rsidRDefault="00F71E05" w:rsidP="00872A65">
      <w:pPr>
        <w:pStyle w:val="Heading5"/>
      </w:pPr>
      <w:r>
        <w:t>Obtained in confidence</w:t>
      </w:r>
    </w:p>
    <w:p w14:paraId="5174BA33" w14:textId="42ADFDEB" w:rsidR="00F71E05" w:rsidRDefault="00F71E05" w:rsidP="00F71E05">
      <w:r>
        <w:t xml:space="preserve">When considering this </w:t>
      </w:r>
      <w:r w:rsidR="000B069B">
        <w:t>issue</w:t>
      </w:r>
      <w:r>
        <w:t xml:space="preserve">, </w:t>
      </w:r>
      <w:r w:rsidR="000B069B">
        <w:t>i</w:t>
      </w:r>
      <w:r w:rsidR="000B069B" w:rsidRPr="000B069B">
        <w:t>t is not essential that there is an express agreement of confidentiality</w:t>
      </w:r>
      <w:r w:rsidR="000B069B">
        <w:t>. A</w:t>
      </w:r>
      <w:r>
        <w:t>gencies need to determine if the information was communicated and received under an express or implied understanding that the information would be kept confidential.</w:t>
      </w:r>
      <w:r>
        <w:rPr>
          <w:rStyle w:val="FootnoteReference"/>
        </w:rPr>
        <w:footnoteReference w:id="314"/>
      </w:r>
      <w:r>
        <w:t xml:space="preserve"> This can be determined from:</w:t>
      </w:r>
    </w:p>
    <w:p w14:paraId="06181670" w14:textId="77777777" w:rsidR="00F71E05" w:rsidRDefault="00F71E05" w:rsidP="008712A5">
      <w:pPr>
        <w:pStyle w:val="ListParagraph"/>
        <w:numPr>
          <w:ilvl w:val="0"/>
          <w:numId w:val="36"/>
        </w:numPr>
        <w:spacing w:line="256" w:lineRule="auto"/>
      </w:pPr>
      <w:r>
        <w:t>the nature of the relationship between the parties</w:t>
      </w:r>
    </w:p>
    <w:p w14:paraId="65218D58" w14:textId="77777777" w:rsidR="00F71E05" w:rsidRDefault="00F71E05" w:rsidP="008712A5">
      <w:pPr>
        <w:pStyle w:val="ListParagraph"/>
        <w:numPr>
          <w:ilvl w:val="0"/>
          <w:numId w:val="36"/>
        </w:numPr>
        <w:spacing w:line="256" w:lineRule="auto"/>
      </w:pPr>
      <w:r>
        <w:t>the nature and sensitivity of the information</w:t>
      </w:r>
    </w:p>
    <w:p w14:paraId="53384DD2" w14:textId="5BFE4564" w:rsidR="00F71E05" w:rsidRDefault="00F71E05" w:rsidP="008712A5">
      <w:pPr>
        <w:pStyle w:val="ListParagraph"/>
        <w:numPr>
          <w:ilvl w:val="0"/>
          <w:numId w:val="36"/>
        </w:numPr>
        <w:spacing w:line="256" w:lineRule="auto"/>
      </w:pPr>
      <w:r>
        <w:t>the purpose for which the information was communicated to the relevant agency</w:t>
      </w:r>
      <w:r w:rsidR="001210B3">
        <w:t>,</w:t>
      </w:r>
      <w:r>
        <w:t xml:space="preserve"> and</w:t>
      </w:r>
    </w:p>
    <w:p w14:paraId="320E5DDD" w14:textId="32B5EB62" w:rsidR="00F71E05" w:rsidRDefault="00F71E05" w:rsidP="008712A5">
      <w:pPr>
        <w:pStyle w:val="ListParagraph"/>
        <w:numPr>
          <w:ilvl w:val="0"/>
          <w:numId w:val="36"/>
        </w:numPr>
        <w:spacing w:line="256" w:lineRule="auto"/>
      </w:pPr>
      <w:r>
        <w:t>the nature and extent of any detriment to the interests of the agency or the information supplier that a disclosure would cause.</w:t>
      </w:r>
      <w:r w:rsidDel="00AE5391">
        <w:rPr>
          <w:rStyle w:val="FootnoteReference"/>
        </w:rPr>
        <w:t xml:space="preserve"> </w:t>
      </w:r>
    </w:p>
    <w:p w14:paraId="25ECC1C7" w14:textId="7366DA5D" w:rsidR="00C2569E" w:rsidRDefault="00C2569E" w:rsidP="00C2569E">
      <w:r>
        <w:t>The Ombudsman also considers it relevant whether there was an obligation to provide the information</w:t>
      </w:r>
      <w:r w:rsidR="007C7331">
        <w:t>.</w:t>
      </w:r>
      <w:r w:rsidR="00067606">
        <w:rPr>
          <w:rStyle w:val="FootnoteReference"/>
        </w:rPr>
        <w:footnoteReference w:id="315"/>
      </w:r>
      <w:r w:rsidRPr="00CC0D18">
        <w:t xml:space="preserve"> </w:t>
      </w:r>
    </w:p>
    <w:p w14:paraId="7E58BA3B" w14:textId="77777777" w:rsidR="007D5F59" w:rsidRDefault="007D5F59" w:rsidP="00B87CC6">
      <w:pPr>
        <w:pBdr>
          <w:top w:val="single" w:sz="4" w:space="1" w:color="auto"/>
          <w:left w:val="single" w:sz="4" w:space="4" w:color="auto"/>
          <w:bottom w:val="single" w:sz="4" w:space="1" w:color="auto"/>
          <w:right w:val="single" w:sz="4" w:space="4" w:color="auto"/>
        </w:pBdr>
        <w:shd w:val="clear" w:color="auto" w:fill="D9E2F3" w:themeFill="accent5" w:themeFillTint="33"/>
      </w:pPr>
      <w:r>
        <w:rPr>
          <w:b/>
        </w:rPr>
        <w:t>Note:</w:t>
      </w:r>
      <w:r>
        <w:t xml:space="preserve"> </w:t>
      </w:r>
    </w:p>
    <w:p w14:paraId="2CED5C9A" w14:textId="77777777" w:rsidR="007D5F59" w:rsidRDefault="007D5F59"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pPr>
      <w:r>
        <w:t>The confidential information can be obtained from any source, including individuals or businesses.</w:t>
      </w:r>
    </w:p>
    <w:p w14:paraId="6C33A254" w14:textId="3C96B292" w:rsidR="00F71E05" w:rsidRDefault="00F71E05" w:rsidP="00872A65">
      <w:pPr>
        <w:pStyle w:val="Heading5"/>
      </w:pPr>
      <w:r>
        <w:t>Prejudice the agency’s ability to obtain confidential information in future</w:t>
      </w:r>
    </w:p>
    <w:p w14:paraId="2BDFCE03" w14:textId="1467811F" w:rsidR="00F71E05" w:rsidRDefault="000B069B" w:rsidP="0028475A">
      <w:r>
        <w:t>A</w:t>
      </w:r>
      <w:r w:rsidR="00F71E05">
        <w:t>gencies must establish that disclosure of the information could reasonably be expected to prejudice the agency’s ability to obtain confide</w:t>
      </w:r>
      <w:r w:rsidR="0028475A">
        <w:t xml:space="preserve">ntial information in the future. </w:t>
      </w:r>
      <w:r w:rsidR="00F71E05">
        <w:t>It is not sufficient for agencies to make broad claims of prejudice. To support their claim, agencies need to establish a factual basis and not make mere assertions speculating as to the possible consequences of disclosure.</w:t>
      </w:r>
    </w:p>
    <w:p w14:paraId="3CCB4889" w14:textId="5B2596C0" w:rsidR="007D5F59" w:rsidRPr="007D5F59" w:rsidRDefault="007D5F59"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7D5F59">
        <w:rPr>
          <w:b/>
        </w:rPr>
        <w:t xml:space="preserve">Note: </w:t>
      </w:r>
    </w:p>
    <w:p w14:paraId="71B42323" w14:textId="47D38114" w:rsidR="00872A65" w:rsidRDefault="007D5F59"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spacing w:line="256" w:lineRule="auto"/>
      </w:pPr>
      <w:r>
        <w:t xml:space="preserve">Agencies should </w:t>
      </w:r>
      <w:r w:rsidRPr="002B02DB">
        <w:rPr>
          <w:b/>
        </w:rPr>
        <w:t>not</w:t>
      </w:r>
      <w:r>
        <w:t xml:space="preserve"> focus on whether the particular person who provided the information could reasonably be expected to refuse to supply such information in the future.</w:t>
      </w:r>
      <w:r>
        <w:rPr>
          <w:rStyle w:val="FootnoteReference"/>
        </w:rPr>
        <w:footnoteReference w:id="316"/>
      </w:r>
      <w:r>
        <w:t xml:space="preserve"> That is, the identity of the discloser of the confidential information is not the focus of this factor favouring nondisclosure. Rather, </w:t>
      </w:r>
      <w:r w:rsidR="0028475A">
        <w:t>they</w:t>
      </w:r>
      <w:r>
        <w:t xml:space="preserve"> should consider whether disclosure could reasonably be expected to harm the future supply of such confidential information from other sources available or likely to be available to the agency.</w:t>
      </w:r>
      <w:r w:rsidR="000B069B">
        <w:rPr>
          <w:rStyle w:val="FootnoteReference"/>
        </w:rPr>
        <w:footnoteReference w:id="317"/>
      </w:r>
    </w:p>
    <w:p w14:paraId="3162DBCE" w14:textId="5A8ADCED" w:rsidR="00872A65" w:rsidRDefault="00872A65" w:rsidP="00B87CC6">
      <w:pPr>
        <w:pStyle w:val="Heading4"/>
      </w:pPr>
      <w:r>
        <w:t>Examples</w:t>
      </w:r>
    </w:p>
    <w:p w14:paraId="106E0FCF" w14:textId="2477B361" w:rsidR="00872A65" w:rsidRDefault="00872A65" w:rsidP="00B87CC6">
      <w:pPr>
        <w:keepNext/>
        <w:keepLines/>
      </w:pPr>
      <w:r>
        <w:t xml:space="preserve">The Ombudsman has considered this factor relevant in </w:t>
      </w:r>
      <w:r w:rsidR="00803FD7">
        <w:t>relation to</w:t>
      </w:r>
      <w:r>
        <w:t xml:space="preserve"> information provided in confidence in the context of workplace investigations.</w:t>
      </w:r>
      <w:r>
        <w:rPr>
          <w:rStyle w:val="FootnoteReference"/>
        </w:rPr>
        <w:footnoteReference w:id="318"/>
      </w:r>
    </w:p>
    <w:p w14:paraId="43EF1DC2" w14:textId="7291D5ED" w:rsidR="00F71E05" w:rsidRPr="00EB77F9" w:rsidRDefault="00734011" w:rsidP="003B3115">
      <w:pPr>
        <w:pStyle w:val="Heading2"/>
        <w:numPr>
          <w:ilvl w:val="1"/>
          <w:numId w:val="54"/>
        </w:numPr>
        <w:spacing w:line="240" w:lineRule="auto"/>
        <w:ind w:left="567" w:right="-448" w:hanging="567"/>
      </w:pPr>
      <w:r>
        <w:t xml:space="preserve"> </w:t>
      </w:r>
      <w:bookmarkStart w:id="802" w:name="_Toc43385581"/>
      <w:bookmarkStart w:id="803" w:name="_Toc152067366"/>
      <w:r w:rsidR="00F71E05" w:rsidRPr="00EB77F9">
        <w:t>Section 2.2(a)(xiii) – prejudice the competitive commercial activities of an agency</w:t>
      </w:r>
      <w:bookmarkEnd w:id="802"/>
      <w:bookmarkEnd w:id="803"/>
    </w:p>
    <w:p w14:paraId="02FCEB0E" w14:textId="25F46CCE" w:rsidR="007B6AFB" w:rsidRDefault="00696EDE" w:rsidP="003B3115">
      <w:pPr>
        <w:keepNext/>
        <w:keepLines/>
        <w:ind w:right="-306"/>
      </w:pPr>
      <w:r w:rsidRPr="00696EDE">
        <w:t xml:space="preserve">A factor favouring nondisclosure under </w:t>
      </w:r>
      <w:r w:rsidR="00CB008F">
        <w:t>s</w:t>
      </w:r>
      <w:r w:rsidRPr="00696EDE">
        <w:t xml:space="preserve"> </w:t>
      </w:r>
      <w:r w:rsidR="00EF53AB">
        <w:t>2.2(a)(xii</w:t>
      </w:r>
      <w:r w:rsidRPr="00696EDE">
        <w:t>i) is that disclosure could reasonably be expected to prejudice the competitive commercial activities of an agency.</w:t>
      </w:r>
      <w:r w:rsidR="009B05C4">
        <w:t xml:space="preserve"> </w:t>
      </w:r>
      <w:r w:rsidR="00D6768F">
        <w:t>This reflects the fact that when the</w:t>
      </w:r>
      <w:r w:rsidR="003B3115">
        <w:t xml:space="preserve"> </w:t>
      </w:r>
      <w:r w:rsidR="007B6AFB" w:rsidRPr="00EB77F9">
        <w:t>ACT</w:t>
      </w:r>
      <w:r w:rsidR="003B3115">
        <w:t> </w:t>
      </w:r>
      <w:r w:rsidR="007B6AFB" w:rsidRPr="00EB77F9">
        <w:t>Government engages or competes with commercial service providers in carrying out particular functions</w:t>
      </w:r>
      <w:r w:rsidR="00D6768F">
        <w:t>, to operate effectively</w:t>
      </w:r>
      <w:r w:rsidR="007B6AFB" w:rsidRPr="00EB77F9">
        <w:t xml:space="preserve">, it is necessary that certain information relating to </w:t>
      </w:r>
      <w:r w:rsidR="00D6768F">
        <w:t xml:space="preserve">its </w:t>
      </w:r>
      <w:r w:rsidR="007B6AFB" w:rsidRPr="00EB77F9">
        <w:t xml:space="preserve">functions </w:t>
      </w:r>
      <w:r w:rsidR="00D6768F">
        <w:t xml:space="preserve">is not </w:t>
      </w:r>
      <w:r w:rsidR="007B6AFB" w:rsidRPr="00EB77F9">
        <w:t xml:space="preserve">disclosed. </w:t>
      </w:r>
    </w:p>
    <w:p w14:paraId="43CE43FC" w14:textId="4961173D" w:rsidR="009B05C4" w:rsidRDefault="009B05C4" w:rsidP="009B05C4">
      <w:pPr>
        <w:pStyle w:val="Heading4"/>
      </w:pPr>
      <w:r>
        <w:t>Overview</w:t>
      </w:r>
    </w:p>
    <w:p w14:paraId="6D3113AB" w14:textId="597F8B3F" w:rsidR="004E259B" w:rsidRDefault="00D6768F" w:rsidP="00F71E05">
      <w:r>
        <w:t>F</w:t>
      </w:r>
      <w:r w:rsidR="00F71E05" w:rsidRPr="00696EDE">
        <w:t xml:space="preserve">or this factor to apply, it must be established that the </w:t>
      </w:r>
      <w:r>
        <w:t xml:space="preserve">relevant </w:t>
      </w:r>
      <w:r w:rsidR="00F71E05" w:rsidRPr="00696EDE">
        <w:t xml:space="preserve">agency </w:t>
      </w:r>
      <w:r>
        <w:t>is carrying</w:t>
      </w:r>
      <w:r w:rsidR="00F71E05" w:rsidRPr="00696EDE">
        <w:t xml:space="preserve"> out certain activities in a competitive commercial environment.</w:t>
      </w:r>
      <w:r w:rsidR="00F71E05" w:rsidRPr="00696EDE">
        <w:rPr>
          <w:rStyle w:val="FootnoteReference"/>
        </w:rPr>
        <w:footnoteReference w:id="319"/>
      </w:r>
      <w:r w:rsidR="00F71E05" w:rsidRPr="00696EDE">
        <w:t xml:space="preserve"> These activities might include revenue generating activities, procurement processes or activities relating to the agency’s property interests. </w:t>
      </w:r>
    </w:p>
    <w:p w14:paraId="3E666D61" w14:textId="77777777" w:rsidR="00846D9E" w:rsidRPr="00D94911" w:rsidRDefault="00846D9E" w:rsidP="004E259B">
      <w:pPr>
        <w:pStyle w:val="ListParagraph"/>
        <w:keepNext/>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7A7EF5B5" w14:textId="3CC5ECF6" w:rsidR="00846D9E" w:rsidRPr="00D94911" w:rsidRDefault="00846D9E" w:rsidP="004E259B">
      <w:pPr>
        <w:pStyle w:val="ListParagraph"/>
        <w:keepNext/>
        <w:numPr>
          <w:ilvl w:val="0"/>
          <w:numId w:val="37"/>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BF54F6">
        <w:t>guidance</w:t>
      </w:r>
      <w:r>
        <w:t xml:space="preserve"> on the phrase ‘could reasonably be expected t</w:t>
      </w:r>
      <w:r w:rsidR="00612A8E">
        <w:t>o’ and the term ‘prejudice’ see</w:t>
      </w:r>
      <w:r w:rsidR="00612A8E">
        <w:br/>
      </w:r>
      <w:r w:rsidR="00373009">
        <w:t>[</w:t>
      </w:r>
      <w:hyperlink w:anchor="_Common_terms_and_1" w:history="1">
        <w:r w:rsidR="00373009" w:rsidRPr="00C61A66">
          <w:rPr>
            <w:rStyle w:val="Hyperlink"/>
          </w:rPr>
          <w:t>4</w:t>
        </w:r>
      </w:hyperlink>
      <w:r w:rsidR="00373009">
        <w:t>] above.</w:t>
      </w:r>
    </w:p>
    <w:p w14:paraId="7B581A48" w14:textId="642F1F03" w:rsidR="009B05C4" w:rsidRPr="00696EDE" w:rsidRDefault="009B05C4" w:rsidP="00846D9E">
      <w:pPr>
        <w:pStyle w:val="Heading4"/>
      </w:pPr>
      <w:r>
        <w:t>Examples</w:t>
      </w:r>
    </w:p>
    <w:p w14:paraId="529C9C0E" w14:textId="77777777" w:rsidR="00F71E05" w:rsidRPr="00696EDE" w:rsidRDefault="00F71E05" w:rsidP="00846D9E">
      <w:pPr>
        <w:keepNext/>
        <w:keepLines/>
      </w:pPr>
      <w:r w:rsidRPr="00696EDE">
        <w:t>An agency’s competitive commercial activities could reasonably be expected to be prejudiced by the disclosure of information that may:</w:t>
      </w:r>
    </w:p>
    <w:p w14:paraId="5D1B9615" w14:textId="77777777" w:rsidR="00F71E05" w:rsidRPr="00696EDE" w:rsidRDefault="00F71E05" w:rsidP="00846D9E">
      <w:pPr>
        <w:pStyle w:val="ListParagraph"/>
        <w:keepNext/>
        <w:keepLines/>
        <w:numPr>
          <w:ilvl w:val="0"/>
          <w:numId w:val="38"/>
        </w:numPr>
      </w:pPr>
      <w:r w:rsidRPr="00696EDE">
        <w:t>confer an advantage on competitors</w:t>
      </w:r>
      <w:r w:rsidRPr="00696EDE">
        <w:rPr>
          <w:rStyle w:val="FootnoteReference"/>
        </w:rPr>
        <w:footnoteReference w:id="320"/>
      </w:r>
    </w:p>
    <w:p w14:paraId="4212D62E" w14:textId="79A6BE18" w:rsidR="00D94911" w:rsidRDefault="00F71E05" w:rsidP="00846D9E">
      <w:pPr>
        <w:pStyle w:val="ListParagraph"/>
        <w:keepNext/>
        <w:keepLines/>
        <w:numPr>
          <w:ilvl w:val="0"/>
          <w:numId w:val="38"/>
        </w:numPr>
      </w:pPr>
      <w:r w:rsidRPr="00696EDE">
        <w:t>diminish the agency’s bargaining power or ability to negotiate competitive commercial terms.</w:t>
      </w:r>
      <w:r w:rsidRPr="00696EDE">
        <w:rPr>
          <w:rStyle w:val="FootnoteReference"/>
        </w:rPr>
        <w:footnoteReference w:id="321"/>
      </w:r>
      <w:r w:rsidRPr="00696EDE">
        <w:t xml:space="preserve"> </w:t>
      </w:r>
    </w:p>
    <w:p w14:paraId="66368B2A" w14:textId="18825FD7" w:rsidR="00F71E05" w:rsidRPr="00BB4A05" w:rsidRDefault="001D7688" w:rsidP="0096731A">
      <w:pPr>
        <w:pStyle w:val="Heading2"/>
        <w:keepNext w:val="0"/>
        <w:keepLines w:val="0"/>
        <w:numPr>
          <w:ilvl w:val="1"/>
          <w:numId w:val="54"/>
        </w:numPr>
        <w:spacing w:line="240" w:lineRule="auto"/>
        <w:ind w:left="567" w:right="-22" w:hanging="567"/>
      </w:pPr>
      <w:r>
        <w:t xml:space="preserve"> </w:t>
      </w:r>
      <w:bookmarkStart w:id="804" w:name="_Toc43385582"/>
      <w:bookmarkStart w:id="805" w:name="_Toc152067367"/>
      <w:r w:rsidR="00F71E05" w:rsidRPr="00BB4A05">
        <w:t xml:space="preserve">Section 2.2(a)(xiv) – prejudice the conduct </w:t>
      </w:r>
      <w:r w:rsidR="004F4E84">
        <w:t xml:space="preserve">of considerations, investigations, audits or reviews </w:t>
      </w:r>
      <w:r w:rsidR="00F71E05" w:rsidRPr="00BB4A05">
        <w:t>by the ombudsman, auditor-general or human rights commission</w:t>
      </w:r>
      <w:bookmarkEnd w:id="804"/>
      <w:bookmarkEnd w:id="805"/>
    </w:p>
    <w:p w14:paraId="7E953436" w14:textId="7F138B14" w:rsidR="00BB4A05" w:rsidRDefault="00BB4A05" w:rsidP="0096731A">
      <w:pPr>
        <w:ind w:left="-76" w:right="-22"/>
      </w:pPr>
      <w:r w:rsidRPr="00BB4A05">
        <w:t xml:space="preserve">A factor favouring nondisclosure under </w:t>
      </w:r>
      <w:r>
        <w:t>s</w:t>
      </w:r>
      <w:r w:rsidR="00E25F56">
        <w:t xml:space="preserve"> </w:t>
      </w:r>
      <w:r w:rsidRPr="00BB4A05">
        <w:t xml:space="preserve">2.2(a)(xiv) is that disclosure </w:t>
      </w:r>
      <w:r w:rsidRPr="007065C1">
        <w:rPr>
          <w:i/>
        </w:rPr>
        <w:t>could reasonably be expected to prejudice</w:t>
      </w:r>
      <w:r w:rsidRPr="00BB4A05">
        <w:t xml:space="preserve"> the conduct of considerations, investigations, audits or reviews by the </w:t>
      </w:r>
      <w:r w:rsidR="0096731A">
        <w:t>O</w:t>
      </w:r>
      <w:r w:rsidRPr="00BB4A05">
        <w:t>mbudsman, auditor</w:t>
      </w:r>
      <w:r w:rsidR="00D6768F">
        <w:noBreakHyphen/>
      </w:r>
      <w:r w:rsidRPr="00BB4A05">
        <w:t xml:space="preserve">general or </w:t>
      </w:r>
      <w:r w:rsidR="0096731A">
        <w:t>HRC</w:t>
      </w:r>
      <w:r w:rsidRPr="00BB4A05">
        <w:t>.</w:t>
      </w:r>
    </w:p>
    <w:p w14:paraId="716F769C" w14:textId="77777777" w:rsidR="009B05C4" w:rsidRDefault="009B05C4" w:rsidP="00B87CC6">
      <w:pPr>
        <w:pStyle w:val="Heading4"/>
      </w:pPr>
      <w:r>
        <w:t>Overview</w:t>
      </w:r>
    </w:p>
    <w:p w14:paraId="0314C356" w14:textId="63C92B65" w:rsidR="00F71E05" w:rsidRPr="00BB4A05" w:rsidRDefault="00F71E05" w:rsidP="00B87CC6">
      <w:pPr>
        <w:keepNext/>
        <w:keepLines/>
        <w:ind w:left="-76"/>
      </w:pPr>
      <w:r w:rsidRPr="00BB4A05">
        <w:t xml:space="preserve">Sections </w:t>
      </w:r>
      <w:hyperlink w:anchor="_Section_1.5_–" w:history="1">
        <w:r w:rsidRPr="004F2A47">
          <w:rPr>
            <w:rStyle w:val="Hyperlink"/>
          </w:rPr>
          <w:t>1.5</w:t>
        </w:r>
      </w:hyperlink>
      <w:r w:rsidRPr="00BB4A05">
        <w:t xml:space="preserve">, </w:t>
      </w:r>
      <w:hyperlink w:anchor="_Section_1.8_–" w:history="1">
        <w:r w:rsidRPr="004F2A47">
          <w:rPr>
            <w:rStyle w:val="Hyperlink"/>
          </w:rPr>
          <w:t>1.8</w:t>
        </w:r>
      </w:hyperlink>
      <w:r w:rsidRPr="00BB4A05">
        <w:t xml:space="preserve"> and </w:t>
      </w:r>
      <w:hyperlink w:anchor="_Section_1.12_–" w:history="1">
        <w:r w:rsidRPr="004F2A47">
          <w:rPr>
            <w:rStyle w:val="Hyperlink"/>
          </w:rPr>
          <w:t>1.12</w:t>
        </w:r>
      </w:hyperlink>
      <w:r w:rsidRPr="00BB4A05">
        <w:t xml:space="preserve"> provide that information in the possession of:</w:t>
      </w:r>
    </w:p>
    <w:p w14:paraId="4E96664D" w14:textId="298BE62C" w:rsidR="00F71E05" w:rsidRPr="00BB4A05" w:rsidRDefault="00F71E05" w:rsidP="00B87CC6">
      <w:pPr>
        <w:pStyle w:val="ListParagraph"/>
        <w:keepNext/>
        <w:keepLines/>
        <w:numPr>
          <w:ilvl w:val="0"/>
          <w:numId w:val="39"/>
        </w:numPr>
        <w:spacing w:line="256" w:lineRule="auto"/>
      </w:pPr>
      <w:r w:rsidRPr="00BB4A05">
        <w:t xml:space="preserve">the ACT </w:t>
      </w:r>
      <w:r w:rsidR="001D7688">
        <w:t>HRC</w:t>
      </w:r>
      <w:r w:rsidRPr="00BB4A05">
        <w:t xml:space="preserve"> relating to </w:t>
      </w:r>
      <w:r w:rsidR="00D56172">
        <w:t xml:space="preserve">a </w:t>
      </w:r>
      <w:r w:rsidRPr="00BB4A05">
        <w:t xml:space="preserve">consideration, </w:t>
      </w:r>
    </w:p>
    <w:p w14:paraId="7ADF6A51" w14:textId="77777777" w:rsidR="00F71E05" w:rsidRPr="00BB4A05" w:rsidRDefault="00F71E05" w:rsidP="00B87CC6">
      <w:pPr>
        <w:pStyle w:val="ListParagraph"/>
        <w:keepNext/>
        <w:keepLines/>
        <w:numPr>
          <w:ilvl w:val="0"/>
          <w:numId w:val="39"/>
        </w:numPr>
        <w:spacing w:line="256" w:lineRule="auto"/>
      </w:pPr>
      <w:r w:rsidRPr="00BB4A05">
        <w:t xml:space="preserve">the ACT Ombudsman relating to a review or investigation, or  </w:t>
      </w:r>
    </w:p>
    <w:p w14:paraId="67FEAE2B" w14:textId="5D1DF3AB" w:rsidR="00F71E05" w:rsidRPr="00BB4A05" w:rsidRDefault="00F71E05" w:rsidP="00B87CC6">
      <w:pPr>
        <w:pStyle w:val="ListParagraph"/>
        <w:keepNext/>
        <w:keepLines/>
        <w:numPr>
          <w:ilvl w:val="0"/>
          <w:numId w:val="39"/>
        </w:numPr>
        <w:spacing w:line="256" w:lineRule="auto"/>
      </w:pPr>
      <w:r w:rsidRPr="00BB4A05">
        <w:t xml:space="preserve">the ACT Auditor-General relating to an </w:t>
      </w:r>
      <w:r w:rsidR="004F2A47">
        <w:t>audit</w:t>
      </w:r>
      <w:r w:rsidR="00660D03">
        <w:t>.</w:t>
      </w:r>
    </w:p>
    <w:p w14:paraId="306C947E" w14:textId="49BB0C6A" w:rsidR="00F71E05" w:rsidRPr="00BB4A05" w:rsidRDefault="00F71E05" w:rsidP="00B87CC6">
      <w:pPr>
        <w:keepNext/>
        <w:keepLines/>
      </w:pPr>
      <w:r w:rsidRPr="00BB4A05">
        <w:t xml:space="preserve">is taken to be contrary to the public interest. </w:t>
      </w:r>
    </w:p>
    <w:p w14:paraId="7488F861" w14:textId="067208F4" w:rsidR="009B05C4" w:rsidRPr="00250C79" w:rsidRDefault="00F71E05" w:rsidP="00F71E05">
      <w:r w:rsidRPr="00BB4A05">
        <w:t xml:space="preserve">This factor applies more broadly to any information the disclosure of which could prejudice the conduct of considerations, investigations, audits or reviews </w:t>
      </w:r>
      <w:r w:rsidR="00D6768F">
        <w:t>by these organisations</w:t>
      </w:r>
      <w:r w:rsidRPr="00250C79">
        <w:t xml:space="preserve">. </w:t>
      </w:r>
    </w:p>
    <w:p w14:paraId="5FCE2A77" w14:textId="01F744EA" w:rsidR="009B05C4" w:rsidRPr="003B3115" w:rsidRDefault="009B05C4" w:rsidP="009B05C4">
      <w:pPr>
        <w:pStyle w:val="Heading4"/>
      </w:pPr>
      <w:r>
        <w:t>Examples</w:t>
      </w:r>
    </w:p>
    <w:p w14:paraId="66774CB5" w14:textId="24182CEB" w:rsidR="00D6768F" w:rsidRPr="00BB4A05" w:rsidRDefault="009B05C4" w:rsidP="00F71E05">
      <w:r>
        <w:t xml:space="preserve">This factor could apply to </w:t>
      </w:r>
      <w:r w:rsidR="00F71E05" w:rsidRPr="00BB4A05">
        <w:t>information in documents in the possession of an agency that relate to an investigation</w:t>
      </w:r>
      <w:r w:rsidR="00B7005A">
        <w:t xml:space="preserve"> that is being conducted by the</w:t>
      </w:r>
      <w:r w:rsidR="00F71E05" w:rsidRPr="00BB4A05">
        <w:t xml:space="preserve"> Ombudsman</w:t>
      </w:r>
      <w:r>
        <w:t>,</w:t>
      </w:r>
      <w:r w:rsidR="00F71E05" w:rsidRPr="00BB4A05">
        <w:t xml:space="preserve"> where disclosure of the information may limit the effectiveness of any recommendations made by the Ombudsman.</w:t>
      </w:r>
      <w:r w:rsidR="00F71E05" w:rsidRPr="00BB4A05">
        <w:rPr>
          <w:rStyle w:val="FootnoteReference"/>
        </w:rPr>
        <w:footnoteReference w:id="322"/>
      </w:r>
    </w:p>
    <w:p w14:paraId="2CB1E2C0" w14:textId="2C2AE687" w:rsidR="00D94911" w:rsidRPr="00D94911" w:rsidRDefault="00D94911" w:rsidP="003B3115">
      <w:pPr>
        <w:pStyle w:val="ListParagraph"/>
        <w:keepNext/>
        <w:keepLines/>
        <w:pBdr>
          <w:top w:val="single" w:sz="4" w:space="1" w:color="auto"/>
          <w:left w:val="single" w:sz="4" w:space="4" w:color="auto"/>
          <w:bottom w:val="single" w:sz="4" w:space="1" w:color="auto"/>
          <w:right w:val="single" w:sz="4" w:space="4" w:color="auto"/>
        </w:pBdr>
        <w:shd w:val="clear" w:color="auto" w:fill="DEEAF6" w:themeFill="accent1" w:themeFillTint="33"/>
        <w:ind w:left="0" w:right="261"/>
        <w:rPr>
          <w:b/>
        </w:rPr>
      </w:pPr>
      <w:r>
        <w:rPr>
          <w:b/>
        </w:rPr>
        <w:t>Note:</w:t>
      </w:r>
    </w:p>
    <w:p w14:paraId="3F549A92" w14:textId="13BDC486" w:rsidR="00D94911" w:rsidRPr="00D94911" w:rsidRDefault="00D94911" w:rsidP="003B3115">
      <w:pPr>
        <w:pStyle w:val="ListParagraph"/>
        <w:keepNext/>
        <w:keepLines/>
        <w:numPr>
          <w:ilvl w:val="0"/>
          <w:numId w:val="32"/>
        </w:numPr>
        <w:pBdr>
          <w:top w:val="single" w:sz="4" w:space="1" w:color="auto"/>
          <w:left w:val="single" w:sz="4" w:space="4" w:color="auto"/>
          <w:bottom w:val="single" w:sz="4" w:space="1" w:color="auto"/>
          <w:right w:val="single" w:sz="4" w:space="4" w:color="auto"/>
        </w:pBdr>
        <w:shd w:val="clear" w:color="auto" w:fill="DEEAF6" w:themeFill="accent1" w:themeFillTint="33"/>
        <w:ind w:right="261"/>
        <w:rPr>
          <w:b/>
        </w:rPr>
      </w:pPr>
      <w:r>
        <w:t xml:space="preserve">For specific </w:t>
      </w:r>
      <w:r w:rsidR="00BF54F6">
        <w:t>guidance</w:t>
      </w:r>
      <w:r>
        <w:t xml:space="preserve"> on the phrase ‘could reasonably be expected t</w:t>
      </w:r>
      <w:r w:rsidR="00491D6D">
        <w:t>o’ and the term ‘prejudice’ see</w:t>
      </w:r>
      <w:r w:rsidR="00491D6D">
        <w:br/>
      </w:r>
      <w:r w:rsidR="00373009">
        <w:t>[</w:t>
      </w:r>
      <w:hyperlink w:anchor="_Common_terms_and_1" w:history="1">
        <w:r w:rsidR="00373009" w:rsidRPr="00C61A66">
          <w:rPr>
            <w:rStyle w:val="Hyperlink"/>
          </w:rPr>
          <w:t>4</w:t>
        </w:r>
      </w:hyperlink>
      <w:r w:rsidR="00373009">
        <w:t>] above.</w:t>
      </w:r>
    </w:p>
    <w:p w14:paraId="5E5629C2" w14:textId="5512F02D" w:rsidR="00F71E05" w:rsidRDefault="007E3CCB" w:rsidP="004E259B">
      <w:pPr>
        <w:pStyle w:val="Heading2"/>
        <w:numPr>
          <w:ilvl w:val="1"/>
          <w:numId w:val="54"/>
        </w:numPr>
        <w:spacing w:line="240" w:lineRule="auto"/>
        <w:ind w:left="567" w:hanging="567"/>
      </w:pPr>
      <w:r>
        <w:t xml:space="preserve"> </w:t>
      </w:r>
      <w:bookmarkStart w:id="806" w:name="_Toc43385583"/>
      <w:bookmarkStart w:id="807" w:name="_Toc152067368"/>
      <w:r w:rsidR="00F71E05">
        <w:t>Section 2.2(a)(xv) – prejudice</w:t>
      </w:r>
      <w:r w:rsidR="000E2DF8">
        <w:t xml:space="preserve"> management function or </w:t>
      </w:r>
      <w:r w:rsidR="00F71E05">
        <w:t>conduct of industrial relations by an agency</w:t>
      </w:r>
      <w:bookmarkEnd w:id="806"/>
      <w:bookmarkEnd w:id="807"/>
    </w:p>
    <w:p w14:paraId="6869C2A4" w14:textId="7D446200" w:rsidR="00BB4A05" w:rsidRDefault="00BB4A05" w:rsidP="007B6AFB">
      <w:r w:rsidRPr="00BB4A05">
        <w:t xml:space="preserve">A factor favouring nondisclosure under </w:t>
      </w:r>
      <w:r>
        <w:t>s</w:t>
      </w:r>
      <w:r w:rsidR="007B05F0">
        <w:t xml:space="preserve"> </w:t>
      </w:r>
      <w:r w:rsidRPr="00BB4A05">
        <w:t xml:space="preserve">2.2(a)(xv) is that disclosure could reasonably be expected </w:t>
      </w:r>
      <w:r w:rsidR="0096731A" w:rsidRPr="00BB4A05">
        <w:t>to prejudice</w:t>
      </w:r>
      <w:r w:rsidRPr="00BB4A05">
        <w:t xml:space="preserve"> </w:t>
      </w:r>
      <w:r>
        <w:t>the management function of an agency or the conduct of industrial relations by an agency</w:t>
      </w:r>
      <w:r w:rsidR="00BB7BAB">
        <w:t>.</w:t>
      </w:r>
    </w:p>
    <w:p w14:paraId="6855C46C" w14:textId="77777777" w:rsidR="009B05C4" w:rsidRDefault="009B05C4" w:rsidP="009B05C4">
      <w:pPr>
        <w:pStyle w:val="Heading4"/>
      </w:pPr>
      <w:r>
        <w:t>Overview</w:t>
      </w:r>
    </w:p>
    <w:p w14:paraId="788033FF" w14:textId="32364A52" w:rsidR="00F71E05" w:rsidRDefault="00F71E05" w:rsidP="00F71E05">
      <w:r>
        <w:t xml:space="preserve">The ‘management function’ of an agency may include activities such as recruitment, training, performance reviews, promotion, counselling, discipline, compensation and occupational health and safety. </w:t>
      </w:r>
    </w:p>
    <w:p w14:paraId="6957C88D" w14:textId="297B4BA5" w:rsidR="00F71E05" w:rsidRDefault="00F71E05" w:rsidP="00F71E05">
      <w:r>
        <w:t xml:space="preserve">The ‘conduct of industrial relations’ refers to an agency’s management of employment-related entitlements and obligations. </w:t>
      </w:r>
    </w:p>
    <w:p w14:paraId="72F1D4E5" w14:textId="0A34FA7B" w:rsidR="009B05C4" w:rsidRPr="003B3115" w:rsidRDefault="009B05C4" w:rsidP="00B87CC6">
      <w:pPr>
        <w:pStyle w:val="Heading4"/>
      </w:pPr>
      <w:r>
        <w:t>Examples</w:t>
      </w:r>
    </w:p>
    <w:p w14:paraId="42A43BCA" w14:textId="74BFECAE" w:rsidR="00F71E05" w:rsidRDefault="00F71E05" w:rsidP="00B87CC6">
      <w:pPr>
        <w:keepNext/>
        <w:keepLines/>
      </w:pPr>
      <w:r>
        <w:t>Information the disclosure of which could reasonably be expected to prejudice the management function of an agency or the conduct of industrial relations by an agency may include</w:t>
      </w:r>
      <w:r w:rsidR="00D6768F">
        <w:t xml:space="preserve"> information</w:t>
      </w:r>
      <w:r>
        <w:t>:</w:t>
      </w:r>
    </w:p>
    <w:p w14:paraId="31968994" w14:textId="6CDE051C" w:rsidR="00F71E05" w:rsidRDefault="00F71E05" w:rsidP="00B87CC6">
      <w:pPr>
        <w:pStyle w:val="ListParagraph"/>
        <w:keepNext/>
        <w:keepLines/>
        <w:numPr>
          <w:ilvl w:val="0"/>
          <w:numId w:val="40"/>
        </w:numPr>
        <w:spacing w:line="256" w:lineRule="auto"/>
        <w:ind w:right="119"/>
      </w:pPr>
      <w:r>
        <w:t>provided on a confidential basis as part of a recruitment, trainin</w:t>
      </w:r>
      <w:r w:rsidR="00684C94">
        <w:t>g or performance review process</w:t>
      </w:r>
      <w:r>
        <w:t xml:space="preserve"> where disclosure of the information may inhibit the agency’s ability to recruit or provide training</w:t>
      </w:r>
      <w:r w:rsidR="00684C94">
        <w:t xml:space="preserve"> or feedback to staff in future</w:t>
      </w:r>
      <w:r>
        <w:rPr>
          <w:rStyle w:val="FootnoteReference"/>
        </w:rPr>
        <w:footnoteReference w:id="323"/>
      </w:r>
      <w:r>
        <w:t xml:space="preserve"> </w:t>
      </w:r>
    </w:p>
    <w:p w14:paraId="7728BA65" w14:textId="7DD47BDC" w:rsidR="00F71E05" w:rsidRDefault="00F71E05" w:rsidP="00B87CC6">
      <w:pPr>
        <w:pStyle w:val="ListParagraph"/>
        <w:keepNext/>
        <w:keepLines/>
        <w:numPr>
          <w:ilvl w:val="0"/>
          <w:numId w:val="40"/>
        </w:numPr>
        <w:spacing w:line="256" w:lineRule="auto"/>
      </w:pPr>
      <w:r>
        <w:t>supplied as part of an agency workplace investigation, where disclosure of the information may make complainants or witnesses reluctant to fully parti</w:t>
      </w:r>
      <w:r w:rsidR="00684C94">
        <w:t>cipate in future investigations</w:t>
      </w:r>
      <w:r>
        <w:rPr>
          <w:rStyle w:val="FootnoteReference"/>
        </w:rPr>
        <w:footnoteReference w:id="324"/>
      </w:r>
      <w:r>
        <w:t xml:space="preserve"> </w:t>
      </w:r>
    </w:p>
    <w:p w14:paraId="7083A767" w14:textId="36CD4982" w:rsidR="00F71E05" w:rsidRDefault="00F71E05" w:rsidP="00B87CC6">
      <w:pPr>
        <w:pStyle w:val="ListParagraph"/>
        <w:keepNext/>
        <w:keepLines/>
        <w:numPr>
          <w:ilvl w:val="0"/>
          <w:numId w:val="40"/>
        </w:numPr>
        <w:spacing w:line="256" w:lineRule="auto"/>
      </w:pPr>
      <w:r>
        <w:t>provided by staff on a confidential basis as par</w:t>
      </w:r>
      <w:r w:rsidR="00684C94">
        <w:t>t of an agency survey or ballot,</w:t>
      </w:r>
      <w:r>
        <w:rPr>
          <w:rStyle w:val="FootnoteReference"/>
        </w:rPr>
        <w:footnoteReference w:id="325"/>
      </w:r>
      <w:r>
        <w:t xml:space="preserve"> or</w:t>
      </w:r>
    </w:p>
    <w:p w14:paraId="24423DBB" w14:textId="1C78A422" w:rsidR="00606E74" w:rsidRDefault="00F71E05" w:rsidP="00B87CC6">
      <w:pPr>
        <w:pStyle w:val="ListParagraph"/>
        <w:keepNext/>
        <w:keepLines/>
        <w:numPr>
          <w:ilvl w:val="0"/>
          <w:numId w:val="40"/>
        </w:numPr>
        <w:spacing w:line="257" w:lineRule="auto"/>
        <w:ind w:left="357" w:hanging="357"/>
        <w:contextualSpacing w:val="0"/>
      </w:pPr>
      <w:r>
        <w:t>that could reasonably be expected to cause an industrial dispute.</w:t>
      </w:r>
      <w:r>
        <w:rPr>
          <w:rStyle w:val="FootnoteReference"/>
        </w:rPr>
        <w:footnoteReference w:id="326"/>
      </w:r>
    </w:p>
    <w:p w14:paraId="7912F21C" w14:textId="339F953C" w:rsidR="00D94911" w:rsidRPr="00D94911"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66DF1015" w14:textId="2889A5C6" w:rsidR="00D94911" w:rsidRPr="00D94911" w:rsidRDefault="00D94911" w:rsidP="00B87CC6">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BF54F6">
        <w:t>guidance</w:t>
      </w:r>
      <w:r>
        <w:t xml:space="preserve"> on the phrase ‘could reasonably be expected to’ and the term ‘prejudice’</w:t>
      </w:r>
      <w:r w:rsidR="003B3115">
        <w:t>,</w:t>
      </w:r>
      <w:r w:rsidR="00277600">
        <w:t xml:space="preserve"> see</w:t>
      </w:r>
      <w:r w:rsidR="00277600">
        <w:br/>
      </w:r>
      <w:r w:rsidR="00373009">
        <w:t>[</w:t>
      </w:r>
      <w:hyperlink w:anchor="_Common_terms_and_1" w:history="1">
        <w:r w:rsidR="00373009" w:rsidRPr="00C61A66">
          <w:rPr>
            <w:rStyle w:val="Hyperlink"/>
          </w:rPr>
          <w:t>4</w:t>
        </w:r>
      </w:hyperlink>
      <w:r w:rsidR="00373009">
        <w:t>] above.</w:t>
      </w:r>
    </w:p>
    <w:p w14:paraId="5026114D" w14:textId="3A4A1FDE" w:rsidR="00F71E05" w:rsidRDefault="00FC3529" w:rsidP="003B3115">
      <w:pPr>
        <w:pStyle w:val="Heading2"/>
        <w:numPr>
          <w:ilvl w:val="1"/>
          <w:numId w:val="54"/>
        </w:numPr>
        <w:ind w:left="567" w:hanging="567"/>
      </w:pPr>
      <w:r>
        <w:t xml:space="preserve"> </w:t>
      </w:r>
      <w:bookmarkStart w:id="808" w:name="_Toc43385584"/>
      <w:bookmarkStart w:id="809" w:name="_Toc152067369"/>
      <w:r w:rsidR="00F71E05">
        <w:t>Section 2.2(a)(xvi) – prejudice a deliberative process of government</w:t>
      </w:r>
      <w:bookmarkEnd w:id="808"/>
      <w:bookmarkEnd w:id="809"/>
    </w:p>
    <w:p w14:paraId="5B93D787" w14:textId="6DE9E5FC" w:rsidR="00F71E05" w:rsidRDefault="00BB4A05" w:rsidP="003B3115">
      <w:pPr>
        <w:keepNext/>
        <w:keepLines/>
        <w:ind w:right="-188"/>
      </w:pPr>
      <w:r>
        <w:t>A</w:t>
      </w:r>
      <w:r w:rsidR="00F71E05">
        <w:t xml:space="preserve"> factor favouring nondisclosure under s 2.2(a)(xvi) is that disclosure </w:t>
      </w:r>
      <w:r w:rsidR="00F71E05" w:rsidRPr="00BB4A05">
        <w:t xml:space="preserve">could reasonably be expected to prejudice a deliberative process of government. </w:t>
      </w:r>
    </w:p>
    <w:p w14:paraId="54DDBFCF" w14:textId="13092AC6" w:rsidR="007B6AFB" w:rsidRDefault="00D6768F" w:rsidP="003B3115">
      <w:pPr>
        <w:ind w:right="-589"/>
      </w:pPr>
      <w:r>
        <w:t xml:space="preserve">This reflects </w:t>
      </w:r>
      <w:r w:rsidR="003A6735">
        <w:t>the need to protect information</w:t>
      </w:r>
      <w:r w:rsidR="007B6AFB">
        <w:t xml:space="preserve"> outlining deliberative processes to ensure that the government can:</w:t>
      </w:r>
    </w:p>
    <w:p w14:paraId="5A145884" w14:textId="77777777" w:rsidR="007B6AFB" w:rsidRDefault="007B6AFB" w:rsidP="008712A5">
      <w:pPr>
        <w:pStyle w:val="ListParagraph"/>
        <w:numPr>
          <w:ilvl w:val="0"/>
          <w:numId w:val="43"/>
        </w:numPr>
        <w:ind w:right="-330"/>
      </w:pPr>
      <w:r>
        <w:t>make informed decisions, taking into account a wide range of information, and</w:t>
      </w:r>
    </w:p>
    <w:p w14:paraId="5994A481" w14:textId="77777777" w:rsidR="007B6AFB" w:rsidRDefault="007B6AFB" w:rsidP="008712A5">
      <w:pPr>
        <w:pStyle w:val="ListParagraph"/>
        <w:numPr>
          <w:ilvl w:val="0"/>
          <w:numId w:val="43"/>
        </w:numPr>
        <w:ind w:right="-330"/>
      </w:pPr>
      <w:r>
        <w:t>maintain confidentiality where required – particularly in the context of ongoing negotiations prior to a decision being made.</w:t>
      </w:r>
      <w:r>
        <w:rPr>
          <w:rStyle w:val="FootnoteReference"/>
        </w:rPr>
        <w:footnoteReference w:id="327"/>
      </w:r>
      <w:r>
        <w:t xml:space="preserve"> </w:t>
      </w:r>
    </w:p>
    <w:p w14:paraId="3677DFED" w14:textId="6E7392C2" w:rsidR="007B6AFB" w:rsidRDefault="007B6AFB" w:rsidP="007B6AFB">
      <w:pPr>
        <w:ind w:right="-330"/>
      </w:pPr>
      <w:r>
        <w:t>A balance needs to be struck between ensuring that the government may function effectively and efficiently, and providing access to information to ensure increase public participation in, and scrutiny of, government activities.</w:t>
      </w:r>
      <w:r>
        <w:rPr>
          <w:rStyle w:val="FootnoteReference"/>
        </w:rPr>
        <w:footnoteReference w:id="328"/>
      </w:r>
    </w:p>
    <w:p w14:paraId="11853744" w14:textId="77777777" w:rsidR="009B05C4" w:rsidRDefault="009B05C4" w:rsidP="009B05C4">
      <w:pPr>
        <w:pStyle w:val="Heading4"/>
      </w:pPr>
      <w:r>
        <w:t>Overview</w:t>
      </w:r>
    </w:p>
    <w:p w14:paraId="51C04922" w14:textId="56E23960" w:rsidR="00F71E05" w:rsidRDefault="00F71E05" w:rsidP="0096731A">
      <w:pPr>
        <w:ind w:right="-22"/>
        <w:rPr>
          <w:b/>
          <w:i/>
        </w:rPr>
      </w:pPr>
      <w:r>
        <w:t xml:space="preserve">This public interest factor </w:t>
      </w:r>
      <w:r w:rsidR="0049657B">
        <w:t>favouring</w:t>
      </w:r>
      <w:r>
        <w:t xml:space="preserve"> </w:t>
      </w:r>
      <w:r w:rsidR="0049657B">
        <w:t>non</w:t>
      </w:r>
      <w:r>
        <w:t xml:space="preserve">disclosure might apply in circumstances where deliberative processes are involved, and an information officer has </w:t>
      </w:r>
      <w:r w:rsidRPr="00251842">
        <w:rPr>
          <w:b/>
        </w:rPr>
        <w:t>not</w:t>
      </w:r>
      <w:r>
        <w:t xml:space="preserve"> already assessed the information as contrary to the public interest becaus</w:t>
      </w:r>
      <w:r w:rsidR="00B710FD">
        <w:t>e it is ‘Cabinet information’</w:t>
      </w:r>
      <w:r w:rsidR="00B710FD">
        <w:rPr>
          <w:rFonts w:ascii="Calibri" w:hAnsi="Calibri" w:cs="Calibri"/>
        </w:rPr>
        <w:t>—</w:t>
      </w:r>
      <w:r>
        <w:t>see</w:t>
      </w:r>
      <w:r w:rsidR="00BB4A05">
        <w:t xml:space="preserve"> </w:t>
      </w:r>
      <w:r w:rsidR="00C94896">
        <w:t>[</w:t>
      </w:r>
      <w:hyperlink w:anchor="_Section_1.6_–" w:history="1">
        <w:r w:rsidR="00C94896" w:rsidRPr="00C94896">
          <w:rPr>
            <w:rStyle w:val="Hyperlink"/>
          </w:rPr>
          <w:t>5.9</w:t>
        </w:r>
      </w:hyperlink>
      <w:r w:rsidR="00C94896">
        <w:t xml:space="preserve">] above.  </w:t>
      </w:r>
    </w:p>
    <w:p w14:paraId="6C2CF68C" w14:textId="68C20706" w:rsidR="00BB4A05" w:rsidRDefault="00BB4A05" w:rsidP="00BB4A05">
      <w:pPr>
        <w:ind w:right="-755"/>
      </w:pPr>
      <w:r>
        <w:t>‘Deliberative process’ is not defined in the FOI Act. As a result, add</w:t>
      </w:r>
      <w:r w:rsidR="0049657B">
        <w:t>itional guidance is provided to</w:t>
      </w:r>
      <w:r w:rsidR="0049657B">
        <w:br/>
      </w:r>
      <w:r>
        <w:t>decision-makers below on how to interpret this factor.</w:t>
      </w:r>
    </w:p>
    <w:p w14:paraId="1B093989" w14:textId="08C8A56C" w:rsidR="00BB4A05" w:rsidRDefault="00BB4A05" w:rsidP="009B05C4">
      <w:pPr>
        <w:keepNext/>
        <w:keepLines/>
      </w:pPr>
      <w:r>
        <w:t>Decision-makers are encourage</w:t>
      </w:r>
      <w:r w:rsidR="002002EC">
        <w:t>d</w:t>
      </w:r>
      <w:r>
        <w:t xml:space="preserve"> to consider:</w:t>
      </w:r>
    </w:p>
    <w:p w14:paraId="4BF0EAED" w14:textId="77777777" w:rsidR="00BB4A05" w:rsidRDefault="00BB4A05" w:rsidP="009B05C4">
      <w:pPr>
        <w:pStyle w:val="ListParagraph"/>
        <w:keepNext/>
        <w:keepLines/>
        <w:numPr>
          <w:ilvl w:val="0"/>
          <w:numId w:val="9"/>
        </w:numPr>
      </w:pPr>
      <w:r>
        <w:t>what are the deliberative processes involved in the functions of the particular agency or Minister to which the information sought is said to relate</w:t>
      </w:r>
    </w:p>
    <w:p w14:paraId="5918CA20" w14:textId="41722A21" w:rsidR="00BB4A05" w:rsidRDefault="00BB4A05" w:rsidP="009B05C4">
      <w:pPr>
        <w:pStyle w:val="ListParagraph"/>
        <w:keepNext/>
        <w:keepLines/>
        <w:numPr>
          <w:ilvl w:val="0"/>
          <w:numId w:val="9"/>
        </w:numPr>
      </w:pPr>
      <w:r>
        <w:t>whether the information reveals how the matters at issue were considered or evaluated, or whether the information is purely factual in nature or relates to administrati</w:t>
      </w:r>
      <w:r w:rsidR="0083452B">
        <w:t>ve</w:t>
      </w:r>
      <w:r>
        <w:t>, incidental or procedural matters</w:t>
      </w:r>
    </w:p>
    <w:p w14:paraId="3BD9531A" w14:textId="27334C7B" w:rsidR="00BB4A05" w:rsidRPr="00DE7300" w:rsidRDefault="00BB4A05" w:rsidP="009B05C4">
      <w:pPr>
        <w:pStyle w:val="ListParagraph"/>
        <w:keepNext/>
        <w:keepLines/>
        <w:numPr>
          <w:ilvl w:val="0"/>
          <w:numId w:val="9"/>
        </w:numPr>
      </w:pPr>
      <w:r>
        <w:t>w</w:t>
      </w:r>
      <w:r w:rsidRPr="00DE7300">
        <w:t>hat, if any, prejudice might arise from disclosure.</w:t>
      </w:r>
      <w:r>
        <w:t xml:space="preserve"> </w:t>
      </w:r>
    </w:p>
    <w:p w14:paraId="7B124F58" w14:textId="77777777" w:rsidR="00F71E05" w:rsidRDefault="00F71E05" w:rsidP="00B87CC6">
      <w:pPr>
        <w:pBdr>
          <w:top w:val="single" w:sz="4" w:space="1" w:color="auto"/>
          <w:left w:val="single" w:sz="4" w:space="4" w:color="auto"/>
          <w:bottom w:val="single" w:sz="4" w:space="1" w:color="auto"/>
          <w:right w:val="single" w:sz="4" w:space="4" w:color="auto"/>
        </w:pBdr>
        <w:shd w:val="clear" w:color="auto" w:fill="D9E2F3" w:themeFill="accent5" w:themeFillTint="33"/>
      </w:pPr>
      <w:r w:rsidRPr="00846D9E">
        <w:rPr>
          <w:b/>
        </w:rPr>
        <w:t>Note:</w:t>
      </w:r>
      <w:r w:rsidRPr="00610ED5">
        <w:t xml:space="preserve"> </w:t>
      </w:r>
    </w:p>
    <w:p w14:paraId="087AD790" w14:textId="385ED852" w:rsidR="00F71E05" w:rsidRDefault="00F71E05" w:rsidP="00B87CC6">
      <w:pPr>
        <w:pStyle w:val="ListParagraph"/>
        <w:numPr>
          <w:ilvl w:val="0"/>
          <w:numId w:val="12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Not every document generated by the policy area of an agency should be assumed to be ‘deliberative’. </w:t>
      </w:r>
      <w:r w:rsidR="007F55E8">
        <w:t>Decision-makers</w:t>
      </w:r>
      <w:r>
        <w:t xml:space="preserve"> need to consider which specific information, if any, could be contrary to the public interest to disclose on the grounds that it would </w:t>
      </w:r>
      <w:r w:rsidRPr="00D94911">
        <w:rPr>
          <w:b/>
        </w:rPr>
        <w:t>prejudice</w:t>
      </w:r>
      <w:r>
        <w:t xml:space="preserve"> a deliberative process of government.</w:t>
      </w:r>
    </w:p>
    <w:p w14:paraId="18436FD3" w14:textId="3F1A6114" w:rsidR="009B05C4" w:rsidRDefault="00F71E05" w:rsidP="00B87CC6">
      <w:pPr>
        <w:pStyle w:val="ListParagraph"/>
        <w:numPr>
          <w:ilvl w:val="0"/>
          <w:numId w:val="12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This will be a question of fact to be decided in the circumstances of the particular case. Where agencies believe information sought falls within the scope of </w:t>
      </w:r>
      <w:r w:rsidR="007F55E8">
        <w:t>s 2.2(a)(xvi)</w:t>
      </w:r>
      <w:r>
        <w:t xml:space="preserve">, they should clearly explain </w:t>
      </w:r>
      <w:r w:rsidRPr="00251842">
        <w:rPr>
          <w:b/>
        </w:rPr>
        <w:t>why</w:t>
      </w:r>
      <w:r>
        <w:t>.</w:t>
      </w:r>
    </w:p>
    <w:p w14:paraId="6BAC54B3" w14:textId="441B6EF6" w:rsidR="00F71E05" w:rsidRDefault="009B05C4" w:rsidP="00B87CC6">
      <w:pPr>
        <w:pStyle w:val="ListParagraph"/>
        <w:numPr>
          <w:ilvl w:val="0"/>
          <w:numId w:val="12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For specific </w:t>
      </w:r>
      <w:r w:rsidR="00E324A0">
        <w:t>g</w:t>
      </w:r>
      <w:r w:rsidR="002A7A70">
        <w:t>uidanc</w:t>
      </w:r>
      <w:r>
        <w:t xml:space="preserve">e on the phrase ‘could reasonably be expected to’ and the term ‘prejudice’ see </w:t>
      </w:r>
      <w:r w:rsidR="00373009">
        <w:t>[</w:t>
      </w:r>
      <w:hyperlink w:anchor="_Common_terms_and_1" w:history="1">
        <w:r w:rsidR="00373009" w:rsidRPr="00C61A66">
          <w:rPr>
            <w:rStyle w:val="Hyperlink"/>
          </w:rPr>
          <w:t>4</w:t>
        </w:r>
      </w:hyperlink>
      <w:r w:rsidR="00373009">
        <w:t>] above.</w:t>
      </w:r>
    </w:p>
    <w:p w14:paraId="1631D32B" w14:textId="77777777" w:rsidR="00F71E05" w:rsidRPr="00251842" w:rsidRDefault="00F71E05" w:rsidP="003B3115">
      <w:pPr>
        <w:pStyle w:val="Heading5"/>
      </w:pPr>
      <w:r w:rsidRPr="00251842">
        <w:t xml:space="preserve">What is a deliberative process? </w:t>
      </w:r>
    </w:p>
    <w:p w14:paraId="107EE606" w14:textId="0A4FD11E" w:rsidR="00F71E05" w:rsidRPr="00251842" w:rsidRDefault="00F71E05" w:rsidP="0096731A">
      <w:pPr>
        <w:keepNext/>
        <w:keepLines/>
        <w:ind w:right="-22"/>
        <w:rPr>
          <w:b/>
        </w:rPr>
      </w:pPr>
      <w:r>
        <w:t>A deliberative process is considered to be a ‘thinking process’ of government.</w:t>
      </w:r>
      <w:r>
        <w:rPr>
          <w:rStyle w:val="FootnoteReference"/>
        </w:rPr>
        <w:footnoteReference w:id="329"/>
      </w:r>
      <w:r>
        <w:t xml:space="preserve"> Consequently, information is likely to fall within the scope of this provision where it comprises:</w:t>
      </w:r>
    </w:p>
    <w:p w14:paraId="6F4B4001" w14:textId="55D53B46" w:rsidR="00F71E05" w:rsidRDefault="00F71E05" w:rsidP="003B3115">
      <w:pPr>
        <w:pStyle w:val="ListParagraph"/>
        <w:keepNext/>
        <w:keepLines/>
        <w:numPr>
          <w:ilvl w:val="0"/>
          <w:numId w:val="9"/>
        </w:numPr>
      </w:pPr>
      <w:r>
        <w:t>an opinion, advice or recommendation prepared for consideration within an agency or by a Minister (i.e</w:t>
      </w:r>
      <w:r w:rsidR="00D6768F">
        <w:t>.</w:t>
      </w:r>
      <w:r>
        <w:t xml:space="preserve"> not for some private person or organisation), or </w:t>
      </w:r>
    </w:p>
    <w:p w14:paraId="34E35FAC" w14:textId="77777777" w:rsidR="00F71E05" w:rsidRDefault="00F71E05" w:rsidP="003B3115">
      <w:pPr>
        <w:pStyle w:val="ListParagraph"/>
        <w:keepNext/>
        <w:keepLines/>
        <w:numPr>
          <w:ilvl w:val="0"/>
          <w:numId w:val="9"/>
        </w:numPr>
      </w:pPr>
      <w:r>
        <w:t xml:space="preserve">records of deliberations or consultation processes being undertaken to inform the decision-making process of an agency or a Minister. </w:t>
      </w:r>
      <w:r>
        <w:rPr>
          <w:rStyle w:val="FootnoteReference"/>
        </w:rPr>
        <w:footnoteReference w:id="330"/>
      </w:r>
    </w:p>
    <w:p w14:paraId="11DA2653" w14:textId="77777777" w:rsidR="00F71E05" w:rsidRDefault="00F71E05" w:rsidP="00F71E05">
      <w:r>
        <w:t xml:space="preserve">Information officers are encouraged to consider whether the information outlines a process of weighing up, or evaluating, competing arguments about a particular issue, proposal or course of action. </w:t>
      </w:r>
    </w:p>
    <w:p w14:paraId="0EC321E5" w14:textId="77777777" w:rsidR="009B05C4" w:rsidRDefault="00F71E05" w:rsidP="00F71E05">
      <w:r>
        <w:t xml:space="preserve">Generally, in order for this factor to apply, the information should relate to a decision that is being considered by an agency or a Minister and have been prepared as a basis for intended deliberations. </w:t>
      </w:r>
    </w:p>
    <w:p w14:paraId="3861C3D0" w14:textId="77777777" w:rsidR="009B05C4" w:rsidRDefault="00BB4A05" w:rsidP="0096731A">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BB4A05">
        <w:rPr>
          <w:b/>
        </w:rPr>
        <w:t>Note:</w:t>
      </w:r>
    </w:p>
    <w:p w14:paraId="6FF05646" w14:textId="26953861" w:rsidR="00BB4A05" w:rsidRPr="00BB4A05" w:rsidRDefault="00BB4A05" w:rsidP="0096731A">
      <w:pPr>
        <w:pStyle w:val="ListParagraph"/>
        <w:keepNext/>
        <w:keepLines/>
        <w:numPr>
          <w:ilvl w:val="0"/>
          <w:numId w:val="12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Ombudsman considers that information that is purely factual would not fall within the scope of this provision, </w:t>
      </w:r>
      <w:r w:rsidRPr="009B05C4">
        <w:rPr>
          <w:b/>
        </w:rPr>
        <w:t>unless</w:t>
      </w:r>
      <w:r>
        <w:t xml:space="preserve"> it is too embedded or intertwined with the deliberative content that it is not practical for other deliberative material to be redacted prior to disclosure.</w:t>
      </w:r>
      <w:r>
        <w:rPr>
          <w:rStyle w:val="FootnoteReference"/>
        </w:rPr>
        <w:footnoteReference w:id="331"/>
      </w:r>
      <w:r>
        <w:t xml:space="preserve"> See the discussion of ‘purely factual information’ </w:t>
      </w:r>
      <w:r w:rsidR="008A7406">
        <w:t>at [</w:t>
      </w:r>
      <w:hyperlink w:anchor="_Purely_factual_information" w:history="1">
        <w:r w:rsidR="008A7406" w:rsidRPr="008A7406">
          <w:rPr>
            <w:rStyle w:val="Hyperlink"/>
          </w:rPr>
          <w:t>5.9</w:t>
        </w:r>
      </w:hyperlink>
      <w:r w:rsidR="008A7406">
        <w:t xml:space="preserve">]. </w:t>
      </w:r>
    </w:p>
    <w:p w14:paraId="50E57C4D" w14:textId="5358DE92" w:rsidR="00BB4A05" w:rsidRDefault="00BB4A05" w:rsidP="0096731A">
      <w:pPr>
        <w:pStyle w:val="ListParagraph"/>
        <w:keepNext/>
        <w:keepLines/>
        <w:numPr>
          <w:ilvl w:val="0"/>
          <w:numId w:val="42"/>
        </w:numPr>
        <w:pBdr>
          <w:top w:val="single" w:sz="4" w:space="1" w:color="auto"/>
          <w:left w:val="single" w:sz="4" w:space="4" w:color="auto"/>
          <w:bottom w:val="single" w:sz="4" w:space="1" w:color="auto"/>
          <w:right w:val="single" w:sz="4" w:space="4" w:color="auto"/>
        </w:pBdr>
        <w:shd w:val="clear" w:color="auto" w:fill="D9E2F3" w:themeFill="accent5" w:themeFillTint="33"/>
      </w:pPr>
      <w:r>
        <w:t>The Ombudsman also considers that information which is merely administrati</w:t>
      </w:r>
      <w:r w:rsidR="00DC3313">
        <w:t>ve</w:t>
      </w:r>
      <w:r>
        <w:t xml:space="preserve">, incidental or procedural would also generally be outside of the scope of </w:t>
      </w:r>
      <w:r w:rsidRPr="00251842">
        <w:t>s</w:t>
      </w:r>
      <w:r>
        <w:t xml:space="preserve"> </w:t>
      </w:r>
      <w:r w:rsidRPr="00251842">
        <w:t>2.2(a)(xvi)</w:t>
      </w:r>
      <w:r>
        <w:t>.</w:t>
      </w:r>
    </w:p>
    <w:p w14:paraId="7DD88F5F" w14:textId="77777777" w:rsidR="00F71E05" w:rsidRPr="00251842" w:rsidRDefault="00F71E05" w:rsidP="009B05C4">
      <w:pPr>
        <w:pStyle w:val="Heading5"/>
      </w:pPr>
      <w:r w:rsidRPr="00E960EE">
        <w:t>When will disclosure</w:t>
      </w:r>
      <w:r w:rsidRPr="00251842">
        <w:t xml:space="preserve"> prejudice a deliberative process of government?</w:t>
      </w:r>
    </w:p>
    <w:p w14:paraId="0A10827B" w14:textId="5332F5BF" w:rsidR="00F71E05" w:rsidRDefault="00F71E05" w:rsidP="004E259B">
      <w:pPr>
        <w:keepNext/>
        <w:keepLines/>
      </w:pPr>
      <w:r w:rsidRPr="00251842">
        <w:t>For s</w:t>
      </w:r>
      <w:r>
        <w:t xml:space="preserve"> </w:t>
      </w:r>
      <w:r w:rsidRPr="00251842">
        <w:t>2.2(a)(xvi) to apply, it is not enough for the information to disclose a del</w:t>
      </w:r>
      <w:r>
        <w:t xml:space="preserve">iberative process of government; it must be reasonably expected to </w:t>
      </w:r>
      <w:r w:rsidRPr="00251842">
        <w:rPr>
          <w:i/>
        </w:rPr>
        <w:t>prejudice</w:t>
      </w:r>
      <w:r>
        <w:t xml:space="preserve"> such a process – that is, some sort of harm to deliberations could occur if the information was disclosed. </w:t>
      </w:r>
      <w:r w:rsidR="004E259B">
        <w:t xml:space="preserve"> </w:t>
      </w:r>
      <w:r>
        <w:t xml:space="preserve">In order to establish prejudice, it will generally </w:t>
      </w:r>
      <w:r w:rsidRPr="00F6467B">
        <w:rPr>
          <w:b/>
        </w:rPr>
        <w:t xml:space="preserve">not </w:t>
      </w:r>
      <w:r>
        <w:t>be sufficient to establish that disclosure could reasonably be expected to:</w:t>
      </w:r>
    </w:p>
    <w:p w14:paraId="366A6BAC" w14:textId="2154F394" w:rsidR="00F71E05" w:rsidRDefault="00F71E05" w:rsidP="008712A5">
      <w:pPr>
        <w:pStyle w:val="ListParagraph"/>
        <w:numPr>
          <w:ilvl w:val="0"/>
          <w:numId w:val="41"/>
        </w:numPr>
      </w:pPr>
      <w:r>
        <w:t xml:space="preserve">reveal a step in procedures by </w:t>
      </w:r>
      <w:r w:rsidR="00891E48">
        <w:t xml:space="preserve">which </w:t>
      </w:r>
      <w:r>
        <w:t>an organisation handles an FOI application</w:t>
      </w:r>
      <w:r w:rsidRPr="0081431A">
        <w:rPr>
          <w:vertAlign w:val="superscript"/>
        </w:rPr>
        <w:footnoteReference w:id="332"/>
      </w:r>
      <w:r>
        <w:t xml:space="preserve"> </w:t>
      </w:r>
    </w:p>
    <w:p w14:paraId="2BB167CC" w14:textId="77777777" w:rsidR="00F71E05" w:rsidRDefault="00F71E05" w:rsidP="008712A5">
      <w:pPr>
        <w:pStyle w:val="ListParagraph"/>
        <w:numPr>
          <w:ilvl w:val="0"/>
          <w:numId w:val="41"/>
        </w:numPr>
      </w:pPr>
      <w:r>
        <w:t>cause disruptive public debate.</w:t>
      </w:r>
      <w:r w:rsidRPr="0081431A">
        <w:rPr>
          <w:vertAlign w:val="superscript"/>
        </w:rPr>
        <w:footnoteReference w:id="333"/>
      </w:r>
    </w:p>
    <w:p w14:paraId="4FE7CD6F" w14:textId="53114384" w:rsidR="00F71E05" w:rsidRDefault="00F71E05" w:rsidP="003B3115">
      <w:pPr>
        <w:ind w:right="-306"/>
      </w:pPr>
      <w:r w:rsidRPr="00D750E9">
        <w:t>For prejudice to occur</w:t>
      </w:r>
      <w:r>
        <w:t>, the above would also need to interfere with the ability of an agency to objectively consider its options and reach a decision.</w:t>
      </w:r>
      <w:r>
        <w:rPr>
          <w:rStyle w:val="FootnoteReference"/>
        </w:rPr>
        <w:footnoteReference w:id="334"/>
      </w:r>
      <w:r>
        <w:t xml:space="preserve"> Alternatively, prejudice may also occur where disclosure would:</w:t>
      </w:r>
    </w:p>
    <w:p w14:paraId="0AC0EA61" w14:textId="77777777" w:rsidR="00F71E05" w:rsidRDefault="00F71E05" w:rsidP="008712A5">
      <w:pPr>
        <w:pStyle w:val="ListParagraph"/>
        <w:numPr>
          <w:ilvl w:val="0"/>
          <w:numId w:val="41"/>
        </w:numPr>
      </w:pPr>
      <w:r>
        <w:t>result in unacceptable pressures or harassment that would have the potential to inhibit an agency decision-maker, or</w:t>
      </w:r>
    </w:p>
    <w:p w14:paraId="25EC308E" w14:textId="77777777" w:rsidR="00F71E05" w:rsidRDefault="00F71E05" w:rsidP="008712A5">
      <w:pPr>
        <w:pStyle w:val="ListParagraph"/>
        <w:numPr>
          <w:ilvl w:val="0"/>
          <w:numId w:val="41"/>
        </w:numPr>
      </w:pPr>
      <w:r>
        <w:t>prejudice the integrity of the decision-making process.</w:t>
      </w:r>
    </w:p>
    <w:p w14:paraId="710F7C98" w14:textId="2E16162B" w:rsidR="00F71E05" w:rsidRDefault="00F71E05" w:rsidP="00F71E05">
      <w:pPr>
        <w:ind w:right="-330"/>
      </w:pPr>
      <w:r>
        <w:t xml:space="preserve">Relevant considerations </w:t>
      </w:r>
      <w:r w:rsidR="006020B0">
        <w:t>when considering</w:t>
      </w:r>
      <w:r>
        <w:t xml:space="preserve"> whether prejudice could reasonably be expected to occur may include:</w:t>
      </w:r>
    </w:p>
    <w:p w14:paraId="7A2BB838" w14:textId="205D498A" w:rsidR="00F71E05" w:rsidRDefault="00F71E05" w:rsidP="008712A5">
      <w:pPr>
        <w:pStyle w:val="ListParagraph"/>
        <w:numPr>
          <w:ilvl w:val="0"/>
          <w:numId w:val="41"/>
        </w:numPr>
      </w:pPr>
      <w:r>
        <w:t xml:space="preserve">whether the information sought is already </w:t>
      </w:r>
      <w:r w:rsidR="00B11016">
        <w:t>publicly</w:t>
      </w:r>
      <w:r>
        <w:t xml:space="preserve"> known</w:t>
      </w:r>
      <w:r>
        <w:rPr>
          <w:rStyle w:val="FootnoteReference"/>
        </w:rPr>
        <w:footnoteReference w:id="335"/>
      </w:r>
      <w:r w:rsidR="00BB4A05">
        <w:t xml:space="preserve"> and/or the deliberations include public consultation which has commenced</w:t>
      </w:r>
    </w:p>
    <w:p w14:paraId="7A4736D9" w14:textId="185486DB" w:rsidR="00F71E05" w:rsidRDefault="00F71E05" w:rsidP="008712A5">
      <w:pPr>
        <w:pStyle w:val="ListParagraph"/>
        <w:numPr>
          <w:ilvl w:val="0"/>
          <w:numId w:val="41"/>
        </w:numPr>
        <w:ind w:right="-330"/>
      </w:pPr>
      <w:r>
        <w:t>the stage of the deliberations</w:t>
      </w:r>
      <w:r>
        <w:rPr>
          <w:rStyle w:val="FootnoteReference"/>
        </w:rPr>
        <w:footnoteReference w:id="336"/>
      </w:r>
    </w:p>
    <w:p w14:paraId="19102270" w14:textId="77777777" w:rsidR="00F71E05" w:rsidRDefault="00F71E05" w:rsidP="008712A5">
      <w:pPr>
        <w:pStyle w:val="ListParagraph"/>
        <w:numPr>
          <w:ilvl w:val="0"/>
          <w:numId w:val="41"/>
        </w:numPr>
        <w:ind w:right="-330"/>
      </w:pPr>
      <w:r>
        <w:t>whether a final decision has been reached</w:t>
      </w:r>
      <w:r>
        <w:rPr>
          <w:rStyle w:val="FootnoteReference"/>
        </w:rPr>
        <w:footnoteReference w:id="337"/>
      </w:r>
    </w:p>
    <w:p w14:paraId="431670A2" w14:textId="5D0E4228" w:rsidR="00BB4A05" w:rsidRDefault="00F71E05" w:rsidP="003B3115">
      <w:pPr>
        <w:pStyle w:val="ListParagraph"/>
        <w:numPr>
          <w:ilvl w:val="0"/>
          <w:numId w:val="41"/>
        </w:numPr>
        <w:ind w:left="357" w:hanging="357"/>
        <w:contextualSpacing w:val="0"/>
      </w:pPr>
      <w:r>
        <w:t>whether there are any ongoing negotiations occurring.</w:t>
      </w:r>
      <w:r>
        <w:rPr>
          <w:rStyle w:val="FootnoteReference"/>
        </w:rPr>
        <w:footnoteReference w:id="338"/>
      </w:r>
    </w:p>
    <w:p w14:paraId="320DC937" w14:textId="77777777" w:rsidR="00BB4A05" w:rsidRDefault="00F71E05" w:rsidP="0096731A">
      <w:pPr>
        <w:pStyle w:val="ListParagraph"/>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0"/>
      </w:pPr>
      <w:r w:rsidRPr="00BB4A05">
        <w:rPr>
          <w:b/>
        </w:rPr>
        <w:t>Note:</w:t>
      </w:r>
      <w:r w:rsidRPr="00610ED5">
        <w:t xml:space="preserve"> </w:t>
      </w:r>
    </w:p>
    <w:p w14:paraId="39672BB5" w14:textId="2DEED970" w:rsidR="00BB4A05" w:rsidRDefault="00F71E05" w:rsidP="0096731A">
      <w:pPr>
        <w:pStyle w:val="ListParagraph"/>
        <w:keepNext/>
        <w:keepLines/>
        <w:numPr>
          <w:ilvl w:val="0"/>
          <w:numId w:val="102"/>
        </w:numPr>
        <w:pBdr>
          <w:top w:val="single" w:sz="4" w:space="1" w:color="auto"/>
          <w:left w:val="single" w:sz="4" w:space="4" w:color="auto"/>
          <w:bottom w:val="single" w:sz="4" w:space="1" w:color="auto"/>
          <w:right w:val="single" w:sz="4" w:space="4" w:color="auto"/>
        </w:pBdr>
        <w:shd w:val="clear" w:color="auto" w:fill="D9E2F3" w:themeFill="accent5" w:themeFillTint="33"/>
      </w:pPr>
      <w:r>
        <w:t>It is not enough for agencies to establish that a final decision has not yet been reached and a matter is ‘o</w:t>
      </w:r>
      <w:r w:rsidR="00FC3529">
        <w:t xml:space="preserve">ngoing’. </w:t>
      </w:r>
      <w:r>
        <w:t xml:space="preserve">They must explain why disclosure would result in </w:t>
      </w:r>
      <w:r w:rsidRPr="00713CFE">
        <w:rPr>
          <w:i/>
        </w:rPr>
        <w:t>prejudice</w:t>
      </w:r>
      <w:r>
        <w:t xml:space="preserve"> to the process.</w:t>
      </w:r>
      <w:r>
        <w:rPr>
          <w:rStyle w:val="FootnoteReference"/>
        </w:rPr>
        <w:footnoteReference w:id="339"/>
      </w:r>
    </w:p>
    <w:p w14:paraId="1FF9C214" w14:textId="400DD8C5" w:rsidR="00BB4A05" w:rsidRPr="000139CD" w:rsidRDefault="00F71E05" w:rsidP="0096731A">
      <w:pPr>
        <w:pStyle w:val="ListParagraph"/>
        <w:keepNext/>
        <w:keepLines/>
        <w:numPr>
          <w:ilvl w:val="0"/>
          <w:numId w:val="102"/>
        </w:numPr>
        <w:pBdr>
          <w:top w:val="single" w:sz="4" w:space="1" w:color="auto"/>
          <w:left w:val="single" w:sz="4" w:space="4" w:color="auto"/>
          <w:bottom w:val="single" w:sz="4" w:space="1" w:color="auto"/>
          <w:right w:val="single" w:sz="4" w:space="4" w:color="auto"/>
        </w:pBdr>
        <w:shd w:val="clear" w:color="auto" w:fill="D9E2F3" w:themeFill="accent5" w:themeFillTint="33"/>
        <w:rPr>
          <w:color w:val="0563C1"/>
          <w:u w:val="single"/>
        </w:rPr>
      </w:pPr>
      <w:r>
        <w:t xml:space="preserve">When considering possible prejudice, decision-makers should also pay particular attention to the list of irrelevant factors that should be not taken into account when applying the public interest test – </w:t>
      </w:r>
      <w:r w:rsidRPr="008A7406">
        <w:t>see</w:t>
      </w:r>
      <w:r w:rsidR="008A7406" w:rsidRPr="008A7406">
        <w:t xml:space="preserve"> [</w:t>
      </w:r>
      <w:hyperlink w:anchor="_Balancing_the_public" w:history="1">
        <w:r w:rsidR="008A7406" w:rsidRPr="008A7406">
          <w:rPr>
            <w:rStyle w:val="Hyperlink"/>
          </w:rPr>
          <w:t>9</w:t>
        </w:r>
      </w:hyperlink>
      <w:r w:rsidR="008A7406" w:rsidRPr="008A7406">
        <w:t>]</w:t>
      </w:r>
      <w:r w:rsidR="008A7406">
        <w:rPr>
          <w:b/>
          <w:color w:val="0563C1"/>
          <w:u w:val="single"/>
        </w:rPr>
        <w:t xml:space="preserve"> </w:t>
      </w:r>
      <w:r w:rsidR="008A7406" w:rsidRPr="008A7406">
        <w:t>balancing the public interest.</w:t>
      </w:r>
      <w:r w:rsidR="008A7406">
        <w:rPr>
          <w:b/>
          <w:color w:val="0563C1"/>
          <w:u w:val="single"/>
        </w:rPr>
        <w:t xml:space="preserve"> </w:t>
      </w:r>
    </w:p>
    <w:p w14:paraId="0E325294" w14:textId="3321E5BA" w:rsidR="009B05C4" w:rsidRDefault="009B05C4" w:rsidP="009B05C4">
      <w:pPr>
        <w:pStyle w:val="Heading4"/>
      </w:pPr>
      <w:r>
        <w:t>Examples</w:t>
      </w:r>
    </w:p>
    <w:p w14:paraId="68BC7BE7" w14:textId="16DD4226" w:rsidR="009B05C4" w:rsidRDefault="009B05C4" w:rsidP="009B05C4">
      <w:pPr>
        <w:keepNext/>
        <w:keepLines/>
      </w:pPr>
      <w:r>
        <w:t>This factor could be relevant where the information for disclosure includes:</w:t>
      </w:r>
    </w:p>
    <w:p w14:paraId="21EA33F2" w14:textId="77777777" w:rsidR="009B05C4" w:rsidRDefault="009B05C4" w:rsidP="009B05C4">
      <w:pPr>
        <w:pStyle w:val="ListParagraph"/>
        <w:keepNext/>
        <w:keepLines/>
        <w:numPr>
          <w:ilvl w:val="0"/>
          <w:numId w:val="42"/>
        </w:numPr>
      </w:pPr>
      <w:r>
        <w:t>a policy options paper or feasibility study</w:t>
      </w:r>
    </w:p>
    <w:p w14:paraId="30D79B63" w14:textId="77777777" w:rsidR="009B05C4" w:rsidRDefault="009B05C4" w:rsidP="009B05C4">
      <w:pPr>
        <w:pStyle w:val="ListParagraph"/>
        <w:keepNext/>
        <w:keepLines/>
        <w:numPr>
          <w:ilvl w:val="0"/>
          <w:numId w:val="42"/>
        </w:numPr>
      </w:pPr>
      <w:r>
        <w:t>a record of consultations regarding a new policy proposal</w:t>
      </w:r>
    </w:p>
    <w:p w14:paraId="5A7101F3" w14:textId="77777777" w:rsidR="009B05C4" w:rsidRDefault="009B05C4" w:rsidP="009B05C4">
      <w:pPr>
        <w:pStyle w:val="ListParagraph"/>
        <w:keepNext/>
        <w:keepLines/>
        <w:numPr>
          <w:ilvl w:val="0"/>
          <w:numId w:val="42"/>
        </w:numPr>
      </w:pPr>
      <w:r>
        <w:t>minutes of a meeting where the benefits and the disadvantages of a selecting a particular course of action in response to a policy problem under consideration were discussed</w:t>
      </w:r>
    </w:p>
    <w:p w14:paraId="3C64B114" w14:textId="77777777" w:rsidR="009B05C4" w:rsidRDefault="009B05C4" w:rsidP="009B05C4">
      <w:pPr>
        <w:pStyle w:val="ListParagraph"/>
        <w:numPr>
          <w:ilvl w:val="0"/>
          <w:numId w:val="42"/>
        </w:numPr>
        <w:ind w:right="-448"/>
      </w:pPr>
      <w:r>
        <w:t>draft implementation plans which outline possible rollout options for new arrangements or technologies</w:t>
      </w:r>
    </w:p>
    <w:p w14:paraId="7DEA1205" w14:textId="77777777" w:rsidR="009B05C4" w:rsidRDefault="009B05C4" w:rsidP="009B05C4">
      <w:pPr>
        <w:pStyle w:val="ListParagraph"/>
        <w:numPr>
          <w:ilvl w:val="0"/>
          <w:numId w:val="42"/>
        </w:numPr>
      </w:pPr>
      <w:r>
        <w:t>a review of a policy problem that contains possible mitigation strategies and options</w:t>
      </w:r>
    </w:p>
    <w:p w14:paraId="17C24E24" w14:textId="77777777" w:rsidR="009B05C4" w:rsidRPr="00250C79" w:rsidRDefault="009B05C4" w:rsidP="009B05C4">
      <w:pPr>
        <w:pStyle w:val="ListParagraph"/>
        <w:numPr>
          <w:ilvl w:val="0"/>
          <w:numId w:val="42"/>
        </w:numPr>
        <w:ind w:left="357" w:hanging="357"/>
        <w:contextualSpacing w:val="0"/>
        <w:rPr>
          <w:bCs/>
          <w:iCs/>
        </w:rPr>
      </w:pPr>
      <w:r>
        <w:t>investigation reports that set out possible further actions required.</w:t>
      </w:r>
    </w:p>
    <w:p w14:paraId="31613509" w14:textId="77777777" w:rsidR="009B05C4" w:rsidRDefault="009B05C4"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pPr>
      <w:r w:rsidRPr="00BB4A05">
        <w:rPr>
          <w:b/>
        </w:rPr>
        <w:t>Note:</w:t>
      </w:r>
      <w:r w:rsidRPr="00610ED5">
        <w:t xml:space="preserve"> </w:t>
      </w:r>
    </w:p>
    <w:p w14:paraId="432ECCD3" w14:textId="77777777" w:rsidR="009B05C4" w:rsidRDefault="009B05C4" w:rsidP="00B87CC6">
      <w:pPr>
        <w:pStyle w:val="ListParagraph"/>
        <w:numPr>
          <w:ilvl w:val="0"/>
          <w:numId w:val="102"/>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Final decisions reached at the end of a deliberative processes would </w:t>
      </w:r>
      <w:r w:rsidRPr="00BB4A05">
        <w:rPr>
          <w:b/>
        </w:rPr>
        <w:t>not</w:t>
      </w:r>
      <w:r>
        <w:t xml:space="preserve"> generally be covered by this provision.</w:t>
      </w:r>
    </w:p>
    <w:p w14:paraId="7F152B76" w14:textId="5540DFB4" w:rsidR="00F71E05" w:rsidRPr="00BB4A05" w:rsidRDefault="00FC3529" w:rsidP="0096731A">
      <w:pPr>
        <w:pStyle w:val="Heading2"/>
        <w:keepNext w:val="0"/>
        <w:keepLines w:val="0"/>
        <w:numPr>
          <w:ilvl w:val="1"/>
          <w:numId w:val="54"/>
        </w:numPr>
        <w:spacing w:line="240" w:lineRule="auto"/>
        <w:ind w:left="567" w:right="-22" w:hanging="567"/>
      </w:pPr>
      <w:r>
        <w:t xml:space="preserve"> </w:t>
      </w:r>
      <w:bookmarkStart w:id="810" w:name="_Toc43385585"/>
      <w:bookmarkStart w:id="811" w:name="_Toc152067370"/>
      <w:r w:rsidR="00F71E05" w:rsidRPr="00BB4A05">
        <w:t>Section 2.2(a)(xvii) – prejudice the effectiveness of testing or auditing procedures</w:t>
      </w:r>
      <w:bookmarkEnd w:id="810"/>
      <w:bookmarkEnd w:id="811"/>
    </w:p>
    <w:p w14:paraId="49C0BC5E" w14:textId="1F420E60" w:rsidR="00BB4A05" w:rsidRDefault="00BB4A05" w:rsidP="007B6AFB">
      <w:r w:rsidRPr="00BB4A05">
        <w:t xml:space="preserve">A factor favouring nondisclosure under </w:t>
      </w:r>
      <w:r>
        <w:t>s</w:t>
      </w:r>
      <w:r w:rsidR="00990C9C">
        <w:t xml:space="preserve"> </w:t>
      </w:r>
      <w:r w:rsidRPr="00BB4A05">
        <w:t>2.2(a)(xv</w:t>
      </w:r>
      <w:r>
        <w:t>ii)</w:t>
      </w:r>
      <w:r w:rsidRPr="00BB4A05">
        <w:t xml:space="preserve"> is that disclosure could reasonably be expected </w:t>
      </w:r>
      <w:r w:rsidR="0096731A" w:rsidRPr="00BB4A05">
        <w:t>to prejudice</w:t>
      </w:r>
      <w:r w:rsidRPr="00BB4A05">
        <w:t xml:space="preserve"> the effectiveness of testing or auditing procedures</w:t>
      </w:r>
      <w:r>
        <w:t>.</w:t>
      </w:r>
    </w:p>
    <w:p w14:paraId="56C6803D" w14:textId="0C023CC8" w:rsidR="009B05C4" w:rsidRPr="00BB4A05" w:rsidRDefault="009B05C4" w:rsidP="009B05C4">
      <w:pPr>
        <w:pStyle w:val="Heading4"/>
      </w:pPr>
      <w:r>
        <w:t>Overview</w:t>
      </w:r>
    </w:p>
    <w:p w14:paraId="6A313B8F" w14:textId="6A370FFE" w:rsidR="00F71E05" w:rsidRDefault="00F71E05" w:rsidP="00F71E05">
      <w:r w:rsidRPr="00BB4A05">
        <w:t xml:space="preserve">In order for this factor to apply, there must be an identifiable testing or auditing procedure, such as a sampling method, examination process, risk assessment matrix, analysis tool or investigation technique. </w:t>
      </w:r>
    </w:p>
    <w:p w14:paraId="5D6D7A7C" w14:textId="37A4ED46" w:rsidR="009B05C4" w:rsidRPr="00BB4A05" w:rsidRDefault="009B05C4" w:rsidP="009B05C4">
      <w:pPr>
        <w:pStyle w:val="Heading4"/>
      </w:pPr>
      <w:r>
        <w:t>Examples</w:t>
      </w:r>
    </w:p>
    <w:p w14:paraId="7DC6DA27" w14:textId="77777777" w:rsidR="00F71E05" w:rsidRPr="00BB4A05" w:rsidRDefault="00F71E05" w:rsidP="00F71E05">
      <w:r w:rsidRPr="00BB4A05">
        <w:t xml:space="preserve">Examples of circumstances in which the disclosure of information could reasonably be expected to prejudice the effectiveness of testing or auditing procedures include where disclosure may: </w:t>
      </w:r>
    </w:p>
    <w:p w14:paraId="50ABF803" w14:textId="666340FF" w:rsidR="00F71E05" w:rsidRPr="00BB4A05" w:rsidRDefault="00F71E05" w:rsidP="008712A5">
      <w:pPr>
        <w:pStyle w:val="ListParagraph"/>
        <w:numPr>
          <w:ilvl w:val="0"/>
          <w:numId w:val="44"/>
        </w:numPr>
        <w:spacing w:line="256" w:lineRule="auto"/>
      </w:pPr>
      <w:r w:rsidRPr="00BB4A05">
        <w:t>facilitate cheating by a person being tested or audited</w:t>
      </w:r>
      <w:r w:rsidRPr="00BB4A05">
        <w:rPr>
          <w:rStyle w:val="FootnoteReference"/>
        </w:rPr>
        <w:footnoteReference w:id="340"/>
      </w:r>
    </w:p>
    <w:p w14:paraId="70567004" w14:textId="44975C20" w:rsidR="00F71E05" w:rsidRPr="00BB4A05" w:rsidRDefault="00F71E05" w:rsidP="008712A5">
      <w:pPr>
        <w:pStyle w:val="ListParagraph"/>
        <w:numPr>
          <w:ilvl w:val="0"/>
          <w:numId w:val="44"/>
        </w:numPr>
        <w:spacing w:line="256" w:lineRule="auto"/>
      </w:pPr>
      <w:r w:rsidRPr="00BB4A05">
        <w:t>reveal a method of assessment so as to enable a person to manipulate his or her test results or pre-prepare an answer, for example in psychomet</w:t>
      </w:r>
      <w:r w:rsidR="00FC3529">
        <w:t>ric testing or risk assessments</w:t>
      </w:r>
      <w:r w:rsidRPr="00BB4A05">
        <w:rPr>
          <w:rStyle w:val="FootnoteReference"/>
        </w:rPr>
        <w:footnoteReference w:id="341"/>
      </w:r>
    </w:p>
    <w:p w14:paraId="3F143CFE" w14:textId="50D36F05" w:rsidR="00F71E05" w:rsidRPr="00BB4A05" w:rsidRDefault="00F71E05" w:rsidP="008712A5">
      <w:pPr>
        <w:pStyle w:val="ListParagraph"/>
        <w:numPr>
          <w:ilvl w:val="0"/>
          <w:numId w:val="44"/>
        </w:numPr>
        <w:spacing w:line="256" w:lineRule="auto"/>
      </w:pPr>
      <w:r w:rsidRPr="00BB4A05">
        <w:t>assist a person to prepare for a test or audit, compromising the integrity of th</w:t>
      </w:r>
      <w:r w:rsidR="00FC3529">
        <w:t>e testing or auditing procedure</w:t>
      </w:r>
      <w:r w:rsidRPr="00BB4A05">
        <w:rPr>
          <w:rStyle w:val="FootnoteReference"/>
        </w:rPr>
        <w:footnoteReference w:id="342"/>
      </w:r>
    </w:p>
    <w:p w14:paraId="0674B9B6" w14:textId="77777777" w:rsidR="00F71E05" w:rsidRPr="00BB4A05" w:rsidRDefault="00F71E05" w:rsidP="008712A5">
      <w:pPr>
        <w:pStyle w:val="ListParagraph"/>
        <w:numPr>
          <w:ilvl w:val="0"/>
          <w:numId w:val="44"/>
        </w:numPr>
        <w:spacing w:line="256" w:lineRule="auto"/>
      </w:pPr>
      <w:r w:rsidRPr="00BB4A05">
        <w:t>reveal a pattern, or an absence of a pattern, that could undermine a testing regime,</w:t>
      </w:r>
      <w:r w:rsidRPr="00BB4A05">
        <w:rPr>
          <w:rStyle w:val="FootnoteReference"/>
        </w:rPr>
        <w:footnoteReference w:id="343"/>
      </w:r>
      <w:r w:rsidRPr="00BB4A05">
        <w:t xml:space="preserve"> or </w:t>
      </w:r>
    </w:p>
    <w:p w14:paraId="4F7708BD" w14:textId="02F95E02" w:rsidR="00D94911" w:rsidRPr="00B87CC6" w:rsidRDefault="00F71E05" w:rsidP="00B87CC6">
      <w:pPr>
        <w:pStyle w:val="ListParagraph"/>
        <w:numPr>
          <w:ilvl w:val="0"/>
          <w:numId w:val="44"/>
        </w:numPr>
        <w:spacing w:line="257" w:lineRule="auto"/>
        <w:ind w:left="357" w:hanging="357"/>
        <w:contextualSpacing w:val="0"/>
      </w:pPr>
      <w:r w:rsidRPr="00BB4A05">
        <w:t>reveal a sampling method so as to enable a person being audited to avoid scrutiny during an audit.</w:t>
      </w:r>
      <w:r w:rsidRPr="00BB4A05">
        <w:rPr>
          <w:rStyle w:val="FootnoteReference"/>
        </w:rPr>
        <w:footnoteReference w:id="344"/>
      </w:r>
    </w:p>
    <w:p w14:paraId="488124B7" w14:textId="77777777" w:rsidR="00D94911" w:rsidRPr="00D94911"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1D6A536E" w14:textId="6CB85C0F" w:rsidR="00D94911" w:rsidRPr="00D94911" w:rsidRDefault="00D94911" w:rsidP="00B87CC6">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59724F">
        <w:t xml:space="preserve">guidance </w:t>
      </w:r>
      <w:r>
        <w:t xml:space="preserve">on the phrase ‘could reasonably be expected to’ and the term ‘prejudice’ see </w:t>
      </w:r>
      <w:r w:rsidR="004E1175">
        <w:br/>
      </w:r>
      <w:r w:rsidR="00373009">
        <w:t>[</w:t>
      </w:r>
      <w:hyperlink w:anchor="_Common_terms_and_1" w:history="1">
        <w:r w:rsidR="00373009" w:rsidRPr="00C61A66">
          <w:rPr>
            <w:rStyle w:val="Hyperlink"/>
          </w:rPr>
          <w:t>4</w:t>
        </w:r>
      </w:hyperlink>
      <w:r w:rsidR="00373009">
        <w:t>] above.</w:t>
      </w:r>
    </w:p>
    <w:p w14:paraId="2FC1CD66" w14:textId="112CB239" w:rsidR="00F71E05" w:rsidRPr="00BB4A05" w:rsidRDefault="00B76C70" w:rsidP="00846D9E">
      <w:pPr>
        <w:pStyle w:val="Heading2"/>
        <w:numPr>
          <w:ilvl w:val="1"/>
          <w:numId w:val="54"/>
        </w:numPr>
        <w:spacing w:line="240" w:lineRule="auto"/>
        <w:ind w:left="567" w:hanging="567"/>
      </w:pPr>
      <w:bookmarkStart w:id="812" w:name="_Section_2.2(a)(xviii)_–"/>
      <w:bookmarkEnd w:id="812"/>
      <w:r>
        <w:t xml:space="preserve"> </w:t>
      </w:r>
      <w:bookmarkStart w:id="813" w:name="_Toc43385586"/>
      <w:bookmarkStart w:id="814" w:name="_Toc152067371"/>
      <w:r w:rsidR="00F71E05" w:rsidRPr="00BB4A05">
        <w:t xml:space="preserve">Section 2.2(a)(xviii) – prejudice </w:t>
      </w:r>
      <w:r>
        <w:t xml:space="preserve">the </w:t>
      </w:r>
      <w:r w:rsidR="00F71E05" w:rsidRPr="00BB4A05">
        <w:t xml:space="preserve">conservation </w:t>
      </w:r>
      <w:r w:rsidR="00CA00E6">
        <w:t xml:space="preserve">of any place or object of natural, cultural or heritage value </w:t>
      </w:r>
      <w:r w:rsidR="00F71E05" w:rsidRPr="00BB4A05">
        <w:t>or reveal Aboriginal or Torres Strait Islander traditional knowledge</w:t>
      </w:r>
      <w:bookmarkEnd w:id="813"/>
      <w:bookmarkEnd w:id="814"/>
    </w:p>
    <w:p w14:paraId="04AFB37E" w14:textId="71434B48" w:rsidR="00BB4A05" w:rsidRDefault="00BB4A05" w:rsidP="00846D9E">
      <w:pPr>
        <w:keepNext/>
        <w:keepLines/>
        <w:ind w:left="-76"/>
      </w:pPr>
      <w:r w:rsidRPr="00BB4A05">
        <w:t>A factor favouring nondisclosure under s</w:t>
      </w:r>
      <w:r w:rsidR="0065460F">
        <w:t xml:space="preserve"> </w:t>
      </w:r>
      <w:r w:rsidRPr="00BB4A05">
        <w:t>2.2(a)(xvi</w:t>
      </w:r>
      <w:r w:rsidR="00D5468B">
        <w:t>i</w:t>
      </w:r>
      <w:r w:rsidRPr="00BB4A05">
        <w:t xml:space="preserve">i) is that disclosure could reasonably be expected </w:t>
      </w:r>
      <w:r w:rsidR="0096731A" w:rsidRPr="00BB4A05">
        <w:t>to prejudice</w:t>
      </w:r>
      <w:r w:rsidRPr="00BB4A05">
        <w:t xml:space="preserve"> the conservation of any place or object of natural, cultural or heritage value, or reveal any information relating to Aboriginal or Torres Strait Islander traditional knowledge</w:t>
      </w:r>
      <w:r w:rsidR="00BE52CF">
        <w:t xml:space="preserve">. </w:t>
      </w:r>
    </w:p>
    <w:p w14:paraId="1CD7FA16" w14:textId="51299FDF" w:rsidR="00CE0173" w:rsidRPr="00BB4A05" w:rsidRDefault="00CE0173" w:rsidP="00CE0173">
      <w:pPr>
        <w:pStyle w:val="Heading5"/>
      </w:pPr>
      <w:r>
        <w:t xml:space="preserve">Prejudice the </w:t>
      </w:r>
      <w:r w:rsidRPr="00BB4A05">
        <w:t>conservation of any place or object of natural, cultural or heritage value</w:t>
      </w:r>
    </w:p>
    <w:p w14:paraId="32DA8DE4" w14:textId="77777777" w:rsidR="00BB4A05" w:rsidRPr="00BB4A05" w:rsidRDefault="00F71E05" w:rsidP="00F71E05">
      <w:r w:rsidRPr="00BB4A05">
        <w:t>The FOI Act does not define the terms ‘conservation’, ‘natural’, ‘cultural’ or ‘heritage’.</w:t>
      </w:r>
    </w:p>
    <w:p w14:paraId="4508655D" w14:textId="2B41641B" w:rsidR="00F71E05" w:rsidRPr="00BB4A05" w:rsidRDefault="00F71E05" w:rsidP="00F71E05">
      <w:r w:rsidRPr="00BB4A05">
        <w:t xml:space="preserve">The </w:t>
      </w:r>
      <w:r w:rsidRPr="006323E7">
        <w:rPr>
          <w:iCs/>
        </w:rPr>
        <w:t>Heritage Act</w:t>
      </w:r>
      <w:r w:rsidRPr="006323E7">
        <w:rPr>
          <w:i/>
        </w:rPr>
        <w:t xml:space="preserve"> </w:t>
      </w:r>
      <w:r w:rsidRPr="00BB4A05">
        <w:t>indicates that these terms may be understood as follows:</w:t>
      </w:r>
      <w:r w:rsidRPr="00BB4A05">
        <w:rPr>
          <w:rStyle w:val="FootnoteReference"/>
        </w:rPr>
        <w:footnoteReference w:id="345"/>
      </w:r>
    </w:p>
    <w:p w14:paraId="6E25687D" w14:textId="77777777" w:rsidR="00F71E05" w:rsidRPr="00BB4A05" w:rsidRDefault="00F71E05" w:rsidP="008712A5">
      <w:pPr>
        <w:pStyle w:val="ListParagraph"/>
        <w:numPr>
          <w:ilvl w:val="0"/>
          <w:numId w:val="45"/>
        </w:numPr>
        <w:spacing w:line="256" w:lineRule="auto"/>
      </w:pPr>
      <w:r w:rsidRPr="00BB4A05">
        <w:t>‘conservation’ includes ‘preservation, protection, maintenance, restoration and reconstruction’</w:t>
      </w:r>
      <w:r w:rsidRPr="00BB4A05">
        <w:rPr>
          <w:rStyle w:val="FootnoteReference"/>
        </w:rPr>
        <w:footnoteReference w:id="346"/>
      </w:r>
      <w:r w:rsidRPr="00BB4A05">
        <w:t xml:space="preserve"> </w:t>
      </w:r>
    </w:p>
    <w:p w14:paraId="2C267D18" w14:textId="77777777" w:rsidR="00F71E05" w:rsidRPr="00BB4A05" w:rsidRDefault="00F71E05" w:rsidP="008712A5">
      <w:pPr>
        <w:pStyle w:val="ListParagraph"/>
        <w:numPr>
          <w:ilvl w:val="0"/>
          <w:numId w:val="45"/>
        </w:numPr>
        <w:spacing w:line="256" w:lineRule="auto"/>
      </w:pPr>
      <w:r w:rsidRPr="00BB4A05">
        <w:t>‘natural’ refers to something that forms part of the natural environment, such as the native flora, native fauna, geological formations or any other naturally occurring element at a particular location</w:t>
      </w:r>
      <w:r w:rsidRPr="00BB4A05">
        <w:rPr>
          <w:rStyle w:val="FootnoteReference"/>
        </w:rPr>
        <w:footnoteReference w:id="347"/>
      </w:r>
    </w:p>
    <w:p w14:paraId="5B99DAF5" w14:textId="77777777" w:rsidR="00F71E05" w:rsidRPr="00BB4A05" w:rsidRDefault="00F71E05" w:rsidP="008712A5">
      <w:pPr>
        <w:pStyle w:val="ListParagraph"/>
        <w:numPr>
          <w:ilvl w:val="0"/>
          <w:numId w:val="45"/>
        </w:numPr>
        <w:spacing w:line="256" w:lineRule="auto"/>
      </w:pPr>
      <w:r w:rsidRPr="00BB4A05">
        <w:t>‘cultural’ refers to something created or modified by human action, or associated with human activity or a human event</w:t>
      </w:r>
      <w:r w:rsidRPr="00BB4A05">
        <w:rPr>
          <w:rStyle w:val="FootnoteReference"/>
        </w:rPr>
        <w:footnoteReference w:id="348"/>
      </w:r>
    </w:p>
    <w:p w14:paraId="3871CFA8" w14:textId="77777777" w:rsidR="00F71E05" w:rsidRPr="00BB4A05" w:rsidRDefault="00F71E05" w:rsidP="008712A5">
      <w:pPr>
        <w:pStyle w:val="ListParagraph"/>
        <w:numPr>
          <w:ilvl w:val="0"/>
          <w:numId w:val="45"/>
        </w:numPr>
        <w:spacing w:line="256" w:lineRule="auto"/>
      </w:pPr>
      <w:r w:rsidRPr="00BB4A05">
        <w:t>‘heritage value’ means a place or object has:</w:t>
      </w:r>
      <w:r w:rsidRPr="00BB4A05">
        <w:rPr>
          <w:rStyle w:val="FootnoteReference"/>
        </w:rPr>
        <w:footnoteReference w:id="349"/>
      </w:r>
    </w:p>
    <w:p w14:paraId="01383408" w14:textId="6A57DD4D" w:rsidR="00F71E05" w:rsidRPr="00BB4A05" w:rsidRDefault="00F71E05" w:rsidP="008712A5">
      <w:pPr>
        <w:pStyle w:val="ListParagraph"/>
        <w:numPr>
          <w:ilvl w:val="1"/>
          <w:numId w:val="45"/>
        </w:numPr>
        <w:spacing w:line="256" w:lineRule="auto"/>
      </w:pPr>
      <w:r w:rsidRPr="00BB4A05">
        <w:t>importance to the course or pattern of the AC</w:t>
      </w:r>
      <w:r w:rsidR="00FC3529">
        <w:t>T’s cultural or natural history</w:t>
      </w:r>
    </w:p>
    <w:p w14:paraId="6430BBC5" w14:textId="263F654C" w:rsidR="00F71E05" w:rsidRPr="00BB4A05" w:rsidRDefault="00F71E05" w:rsidP="008712A5">
      <w:pPr>
        <w:pStyle w:val="ListParagraph"/>
        <w:numPr>
          <w:ilvl w:val="1"/>
          <w:numId w:val="45"/>
        </w:numPr>
        <w:spacing w:line="256" w:lineRule="auto"/>
      </w:pPr>
      <w:r w:rsidRPr="00BB4A05">
        <w:t>uncommon, rare or endangered aspects of the AC</w:t>
      </w:r>
      <w:r w:rsidR="00FC3529">
        <w:t>T’s cultural or natural history</w:t>
      </w:r>
    </w:p>
    <w:p w14:paraId="3CA05C7E" w14:textId="588D9862" w:rsidR="00F71E05" w:rsidRPr="00BB4A05" w:rsidRDefault="00F71E05" w:rsidP="008712A5">
      <w:pPr>
        <w:pStyle w:val="ListParagraph"/>
        <w:numPr>
          <w:ilvl w:val="1"/>
          <w:numId w:val="45"/>
        </w:numPr>
        <w:spacing w:line="256" w:lineRule="auto"/>
      </w:pPr>
      <w:r w:rsidRPr="00BB4A05">
        <w:t>potential to yield important information that will contribute to an understanding of the AC</w:t>
      </w:r>
      <w:r w:rsidR="00FC3529">
        <w:t>T’s cultural or natural history</w:t>
      </w:r>
    </w:p>
    <w:p w14:paraId="6F09309A" w14:textId="6DCFCB1E" w:rsidR="00F71E05" w:rsidRPr="00BB4A05" w:rsidRDefault="00F71E05" w:rsidP="008712A5">
      <w:pPr>
        <w:pStyle w:val="ListParagraph"/>
        <w:numPr>
          <w:ilvl w:val="1"/>
          <w:numId w:val="45"/>
        </w:numPr>
        <w:spacing w:line="256" w:lineRule="auto"/>
      </w:pPr>
      <w:r w:rsidRPr="00BB4A05">
        <w:t>importance in demonstrating the principal characteristics of a class of cultur</w:t>
      </w:r>
      <w:r w:rsidR="00FC3529">
        <w:t>al or natural places or objects</w:t>
      </w:r>
    </w:p>
    <w:p w14:paraId="4E9A7430" w14:textId="17AADD76" w:rsidR="00F71E05" w:rsidRPr="00BB4A05" w:rsidRDefault="00F71E05" w:rsidP="008712A5">
      <w:pPr>
        <w:pStyle w:val="ListParagraph"/>
        <w:numPr>
          <w:ilvl w:val="1"/>
          <w:numId w:val="45"/>
        </w:numPr>
        <w:spacing w:line="256" w:lineRule="auto"/>
      </w:pPr>
      <w:r w:rsidRPr="00BB4A05">
        <w:t>importance in exhibiting particular aesthetic characteristics valued by the ACT community</w:t>
      </w:r>
      <w:r w:rsidR="00FC3529">
        <w:t xml:space="preserve"> or a cultural group in the ACT</w:t>
      </w:r>
    </w:p>
    <w:p w14:paraId="1668332D" w14:textId="14EAD892" w:rsidR="00F71E05" w:rsidRPr="00BB4A05" w:rsidRDefault="00F71E05" w:rsidP="008712A5">
      <w:pPr>
        <w:pStyle w:val="ListParagraph"/>
        <w:numPr>
          <w:ilvl w:val="1"/>
          <w:numId w:val="45"/>
        </w:numPr>
        <w:spacing w:line="256" w:lineRule="auto"/>
      </w:pPr>
      <w:r w:rsidRPr="00BB4A05">
        <w:t>importance in demonstrating a high degree of creative or technical achi</w:t>
      </w:r>
      <w:r w:rsidR="00FC3529">
        <w:t>evement for a particular period</w:t>
      </w:r>
    </w:p>
    <w:p w14:paraId="368001BE" w14:textId="77777777" w:rsidR="00F71E05" w:rsidRPr="00BB4A05" w:rsidRDefault="00F71E05" w:rsidP="008712A5">
      <w:pPr>
        <w:pStyle w:val="ListParagraph"/>
        <w:numPr>
          <w:ilvl w:val="1"/>
          <w:numId w:val="45"/>
        </w:numPr>
        <w:spacing w:line="256" w:lineRule="auto"/>
      </w:pPr>
      <w:r w:rsidRPr="00BB4A05">
        <w:t xml:space="preserve">a strong or special association with the ACT community, or a cultural group in the ACT for social, cultural or spiritual reasons, or  </w:t>
      </w:r>
    </w:p>
    <w:p w14:paraId="67CF98EF" w14:textId="77777777" w:rsidR="00F71E05" w:rsidRPr="00BB4A05" w:rsidRDefault="00F71E05" w:rsidP="0096731A">
      <w:pPr>
        <w:pStyle w:val="ListParagraph"/>
        <w:numPr>
          <w:ilvl w:val="1"/>
          <w:numId w:val="45"/>
        </w:numPr>
        <w:spacing w:line="256" w:lineRule="auto"/>
        <w:ind w:right="-22"/>
      </w:pPr>
      <w:r w:rsidRPr="00BB4A05">
        <w:t xml:space="preserve">a special association with the life or work of a person, or people, important to the history of the ACT. </w:t>
      </w:r>
    </w:p>
    <w:p w14:paraId="57734FC7" w14:textId="77777777" w:rsidR="009B05C4" w:rsidRPr="009B05C4" w:rsidRDefault="009B05C4"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9B05C4">
        <w:rPr>
          <w:b/>
        </w:rPr>
        <w:t>Note:</w:t>
      </w:r>
    </w:p>
    <w:p w14:paraId="222AEA88" w14:textId="4B71A88F" w:rsidR="00F71E05" w:rsidRPr="00BB4A05" w:rsidRDefault="00F71E05" w:rsidP="00B87CC6">
      <w:pPr>
        <w:pStyle w:val="ListParagraph"/>
        <w:numPr>
          <w:ilvl w:val="0"/>
          <w:numId w:val="128"/>
        </w:numPr>
        <w:pBdr>
          <w:top w:val="single" w:sz="4" w:space="1" w:color="auto"/>
          <w:left w:val="single" w:sz="4" w:space="4" w:color="auto"/>
          <w:bottom w:val="single" w:sz="4" w:space="1" w:color="auto"/>
          <w:right w:val="single" w:sz="4" w:space="4" w:color="auto"/>
        </w:pBdr>
        <w:shd w:val="clear" w:color="auto" w:fill="D9E2F3" w:themeFill="accent5" w:themeFillTint="33"/>
      </w:pPr>
      <w:r w:rsidRPr="00BB4A05">
        <w:t>See also</w:t>
      </w:r>
      <w:r w:rsidR="0028203B">
        <w:t xml:space="preserve"> law enforcement or public safety information, Schedule 1, s 1.14(1)(k) at [</w:t>
      </w:r>
      <w:hyperlink w:anchor="_Prejudice_cultural_or" w:history="1">
        <w:r w:rsidR="0028203B" w:rsidRPr="0028203B">
          <w:rPr>
            <w:rStyle w:val="Hyperlink"/>
          </w:rPr>
          <w:t>5.17</w:t>
        </w:r>
      </w:hyperlink>
      <w:r w:rsidR="0028203B">
        <w:t>]</w:t>
      </w:r>
      <w:r w:rsidRPr="00BB4A05">
        <w:t>, which provides that information the disclosure of which would, or could reasonably be expected to, prejudice the wellbeing of a cultural or natural resource or the habitat of animals or plants</w:t>
      </w:r>
      <w:r w:rsidR="00DB3E49">
        <w:t xml:space="preserve"> is taken to be contrary to the public interest to disclose</w:t>
      </w:r>
      <w:r w:rsidRPr="00BB4A05">
        <w:t xml:space="preserve">. </w:t>
      </w:r>
    </w:p>
    <w:p w14:paraId="637437D9" w14:textId="77777777" w:rsidR="00F71E05" w:rsidRPr="00BB4A05" w:rsidRDefault="00F71E05" w:rsidP="00846D9E">
      <w:pPr>
        <w:pStyle w:val="Heading5"/>
      </w:pPr>
      <w:r w:rsidRPr="00BB4A05">
        <w:t>Reveal information relating to Aboriginal or Torres Strait Islander traditional knowledge</w:t>
      </w:r>
    </w:p>
    <w:p w14:paraId="7C8F74DE" w14:textId="0A624A93" w:rsidR="00F71E05" w:rsidRPr="00BB4A05" w:rsidRDefault="00F71E05" w:rsidP="00846D9E">
      <w:pPr>
        <w:keepNext/>
        <w:keepLines/>
      </w:pPr>
      <w:r w:rsidRPr="00BB4A05">
        <w:t xml:space="preserve">‘Aboriginal or Torres Strait Islander’ is not defined in the FOI Act. The </w:t>
      </w:r>
      <w:hyperlink r:id="rId72" w:history="1">
        <w:r w:rsidR="00DE349E" w:rsidRPr="00EF603D">
          <w:rPr>
            <w:rStyle w:val="Hyperlink"/>
            <w:i/>
            <w:iCs/>
          </w:rPr>
          <w:t>Aboriginal and Torres Strait Islander Elected Body Act 2008</w:t>
        </w:r>
        <w:r w:rsidR="00DE349E">
          <w:rPr>
            <w:rStyle w:val="Hyperlink"/>
          </w:rPr>
          <w:t xml:space="preserve"> </w:t>
        </w:r>
      </w:hyperlink>
      <w:r w:rsidR="002002EC">
        <w:t>provides</w:t>
      </w:r>
      <w:r w:rsidR="002002EC" w:rsidRPr="00BB4A05">
        <w:t xml:space="preserve"> </w:t>
      </w:r>
      <w:r w:rsidRPr="00BB4A05">
        <w:t>that such a person is a person who:</w:t>
      </w:r>
    </w:p>
    <w:p w14:paraId="26835E36" w14:textId="1A583845" w:rsidR="00F71E05" w:rsidRPr="00BB4A05" w:rsidRDefault="00F71E05" w:rsidP="00FC3529">
      <w:pPr>
        <w:pStyle w:val="ListParagraph"/>
        <w:keepNext/>
        <w:keepLines/>
        <w:numPr>
          <w:ilvl w:val="0"/>
          <w:numId w:val="46"/>
        </w:numPr>
        <w:spacing w:line="256" w:lineRule="auto"/>
        <w:ind w:left="426" w:right="-164" w:hanging="426"/>
      </w:pPr>
      <w:r w:rsidRPr="00BB4A05">
        <w:t>is a descendant of an Aboriginal person or a Torres Strait Islander person</w:t>
      </w:r>
    </w:p>
    <w:p w14:paraId="18C2174F" w14:textId="77777777" w:rsidR="00F71E05" w:rsidRPr="00BB4A05" w:rsidRDefault="00F71E05" w:rsidP="00FC3529">
      <w:pPr>
        <w:pStyle w:val="ListParagraph"/>
        <w:keepNext/>
        <w:keepLines/>
        <w:numPr>
          <w:ilvl w:val="0"/>
          <w:numId w:val="46"/>
        </w:numPr>
        <w:spacing w:line="256" w:lineRule="auto"/>
        <w:ind w:left="426" w:right="-164" w:hanging="426"/>
      </w:pPr>
      <w:r w:rsidRPr="00BB4A05">
        <w:t xml:space="preserve">identifies as an Aboriginal person or a Torres Strait Islander person, and   </w:t>
      </w:r>
    </w:p>
    <w:p w14:paraId="6904F56F" w14:textId="77777777" w:rsidR="00F71E05" w:rsidRPr="00BB4A05" w:rsidRDefault="00F71E05" w:rsidP="00FC3529">
      <w:pPr>
        <w:pStyle w:val="ListParagraph"/>
        <w:keepNext/>
        <w:keepLines/>
        <w:numPr>
          <w:ilvl w:val="0"/>
          <w:numId w:val="46"/>
        </w:numPr>
        <w:spacing w:line="256" w:lineRule="auto"/>
        <w:ind w:left="426" w:right="-164" w:hanging="426"/>
      </w:pPr>
      <w:r w:rsidRPr="00BB4A05">
        <w:t>is accepted as an Aboriginal person or a Torres Strait Islander person by an Aboriginal community or Torres Strait Islander community.</w:t>
      </w:r>
    </w:p>
    <w:p w14:paraId="7E4884F4" w14:textId="56B00ECB" w:rsidR="00F71E05" w:rsidRDefault="00F71E05" w:rsidP="00F71E05">
      <w:r w:rsidRPr="00BB4A05">
        <w:t xml:space="preserve">‘Traditional knowledge’ may include knowledge such as customs, laws, expressions of cultural values, beliefs, and knowledge relating to land and ecosystem management. The United Nations Declaration on the Rights of Indigenous Peoples provides that indigenous peoples have the right to maintain, control, protect and develop their traditional knowledge. </w:t>
      </w:r>
    </w:p>
    <w:p w14:paraId="7CE6AFB4" w14:textId="77777777" w:rsidR="00D94911" w:rsidRPr="00D94911"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38EF8600" w14:textId="0E9D59BD" w:rsidR="00D94911" w:rsidRPr="00D94911" w:rsidRDefault="00D94911" w:rsidP="00B87CC6">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BF54F6">
        <w:t>guidance</w:t>
      </w:r>
      <w:r>
        <w:t xml:space="preserve"> on the phrase ‘could, or would reasonably be expected to’ and the term ‘prejudice’ see </w:t>
      </w:r>
      <w:r w:rsidR="00373009">
        <w:t>[</w:t>
      </w:r>
      <w:hyperlink w:anchor="_Common_terms_and_1" w:history="1">
        <w:r w:rsidR="00373009" w:rsidRPr="00C61A66">
          <w:rPr>
            <w:rStyle w:val="Hyperlink"/>
          </w:rPr>
          <w:t>4</w:t>
        </w:r>
      </w:hyperlink>
      <w:r w:rsidR="00373009">
        <w:t>] above.</w:t>
      </w:r>
    </w:p>
    <w:p w14:paraId="3F21787B" w14:textId="73F57BA1" w:rsidR="00F71E05" w:rsidRPr="00BB4A05" w:rsidRDefault="00FC3529" w:rsidP="009B05C4">
      <w:pPr>
        <w:pStyle w:val="Heading2"/>
        <w:keepNext w:val="0"/>
        <w:keepLines w:val="0"/>
        <w:numPr>
          <w:ilvl w:val="1"/>
          <w:numId w:val="54"/>
        </w:numPr>
        <w:spacing w:line="240" w:lineRule="auto"/>
        <w:ind w:left="567" w:hanging="567"/>
      </w:pPr>
      <w:bookmarkStart w:id="815" w:name="_Section_2.2(b)(i)_–"/>
      <w:bookmarkStart w:id="816" w:name="_Ref10810941"/>
      <w:bookmarkStart w:id="817" w:name="_Ref10812752"/>
      <w:bookmarkEnd w:id="815"/>
      <w:r>
        <w:t xml:space="preserve"> </w:t>
      </w:r>
      <w:bookmarkStart w:id="818" w:name="_Toc43385587"/>
      <w:bookmarkStart w:id="819" w:name="_Toc152067372"/>
      <w:r w:rsidR="00F71E05" w:rsidRPr="00BB4A05">
        <w:t>Section 2.2(b)(i) –</w:t>
      </w:r>
      <w:r w:rsidR="00ED505C">
        <w:t xml:space="preserve"> </w:t>
      </w:r>
      <w:r w:rsidR="00F71E05" w:rsidRPr="00BB4A05">
        <w:t>not in the best interests of the child</w:t>
      </w:r>
      <w:bookmarkEnd w:id="816"/>
      <w:bookmarkEnd w:id="817"/>
      <w:bookmarkEnd w:id="818"/>
      <w:bookmarkEnd w:id="819"/>
    </w:p>
    <w:p w14:paraId="0A76412F" w14:textId="5A607296" w:rsidR="0016535A" w:rsidRDefault="00BB4A05" w:rsidP="0016535A">
      <w:pPr>
        <w:ind w:right="-164"/>
      </w:pPr>
      <w:r w:rsidRPr="00BB4A05">
        <w:t>A factor favouring nondisclosure under s</w:t>
      </w:r>
      <w:r w:rsidR="00FC3529">
        <w:t xml:space="preserve"> </w:t>
      </w:r>
      <w:r w:rsidRPr="00BB4A05">
        <w:t>2.2(b)(i) is that</w:t>
      </w:r>
      <w:r w:rsidR="0016535A">
        <w:t>:</w:t>
      </w:r>
    </w:p>
    <w:p w14:paraId="15F28280" w14:textId="4510C3BD" w:rsidR="0016535A" w:rsidRDefault="00BB4A05" w:rsidP="0016535A">
      <w:pPr>
        <w:pStyle w:val="ListParagraph"/>
        <w:numPr>
          <w:ilvl w:val="0"/>
          <w:numId w:val="32"/>
        </w:numPr>
        <w:ind w:right="-164"/>
      </w:pPr>
      <w:r w:rsidRPr="00BB4A05">
        <w:t>the information is personal information of a child</w:t>
      </w:r>
      <w:r w:rsidR="0016535A">
        <w:t>,</w:t>
      </w:r>
      <w:r w:rsidRPr="00BB4A05">
        <w:t xml:space="preserve"> and</w:t>
      </w:r>
    </w:p>
    <w:p w14:paraId="507EBB27" w14:textId="77777777" w:rsidR="0016535A" w:rsidRDefault="00BB4A05" w:rsidP="0016535A">
      <w:pPr>
        <w:pStyle w:val="ListParagraph"/>
        <w:numPr>
          <w:ilvl w:val="0"/>
          <w:numId w:val="32"/>
        </w:numPr>
        <w:ind w:right="-164"/>
      </w:pPr>
      <w:r w:rsidRPr="00BB4A05">
        <w:t>the disclosure of the information is reasonably considered not to be in the best interests of the child.</w:t>
      </w:r>
      <w:r w:rsidR="009B05C4">
        <w:t xml:space="preserve"> </w:t>
      </w:r>
    </w:p>
    <w:p w14:paraId="1615717F" w14:textId="79DBE870" w:rsidR="007B6AFB" w:rsidRPr="00BB4A05" w:rsidRDefault="00D6768F" w:rsidP="0016535A">
      <w:pPr>
        <w:ind w:right="-164"/>
      </w:pPr>
      <w:r>
        <w:t>This</w:t>
      </w:r>
      <w:r w:rsidR="0016535A">
        <w:t xml:space="preserve"> factor </w:t>
      </w:r>
      <w:r>
        <w:t>reflects that w</w:t>
      </w:r>
      <w:r w:rsidR="007B6AFB" w:rsidRPr="00BB4A05">
        <w:t>hile the FOI Act allows for parents to make an access application on behalf of a child, it</w:t>
      </w:r>
      <w:r>
        <w:t> </w:t>
      </w:r>
      <w:r w:rsidR="007B6AFB" w:rsidRPr="00BB4A05">
        <w:t xml:space="preserve">does not automatically follow that it is in the best interests of the child to disclose information to the parent. </w:t>
      </w:r>
    </w:p>
    <w:p w14:paraId="2F129291" w14:textId="43FB8813" w:rsidR="00F71E05" w:rsidRPr="00BB4A05" w:rsidRDefault="00F71E05" w:rsidP="00F71E05">
      <w:r w:rsidRPr="00BB4A05">
        <w:t xml:space="preserve">To determine </w:t>
      </w:r>
      <w:r w:rsidR="0063791B">
        <w:t xml:space="preserve">whether disclosure would be contrary to a </w:t>
      </w:r>
      <w:r w:rsidRPr="00BB4A05">
        <w:t xml:space="preserve">child’s best interests, </w:t>
      </w:r>
      <w:r w:rsidR="00F013A1">
        <w:t>decision-makers</w:t>
      </w:r>
      <w:r w:rsidRPr="00BB4A05">
        <w:t xml:space="preserve"> may refer to </w:t>
      </w:r>
      <w:r w:rsidRPr="00FC3529">
        <w:t xml:space="preserve">the </w:t>
      </w:r>
      <w:r w:rsidR="00FC3529" w:rsidRPr="00FC3529">
        <w:t>CYP Act</w:t>
      </w:r>
      <w:r w:rsidRPr="00FC3529">
        <w:t>.</w:t>
      </w:r>
      <w:r w:rsidR="00DC6CDA">
        <w:rPr>
          <w:rStyle w:val="FootnoteReference"/>
        </w:rPr>
        <w:footnoteReference w:id="350"/>
      </w:r>
      <w:r w:rsidR="00DC6CDA">
        <w:t xml:space="preserve"> </w:t>
      </w:r>
    </w:p>
    <w:p w14:paraId="768D9871" w14:textId="77777777" w:rsidR="00F71E05" w:rsidRPr="00BB4A05" w:rsidRDefault="00F71E05" w:rsidP="00606E74">
      <w:pPr>
        <w:keepNext/>
        <w:keepLines/>
      </w:pPr>
      <w:r w:rsidRPr="00BB4A05">
        <w:t>Determining what a child’s best interests are for the purpose of deciding an access application can be a complex process. Information officers should have regard to:</w:t>
      </w:r>
    </w:p>
    <w:p w14:paraId="583614CD" w14:textId="04A8228F" w:rsidR="00863880" w:rsidRDefault="00863880" w:rsidP="00863880">
      <w:pPr>
        <w:pStyle w:val="ListParagraph"/>
        <w:numPr>
          <w:ilvl w:val="0"/>
          <w:numId w:val="53"/>
        </w:numPr>
        <w:ind w:left="357" w:hanging="357"/>
      </w:pPr>
      <w:r>
        <w:t xml:space="preserve">any views expressed by the child </w:t>
      </w:r>
    </w:p>
    <w:p w14:paraId="4D8312DD" w14:textId="77777777" w:rsidR="00863880" w:rsidRPr="00BB4A05" w:rsidRDefault="00863880" w:rsidP="00863880">
      <w:pPr>
        <w:pStyle w:val="ListParagraph"/>
        <w:numPr>
          <w:ilvl w:val="0"/>
          <w:numId w:val="53"/>
        </w:numPr>
        <w:ind w:left="357" w:hanging="357"/>
      </w:pPr>
      <w:r w:rsidRPr="00BB4A05">
        <w:t>if the child has capacity to make a mature judgement as to what might be in their best interests</w:t>
      </w:r>
    </w:p>
    <w:p w14:paraId="1671F3A1" w14:textId="48E0B650" w:rsidR="00F71E05" w:rsidRPr="00BB4A05" w:rsidRDefault="00F85F95" w:rsidP="00863880">
      <w:pPr>
        <w:pStyle w:val="ListParagraph"/>
        <w:numPr>
          <w:ilvl w:val="0"/>
          <w:numId w:val="53"/>
        </w:numPr>
        <w:ind w:left="357" w:hanging="357"/>
      </w:pPr>
      <w:r>
        <w:t>the nature of the child’s relationship with each parent, and in particular with the parent making the access application</w:t>
      </w:r>
    </w:p>
    <w:p w14:paraId="2C9C1978" w14:textId="2261AEC1" w:rsidR="00F71E05" w:rsidRDefault="00863880" w:rsidP="00863880">
      <w:pPr>
        <w:pStyle w:val="ListParagraph"/>
        <w:numPr>
          <w:ilvl w:val="0"/>
          <w:numId w:val="53"/>
        </w:numPr>
        <w:ind w:left="357" w:hanging="357"/>
      </w:pPr>
      <w:r>
        <w:t xml:space="preserve">the </w:t>
      </w:r>
      <w:r w:rsidR="00F71E05" w:rsidRPr="00BB4A05">
        <w:t>relationship between the child and the agency holding the information</w:t>
      </w:r>
    </w:p>
    <w:p w14:paraId="1879F031" w14:textId="548BF836" w:rsidR="00863880" w:rsidRPr="00BB4A05" w:rsidRDefault="00863880" w:rsidP="00863880">
      <w:pPr>
        <w:pStyle w:val="ListParagraph"/>
        <w:numPr>
          <w:ilvl w:val="0"/>
          <w:numId w:val="53"/>
        </w:numPr>
        <w:ind w:left="357" w:hanging="357"/>
      </w:pPr>
      <w:r>
        <w:t>the possibility that disclosure might harm the child</w:t>
      </w:r>
      <w:r w:rsidR="00660D03">
        <w:t>.</w:t>
      </w:r>
    </w:p>
    <w:p w14:paraId="18FF44E7" w14:textId="2038A5B6" w:rsidR="0016535A" w:rsidRPr="00B7005A" w:rsidRDefault="00F71E05">
      <w:r w:rsidRPr="00BB4A05">
        <w:t>The best interests of the child is multi-faceted and incorporates the wellbeing of the child, factors which will affect the future of the child, the happiness of the child, and matters relevant to the child’s immediate welfare and healthy development.</w:t>
      </w:r>
      <w:r w:rsidRPr="00BB4A05">
        <w:rPr>
          <w:rStyle w:val="FootnoteReference"/>
        </w:rPr>
        <w:footnoteReference w:id="351"/>
      </w:r>
      <w:r w:rsidRPr="00BB4A05">
        <w:t xml:space="preserve"> </w:t>
      </w:r>
      <w:bookmarkStart w:id="820" w:name="_Section_2.2(b)(ii)_–"/>
      <w:bookmarkStart w:id="821" w:name="_Ref15381987"/>
      <w:bookmarkEnd w:id="820"/>
    </w:p>
    <w:p w14:paraId="7016CDFE" w14:textId="3DA6B676" w:rsidR="00F71E05" w:rsidRPr="00BB4A05" w:rsidRDefault="00B7005A" w:rsidP="00B87CC6">
      <w:pPr>
        <w:pStyle w:val="Heading2"/>
        <w:numPr>
          <w:ilvl w:val="1"/>
          <w:numId w:val="54"/>
        </w:numPr>
        <w:spacing w:line="240" w:lineRule="auto"/>
        <w:ind w:left="567" w:hanging="567"/>
      </w:pPr>
      <w:bookmarkStart w:id="822" w:name="_Section_2.2(b)(ii)_–_1"/>
      <w:bookmarkEnd w:id="822"/>
      <w:r>
        <w:t xml:space="preserve"> </w:t>
      </w:r>
      <w:bookmarkStart w:id="823" w:name="_Toc43385588"/>
      <w:bookmarkStart w:id="824" w:name="_Toc152067373"/>
      <w:r w:rsidR="00F71E05" w:rsidRPr="00BB4A05">
        <w:t>Section 2.2(b)(ii) –</w:t>
      </w:r>
      <w:r w:rsidR="000E2DF8">
        <w:t xml:space="preserve"> </w:t>
      </w:r>
      <w:r w:rsidR="00F71E05" w:rsidRPr="00BB4A05">
        <w:t>privileged on the ground of legal professional privilege</w:t>
      </w:r>
      <w:bookmarkEnd w:id="821"/>
      <w:bookmarkEnd w:id="823"/>
      <w:bookmarkEnd w:id="824"/>
    </w:p>
    <w:p w14:paraId="4352BDE9" w14:textId="2ECB11D9" w:rsidR="00BB4A05" w:rsidRPr="00BB4A05" w:rsidRDefault="00BB4A05" w:rsidP="00B87CC6">
      <w:pPr>
        <w:keepNext/>
        <w:keepLines/>
      </w:pPr>
      <w:r w:rsidRPr="00BB4A05">
        <w:t>A factor favouring nondisclosure under s</w:t>
      </w:r>
      <w:r w:rsidR="00B0032C">
        <w:t xml:space="preserve"> </w:t>
      </w:r>
      <w:r w:rsidRPr="00BB4A05">
        <w:t>2.2(b)(i</w:t>
      </w:r>
      <w:r>
        <w:t>i</w:t>
      </w:r>
      <w:r w:rsidRPr="00BB4A05">
        <w:t>) is that the information would be privileged from production in a legal proceeding on the ground of legal professional privilege.</w:t>
      </w:r>
    </w:p>
    <w:p w14:paraId="77E2C0F0" w14:textId="795292BE" w:rsidR="00150E3F" w:rsidRDefault="00606E74" w:rsidP="00B87CC6">
      <w:pPr>
        <w:keepNext/>
        <w:keepLines/>
        <w:ind w:right="-164"/>
      </w:pPr>
      <w:r w:rsidRPr="00A0311E">
        <w:t>Section 1.2</w:t>
      </w:r>
      <w:r>
        <w:t xml:space="preserve"> provides that disclosure of the information is taken to be contrary to the public interest if its disclosure would be privileged from production or admission into evidence in a legal proceeding on the grounds of LPP. </w:t>
      </w:r>
    </w:p>
    <w:p w14:paraId="52937A0F" w14:textId="4D4F20BB" w:rsidR="0075570D" w:rsidRDefault="0075570D" w:rsidP="00B87CC6">
      <w:pPr>
        <w:keepNext/>
        <w:keepLines/>
        <w:ind w:right="-164"/>
      </w:pPr>
      <w:r>
        <w:t>Decision-makers may decide to consider this factor favouring non-disclosure in applying the public interest test under s 17, instead of relying on Schedule 1, s 1.2</w:t>
      </w:r>
      <w:r w:rsidR="00A55956">
        <w:t>.</w:t>
      </w:r>
    </w:p>
    <w:p w14:paraId="1ACC6AE8" w14:textId="1B1D1F64" w:rsidR="001D7896" w:rsidRPr="00A854B5" w:rsidRDefault="0016535A" w:rsidP="00A854B5">
      <w:pPr>
        <w:keepNext/>
        <w:keepLines/>
        <w:rPr>
          <w:rFonts w:eastAsiaTheme="majorEastAsia" w:cstheme="majorBidi"/>
          <w:szCs w:val="24"/>
        </w:rPr>
      </w:pPr>
      <w:r>
        <w:rPr>
          <w:rFonts w:eastAsiaTheme="majorEastAsia" w:cstheme="majorBidi"/>
          <w:szCs w:val="24"/>
        </w:rPr>
        <w:t xml:space="preserve">For guidance see </w:t>
      </w:r>
      <w:hyperlink w:anchor="_Section_1.2_–_1" w:history="1">
        <w:r w:rsidR="00A854B5" w:rsidRPr="00A854B5">
          <w:rPr>
            <w:rStyle w:val="Hyperlink"/>
            <w:rFonts w:eastAsiaTheme="majorEastAsia" w:cstheme="majorBidi"/>
            <w:szCs w:val="24"/>
          </w:rPr>
          <w:t>[5.5]</w:t>
        </w:r>
      </w:hyperlink>
      <w:bookmarkStart w:id="825" w:name="_Section_2.2(b)(iii)_–"/>
      <w:bookmarkEnd w:id="825"/>
      <w:r w:rsidR="00A854B5">
        <w:rPr>
          <w:rFonts w:eastAsiaTheme="majorEastAsia" w:cstheme="majorBidi"/>
          <w:szCs w:val="24"/>
        </w:rPr>
        <w:t>,</w:t>
      </w:r>
      <w:r w:rsidR="00A854B5" w:rsidRPr="00A854B5">
        <w:rPr>
          <w:rFonts w:eastAsiaTheme="majorEastAsia" w:cstheme="majorBidi"/>
          <w:szCs w:val="24"/>
        </w:rPr>
        <w:t xml:space="preserve"> section 1.2 information subject to legal professional privilege.</w:t>
      </w:r>
    </w:p>
    <w:p w14:paraId="1EDC5F4F" w14:textId="5A08B31E" w:rsidR="00F71E05" w:rsidRPr="00BB4A05" w:rsidRDefault="00F71E05" w:rsidP="009B05C4">
      <w:pPr>
        <w:pStyle w:val="Heading2"/>
        <w:keepNext w:val="0"/>
        <w:keepLines w:val="0"/>
        <w:numPr>
          <w:ilvl w:val="1"/>
          <w:numId w:val="54"/>
        </w:numPr>
        <w:spacing w:line="240" w:lineRule="auto"/>
        <w:ind w:left="567" w:right="-306" w:hanging="567"/>
      </w:pPr>
      <w:bookmarkStart w:id="826" w:name="_Section_2.2(b)(iii)_–_1"/>
      <w:bookmarkStart w:id="827" w:name="_Toc43385589"/>
      <w:bookmarkStart w:id="828" w:name="_Toc152067374"/>
      <w:bookmarkEnd w:id="826"/>
      <w:r w:rsidRPr="00BB4A05">
        <w:t>Section 2.2(b)(iii) –</w:t>
      </w:r>
      <w:r w:rsidR="000E2DF8">
        <w:t xml:space="preserve"> </w:t>
      </w:r>
      <w:r w:rsidRPr="00BB4A05">
        <w:t xml:space="preserve">could impact </w:t>
      </w:r>
      <w:r w:rsidR="000E2DF8">
        <w:t>a</w:t>
      </w:r>
      <w:r w:rsidRPr="00BB4A05">
        <w:t xml:space="preserve"> deceased person’s privacy</w:t>
      </w:r>
      <w:bookmarkEnd w:id="827"/>
      <w:bookmarkEnd w:id="828"/>
      <w:r w:rsidRPr="00BB4A05">
        <w:t xml:space="preserve"> </w:t>
      </w:r>
    </w:p>
    <w:p w14:paraId="33AB7567" w14:textId="77777777" w:rsidR="0016535A" w:rsidRDefault="0016535A" w:rsidP="0016535A">
      <w:r w:rsidRPr="00BB4A05">
        <w:t>A factor favouring nondisclosure under s</w:t>
      </w:r>
      <w:r>
        <w:t xml:space="preserve"> </w:t>
      </w:r>
      <w:r w:rsidRPr="00BB4A05">
        <w:t>2.2(b)(i</w:t>
      </w:r>
      <w:r>
        <w:t>ii</w:t>
      </w:r>
      <w:r w:rsidRPr="00BB4A05">
        <w:t>) is that the</w:t>
      </w:r>
      <w:r>
        <w:t xml:space="preserve"> information:</w:t>
      </w:r>
    </w:p>
    <w:p w14:paraId="1DAE41A5" w14:textId="77777777" w:rsidR="0016535A" w:rsidRDefault="0016535A" w:rsidP="0016535A">
      <w:pPr>
        <w:pStyle w:val="ListParagraph"/>
        <w:numPr>
          <w:ilvl w:val="0"/>
          <w:numId w:val="132"/>
        </w:numPr>
      </w:pPr>
      <w:r w:rsidRPr="00BB4A05">
        <w:t xml:space="preserve">is personal information of a deceased person </w:t>
      </w:r>
      <w:r w:rsidRPr="0016535A">
        <w:rPr>
          <w:b/>
        </w:rPr>
        <w:t>and</w:t>
      </w:r>
      <w:r w:rsidRPr="00BB4A05">
        <w:t xml:space="preserve"> </w:t>
      </w:r>
    </w:p>
    <w:p w14:paraId="403C767E" w14:textId="77777777" w:rsidR="0016535A" w:rsidRDefault="0016535A" w:rsidP="0016535A">
      <w:pPr>
        <w:pStyle w:val="ListParagraph"/>
        <w:numPr>
          <w:ilvl w:val="0"/>
          <w:numId w:val="132"/>
        </w:numPr>
      </w:pPr>
      <w:r w:rsidRPr="00BB4A05">
        <w:t xml:space="preserve">the person making the request is an eligible family member of the deceased person </w:t>
      </w:r>
      <w:r w:rsidRPr="0016535A">
        <w:rPr>
          <w:b/>
        </w:rPr>
        <w:t xml:space="preserve">and </w:t>
      </w:r>
    </w:p>
    <w:p w14:paraId="05B1AA09" w14:textId="094E97D0" w:rsidR="0016535A" w:rsidRPr="00BB4A05" w:rsidRDefault="0016535A" w:rsidP="0016535A">
      <w:pPr>
        <w:pStyle w:val="ListParagraph"/>
        <w:numPr>
          <w:ilvl w:val="0"/>
          <w:numId w:val="132"/>
        </w:numPr>
      </w:pPr>
      <w:r w:rsidRPr="00BB4A05">
        <w:t>the disclosure of the information could reasonably be expected to impact on the deceased person’s privacy if the deceased person were alive.</w:t>
      </w:r>
    </w:p>
    <w:p w14:paraId="25C61DC6" w14:textId="7CE7C95A" w:rsidR="00F3480D" w:rsidRDefault="00D6768F" w:rsidP="00B07C6C">
      <w:r>
        <w:t>T</w:t>
      </w:r>
      <w:r w:rsidR="00F71E05" w:rsidRPr="00BB4A05">
        <w:t>his factor recognises that eligible family matters of a deceased person may make an access application but puts protections in place to ensure that the deceased person’s privacy would not be impacted if they were alive.</w:t>
      </w:r>
      <w:r w:rsidR="00B07C6C">
        <w:t xml:space="preserve"> Decision-makers are required to </w:t>
      </w:r>
      <w:r w:rsidR="00F71E05" w:rsidRPr="00BB4A05">
        <w:t>balance the public interest in the confidentiality of personal information against the public interest in the right of the requester to access the information.</w:t>
      </w:r>
    </w:p>
    <w:p w14:paraId="5FCE5B62" w14:textId="75344D6C" w:rsidR="00B07C6C" w:rsidRDefault="00F3480D" w:rsidP="00C401C8">
      <w:pPr>
        <w:keepNext/>
        <w:keepLines/>
      </w:pPr>
      <w:r w:rsidRPr="00BB4A05">
        <w:t xml:space="preserve">An </w:t>
      </w:r>
      <w:r w:rsidRPr="00B07C6C">
        <w:rPr>
          <w:i/>
        </w:rPr>
        <w:t xml:space="preserve">eligible family member </w:t>
      </w:r>
      <w:r w:rsidRPr="00BB4A05">
        <w:t>i</w:t>
      </w:r>
      <w:r w:rsidR="00B07C6C">
        <w:t>s defined in Schedule 2, s 2.3 as:</w:t>
      </w:r>
    </w:p>
    <w:p w14:paraId="3E614518" w14:textId="77777777" w:rsidR="00850893" w:rsidRDefault="00B07C6C" w:rsidP="00C401C8">
      <w:pPr>
        <w:pStyle w:val="ListParagraph"/>
        <w:keepNext/>
        <w:keepLines/>
        <w:numPr>
          <w:ilvl w:val="0"/>
          <w:numId w:val="53"/>
        </w:numPr>
      </w:pPr>
      <w:r>
        <w:t>a domesti</w:t>
      </w:r>
      <w:r w:rsidR="00850893">
        <w:t>c partner of the deceased person, or if not available</w:t>
      </w:r>
    </w:p>
    <w:p w14:paraId="3D3B2920" w14:textId="77777777" w:rsidR="00850893" w:rsidRDefault="00850893" w:rsidP="00C401C8">
      <w:pPr>
        <w:pStyle w:val="ListParagraph"/>
        <w:keepNext/>
        <w:keepLines/>
        <w:numPr>
          <w:ilvl w:val="0"/>
          <w:numId w:val="53"/>
        </w:numPr>
      </w:pPr>
      <w:r>
        <w:t>an adult child, or if not available</w:t>
      </w:r>
    </w:p>
    <w:p w14:paraId="04CCEE80" w14:textId="43B490F2" w:rsidR="00B07C6C" w:rsidRDefault="00B07C6C" w:rsidP="00850893">
      <w:pPr>
        <w:pStyle w:val="ListParagraph"/>
        <w:numPr>
          <w:ilvl w:val="0"/>
          <w:numId w:val="53"/>
        </w:numPr>
      </w:pPr>
      <w:r>
        <w:t>an adult sibling</w:t>
      </w:r>
      <w:r w:rsidR="0099309E">
        <w:t>.</w:t>
      </w:r>
    </w:p>
    <w:p w14:paraId="1AE0E87D" w14:textId="09444DD5" w:rsidR="00B07C6C" w:rsidRDefault="00B07C6C" w:rsidP="003B3115">
      <w:pPr>
        <w:keepNext/>
        <w:keepLines/>
      </w:pPr>
      <w:r>
        <w:t>Or, if none of the above persons are reasonably available and the deceased person:</w:t>
      </w:r>
    </w:p>
    <w:p w14:paraId="4727F779" w14:textId="006B07C5" w:rsidR="00B07C6C" w:rsidRDefault="00B07C6C" w:rsidP="003B3115">
      <w:pPr>
        <w:pStyle w:val="ListParagraph"/>
        <w:keepNext/>
        <w:keepLines/>
        <w:numPr>
          <w:ilvl w:val="0"/>
          <w:numId w:val="129"/>
        </w:numPr>
      </w:pPr>
      <w:r>
        <w:t xml:space="preserve">was </w:t>
      </w:r>
      <w:r w:rsidRPr="00B07C6C">
        <w:rPr>
          <w:b/>
        </w:rPr>
        <w:t>not</w:t>
      </w:r>
      <w:r>
        <w:t xml:space="preserve"> an Aboriginal or Torres Strait Islander person – the next nearest adult relative who is reasonably available</w:t>
      </w:r>
    </w:p>
    <w:p w14:paraId="4C8540BF" w14:textId="4449D33E" w:rsidR="00B07C6C" w:rsidRDefault="00B07C6C" w:rsidP="003B3115">
      <w:pPr>
        <w:pStyle w:val="ListParagraph"/>
        <w:keepNext/>
        <w:keepLines/>
        <w:numPr>
          <w:ilvl w:val="0"/>
          <w:numId w:val="129"/>
        </w:numPr>
      </w:pPr>
      <w:r>
        <w:t>was an Aboriginal or Torres Strait Islander person – an appropriate person according to tradition or custom who is reasonably available</w:t>
      </w:r>
      <w:r w:rsidR="0099309E">
        <w:t>.</w:t>
      </w:r>
    </w:p>
    <w:p w14:paraId="7284719C" w14:textId="77777777" w:rsidR="00B07C6C" w:rsidRDefault="00B07C6C" w:rsidP="0016535A">
      <w:r>
        <w:t xml:space="preserve">Section 2.3(2) also specifies that a person is </w:t>
      </w:r>
      <w:r w:rsidRPr="0016535A">
        <w:rPr>
          <w:b/>
        </w:rPr>
        <w:t>not</w:t>
      </w:r>
      <w:r>
        <w:t xml:space="preserve"> reasonably available if they:</w:t>
      </w:r>
    </w:p>
    <w:p w14:paraId="056D439A" w14:textId="77777777" w:rsidR="00B07C6C" w:rsidRDefault="00B07C6C" w:rsidP="0016535A">
      <w:pPr>
        <w:pStyle w:val="ListParagraph"/>
        <w:numPr>
          <w:ilvl w:val="0"/>
          <w:numId w:val="53"/>
        </w:numPr>
      </w:pPr>
      <w:r>
        <w:t>do not exist</w:t>
      </w:r>
    </w:p>
    <w:p w14:paraId="2E101C05" w14:textId="47596FAB" w:rsidR="00B07C6C" w:rsidRDefault="00B07C6C" w:rsidP="0016535A">
      <w:pPr>
        <w:pStyle w:val="ListParagraph"/>
        <w:numPr>
          <w:ilvl w:val="0"/>
          <w:numId w:val="53"/>
        </w:numPr>
      </w:pPr>
      <w:r>
        <w:t xml:space="preserve">cannot be reasonably contacted, or </w:t>
      </w:r>
    </w:p>
    <w:p w14:paraId="5BE55BD5" w14:textId="126E5719" w:rsidR="00B07C6C" w:rsidRDefault="00B07C6C" w:rsidP="0016535A">
      <w:pPr>
        <w:pStyle w:val="ListParagraph"/>
        <w:numPr>
          <w:ilvl w:val="0"/>
          <w:numId w:val="53"/>
        </w:numPr>
      </w:pPr>
      <w:r>
        <w:t>are unable or unwilling to act as the eligible family member.</w:t>
      </w:r>
    </w:p>
    <w:p w14:paraId="00A180AF" w14:textId="04E99AC4" w:rsidR="00B07C6C" w:rsidRDefault="00B07C6C" w:rsidP="00F3480D">
      <w:r>
        <w:t xml:space="preserve">Agencies </w:t>
      </w:r>
      <w:r w:rsidR="00F3480D" w:rsidRPr="00BB4A05">
        <w:t xml:space="preserve">will need to make enquiries and consult, as appropriate, to satisfy themselves that disclosure of the deceased person’s personal information to the eligible family member </w:t>
      </w:r>
      <w:r w:rsidR="00C26FEB">
        <w:t>would</w:t>
      </w:r>
      <w:r w:rsidR="00C26FEB" w:rsidRPr="00BB4A05">
        <w:t xml:space="preserve"> </w:t>
      </w:r>
      <w:r w:rsidR="00F3480D" w:rsidRPr="00BB4A05">
        <w:t xml:space="preserve">not have an impact on the deceased person’s privacy if they were alive. </w:t>
      </w:r>
    </w:p>
    <w:p w14:paraId="257994C5" w14:textId="6AECC448" w:rsidR="00F3480D" w:rsidRPr="00BB4A05" w:rsidRDefault="006D0AC6" w:rsidP="00846D9E">
      <w:pPr>
        <w:keepNext/>
        <w:keepLines/>
      </w:pPr>
      <w:r>
        <w:t>This process may include consideration of:</w:t>
      </w:r>
    </w:p>
    <w:p w14:paraId="19798DB6" w14:textId="04EE6BDC" w:rsidR="006D0AC6" w:rsidRDefault="006D0AC6" w:rsidP="00846D9E">
      <w:pPr>
        <w:pStyle w:val="ListParagraph"/>
        <w:keepNext/>
        <w:keepLines/>
        <w:numPr>
          <w:ilvl w:val="0"/>
          <w:numId w:val="53"/>
        </w:numPr>
        <w:ind w:left="357" w:hanging="357"/>
      </w:pPr>
      <w:r w:rsidRPr="00BB4A05">
        <w:t>nature of the information being requested</w:t>
      </w:r>
    </w:p>
    <w:p w14:paraId="260F3393" w14:textId="49FCAD62" w:rsidR="006D0AC6" w:rsidRDefault="006D0AC6" w:rsidP="00846D9E">
      <w:pPr>
        <w:pStyle w:val="ListParagraph"/>
        <w:keepNext/>
        <w:keepLines/>
        <w:numPr>
          <w:ilvl w:val="0"/>
          <w:numId w:val="53"/>
        </w:numPr>
        <w:ind w:left="357" w:hanging="357"/>
      </w:pPr>
      <w:r>
        <w:t xml:space="preserve">whether </w:t>
      </w:r>
      <w:r w:rsidRPr="00BB4A05">
        <w:t xml:space="preserve">the information </w:t>
      </w:r>
      <w:r w:rsidR="00693ACF">
        <w:t xml:space="preserve">can </w:t>
      </w:r>
      <w:r w:rsidRPr="00BB4A05">
        <w:t>be obtained from other sources</w:t>
      </w:r>
    </w:p>
    <w:p w14:paraId="6E2710F4" w14:textId="77777777" w:rsidR="006D0AC6" w:rsidRPr="00BB4A05" w:rsidRDefault="006D0AC6" w:rsidP="00846D9E">
      <w:pPr>
        <w:pStyle w:val="ListParagraph"/>
        <w:keepNext/>
        <w:keepLines/>
        <w:numPr>
          <w:ilvl w:val="0"/>
          <w:numId w:val="53"/>
        </w:numPr>
        <w:ind w:left="357" w:hanging="357"/>
      </w:pPr>
      <w:r>
        <w:t xml:space="preserve">the </w:t>
      </w:r>
      <w:r w:rsidRPr="00BB4A05">
        <w:t>circumstances of the relationship between the applicant and the deceased</w:t>
      </w:r>
    </w:p>
    <w:p w14:paraId="1AE50662" w14:textId="36448B64" w:rsidR="006D0AC6" w:rsidRPr="00BB4A05" w:rsidRDefault="006D0AC6" w:rsidP="00846D9E">
      <w:pPr>
        <w:pStyle w:val="ListParagraph"/>
        <w:keepNext/>
        <w:keepLines/>
        <w:numPr>
          <w:ilvl w:val="0"/>
          <w:numId w:val="53"/>
        </w:numPr>
        <w:ind w:left="357" w:hanging="357"/>
      </w:pPr>
      <w:r>
        <w:t>any evidence of the applicant’s involvement in, or knowledge of, the topic of the information</w:t>
      </w:r>
    </w:p>
    <w:p w14:paraId="3D15EAB9" w14:textId="11895523" w:rsidR="006D0AC6" w:rsidRDefault="006D0AC6" w:rsidP="00850893">
      <w:pPr>
        <w:pStyle w:val="ListParagraph"/>
        <w:keepNext/>
        <w:keepLines/>
        <w:numPr>
          <w:ilvl w:val="0"/>
          <w:numId w:val="53"/>
        </w:numPr>
        <w:ind w:left="357" w:right="261" w:hanging="357"/>
      </w:pPr>
      <w:r>
        <w:t xml:space="preserve">whether the </w:t>
      </w:r>
      <w:r w:rsidR="00F3480D" w:rsidRPr="00BB4A05">
        <w:t xml:space="preserve">deceased </w:t>
      </w:r>
      <w:r>
        <w:t xml:space="preserve">would </w:t>
      </w:r>
      <w:r w:rsidR="00F3480D" w:rsidRPr="00BB4A05">
        <w:t>have consented to the release of the information to the applicant when living</w:t>
      </w:r>
      <w:r w:rsidR="00850893">
        <w:t xml:space="preserve">, and </w:t>
      </w:r>
    </w:p>
    <w:p w14:paraId="2F69BB35" w14:textId="57728655" w:rsidR="00F3480D" w:rsidRPr="00BB4A05" w:rsidRDefault="006D0AC6" w:rsidP="00846D9E">
      <w:pPr>
        <w:pStyle w:val="ListParagraph"/>
        <w:keepNext/>
        <w:keepLines/>
        <w:numPr>
          <w:ilvl w:val="0"/>
          <w:numId w:val="53"/>
        </w:numPr>
        <w:ind w:left="357" w:hanging="357"/>
      </w:pPr>
      <w:r>
        <w:t xml:space="preserve">any </w:t>
      </w:r>
      <w:r w:rsidR="00F3480D" w:rsidRPr="00BB4A05">
        <w:t xml:space="preserve">legal arrangements in place </w:t>
      </w:r>
      <w:r>
        <w:t>(</w:t>
      </w:r>
      <w:r w:rsidR="00F3480D" w:rsidRPr="00BB4A05">
        <w:t>e.g. grant of probate, will</w:t>
      </w:r>
      <w:r>
        <w:t>)</w:t>
      </w:r>
      <w:r w:rsidR="00850893">
        <w:t>.</w:t>
      </w:r>
    </w:p>
    <w:p w14:paraId="62171AB8" w14:textId="0F9C494A" w:rsidR="00F71E05" w:rsidRPr="00BB4A05" w:rsidRDefault="00850893" w:rsidP="009B05C4">
      <w:pPr>
        <w:pStyle w:val="Heading2"/>
        <w:keepNext w:val="0"/>
        <w:keepLines w:val="0"/>
        <w:numPr>
          <w:ilvl w:val="1"/>
          <w:numId w:val="54"/>
        </w:numPr>
        <w:spacing w:line="240" w:lineRule="auto"/>
        <w:ind w:left="567" w:hanging="567"/>
      </w:pPr>
      <w:bookmarkStart w:id="829" w:name="_Section_2.2(b)(iv)_–"/>
      <w:bookmarkEnd w:id="829"/>
      <w:r>
        <w:t xml:space="preserve"> </w:t>
      </w:r>
      <w:bookmarkStart w:id="830" w:name="_Toc43385590"/>
      <w:bookmarkStart w:id="831" w:name="_Toc152067375"/>
      <w:r w:rsidR="00F71E05" w:rsidRPr="00BB4A05">
        <w:t>Section 2.2(b)(iv) –</w:t>
      </w:r>
      <w:r w:rsidR="000E2DF8">
        <w:t xml:space="preserve"> </w:t>
      </w:r>
      <w:r w:rsidR="00F71E05" w:rsidRPr="00BB4A05">
        <w:t>disclosure is prohibited by an Act of the Territory, a State or the Commonwealth</w:t>
      </w:r>
      <w:bookmarkEnd w:id="830"/>
      <w:bookmarkEnd w:id="831"/>
    </w:p>
    <w:p w14:paraId="4EDD6EED" w14:textId="29EE49AB" w:rsidR="0016535A" w:rsidRDefault="0016535A" w:rsidP="0016535A">
      <w:r>
        <w:t>A</w:t>
      </w:r>
      <w:r w:rsidRPr="00BB4A05">
        <w:t xml:space="preserve"> factor favouring nondisclosure under s</w:t>
      </w:r>
      <w:r>
        <w:t xml:space="preserve"> </w:t>
      </w:r>
      <w:r w:rsidRPr="00BB4A05">
        <w:t>2.2(b)(i</w:t>
      </w:r>
      <w:r w:rsidR="00D43749">
        <w:t>v</w:t>
      </w:r>
      <w:r>
        <w:t xml:space="preserve">) is that the information is information disclosure of which is prohibited by an Act of the Territory, the State or the Commonwealth. </w:t>
      </w:r>
    </w:p>
    <w:p w14:paraId="2B68E19B" w14:textId="7AE35B48" w:rsidR="00F71E05" w:rsidRDefault="008E3389" w:rsidP="00F71E05">
      <w:pPr>
        <w:rPr>
          <w:rFonts w:eastAsiaTheme="majorEastAsia" w:cstheme="majorBidi"/>
          <w:szCs w:val="24"/>
        </w:rPr>
      </w:pPr>
      <w:r>
        <w:t xml:space="preserve">Schedule 1, s 1.3 </w:t>
      </w:r>
      <w:r w:rsidR="006D2304" w:rsidRPr="008E3389">
        <w:t>provides</w:t>
      </w:r>
      <w:r w:rsidR="006D2304">
        <w:rPr>
          <w:rFonts w:eastAsiaTheme="majorEastAsia" w:cstheme="majorBidi"/>
          <w:szCs w:val="24"/>
        </w:rPr>
        <w:t xml:space="preserve"> that the</w:t>
      </w:r>
      <w:r w:rsidR="006D2304" w:rsidRPr="009B05C4">
        <w:rPr>
          <w:rFonts w:eastAsiaTheme="majorEastAsia" w:cstheme="majorBidi"/>
          <w:szCs w:val="24"/>
        </w:rPr>
        <w:t xml:space="preserve"> </w:t>
      </w:r>
      <w:r w:rsidR="001D797B" w:rsidRPr="009B05C4">
        <w:rPr>
          <w:rFonts w:eastAsiaTheme="majorEastAsia" w:cstheme="majorBidi"/>
          <w:szCs w:val="24"/>
        </w:rPr>
        <w:t xml:space="preserve">disclosure of information </w:t>
      </w:r>
      <w:r w:rsidR="006D2304">
        <w:rPr>
          <w:rFonts w:eastAsiaTheme="majorEastAsia" w:cstheme="majorBidi"/>
          <w:szCs w:val="24"/>
        </w:rPr>
        <w:t xml:space="preserve">is contrary to the public interest if the information falls within one of the categories </w:t>
      </w:r>
      <w:r w:rsidR="001D797B" w:rsidRPr="009B05C4">
        <w:rPr>
          <w:rFonts w:eastAsiaTheme="majorEastAsia" w:cstheme="majorBidi"/>
          <w:szCs w:val="24"/>
        </w:rPr>
        <w:t xml:space="preserve">outlined in </w:t>
      </w:r>
      <w:r w:rsidR="006D2304">
        <w:rPr>
          <w:rFonts w:eastAsiaTheme="majorEastAsia" w:cstheme="majorBidi"/>
          <w:szCs w:val="24"/>
        </w:rPr>
        <w:t>s 1.3</w:t>
      </w:r>
      <w:r w:rsidR="006D2304" w:rsidRPr="009B05C4">
        <w:rPr>
          <w:rFonts w:eastAsiaTheme="majorEastAsia" w:cstheme="majorBidi"/>
          <w:szCs w:val="24"/>
        </w:rPr>
        <w:t xml:space="preserve"> </w:t>
      </w:r>
      <w:r w:rsidR="0065087D" w:rsidRPr="009B05C4">
        <w:rPr>
          <w:rFonts w:eastAsiaTheme="majorEastAsia" w:cstheme="majorBidi"/>
          <w:szCs w:val="24"/>
        </w:rPr>
        <w:t xml:space="preserve">or </w:t>
      </w:r>
      <w:r w:rsidR="006D2304">
        <w:rPr>
          <w:rFonts w:eastAsiaTheme="majorEastAsia" w:cstheme="majorBidi"/>
          <w:szCs w:val="24"/>
        </w:rPr>
        <w:t xml:space="preserve">the </w:t>
      </w:r>
      <w:r w:rsidR="0065087D" w:rsidRPr="009B05C4">
        <w:rPr>
          <w:rFonts w:eastAsiaTheme="majorEastAsia" w:cstheme="majorBidi"/>
          <w:szCs w:val="24"/>
        </w:rPr>
        <w:t>information is c</w:t>
      </w:r>
      <w:r w:rsidR="002E5AE6">
        <w:rPr>
          <w:rFonts w:eastAsiaTheme="majorEastAsia" w:cstheme="majorBidi"/>
          <w:szCs w:val="24"/>
        </w:rPr>
        <w:t>overed by a secrecy provision</w:t>
      </w:r>
      <w:r>
        <w:rPr>
          <w:rFonts w:eastAsiaTheme="majorEastAsia" w:cstheme="majorBidi"/>
          <w:szCs w:val="24"/>
        </w:rPr>
        <w:t xml:space="preserve"> (see </w:t>
      </w:r>
      <w:hyperlink w:anchor="_Section_1.3_–_2" w:history="1">
        <w:r w:rsidRPr="008E3389">
          <w:rPr>
            <w:rStyle w:val="Hyperlink"/>
            <w:rFonts w:eastAsiaTheme="majorEastAsia" w:cstheme="majorBidi"/>
            <w:szCs w:val="24"/>
          </w:rPr>
          <w:t>[5.6]</w:t>
        </w:r>
      </w:hyperlink>
      <w:r>
        <w:rPr>
          <w:rFonts w:eastAsiaTheme="majorEastAsia" w:cstheme="majorBidi"/>
          <w:szCs w:val="24"/>
        </w:rPr>
        <w:t xml:space="preserve"> above)</w:t>
      </w:r>
      <w:r w:rsidR="002E5AE6">
        <w:rPr>
          <w:rFonts w:eastAsiaTheme="majorEastAsia" w:cstheme="majorBidi"/>
          <w:szCs w:val="24"/>
        </w:rPr>
        <w:t xml:space="preserve">. Where s 1.3 does not apply, </w:t>
      </w:r>
      <w:r w:rsidR="0065087D" w:rsidRPr="009B05C4">
        <w:rPr>
          <w:rFonts w:eastAsiaTheme="majorEastAsia" w:cstheme="majorBidi"/>
          <w:szCs w:val="24"/>
        </w:rPr>
        <w:t xml:space="preserve">decision-makers </w:t>
      </w:r>
      <w:r w:rsidR="002F1A3E">
        <w:rPr>
          <w:rFonts w:eastAsiaTheme="majorEastAsia" w:cstheme="majorBidi"/>
          <w:szCs w:val="24"/>
        </w:rPr>
        <w:t>may</w:t>
      </w:r>
      <w:r w:rsidR="002F1A3E" w:rsidRPr="009B05C4">
        <w:rPr>
          <w:rFonts w:eastAsiaTheme="majorEastAsia" w:cstheme="majorBidi"/>
          <w:szCs w:val="24"/>
        </w:rPr>
        <w:t xml:space="preserve"> </w:t>
      </w:r>
      <w:r w:rsidR="0065087D" w:rsidRPr="009B05C4">
        <w:rPr>
          <w:rFonts w:eastAsiaTheme="majorEastAsia" w:cstheme="majorBidi"/>
          <w:szCs w:val="24"/>
        </w:rPr>
        <w:t>need to consider s 2.2(b)(iv)</w:t>
      </w:r>
      <w:r w:rsidR="00660413" w:rsidRPr="009B05C4">
        <w:rPr>
          <w:rFonts w:eastAsiaTheme="majorEastAsia" w:cstheme="majorBidi"/>
          <w:szCs w:val="24"/>
        </w:rPr>
        <w:t>.</w:t>
      </w:r>
    </w:p>
    <w:p w14:paraId="71A3CC33" w14:textId="508081B4" w:rsidR="00F71E05" w:rsidRPr="00BB4A05" w:rsidRDefault="008E3389" w:rsidP="009B05C4">
      <w:pPr>
        <w:pStyle w:val="Heading2"/>
        <w:keepNext w:val="0"/>
        <w:keepLines w:val="0"/>
        <w:numPr>
          <w:ilvl w:val="1"/>
          <w:numId w:val="54"/>
        </w:numPr>
        <w:spacing w:line="240" w:lineRule="auto"/>
        <w:ind w:left="567" w:hanging="567"/>
      </w:pPr>
      <w:r>
        <w:t xml:space="preserve"> </w:t>
      </w:r>
      <w:bookmarkStart w:id="832" w:name="_Toc43385591"/>
      <w:bookmarkStart w:id="833" w:name="_Toc152067376"/>
      <w:r w:rsidR="00F71E05" w:rsidRPr="00BB4A05">
        <w:t>Section 2.2(b)(v) – the information could prejudice the fair treatment of an individual</w:t>
      </w:r>
      <w:bookmarkEnd w:id="832"/>
      <w:bookmarkEnd w:id="833"/>
    </w:p>
    <w:p w14:paraId="20B44DFB" w14:textId="2F76DB26" w:rsidR="0016535A" w:rsidRDefault="0016535A" w:rsidP="0016535A">
      <w:r>
        <w:t>A</w:t>
      </w:r>
      <w:r w:rsidRPr="00BB4A05">
        <w:t xml:space="preserve"> factor favouring nondisclosure under s</w:t>
      </w:r>
      <w:r>
        <w:t xml:space="preserve"> </w:t>
      </w:r>
      <w:r w:rsidRPr="00BB4A05">
        <w:t>2.2(b)(</w:t>
      </w:r>
      <w:r>
        <w:t>v) is that:</w:t>
      </w:r>
    </w:p>
    <w:p w14:paraId="13A1B80B" w14:textId="3D93E3A5" w:rsidR="0016535A" w:rsidRDefault="00C1272D" w:rsidP="0016535A">
      <w:pPr>
        <w:pStyle w:val="ListParagraph"/>
        <w:numPr>
          <w:ilvl w:val="0"/>
          <w:numId w:val="133"/>
        </w:numPr>
      </w:pPr>
      <w:r>
        <w:t xml:space="preserve">the information is </w:t>
      </w:r>
      <w:r w:rsidR="0016535A">
        <w:t>about unsubstantiated allegations of misconduct or unlawful, negligent or improper conduct, and</w:t>
      </w:r>
    </w:p>
    <w:p w14:paraId="05325D21" w14:textId="239881D6" w:rsidR="0016535A" w:rsidRDefault="0016535A" w:rsidP="0016535A">
      <w:pPr>
        <w:pStyle w:val="ListParagraph"/>
        <w:numPr>
          <w:ilvl w:val="0"/>
          <w:numId w:val="133"/>
        </w:numPr>
      </w:pPr>
      <w:r>
        <w:t xml:space="preserve">disclosure could prejudice the fair treatment of an individual. </w:t>
      </w:r>
    </w:p>
    <w:p w14:paraId="2CB9ABBC" w14:textId="00C4A776" w:rsidR="0016535A" w:rsidRDefault="0016535A" w:rsidP="0016535A">
      <w:r>
        <w:t xml:space="preserve">It is considered likely that there will be considerable overlap between this factor </w:t>
      </w:r>
      <w:r w:rsidRPr="000A5933">
        <w:t>and s 2.2(a)(iv) and s 2.2(a)(v).</w:t>
      </w:r>
    </w:p>
    <w:p w14:paraId="4F8140D9" w14:textId="273A62FC" w:rsidR="0016535A" w:rsidRDefault="0016535A" w:rsidP="0016535A">
      <w:r>
        <w:t xml:space="preserve">The Ombudsman’s view is that the public interest weighs strongly against disclosure where the information includes </w:t>
      </w:r>
      <w:r w:rsidRPr="0016535A">
        <w:rPr>
          <w:b/>
        </w:rPr>
        <w:t>unsubstantiated</w:t>
      </w:r>
      <w:r>
        <w:t xml:space="preserve"> allegations about an individual.</w:t>
      </w:r>
    </w:p>
    <w:p w14:paraId="05F4123A" w14:textId="01F3F120" w:rsidR="0016535A" w:rsidRDefault="0016535A" w:rsidP="0016535A">
      <w:r>
        <w:t>Allegations are considered to be unsubstantiated where they have not been the subject of court proceedings, or proceeding by a relevant tribunal or regulatory body.</w:t>
      </w:r>
    </w:p>
    <w:p w14:paraId="0CBBD09B" w14:textId="6D69D60D" w:rsidR="0016535A" w:rsidRDefault="0016535A" w:rsidP="0096731A">
      <w:pPr>
        <w:ind w:right="-22"/>
      </w:pPr>
      <w:r>
        <w:t xml:space="preserve">While not specifically stated in the legislation, the Ombudsman considers that this factor would only be relevant where it could </w:t>
      </w:r>
      <w:r w:rsidRPr="00713CFE">
        <w:rPr>
          <w:b/>
        </w:rPr>
        <w:t>reasonably</w:t>
      </w:r>
      <w:r>
        <w:t xml:space="preserve"> be expected that disclosure could prejudice the fair treatment of an individual.</w:t>
      </w:r>
    </w:p>
    <w:p w14:paraId="59C497B0" w14:textId="4295248B" w:rsidR="0016535A" w:rsidRDefault="0016535A" w:rsidP="0016535A">
      <w:r>
        <w:t>The Queensland Information Commissioner considered a similar factor relevant in a case where a copy of a Queensland Police Service report was sought which concerned a fraud complaint made by the applicant’s late husband.</w:t>
      </w:r>
      <w:r>
        <w:rPr>
          <w:rStyle w:val="FootnoteReference"/>
        </w:rPr>
        <w:footnoteReference w:id="352"/>
      </w:r>
      <w:r w:rsidR="00602E28">
        <w:t xml:space="preserve"> The report included unsubstantiated allegations against individuals. </w:t>
      </w:r>
    </w:p>
    <w:p w14:paraId="6FB130AF" w14:textId="73FF9BD5" w:rsidR="0016535A" w:rsidRDefault="0016535A" w:rsidP="0016535A">
      <w:r>
        <w:t xml:space="preserve">In a separate case, the Commissioner </w:t>
      </w:r>
      <w:r w:rsidR="002B2CA3">
        <w:t>noted that although the information in issue included unsubstantiated allegations, it could not be said that</w:t>
      </w:r>
      <w:r>
        <w:t xml:space="preserve"> increased regulatory or compliance activity by government agencies, acting within the law, </w:t>
      </w:r>
      <w:r w:rsidR="002B2CA3">
        <w:t>would</w:t>
      </w:r>
      <w:r w:rsidRPr="0016535A">
        <w:rPr>
          <w:i/>
        </w:rPr>
        <w:t xml:space="preserve"> prejudice the fair treatment </w:t>
      </w:r>
      <w:r>
        <w:rPr>
          <w:i/>
        </w:rPr>
        <w:t>of an individual</w:t>
      </w:r>
      <w:r>
        <w:t>.</w:t>
      </w:r>
      <w:r>
        <w:rPr>
          <w:rStyle w:val="FootnoteReference"/>
        </w:rPr>
        <w:footnoteReference w:id="353"/>
      </w:r>
    </w:p>
    <w:p w14:paraId="440AB2B8" w14:textId="77777777" w:rsidR="0016535A" w:rsidRPr="0016535A" w:rsidRDefault="0016535A"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16535A">
        <w:rPr>
          <w:b/>
        </w:rPr>
        <w:t xml:space="preserve">Note: </w:t>
      </w:r>
    </w:p>
    <w:p w14:paraId="2F84A52C" w14:textId="3450087C" w:rsidR="00850893" w:rsidRDefault="0016535A" w:rsidP="00B87CC6">
      <w:pPr>
        <w:pStyle w:val="ListParagraph"/>
        <w:numPr>
          <w:ilvl w:val="0"/>
          <w:numId w:val="134"/>
        </w:numPr>
        <w:pBdr>
          <w:top w:val="single" w:sz="4" w:space="1" w:color="auto"/>
          <w:left w:val="single" w:sz="4" w:space="4" w:color="auto"/>
          <w:bottom w:val="single" w:sz="4" w:space="1" w:color="auto"/>
          <w:right w:val="single" w:sz="4" w:space="4" w:color="auto"/>
        </w:pBdr>
        <w:shd w:val="clear" w:color="auto" w:fill="D9E2F3" w:themeFill="accent5" w:themeFillTint="33"/>
      </w:pPr>
      <w:r w:rsidRPr="002530AE">
        <w:t xml:space="preserve">For specific </w:t>
      </w:r>
      <w:r w:rsidR="00BF54F6">
        <w:t>guidance</w:t>
      </w:r>
      <w:r w:rsidRPr="002530AE">
        <w:t xml:space="preserve"> on the </w:t>
      </w:r>
      <w:r>
        <w:t xml:space="preserve">term prejudice, </w:t>
      </w:r>
      <w:r w:rsidRPr="002530AE">
        <w:t>see</w:t>
      </w:r>
      <w:r>
        <w:t xml:space="preserve"> </w:t>
      </w:r>
      <w:r w:rsidR="00373009">
        <w:t>[</w:t>
      </w:r>
      <w:hyperlink w:anchor="_Prejudice" w:history="1">
        <w:r w:rsidR="00CF2AAF" w:rsidRPr="00CF2AAF">
          <w:rPr>
            <w:rStyle w:val="Hyperlink"/>
          </w:rPr>
          <w:t>4.4</w:t>
        </w:r>
      </w:hyperlink>
      <w:r w:rsidR="00373009">
        <w:t>] above.</w:t>
      </w:r>
    </w:p>
    <w:p w14:paraId="61F7345A" w14:textId="77777777" w:rsidR="00850893" w:rsidRDefault="00850893" w:rsidP="00B87CC6">
      <w:pPr>
        <w:pStyle w:val="ListParagraph"/>
        <w:numPr>
          <w:ilvl w:val="0"/>
          <w:numId w:val="134"/>
        </w:numPr>
        <w:pBdr>
          <w:top w:val="single" w:sz="4" w:space="1" w:color="auto"/>
          <w:left w:val="single" w:sz="4" w:space="4" w:color="auto"/>
          <w:bottom w:val="single" w:sz="4" w:space="1" w:color="auto"/>
          <w:right w:val="single" w:sz="4" w:space="4" w:color="auto"/>
        </w:pBdr>
        <w:shd w:val="clear" w:color="auto" w:fill="D9E2F3" w:themeFill="accent5" w:themeFillTint="33"/>
      </w:pPr>
      <w:r>
        <w:t>The Queensland Information Commissioner considered a similar factor relevant in a case where a copy of a Queensland Police Service report was sought which concerned a fraud complaint made by the applicant’s late husband.</w:t>
      </w:r>
      <w:r>
        <w:rPr>
          <w:rStyle w:val="FootnoteReference"/>
        </w:rPr>
        <w:footnoteReference w:id="354"/>
      </w:r>
      <w:r>
        <w:t xml:space="preserve"> The report included unsubstantiated allegations against individuals. </w:t>
      </w:r>
    </w:p>
    <w:p w14:paraId="70169D90" w14:textId="09E4EBBD" w:rsidR="008F49DD" w:rsidRDefault="00850893" w:rsidP="008F49DD">
      <w:pPr>
        <w:pStyle w:val="ListParagraph"/>
        <w:numPr>
          <w:ilvl w:val="0"/>
          <w:numId w:val="134"/>
        </w:numPr>
        <w:pBdr>
          <w:top w:val="single" w:sz="4" w:space="1" w:color="auto"/>
          <w:left w:val="single" w:sz="4" w:space="4" w:color="auto"/>
          <w:bottom w:val="single" w:sz="4" w:space="1" w:color="auto"/>
          <w:right w:val="single" w:sz="4" w:space="4" w:color="auto"/>
        </w:pBdr>
        <w:shd w:val="clear" w:color="auto" w:fill="D9E2F3" w:themeFill="accent5" w:themeFillTint="33"/>
      </w:pPr>
      <w:r>
        <w:t>In a separate case, the Commissioner noted that although the information in issue included unsubstantiated allegations, it could not be said that increased regulatory or compliance activity by government agencies, acting within the law, would</w:t>
      </w:r>
      <w:r w:rsidRPr="00850893">
        <w:rPr>
          <w:i/>
        </w:rPr>
        <w:t xml:space="preserve"> prejudice the fair treatment of an individual</w:t>
      </w:r>
      <w:r>
        <w:t>.</w:t>
      </w:r>
      <w:r>
        <w:rPr>
          <w:rStyle w:val="FootnoteReference"/>
        </w:rPr>
        <w:footnoteReference w:id="355"/>
      </w:r>
      <w:bookmarkStart w:id="834" w:name="_Irrelevant_factors"/>
      <w:bookmarkStart w:id="835" w:name="_Ref10621558"/>
      <w:bookmarkEnd w:id="834"/>
    </w:p>
    <w:p w14:paraId="5BB27EE1" w14:textId="5FC25A96" w:rsidR="008F49DD" w:rsidRDefault="008F49DD" w:rsidP="005857F1">
      <w:pPr>
        <w:pStyle w:val="Heading2"/>
        <w:numPr>
          <w:ilvl w:val="0"/>
          <w:numId w:val="54"/>
        </w:numPr>
        <w:ind w:left="357" w:hanging="357"/>
      </w:pPr>
      <w:bookmarkStart w:id="836" w:name="_Balancing_the_public"/>
      <w:bookmarkStart w:id="837" w:name="_Toc43385593"/>
      <w:bookmarkStart w:id="838" w:name="_Toc152067377"/>
      <w:bookmarkEnd w:id="836"/>
      <w:r>
        <w:t>Balancing the public interest</w:t>
      </w:r>
      <w:bookmarkEnd w:id="837"/>
      <w:bookmarkEnd w:id="838"/>
    </w:p>
    <w:p w14:paraId="69BA545A" w14:textId="77777777" w:rsidR="008F49DD" w:rsidRDefault="008F49DD" w:rsidP="008F49DD">
      <w:pPr>
        <w:keepNext/>
        <w:keepLines/>
      </w:pPr>
      <w:r w:rsidRPr="00606E74">
        <w:t>After identifying all of the relevant public interest factors, a decision-maker must balance the factors favouring disclosure against the factors favouring non-disclosure.</w:t>
      </w:r>
      <w:r>
        <w:t xml:space="preserve"> That is, taking into account all the information available to them, they must consider whether or not the community is best served by disclosure or nondisclosure of the information sought.</w:t>
      </w:r>
      <w:r>
        <w:rPr>
          <w:rStyle w:val="FootnoteReference"/>
        </w:rPr>
        <w:footnoteReference w:id="356"/>
      </w:r>
    </w:p>
    <w:p w14:paraId="2C430000" w14:textId="77777777" w:rsidR="008F49DD" w:rsidRPr="00606E74" w:rsidRDefault="008F49DD" w:rsidP="008F49DD">
      <w:pPr>
        <w:pStyle w:val="Heading4"/>
      </w:pPr>
      <w:r w:rsidRPr="00606E74">
        <w:t>Pro-disclosure bias</w:t>
      </w:r>
    </w:p>
    <w:p w14:paraId="2163CAC8" w14:textId="77777777" w:rsidR="008F49DD" w:rsidRPr="00606E74" w:rsidRDefault="008F49DD" w:rsidP="008F49DD">
      <w:pPr>
        <w:ind w:right="424"/>
      </w:pPr>
      <w:r w:rsidRPr="00606E74">
        <w:t>The FOI Act operates with an express pro-disclosure bias.</w:t>
      </w:r>
      <w:r w:rsidRPr="00606E74">
        <w:rPr>
          <w:rStyle w:val="FootnoteReference"/>
        </w:rPr>
        <w:footnoteReference w:id="357"/>
      </w:r>
      <w:r w:rsidRPr="00606E74">
        <w:t xml:space="preserve"> That is, when deciding whether or not access should be given to government held information, the agency or Minister must exercise the discretion, as far as possible, in favour of disclosing the information.</w:t>
      </w:r>
    </w:p>
    <w:p w14:paraId="0C6718C6" w14:textId="79760995" w:rsidR="008F49DD" w:rsidRDefault="008F49DD" w:rsidP="008F49DD">
      <w:r w:rsidRPr="00606E74">
        <w:t xml:space="preserve">While this step of the public interest test is characterised as an act of balancing, this balancing must be undertaken in the context of the objects of the FOI Act and its pro-disclosure bias. </w:t>
      </w:r>
      <w:r w:rsidR="00392484">
        <w:t>T</w:t>
      </w:r>
      <w:r w:rsidRPr="00606E74">
        <w:t xml:space="preserve">he public interest test is </w:t>
      </w:r>
      <w:r w:rsidRPr="00606E74">
        <w:rPr>
          <w:i/>
        </w:rPr>
        <w:t>not</w:t>
      </w:r>
      <w:r w:rsidRPr="00606E74">
        <w:t xml:space="preserve"> approached on the basis that there are empty scales in equilibrium, waiting for arguments to be put on each side</w:t>
      </w:r>
      <w:r w:rsidR="00FA4EA1">
        <w:t>,</w:t>
      </w:r>
      <w:r w:rsidR="00FA4EA1" w:rsidRPr="00606E74">
        <w:t xml:space="preserve"> </w:t>
      </w:r>
      <w:r w:rsidR="00E672B8">
        <w:t xml:space="preserve">it is clearly the intention </w:t>
      </w:r>
      <w:r w:rsidRPr="00606E74">
        <w:t>the ‘scales begin laden in favour of disclosure’.</w:t>
      </w:r>
      <w:r w:rsidRPr="00606E74">
        <w:rPr>
          <w:rStyle w:val="FootnoteReference"/>
        </w:rPr>
        <w:footnoteReference w:id="358"/>
      </w:r>
      <w:r>
        <w:t xml:space="preserve"> That is, the application of the public interest test begins from the premise that it is in the public interest to disclose the information. In the absence of a demonstrable harm to the public interest occurring from the release of the information, information must be released.</w:t>
      </w:r>
      <w:r>
        <w:rPr>
          <w:rStyle w:val="FootnoteReference"/>
        </w:rPr>
        <w:footnoteReference w:id="359"/>
      </w:r>
      <w:r>
        <w:t xml:space="preserve"> </w:t>
      </w:r>
    </w:p>
    <w:p w14:paraId="6A2E2DA8" w14:textId="77777777" w:rsidR="008F49DD" w:rsidRPr="00606E74" w:rsidRDefault="008F49DD" w:rsidP="008F49DD">
      <w:pPr>
        <w:pStyle w:val="Heading4"/>
      </w:pPr>
      <w:r w:rsidRPr="00606E74">
        <w:t>Weighing the factors</w:t>
      </w:r>
    </w:p>
    <w:p w14:paraId="089A7C0C" w14:textId="77777777" w:rsidR="008F49DD" w:rsidRDefault="008F49DD" w:rsidP="008F49DD">
      <w:r>
        <w:t>Decision-makers should be aware that simply identifying one or even several factors favouring nondisclosure is not sufficient justification not to disclose the information. The FOI Act requires decision</w:t>
      </w:r>
      <w:r>
        <w:noBreakHyphen/>
        <w:t xml:space="preserve">makers to consider if disclosure of the information is ‘on balance, contrary to the public interest’. </w:t>
      </w:r>
    </w:p>
    <w:p w14:paraId="29958F0F" w14:textId="77777777" w:rsidR="008F49DD" w:rsidRDefault="008F49DD" w:rsidP="008F49DD">
      <w:r>
        <w:t>As it is a balancing test, decision-makers need to clearly identify and provide reasons for the weight given to key factors. It is the Ombudsman’s expectation that agencies clearly identify the prejudice to the public interest from disclosing the information and demonstrate how that outweighs the public interest in disclosure.</w:t>
      </w:r>
    </w:p>
    <w:p w14:paraId="699DFCDA" w14:textId="77777777" w:rsidR="008F49DD" w:rsidRPr="00606E74" w:rsidRDefault="008F49DD" w:rsidP="008F49DD">
      <w:r w:rsidRPr="00606E74">
        <w:t>Importantly, balancing is not a case of counting the number of relevant factors favouring disclosure versus nondisclosure. The weight given to any relevant factor will depend on consideration of the particular circumstances, as they exist at the time of the decision.</w:t>
      </w:r>
      <w:r w:rsidRPr="00606E74">
        <w:rPr>
          <w:rStyle w:val="FootnoteReference"/>
        </w:rPr>
        <w:footnoteReference w:id="360"/>
      </w:r>
    </w:p>
    <w:p w14:paraId="6CFA1F32" w14:textId="77777777" w:rsidR="008F49DD" w:rsidRPr="00606E74" w:rsidRDefault="008F49DD" w:rsidP="008F49DD">
      <w:r w:rsidRPr="00606E74">
        <w:t>The decision-maker</w:t>
      </w:r>
      <w:r>
        <w:t>’</w:t>
      </w:r>
      <w:r w:rsidRPr="00606E74">
        <w:t>s task is to consider the relative importance and weight of each factor that they have identified. The weight given to a factor will depend on the effect that disclosing the information would have on the public interest.</w:t>
      </w:r>
    </w:p>
    <w:p w14:paraId="5E3931E6" w14:textId="77777777" w:rsidR="00C401C8" w:rsidRDefault="008F49DD" w:rsidP="008F49DD">
      <w:r w:rsidRPr="00606E74">
        <w:t xml:space="preserve">One factor that favours disclosure may outweigh two factors favouring nondisclosure, depending on the weight given to the factors by the decision-maker. </w:t>
      </w:r>
    </w:p>
    <w:p w14:paraId="528B9F7F" w14:textId="4E5F058A" w:rsidR="008F49DD" w:rsidRPr="00606E74" w:rsidRDefault="008F49DD" w:rsidP="008F49DD">
      <w:r w:rsidRPr="00606E74">
        <w:t xml:space="preserve">The factors favouring nondisclosure must also outweigh the pro-disclosure bias. An understanding of </w:t>
      </w:r>
      <w:r>
        <w:t xml:space="preserve">ACT and other </w:t>
      </w:r>
      <w:r w:rsidRPr="00606E74">
        <w:t xml:space="preserve">Australian FOI </w:t>
      </w:r>
      <w:r>
        <w:t>decisions</w:t>
      </w:r>
      <w:r w:rsidRPr="00606E74">
        <w:t xml:space="preserve"> will as</w:t>
      </w:r>
      <w:r>
        <w:t>sist</w:t>
      </w:r>
      <w:r w:rsidR="00FF72BC">
        <w:t xml:space="preserve"> </w:t>
      </w:r>
      <w:r>
        <w:t>decision-makers in understanding</w:t>
      </w:r>
      <w:r w:rsidRPr="00606E74">
        <w:t xml:space="preserve"> how different factors apply and might be weighted.</w:t>
      </w:r>
    </w:p>
    <w:p w14:paraId="5172BF5A" w14:textId="77777777" w:rsidR="008F49DD" w:rsidRPr="00606E74" w:rsidRDefault="008F49DD" w:rsidP="008F49DD">
      <w:r w:rsidRPr="00606E74">
        <w:t>After weighing and balancing the relevant factors favouring disclosure and nondisclosure, a decision-maker must decide whether, on balance, disclosure of the information would be contrary to the public interest. This decision should logically flow from the decision-maker’s consideration of the relevant factors and their reasoning behind the weight given to each factor.</w:t>
      </w:r>
    </w:p>
    <w:p w14:paraId="3A9AB22F" w14:textId="1BB5FCC7" w:rsidR="008F49DD" w:rsidRPr="008F49DD" w:rsidRDefault="008F49DD" w:rsidP="008F49DD">
      <w:r w:rsidRPr="00606E74">
        <w:t xml:space="preserve">Where the public interest factors are finely balanced, it may be possible to reasonably consider that the information could be either contrary or not contrary to the public interest information. In these circumstances, the decision-maker </w:t>
      </w:r>
      <w:r w:rsidR="00A300B1">
        <w:t>must</w:t>
      </w:r>
      <w:r w:rsidRPr="00606E74">
        <w:t xml:space="preserve"> exercise their discretion in favour of releasing the information.</w:t>
      </w:r>
      <w:r w:rsidRPr="00606E74">
        <w:rPr>
          <w:rStyle w:val="FootnoteReference"/>
        </w:rPr>
        <w:footnoteReference w:id="361"/>
      </w:r>
      <w:bookmarkEnd w:id="835"/>
    </w:p>
    <w:sectPr w:rsidR="008F49DD" w:rsidRPr="008F49DD" w:rsidSect="00C2781A">
      <w:footerReference w:type="first" r:id="rId73"/>
      <w:pgSz w:w="11906" w:h="16838"/>
      <w:pgMar w:top="1440" w:right="849" w:bottom="1440" w:left="1440" w:header="70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CB22" w14:textId="77777777" w:rsidR="004251B6" w:rsidRDefault="004251B6" w:rsidP="00187082">
      <w:pPr>
        <w:spacing w:after="0" w:line="240" w:lineRule="auto"/>
      </w:pPr>
      <w:r>
        <w:separator/>
      </w:r>
    </w:p>
  </w:endnote>
  <w:endnote w:type="continuationSeparator" w:id="0">
    <w:p w14:paraId="7C468800" w14:textId="77777777" w:rsidR="004251B6" w:rsidRDefault="004251B6" w:rsidP="00187082">
      <w:pPr>
        <w:spacing w:after="0" w:line="240" w:lineRule="auto"/>
      </w:pPr>
      <w:r>
        <w:continuationSeparator/>
      </w:r>
    </w:p>
  </w:endnote>
  <w:endnote w:type="continuationNotice" w:id="1">
    <w:p w14:paraId="7B56FC0B" w14:textId="77777777" w:rsidR="004251B6" w:rsidRDefault="00425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ED80" w14:textId="77777777" w:rsidR="00B862DC" w:rsidRDefault="00B86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232573"/>
      <w:docPartObj>
        <w:docPartGallery w:val="Page Numbers (Bottom of Page)"/>
        <w:docPartUnique/>
      </w:docPartObj>
    </w:sdtPr>
    <w:sdtEndPr/>
    <w:sdtContent>
      <w:sdt>
        <w:sdtPr>
          <w:id w:val="881129709"/>
          <w:docPartObj>
            <w:docPartGallery w:val="Page Numbers (Top of Page)"/>
            <w:docPartUnique/>
          </w:docPartObj>
        </w:sdtPr>
        <w:sdtEndPr/>
        <w:sdtContent>
          <w:p w14:paraId="5706DF9B" w14:textId="5A7D8F72" w:rsidR="00DF324C" w:rsidRDefault="00DF324C">
            <w:pPr>
              <w:pStyle w:val="Footer"/>
              <w:jc w:val="right"/>
            </w:pPr>
            <w:r w:rsidRPr="00745F6B">
              <w:t xml:space="preserve">Page </w:t>
            </w:r>
            <w:r w:rsidRPr="00745F6B">
              <w:rPr>
                <w:b/>
                <w:bCs/>
                <w:sz w:val="24"/>
                <w:szCs w:val="24"/>
              </w:rPr>
              <w:fldChar w:fldCharType="begin"/>
            </w:r>
            <w:r w:rsidRPr="00745F6B">
              <w:rPr>
                <w:b/>
                <w:bCs/>
              </w:rPr>
              <w:instrText xml:space="preserve"> PAGE </w:instrText>
            </w:r>
            <w:r w:rsidRPr="00745F6B">
              <w:rPr>
                <w:b/>
                <w:bCs/>
                <w:sz w:val="24"/>
                <w:szCs w:val="24"/>
              </w:rPr>
              <w:fldChar w:fldCharType="separate"/>
            </w:r>
            <w:r w:rsidR="00D404ED" w:rsidRPr="00745F6B">
              <w:rPr>
                <w:b/>
                <w:bCs/>
                <w:noProof/>
              </w:rPr>
              <w:t>33</w:t>
            </w:r>
            <w:r w:rsidRPr="00745F6B">
              <w:rPr>
                <w:b/>
                <w:bCs/>
                <w:sz w:val="24"/>
                <w:szCs w:val="24"/>
              </w:rPr>
              <w:fldChar w:fldCharType="end"/>
            </w:r>
            <w:r w:rsidRPr="00745F6B">
              <w:t xml:space="preserve"> of </w:t>
            </w:r>
            <w:r w:rsidR="00365A2B">
              <w:rPr>
                <w:b/>
              </w:rPr>
              <w:t>89</w:t>
            </w:r>
          </w:p>
          <w:p w14:paraId="3EA1BA99" w14:textId="77777777" w:rsidR="00B862DC" w:rsidRDefault="00E12C0A" w:rsidP="00085948">
            <w:pPr>
              <w:pStyle w:val="Footer"/>
              <w:spacing w:before="120"/>
              <w:jc w:val="center"/>
            </w:pPr>
          </w:p>
        </w:sdtContent>
      </w:sdt>
    </w:sdtContent>
  </w:sdt>
  <w:p w14:paraId="003E386C" w14:textId="5D804C3B" w:rsidR="00DF324C" w:rsidRPr="00B862DC" w:rsidRDefault="00B862DC" w:rsidP="00B862DC">
    <w:pPr>
      <w:pStyle w:val="Footer"/>
      <w:spacing w:before="120"/>
      <w:jc w:val="center"/>
      <w:rPr>
        <w:rFonts w:ascii="Arial" w:hAnsi="Arial" w:cs="Arial"/>
        <w:sz w:val="14"/>
        <w:szCs w:val="14"/>
      </w:rPr>
    </w:pPr>
    <w:r w:rsidRPr="00B862D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D4F7" w14:textId="22C08DBE" w:rsidR="001D14CE" w:rsidRPr="00B862DC" w:rsidRDefault="00B862DC" w:rsidP="00B862DC">
    <w:pPr>
      <w:pStyle w:val="Footer"/>
      <w:jc w:val="center"/>
      <w:rPr>
        <w:rFonts w:ascii="Arial" w:hAnsi="Arial" w:cs="Arial"/>
        <w:bCs/>
        <w:color w:val="000000"/>
        <w:sz w:val="14"/>
        <w:szCs w:val="14"/>
      </w:rPr>
    </w:pPr>
    <w:r w:rsidRPr="00B862DC">
      <w:rPr>
        <w:rFonts w:ascii="Arial" w:hAnsi="Arial" w:cs="Arial"/>
        <w:bCs/>
        <w:color w:val="000000"/>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1044"/>
      <w:docPartObj>
        <w:docPartGallery w:val="Page Numbers (Bottom of Page)"/>
        <w:docPartUnique/>
      </w:docPartObj>
    </w:sdtPr>
    <w:sdtEndPr>
      <w:rPr>
        <w:bCs/>
        <w:sz w:val="14"/>
        <w:szCs w:val="14"/>
      </w:rPr>
    </w:sdtEndPr>
    <w:sdtContent>
      <w:sdt>
        <w:sdtPr>
          <w:id w:val="-157003579"/>
          <w:docPartObj>
            <w:docPartGallery w:val="Page Numbers (Top of Page)"/>
            <w:docPartUnique/>
          </w:docPartObj>
        </w:sdtPr>
        <w:sdtEndPr>
          <w:rPr>
            <w:bCs/>
            <w:sz w:val="14"/>
            <w:szCs w:val="14"/>
          </w:rPr>
        </w:sdtEndPr>
        <w:sdtContent>
          <w:p w14:paraId="7C8CF802" w14:textId="77777777" w:rsidR="000B6B95" w:rsidRDefault="000B6B95" w:rsidP="001D14CE">
            <w:pPr>
              <w:pStyle w:val="Footer"/>
              <w:jc w:val="right"/>
            </w:pPr>
            <w:r w:rsidRPr="00745F6B">
              <w:t xml:space="preserve">Page </w:t>
            </w:r>
            <w:r w:rsidRPr="00745F6B">
              <w:rPr>
                <w:b/>
                <w:bCs/>
                <w:sz w:val="24"/>
                <w:szCs w:val="24"/>
              </w:rPr>
              <w:fldChar w:fldCharType="begin"/>
            </w:r>
            <w:r w:rsidRPr="00745F6B">
              <w:rPr>
                <w:b/>
                <w:bCs/>
              </w:rPr>
              <w:instrText xml:space="preserve"> PAGE </w:instrText>
            </w:r>
            <w:r w:rsidRPr="00745F6B">
              <w:rPr>
                <w:b/>
                <w:bCs/>
                <w:sz w:val="24"/>
                <w:szCs w:val="24"/>
              </w:rPr>
              <w:fldChar w:fldCharType="separate"/>
            </w:r>
            <w:r>
              <w:rPr>
                <w:b/>
                <w:bCs/>
                <w:sz w:val="24"/>
                <w:szCs w:val="24"/>
              </w:rPr>
              <w:t>2</w:t>
            </w:r>
            <w:r w:rsidRPr="00745F6B">
              <w:rPr>
                <w:b/>
                <w:bCs/>
                <w:sz w:val="24"/>
                <w:szCs w:val="24"/>
              </w:rPr>
              <w:fldChar w:fldCharType="end"/>
            </w:r>
            <w:r w:rsidRPr="00745F6B">
              <w:t xml:space="preserve"> of </w:t>
            </w:r>
            <w:r>
              <w:rPr>
                <w:b/>
              </w:rPr>
              <w:t>89</w:t>
            </w:r>
          </w:p>
          <w:p w14:paraId="309AA639" w14:textId="77777777" w:rsidR="00B862DC" w:rsidRDefault="00E12C0A" w:rsidP="000B6B95">
            <w:pPr>
              <w:pStyle w:val="Footer"/>
              <w:spacing w:before="120"/>
              <w:jc w:val="center"/>
              <w:rPr>
                <w:bCs/>
                <w:sz w:val="14"/>
                <w:szCs w:val="14"/>
              </w:rPr>
            </w:pPr>
          </w:p>
        </w:sdtContent>
      </w:sdt>
    </w:sdtContent>
  </w:sdt>
  <w:p w14:paraId="4713641B" w14:textId="37E79C5E" w:rsidR="000B6B95" w:rsidRPr="00B862DC" w:rsidRDefault="00B862DC" w:rsidP="00B862DC">
    <w:pPr>
      <w:pStyle w:val="Footer"/>
      <w:spacing w:before="120"/>
      <w:jc w:val="center"/>
      <w:rPr>
        <w:rFonts w:ascii="Arial" w:hAnsi="Arial" w:cs="Arial"/>
        <w:bCs/>
        <w:color w:val="000000" w:themeColor="text1"/>
        <w:sz w:val="14"/>
        <w:szCs w:val="14"/>
      </w:rPr>
    </w:pPr>
    <w:r w:rsidRPr="00B862DC">
      <w:rPr>
        <w:rFonts w:ascii="Arial" w:hAnsi="Arial" w:cs="Arial"/>
        <w:bCs/>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14F3" w14:textId="77777777" w:rsidR="004251B6" w:rsidRDefault="004251B6" w:rsidP="00187082">
      <w:pPr>
        <w:spacing w:after="0" w:line="240" w:lineRule="auto"/>
      </w:pPr>
      <w:r>
        <w:separator/>
      </w:r>
    </w:p>
  </w:footnote>
  <w:footnote w:type="continuationSeparator" w:id="0">
    <w:p w14:paraId="1D5BA7D9" w14:textId="77777777" w:rsidR="004251B6" w:rsidRDefault="004251B6" w:rsidP="00187082">
      <w:pPr>
        <w:spacing w:after="0" w:line="240" w:lineRule="auto"/>
      </w:pPr>
      <w:r>
        <w:continuationSeparator/>
      </w:r>
    </w:p>
  </w:footnote>
  <w:footnote w:type="continuationNotice" w:id="1">
    <w:p w14:paraId="05E847E5" w14:textId="77777777" w:rsidR="004251B6" w:rsidRDefault="004251B6">
      <w:pPr>
        <w:spacing w:after="0" w:line="240" w:lineRule="auto"/>
      </w:pPr>
    </w:p>
  </w:footnote>
  <w:footnote w:id="2">
    <w:p w14:paraId="0D9AE815" w14:textId="545DAD05" w:rsidR="007051AD" w:rsidRPr="00D519A3" w:rsidRDefault="007051AD" w:rsidP="007051AD">
      <w:pPr>
        <w:pStyle w:val="FootnoteText"/>
      </w:pPr>
      <w:r w:rsidRPr="00D519A3">
        <w:rPr>
          <w:rStyle w:val="FootnoteReference"/>
        </w:rPr>
        <w:footnoteRef/>
      </w:r>
      <w:r w:rsidRPr="00D519A3">
        <w:t xml:space="preserve"> </w:t>
      </w:r>
      <w:hyperlink r:id="rId1" w:history="1">
        <w:r w:rsidRPr="0077526F">
          <w:rPr>
            <w:rStyle w:val="Hyperlink"/>
            <w:i/>
            <w:iCs/>
          </w:rPr>
          <w:t>Freedom of Information Act 2016</w:t>
        </w:r>
        <w:r w:rsidRPr="0077526F">
          <w:rPr>
            <w:rStyle w:val="Hyperlink"/>
          </w:rPr>
          <w:t xml:space="preserve"> (ACT)</w:t>
        </w:r>
      </w:hyperlink>
      <w:r w:rsidRPr="00D519A3">
        <w:t xml:space="preserve"> (‘FOI Act’)</w:t>
      </w:r>
      <w:r w:rsidR="00467E50" w:rsidRPr="00D519A3">
        <w:t xml:space="preserve"> </w:t>
      </w:r>
      <w:r w:rsidRPr="00D519A3">
        <w:t xml:space="preserve">s 24. See </w:t>
      </w:r>
      <w:hyperlink r:id="rId2" w:history="1">
        <w:r w:rsidRPr="00B102AB">
          <w:rPr>
            <w:rStyle w:val="Hyperlink"/>
            <w:i/>
            <w:iCs/>
            <w:color w:val="0000FF"/>
          </w:rPr>
          <w:t>Freedom of Information (Volume 1 - Open Access Information) Guidelines 2020</w:t>
        </w:r>
        <w:r w:rsidR="00131556" w:rsidRPr="00B102AB">
          <w:rPr>
            <w:rStyle w:val="Hyperlink"/>
            <w:color w:val="0000FF"/>
          </w:rPr>
          <w:t xml:space="preserve"> (ACT)</w:t>
        </w:r>
      </w:hyperlink>
      <w:r w:rsidR="00E77443" w:rsidRPr="00D519A3">
        <w:t xml:space="preserve"> (‘FOI Guidelines </w:t>
      </w:r>
      <w:r w:rsidR="001C395A" w:rsidRPr="00D519A3">
        <w:t xml:space="preserve">Vol 1 – Open </w:t>
      </w:r>
      <w:r w:rsidR="00ED5BB1" w:rsidRPr="00D519A3">
        <w:t>a</w:t>
      </w:r>
      <w:r w:rsidR="001C395A" w:rsidRPr="00D519A3">
        <w:t xml:space="preserve">ccess </w:t>
      </w:r>
      <w:r w:rsidR="00ED5BB1" w:rsidRPr="00D519A3">
        <w:t>i</w:t>
      </w:r>
      <w:r w:rsidR="001C395A" w:rsidRPr="00D519A3">
        <w:t xml:space="preserve">nformation’). </w:t>
      </w:r>
    </w:p>
  </w:footnote>
  <w:footnote w:id="3">
    <w:p w14:paraId="185EC31E" w14:textId="12765E39" w:rsidR="00B61804" w:rsidRPr="00D519A3" w:rsidRDefault="00B61804">
      <w:pPr>
        <w:pStyle w:val="FootnoteText"/>
      </w:pPr>
      <w:r w:rsidRPr="00D519A3">
        <w:rPr>
          <w:rStyle w:val="FootnoteReference"/>
        </w:rPr>
        <w:footnoteRef/>
      </w:r>
      <w:r w:rsidRPr="00D519A3">
        <w:t xml:space="preserve"> </w:t>
      </w:r>
      <w:hyperlink r:id="rId3" w:history="1">
        <w:r w:rsidR="00D56B00" w:rsidRPr="00B102AB">
          <w:rPr>
            <w:rStyle w:val="Hyperlink"/>
          </w:rPr>
          <w:t>FOI Act</w:t>
        </w:r>
      </w:hyperlink>
      <w:r w:rsidR="00D56B00" w:rsidRPr="00D519A3">
        <w:t xml:space="preserve"> s </w:t>
      </w:r>
      <w:r w:rsidR="00C45DAC" w:rsidRPr="00D519A3">
        <w:t xml:space="preserve">35. </w:t>
      </w:r>
      <w:r w:rsidR="00A3182B" w:rsidRPr="00D519A3">
        <w:t>See</w:t>
      </w:r>
      <w:r w:rsidRPr="00D519A3">
        <w:t xml:space="preserve"> </w:t>
      </w:r>
      <w:hyperlink r:id="rId4" w:history="1">
        <w:r w:rsidR="00A3182B" w:rsidRPr="00F068B8">
          <w:rPr>
            <w:rStyle w:val="Hyperlink"/>
            <w:i/>
            <w:iCs/>
          </w:rPr>
          <w:t>Freedom of Information (Volume 3 – Dealing with Access Applications) Guidelines 2020</w:t>
        </w:r>
        <w:r w:rsidR="00ED5BB1" w:rsidRPr="00F068B8">
          <w:rPr>
            <w:rStyle w:val="Hyperlink"/>
          </w:rPr>
          <w:t xml:space="preserve"> </w:t>
        </w:r>
        <w:r w:rsidR="009D3403" w:rsidRPr="00F068B8">
          <w:rPr>
            <w:rStyle w:val="Hyperlink"/>
          </w:rPr>
          <w:t>(ACT)</w:t>
        </w:r>
      </w:hyperlink>
      <w:r w:rsidR="009D3403">
        <w:t xml:space="preserve"> </w:t>
      </w:r>
      <w:r w:rsidR="00ED5BB1" w:rsidRPr="00D519A3">
        <w:t>(‘FOI</w:t>
      </w:r>
      <w:r w:rsidR="00B102AB">
        <w:t> </w:t>
      </w:r>
      <w:r w:rsidR="00ED5BB1" w:rsidRPr="00D519A3">
        <w:t xml:space="preserve">Guidelines Vol 3 – Dealing with </w:t>
      </w:r>
      <w:r w:rsidR="00F52D79" w:rsidRPr="00D519A3">
        <w:t>a</w:t>
      </w:r>
      <w:r w:rsidR="00ED5BB1" w:rsidRPr="00D519A3">
        <w:t xml:space="preserve">ccess </w:t>
      </w:r>
      <w:r w:rsidR="00F52D79" w:rsidRPr="00D519A3">
        <w:t>a</w:t>
      </w:r>
      <w:r w:rsidR="00ED5BB1" w:rsidRPr="00D519A3">
        <w:t>pplications</w:t>
      </w:r>
      <w:r w:rsidR="00F52D79" w:rsidRPr="00D519A3">
        <w:t xml:space="preserve">’). </w:t>
      </w:r>
      <w:r w:rsidR="00ED5BB1" w:rsidRPr="00D519A3">
        <w:t xml:space="preserve"> </w:t>
      </w:r>
    </w:p>
  </w:footnote>
  <w:footnote w:id="4">
    <w:p w14:paraId="4DA8E31B" w14:textId="1843A072" w:rsidR="0032455D" w:rsidRPr="00D519A3" w:rsidRDefault="0032455D">
      <w:pPr>
        <w:pStyle w:val="FootnoteText"/>
        <w:rPr>
          <w:lang w:val="en-US"/>
        </w:rPr>
      </w:pPr>
      <w:r w:rsidRPr="00D519A3">
        <w:rPr>
          <w:rStyle w:val="FootnoteReference"/>
        </w:rPr>
        <w:footnoteRef/>
      </w:r>
      <w:r w:rsidRPr="00D519A3">
        <w:t xml:space="preserve"> </w:t>
      </w:r>
      <w:hyperlink r:id="rId5" w:history="1">
        <w:r w:rsidRPr="00B102AB">
          <w:rPr>
            <w:rStyle w:val="Hyperlink"/>
          </w:rPr>
          <w:t>FOI Act</w:t>
        </w:r>
      </w:hyperlink>
      <w:r w:rsidR="00640426" w:rsidRPr="00D519A3">
        <w:t xml:space="preserve"> s 6; s 24(1)</w:t>
      </w:r>
      <w:r w:rsidR="006E10E7" w:rsidRPr="00D519A3">
        <w:t xml:space="preserve">. </w:t>
      </w:r>
    </w:p>
  </w:footnote>
  <w:footnote w:id="5">
    <w:p w14:paraId="70E6181B" w14:textId="663221BC" w:rsidR="007A593A" w:rsidRPr="00D519A3" w:rsidRDefault="007A593A" w:rsidP="007A593A">
      <w:pPr>
        <w:pStyle w:val="FootnoteText"/>
      </w:pPr>
      <w:r w:rsidRPr="00D519A3">
        <w:rPr>
          <w:rStyle w:val="FootnoteReference"/>
        </w:rPr>
        <w:footnoteRef/>
      </w:r>
      <w:r w:rsidRPr="00D519A3">
        <w:t xml:space="preserve"> </w:t>
      </w:r>
      <w:hyperlink r:id="rId6" w:history="1">
        <w:r w:rsidR="00B102AB">
          <w:rPr>
            <w:rStyle w:val="Hyperlink"/>
          </w:rPr>
          <w:t>FOI Act</w:t>
        </w:r>
      </w:hyperlink>
      <w:r w:rsidR="006E10E7" w:rsidRPr="00D519A3">
        <w:t xml:space="preserve"> s 9. </w:t>
      </w:r>
      <w:r w:rsidRPr="00D519A3">
        <w:t xml:space="preserve"> </w:t>
      </w:r>
    </w:p>
  </w:footnote>
  <w:footnote w:id="6">
    <w:p w14:paraId="4637BAB8" w14:textId="4930FB1C" w:rsidR="007A593A" w:rsidRPr="00D519A3" w:rsidRDefault="007A593A" w:rsidP="007A593A">
      <w:pPr>
        <w:pStyle w:val="FootnoteText"/>
      </w:pPr>
      <w:r w:rsidRPr="00D519A3">
        <w:rPr>
          <w:rStyle w:val="FootnoteReference"/>
        </w:rPr>
        <w:footnoteRef/>
      </w:r>
      <w:r w:rsidRPr="00D519A3">
        <w:t xml:space="preserve"> </w:t>
      </w:r>
      <w:hyperlink r:id="rId7" w:history="1">
        <w:r w:rsidR="00B102AB">
          <w:rPr>
            <w:rStyle w:val="Hyperlink"/>
          </w:rPr>
          <w:t>FOI Act</w:t>
        </w:r>
      </w:hyperlink>
      <w:r w:rsidR="000C52BB" w:rsidRPr="00D519A3">
        <w:t xml:space="preserve"> </w:t>
      </w:r>
      <w:r w:rsidR="006E10E7" w:rsidRPr="00D519A3">
        <w:t>s 17(2); s 17(3)</w:t>
      </w:r>
      <w:r w:rsidR="000310FE" w:rsidRPr="00D519A3">
        <w:t xml:space="preserve">. </w:t>
      </w:r>
    </w:p>
  </w:footnote>
  <w:footnote w:id="7">
    <w:p w14:paraId="630308DF" w14:textId="0830BC23" w:rsidR="007A593A" w:rsidRPr="00D519A3" w:rsidRDefault="007A593A" w:rsidP="007A593A">
      <w:pPr>
        <w:pStyle w:val="FootnoteText"/>
      </w:pPr>
      <w:r w:rsidRPr="00D519A3">
        <w:rPr>
          <w:rStyle w:val="FootnoteReference"/>
        </w:rPr>
        <w:footnoteRef/>
      </w:r>
      <w:r w:rsidR="000310FE" w:rsidRPr="00D519A3">
        <w:t xml:space="preserve"> </w:t>
      </w:r>
      <w:hyperlink r:id="rId8" w:history="1">
        <w:r w:rsidR="00B102AB">
          <w:rPr>
            <w:rStyle w:val="Hyperlink"/>
          </w:rPr>
          <w:t>FOI Act</w:t>
        </w:r>
      </w:hyperlink>
      <w:r w:rsidR="000C52BB" w:rsidRPr="00D519A3">
        <w:t xml:space="preserve"> </w:t>
      </w:r>
      <w:r w:rsidR="004370E5" w:rsidRPr="00D519A3">
        <w:t>s</w:t>
      </w:r>
      <w:r w:rsidRPr="00D519A3">
        <w:t xml:space="preserve"> 24(2)</w:t>
      </w:r>
      <w:r w:rsidR="000310FE" w:rsidRPr="00D519A3">
        <w:t xml:space="preserve">; s </w:t>
      </w:r>
      <w:r w:rsidRPr="00D519A3">
        <w:t>54</w:t>
      </w:r>
      <w:r w:rsidR="000310FE" w:rsidRPr="00D519A3">
        <w:t xml:space="preserve">; s </w:t>
      </w:r>
      <w:r w:rsidR="00BE2425" w:rsidRPr="00D519A3">
        <w:t>72</w:t>
      </w:r>
      <w:r w:rsidRPr="00D519A3">
        <w:t xml:space="preserve">. </w:t>
      </w:r>
    </w:p>
  </w:footnote>
  <w:footnote w:id="8">
    <w:p w14:paraId="0EC66F49" w14:textId="1B90E32D" w:rsidR="00EB66D0" w:rsidRPr="00D519A3" w:rsidRDefault="00EB66D0" w:rsidP="00962BEF">
      <w:pPr>
        <w:pStyle w:val="FootnoteText"/>
        <w:ind w:left="142" w:hanging="142"/>
      </w:pPr>
      <w:r w:rsidRPr="00D519A3">
        <w:rPr>
          <w:rStyle w:val="FootnoteReference"/>
        </w:rPr>
        <w:footnoteRef/>
      </w:r>
      <w:r w:rsidR="004E3817">
        <w:t xml:space="preserve"> </w:t>
      </w:r>
      <w:hyperlink r:id="rId9" w:history="1">
        <w:r w:rsidR="00C51519" w:rsidRPr="00B102AB">
          <w:rPr>
            <w:rStyle w:val="Hyperlink"/>
          </w:rPr>
          <w:t>FOI Act</w:t>
        </w:r>
      </w:hyperlink>
      <w:r w:rsidR="00C51519">
        <w:t xml:space="preserve"> </w:t>
      </w:r>
      <w:r w:rsidR="00853970" w:rsidRPr="00B102AB">
        <w:t xml:space="preserve">Sch 2, ss </w:t>
      </w:r>
      <w:r w:rsidR="009D49EB" w:rsidRPr="00B102AB">
        <w:t>2.1(a)(ii), 2.1</w:t>
      </w:r>
      <w:r w:rsidR="00853970" w:rsidRPr="00B102AB">
        <w:t>(a)(x) and 2.1(a)(xii)-(xvi)</w:t>
      </w:r>
      <w:r w:rsidR="00853970">
        <w:t>.</w:t>
      </w:r>
      <w:r w:rsidRPr="00D519A3">
        <w:t xml:space="preserve"> </w:t>
      </w:r>
    </w:p>
  </w:footnote>
  <w:footnote w:id="9">
    <w:p w14:paraId="6DA8017C" w14:textId="7D82DCC6" w:rsidR="00EB66D0" w:rsidRPr="00D519A3" w:rsidRDefault="00EB66D0" w:rsidP="00EB66D0">
      <w:pPr>
        <w:pStyle w:val="FootnoteText"/>
        <w:ind w:left="142" w:hanging="142"/>
      </w:pPr>
      <w:r w:rsidRPr="00D519A3">
        <w:rPr>
          <w:rStyle w:val="FootnoteReference"/>
        </w:rPr>
        <w:footnoteRef/>
      </w:r>
      <w:r w:rsidRPr="00D519A3">
        <w:t xml:space="preserve"> </w:t>
      </w:r>
      <w:hyperlink r:id="rId10" w:history="1">
        <w:r w:rsidRPr="00D519A3">
          <w:rPr>
            <w:rStyle w:val="Hyperlink"/>
          </w:rPr>
          <w:t>The Macquarie Online Dictionary</w:t>
        </w:r>
      </w:hyperlink>
      <w:r w:rsidRPr="00D519A3">
        <w:t>, Macquarie Dictionary Publishers, 2019.</w:t>
      </w:r>
    </w:p>
  </w:footnote>
  <w:footnote w:id="10">
    <w:p w14:paraId="614DD434" w14:textId="7887D0B3" w:rsidR="00EB66D0" w:rsidRPr="00D519A3" w:rsidRDefault="00EB66D0" w:rsidP="009D788C">
      <w:pPr>
        <w:pStyle w:val="FootnoteText"/>
        <w:ind w:left="142" w:hanging="142"/>
      </w:pPr>
      <w:r w:rsidRPr="00D519A3">
        <w:rPr>
          <w:rStyle w:val="FootnoteReference"/>
        </w:rPr>
        <w:footnoteRef/>
      </w:r>
      <w:r w:rsidR="009D49EB">
        <w:t xml:space="preserve"> </w:t>
      </w:r>
      <w:hyperlink r:id="rId11" w:history="1">
        <w:r w:rsidR="00C51519" w:rsidRPr="00B102AB">
          <w:rPr>
            <w:rStyle w:val="Hyperlink"/>
          </w:rPr>
          <w:t>FOI Act</w:t>
        </w:r>
      </w:hyperlink>
      <w:r w:rsidR="00C51519">
        <w:t xml:space="preserve"> </w:t>
      </w:r>
      <w:r w:rsidR="00C51519" w:rsidRPr="00B102AB">
        <w:t>Sch</w:t>
      </w:r>
      <w:r w:rsidR="00853970" w:rsidRPr="00B102AB">
        <w:t xml:space="preserve"> 2, ss </w:t>
      </w:r>
      <w:r w:rsidR="009D49EB" w:rsidRPr="00B102AB">
        <w:t>2.</w:t>
      </w:r>
      <w:r w:rsidR="00853970" w:rsidRPr="00B102AB">
        <w:t>2(a)(v) and (vii)</w:t>
      </w:r>
      <w:r w:rsidR="00853970">
        <w:t>.</w:t>
      </w:r>
      <w:r w:rsidRPr="00D519A3">
        <w:t xml:space="preserve"> </w:t>
      </w:r>
    </w:p>
  </w:footnote>
  <w:footnote w:id="11">
    <w:p w14:paraId="01D2A6EF" w14:textId="76937C95" w:rsidR="00EB66D0" w:rsidRPr="00D519A3" w:rsidRDefault="00EB66D0" w:rsidP="00EB66D0">
      <w:pPr>
        <w:pStyle w:val="FootnoteText"/>
        <w:ind w:left="142" w:hanging="142"/>
      </w:pPr>
      <w:r w:rsidRPr="00D519A3">
        <w:rPr>
          <w:rStyle w:val="FootnoteReference"/>
        </w:rPr>
        <w:footnoteRef/>
      </w:r>
      <w:r w:rsidRPr="00D519A3">
        <w:t xml:space="preserve"> </w:t>
      </w:r>
      <w:hyperlink r:id="rId12" w:history="1">
        <w:r w:rsidRPr="00D519A3">
          <w:rPr>
            <w:rStyle w:val="Hyperlink"/>
          </w:rPr>
          <w:t>The Macquarie Online Dictionary</w:t>
        </w:r>
      </w:hyperlink>
      <w:r w:rsidRPr="00D519A3">
        <w:t>, Macquarie Dictionary Publishers, 2019.</w:t>
      </w:r>
    </w:p>
  </w:footnote>
  <w:footnote w:id="12">
    <w:p w14:paraId="095AE2B7" w14:textId="753B8AC8" w:rsidR="00EB66D0" w:rsidRPr="00D519A3" w:rsidRDefault="00EB66D0" w:rsidP="00EB66D0">
      <w:pPr>
        <w:pStyle w:val="FootnoteText"/>
        <w:ind w:left="142" w:hanging="142"/>
      </w:pPr>
      <w:r w:rsidRPr="00D519A3">
        <w:rPr>
          <w:rStyle w:val="FootnoteReference"/>
        </w:rPr>
        <w:footnoteRef/>
      </w:r>
      <w:r w:rsidRPr="00D519A3">
        <w:t xml:space="preserve"> Information in an agency’s physical custody that was inadvertently provided to an agency and was not intended to form part of the agency’s records may not be ‘in the possession of’ the agency: see </w:t>
      </w:r>
      <w:hyperlink r:id="rId13" w:history="1">
        <w:r w:rsidRPr="00D519A3">
          <w:rPr>
            <w:rStyle w:val="Hyperlink"/>
            <w:i/>
          </w:rPr>
          <w:t xml:space="preserve">Colonial Range Pty Ltd v Victorian Building Authority (Review and Regulation) </w:t>
        </w:r>
        <w:r w:rsidRPr="00D519A3">
          <w:rPr>
            <w:rStyle w:val="Hyperlink"/>
          </w:rPr>
          <w:t>[2017] VCAT 1198</w:t>
        </w:r>
      </w:hyperlink>
      <w:r w:rsidR="00A00B43" w:rsidRPr="00D519A3">
        <w:rPr>
          <w:rStyle w:val="Hyperlink"/>
        </w:rPr>
        <w:t>,</w:t>
      </w:r>
      <w:r w:rsidRPr="00D519A3">
        <w:t xml:space="preserve"> [172]-[17</w:t>
      </w:r>
      <w:r w:rsidR="001305C6" w:rsidRPr="00D519A3">
        <w:t>5</w:t>
      </w:r>
      <w:r w:rsidRPr="00D519A3">
        <w:t>].</w:t>
      </w:r>
    </w:p>
  </w:footnote>
  <w:footnote w:id="13">
    <w:p w14:paraId="7EB82952" w14:textId="27FCC5BF" w:rsidR="00EB66D0" w:rsidRPr="00D519A3" w:rsidRDefault="00EB66D0" w:rsidP="00EB66D0">
      <w:pPr>
        <w:pStyle w:val="FootnoteText"/>
        <w:ind w:left="142" w:hanging="142"/>
      </w:pPr>
      <w:r w:rsidRPr="00D519A3">
        <w:rPr>
          <w:rStyle w:val="FootnoteReference"/>
        </w:rPr>
        <w:footnoteRef/>
      </w:r>
      <w:r w:rsidR="009D49EB">
        <w:t xml:space="preserve"> </w:t>
      </w:r>
      <w:hyperlink r:id="rId14" w:history="1">
        <w:r w:rsidRPr="00D519A3">
          <w:rPr>
            <w:rStyle w:val="Hyperlink"/>
            <w:i/>
          </w:rPr>
          <w:t>McLeod and Social Security Appeals Tribunal</w:t>
        </w:r>
        <w:r w:rsidRPr="00D519A3">
          <w:rPr>
            <w:rStyle w:val="Hyperlink"/>
          </w:rPr>
          <w:t xml:space="preserve"> [2014] AICmr 34</w:t>
        </w:r>
      </w:hyperlink>
      <w:r w:rsidR="00A00B43" w:rsidRPr="00D519A3">
        <w:rPr>
          <w:rStyle w:val="Hyperlink"/>
        </w:rPr>
        <w:t>,</w:t>
      </w:r>
      <w:r w:rsidR="00676263" w:rsidRPr="00D519A3">
        <w:t xml:space="preserve"> </w:t>
      </w:r>
      <w:r w:rsidRPr="00D519A3">
        <w:t xml:space="preserve">[20]; </w:t>
      </w:r>
      <w:hyperlink r:id="rId15" w:history="1">
        <w:r w:rsidRPr="00D519A3">
          <w:rPr>
            <w:rStyle w:val="Hyperlink"/>
            <w:i/>
          </w:rPr>
          <w:t xml:space="preserve">Colonial Range Pty Ltd v Victorian Building Authority (Review and Regulation) </w:t>
        </w:r>
        <w:r w:rsidRPr="00D519A3">
          <w:rPr>
            <w:rStyle w:val="Hyperlink"/>
          </w:rPr>
          <w:t>[2017] VCAT 1198</w:t>
        </w:r>
      </w:hyperlink>
      <w:r w:rsidR="00A00B43" w:rsidRPr="00D519A3">
        <w:rPr>
          <w:rStyle w:val="Hyperlink"/>
        </w:rPr>
        <w:t>,</w:t>
      </w:r>
      <w:r w:rsidR="003117BB" w:rsidRPr="00D519A3">
        <w:rPr>
          <w:i/>
        </w:rPr>
        <w:t xml:space="preserve"> </w:t>
      </w:r>
      <w:r w:rsidRPr="00D519A3">
        <w:t xml:space="preserve">[86]. </w:t>
      </w:r>
    </w:p>
  </w:footnote>
  <w:footnote w:id="14">
    <w:p w14:paraId="7A163160" w14:textId="0CF088E6" w:rsidR="00EB66D0" w:rsidRPr="00D519A3" w:rsidRDefault="00EB66D0" w:rsidP="00BB656B">
      <w:pPr>
        <w:pStyle w:val="FootnoteText"/>
        <w:ind w:left="142" w:hanging="142"/>
      </w:pPr>
      <w:r w:rsidRPr="00D519A3">
        <w:rPr>
          <w:rStyle w:val="FootnoteReference"/>
        </w:rPr>
        <w:footnoteRef/>
      </w:r>
      <w:r w:rsidR="00821C87" w:rsidRPr="00EB2D01">
        <w:t xml:space="preserve"> For further information, see </w:t>
      </w:r>
      <w:hyperlink r:id="rId16" w:history="1">
        <w:r w:rsidR="00821C87" w:rsidRPr="003151AB">
          <w:rPr>
            <w:rStyle w:val="Hyperlink"/>
            <w:i/>
          </w:rPr>
          <w:t>Guideline Volume 3 of 6: Dealing with access applications</w:t>
        </w:r>
      </w:hyperlink>
      <w:r w:rsidR="00AD5FC5" w:rsidRPr="00EB2D01">
        <w:rPr>
          <w:i/>
        </w:rPr>
        <w:t xml:space="preserve"> and </w:t>
      </w:r>
      <w:hyperlink r:id="rId17" w:history="1">
        <w:r w:rsidR="00BB656B" w:rsidRPr="00B102AB">
          <w:rPr>
            <w:rStyle w:val="Hyperlink"/>
          </w:rPr>
          <w:t>FOI</w:t>
        </w:r>
        <w:r w:rsidR="00B102AB" w:rsidRPr="00B102AB">
          <w:rPr>
            <w:rStyle w:val="Hyperlink"/>
          </w:rPr>
          <w:t> </w:t>
        </w:r>
        <w:r w:rsidR="00BB656B" w:rsidRPr="00B102AB">
          <w:rPr>
            <w:rStyle w:val="Hyperlink"/>
          </w:rPr>
          <w:t>Act</w:t>
        </w:r>
      </w:hyperlink>
      <w:r w:rsidR="00BB656B" w:rsidRPr="00D519A3">
        <w:t xml:space="preserve"> s 100. </w:t>
      </w:r>
    </w:p>
  </w:footnote>
  <w:footnote w:id="15">
    <w:p w14:paraId="407137DF" w14:textId="70009F79" w:rsidR="00EB66D0" w:rsidRPr="00D519A3" w:rsidRDefault="00EB66D0" w:rsidP="00EB66D0">
      <w:pPr>
        <w:pStyle w:val="FootnoteText"/>
      </w:pPr>
      <w:r w:rsidRPr="00D519A3">
        <w:rPr>
          <w:rStyle w:val="FootnoteReference"/>
        </w:rPr>
        <w:footnoteRef/>
      </w:r>
      <w:r w:rsidR="009D49EB">
        <w:t xml:space="preserve"> </w:t>
      </w:r>
      <w:hyperlink r:id="rId18" w:history="1">
        <w:r w:rsidR="00C51519" w:rsidRPr="00B102AB">
          <w:rPr>
            <w:rStyle w:val="Hyperlink"/>
          </w:rPr>
          <w:t>FOI Act</w:t>
        </w:r>
      </w:hyperlink>
      <w:r w:rsidR="00C51519">
        <w:t xml:space="preserve"> </w:t>
      </w:r>
      <w:r w:rsidR="00270FE9" w:rsidRPr="00B102AB">
        <w:t xml:space="preserve">Sch 2, </w:t>
      </w:r>
      <w:r w:rsidR="004E3817" w:rsidRPr="00B102AB">
        <w:t>ss</w:t>
      </w:r>
      <w:r w:rsidR="009D49EB" w:rsidRPr="00B102AB">
        <w:t xml:space="preserve"> 2.2(a</w:t>
      </w:r>
      <w:r w:rsidR="00270FE9" w:rsidRPr="00B102AB">
        <w:t>)(i)-(iii), (vi), (viii)-(xviii)</w:t>
      </w:r>
      <w:r w:rsidR="009D49EB">
        <w:t>.</w:t>
      </w:r>
      <w:r w:rsidRPr="00D519A3">
        <w:t xml:space="preserve"> </w:t>
      </w:r>
    </w:p>
  </w:footnote>
  <w:footnote w:id="16">
    <w:p w14:paraId="52793390" w14:textId="78C1AEDD" w:rsidR="00EB66D0" w:rsidRPr="00D519A3" w:rsidRDefault="00EB66D0" w:rsidP="00EB66D0">
      <w:pPr>
        <w:pStyle w:val="FootnoteText"/>
      </w:pPr>
      <w:r w:rsidRPr="00D519A3">
        <w:rPr>
          <w:rStyle w:val="FootnoteReference"/>
        </w:rPr>
        <w:footnoteRef/>
      </w:r>
      <w:r w:rsidRPr="00D519A3">
        <w:t xml:space="preserve"> </w:t>
      </w:r>
      <w:hyperlink r:id="rId19" w:history="1">
        <w:r w:rsidRPr="00D519A3">
          <w:rPr>
            <w:rStyle w:val="Hyperlink"/>
          </w:rPr>
          <w:t>The Macquarie Online Dictionary</w:t>
        </w:r>
      </w:hyperlink>
      <w:r w:rsidRPr="00D519A3">
        <w:t>, Macquarie Dictionary Publishers, 2019.</w:t>
      </w:r>
    </w:p>
  </w:footnote>
  <w:footnote w:id="17">
    <w:p w14:paraId="340A0BDA" w14:textId="3DE8908F" w:rsidR="004420F0" w:rsidRPr="00D519A3" w:rsidRDefault="004420F0" w:rsidP="004420F0">
      <w:pPr>
        <w:pStyle w:val="FootnoteText"/>
      </w:pPr>
      <w:r w:rsidRPr="00D519A3">
        <w:rPr>
          <w:rStyle w:val="FootnoteReference"/>
        </w:rPr>
        <w:footnoteRef/>
      </w:r>
      <w:r w:rsidRPr="00D519A3">
        <w:t xml:space="preserve"> </w:t>
      </w:r>
      <w:hyperlink r:id="rId20" w:history="1">
        <w:r w:rsidR="00221BDC" w:rsidRPr="00D519A3">
          <w:rPr>
            <w:rStyle w:val="Hyperlink"/>
            <w:i/>
            <w:iCs/>
          </w:rPr>
          <w:t>Bradford and Australian Federal Police (Freedom of information)</w:t>
        </w:r>
        <w:r w:rsidR="00221BDC" w:rsidRPr="00D519A3">
          <w:rPr>
            <w:rStyle w:val="Hyperlink"/>
          </w:rPr>
          <w:t xml:space="preserve"> [2021] AATA 3984</w:t>
        </w:r>
      </w:hyperlink>
      <w:r w:rsidR="00221BDC" w:rsidRPr="00D519A3">
        <w:t xml:space="preserve"> (25 October 2021)</w:t>
      </w:r>
      <w:r w:rsidR="00E9311E" w:rsidRPr="00D519A3">
        <w:t>,</w:t>
      </w:r>
      <w:r w:rsidR="003117BB" w:rsidRPr="00D519A3">
        <w:t xml:space="preserve"> </w:t>
      </w:r>
      <w:r w:rsidR="00221BDC" w:rsidRPr="00D519A3">
        <w:t>[84]</w:t>
      </w:r>
      <w:r w:rsidR="00B102AB">
        <w:t xml:space="preserve"> and </w:t>
      </w:r>
      <w:hyperlink r:id="rId21" w:history="1">
        <w:r w:rsidRPr="00D519A3">
          <w:rPr>
            <w:rStyle w:val="Hyperlink"/>
            <w:i/>
            <w:iCs/>
          </w:rPr>
          <w:t>Bradford and Australian Federal Police</w:t>
        </w:r>
        <w:r w:rsidRPr="00D519A3">
          <w:rPr>
            <w:rStyle w:val="Hyperlink"/>
          </w:rPr>
          <w:t xml:space="preserve"> (Freedom of information) [2016] AATA 775</w:t>
        </w:r>
      </w:hyperlink>
      <w:r w:rsidRPr="00D519A3">
        <w:t xml:space="preserve"> (30 September 2016)</w:t>
      </w:r>
      <w:r w:rsidR="00E9311E" w:rsidRPr="00D519A3">
        <w:t>,</w:t>
      </w:r>
      <w:r w:rsidRPr="00D519A3">
        <w:t xml:space="preserve"> [26</w:t>
      </w:r>
      <w:r w:rsidR="00B915EE" w:rsidRPr="00D519A3">
        <w:t>]-[</w:t>
      </w:r>
      <w:r w:rsidRPr="00D519A3">
        <w:t xml:space="preserve">35].  </w:t>
      </w:r>
    </w:p>
  </w:footnote>
  <w:footnote w:id="18">
    <w:p w14:paraId="458A5715" w14:textId="26D2E3F5" w:rsidR="00AE48F3" w:rsidRPr="00D519A3" w:rsidRDefault="00AE48F3" w:rsidP="00AE48F3">
      <w:pPr>
        <w:pStyle w:val="FootnoteText"/>
      </w:pPr>
      <w:r w:rsidRPr="009B71EE">
        <w:rPr>
          <w:rStyle w:val="FootnoteReference"/>
        </w:rPr>
        <w:footnoteRef/>
      </w:r>
      <w:r w:rsidR="00BF54F6" w:rsidRPr="00D519A3">
        <w:t xml:space="preserve"> </w:t>
      </w:r>
      <w:hyperlink r:id="rId22" w:history="1">
        <w:r w:rsidRPr="00D519A3">
          <w:rPr>
            <w:rStyle w:val="Hyperlink"/>
            <w:i/>
            <w:iCs/>
          </w:rPr>
          <w:t xml:space="preserve">McKinnon v Secretary, Department of Treasury </w:t>
        </w:r>
        <w:r w:rsidRPr="00D519A3">
          <w:rPr>
            <w:rStyle w:val="Hyperlink"/>
          </w:rPr>
          <w:t>[2005] FCAFC 142</w:t>
        </w:r>
      </w:hyperlink>
      <w:r w:rsidR="00E9311E" w:rsidRPr="00250C79">
        <w:rPr>
          <w:rStyle w:val="Hyperlink"/>
          <w:u w:val="none"/>
        </w:rPr>
        <w:t>,</w:t>
      </w:r>
      <w:r w:rsidR="00876F47" w:rsidRPr="00D519A3">
        <w:t xml:space="preserve"> </w:t>
      </w:r>
      <w:r w:rsidRPr="00D519A3">
        <w:t>[9].</w:t>
      </w:r>
    </w:p>
  </w:footnote>
  <w:footnote w:id="19">
    <w:p w14:paraId="673BA69B" w14:textId="46A90C99" w:rsidR="00AE48F3" w:rsidRPr="00D519A3" w:rsidRDefault="00AE48F3" w:rsidP="00AE48F3">
      <w:pPr>
        <w:pStyle w:val="FootnoteText"/>
      </w:pPr>
      <w:r w:rsidRPr="00D519A3">
        <w:rPr>
          <w:rStyle w:val="FootnoteReference"/>
        </w:rPr>
        <w:footnoteRef/>
      </w:r>
      <w:r w:rsidRPr="00D519A3">
        <w:t xml:space="preserve"> </w:t>
      </w:r>
      <w:hyperlink r:id="rId23" w:history="1">
        <w:r w:rsidRPr="00D519A3">
          <w:rPr>
            <w:rStyle w:val="Hyperlink"/>
            <w:i/>
            <w:iCs/>
            <w:lang w:val="en-GB"/>
          </w:rPr>
          <w:t>Sinclair v Maryborough Mining Warden</w:t>
        </w:r>
        <w:r w:rsidRPr="00D519A3">
          <w:rPr>
            <w:rStyle w:val="Hyperlink"/>
            <w:lang w:val="en-GB"/>
          </w:rPr>
          <w:t xml:space="preserve"> [1975] HCA 17</w:t>
        </w:r>
      </w:hyperlink>
      <w:r w:rsidR="00105634" w:rsidRPr="00250C79">
        <w:rPr>
          <w:rStyle w:val="Hyperlink"/>
          <w:u w:val="none"/>
          <w:lang w:val="en-GB"/>
        </w:rPr>
        <w:t xml:space="preserve">, </w:t>
      </w:r>
      <w:r w:rsidRPr="00D519A3">
        <w:rPr>
          <w:lang w:val="en-GB"/>
        </w:rPr>
        <w:t>[3]; (1975) 132 CLR 473</w:t>
      </w:r>
      <w:r w:rsidR="003E5421">
        <w:rPr>
          <w:lang w:val="en-GB"/>
        </w:rPr>
        <w:t>,</w:t>
      </w:r>
      <w:r w:rsidRPr="00D519A3">
        <w:rPr>
          <w:lang w:val="en-GB"/>
        </w:rPr>
        <w:t xml:space="preserve"> [480].</w:t>
      </w:r>
    </w:p>
  </w:footnote>
  <w:footnote w:id="20">
    <w:p w14:paraId="76736A50" w14:textId="6EA46AF6" w:rsidR="00AE48F3" w:rsidRPr="00D519A3" w:rsidRDefault="00AE48F3" w:rsidP="00AE48F3">
      <w:pPr>
        <w:pStyle w:val="FootnoteText"/>
      </w:pPr>
      <w:r w:rsidRPr="00D519A3">
        <w:rPr>
          <w:rStyle w:val="FootnoteReference"/>
        </w:rPr>
        <w:footnoteRef/>
      </w:r>
      <w:r w:rsidRPr="00D519A3">
        <w:t xml:space="preserve"> </w:t>
      </w:r>
      <w:r w:rsidR="00D8209C" w:rsidRPr="00D519A3">
        <w:t>Office of the Australian Information Commissioner, ‘</w:t>
      </w:r>
      <w:hyperlink r:id="rId24" w:history="1">
        <w:r w:rsidR="00D8209C" w:rsidRPr="00D519A3">
          <w:rPr>
            <w:rStyle w:val="Hyperlink"/>
          </w:rPr>
          <w:t>Part 6: Conditional exemptions’</w:t>
        </w:r>
      </w:hyperlink>
      <w:r w:rsidR="00D8209C" w:rsidRPr="00D519A3">
        <w:t xml:space="preserve">, </w:t>
      </w:r>
      <w:r w:rsidR="00D8209C" w:rsidRPr="00D519A3">
        <w:rPr>
          <w:i/>
          <w:iCs/>
        </w:rPr>
        <w:t>Freedom of Information guidelines</w:t>
      </w:r>
      <w:r w:rsidRPr="00D519A3">
        <w:t xml:space="preserve"> (3 December 2016)</w:t>
      </w:r>
      <w:r w:rsidR="00E9311E" w:rsidRPr="00D519A3">
        <w:t>,</w:t>
      </w:r>
      <w:r w:rsidRPr="00D519A3">
        <w:t xml:space="preserve"> [6.6]. </w:t>
      </w:r>
    </w:p>
  </w:footnote>
  <w:footnote w:id="21">
    <w:p w14:paraId="44C26F61" w14:textId="61DCFBD9" w:rsidR="00AE48F3" w:rsidRPr="00D519A3" w:rsidRDefault="00AE48F3" w:rsidP="00AE48F3">
      <w:pPr>
        <w:pStyle w:val="FootnoteText"/>
      </w:pPr>
      <w:r w:rsidRPr="00D519A3">
        <w:rPr>
          <w:rStyle w:val="FootnoteReference"/>
        </w:rPr>
        <w:footnoteRef/>
      </w:r>
      <w:r w:rsidR="009D49EB" w:rsidRPr="00D519A3">
        <w:t xml:space="preserve"> </w:t>
      </w:r>
      <w:r w:rsidR="00D86C80" w:rsidRPr="00D519A3">
        <w:t>Office of the Information Commissioner Queensland</w:t>
      </w:r>
      <w:r w:rsidR="000B2BC1" w:rsidRPr="00D519A3">
        <w:t>, ‘</w:t>
      </w:r>
      <w:hyperlink r:id="rId25" w:history="1">
        <w:r w:rsidR="002766F7" w:rsidRPr="00D519A3">
          <w:rPr>
            <w:rStyle w:val="Hyperlink"/>
          </w:rPr>
          <w:t>How to balance the public interest’</w:t>
        </w:r>
      </w:hyperlink>
      <w:r w:rsidR="000B2BC1" w:rsidRPr="00D519A3">
        <w:t>,</w:t>
      </w:r>
      <w:r w:rsidR="000B2BC1" w:rsidRPr="00D519A3">
        <w:rPr>
          <w:i/>
          <w:iCs/>
        </w:rPr>
        <w:t xml:space="preserve"> </w:t>
      </w:r>
      <w:r w:rsidR="0001233D" w:rsidRPr="00D519A3">
        <w:rPr>
          <w:i/>
          <w:iCs/>
        </w:rPr>
        <w:t xml:space="preserve">Decision making </w:t>
      </w:r>
      <w:r w:rsidR="0001233D" w:rsidRPr="00D519A3">
        <w:t xml:space="preserve">(Guideline, </w:t>
      </w:r>
      <w:r w:rsidR="005C5562" w:rsidRPr="00D519A3">
        <w:t>17 April 2023)</w:t>
      </w:r>
      <w:r w:rsidR="00A84584" w:rsidRPr="00D519A3">
        <w:t xml:space="preserve">. </w:t>
      </w:r>
    </w:p>
  </w:footnote>
  <w:footnote w:id="22">
    <w:p w14:paraId="498BE8E6" w14:textId="503F8C5A" w:rsidR="00EB66D0" w:rsidRPr="00D519A3" w:rsidRDefault="00EB66D0" w:rsidP="00EB66D0">
      <w:pPr>
        <w:pStyle w:val="FootnoteText"/>
      </w:pPr>
      <w:r w:rsidRPr="00D519A3">
        <w:rPr>
          <w:rStyle w:val="FootnoteReference"/>
        </w:rPr>
        <w:footnoteRef/>
      </w:r>
      <w:r w:rsidRPr="00D519A3">
        <w:t xml:space="preserve"> </w:t>
      </w:r>
      <w:hyperlink r:id="rId26" w:history="1">
        <w:r w:rsidRPr="00D519A3">
          <w:rPr>
            <w:rStyle w:val="Hyperlink"/>
            <w:i/>
            <w:iCs/>
          </w:rPr>
          <w:t>Johansen v City Mutual Life Assurance Society Ltd</w:t>
        </w:r>
        <w:r w:rsidRPr="00D519A3">
          <w:rPr>
            <w:rStyle w:val="Hyperlink"/>
          </w:rPr>
          <w:t xml:space="preserve"> (1904) 2 CLR 186</w:t>
        </w:r>
      </w:hyperlink>
      <w:r w:rsidR="001962EE" w:rsidRPr="00D519A3">
        <w:t>,</w:t>
      </w:r>
      <w:r w:rsidRPr="00D519A3">
        <w:t xml:space="preserve"> [188].</w:t>
      </w:r>
    </w:p>
  </w:footnote>
  <w:footnote w:id="23">
    <w:p w14:paraId="1772A5AF" w14:textId="4E8F23B7" w:rsidR="00EB66D0" w:rsidRPr="00D519A3" w:rsidRDefault="00EB66D0" w:rsidP="00EB66D0">
      <w:pPr>
        <w:pStyle w:val="FootnoteText"/>
      </w:pPr>
      <w:r w:rsidRPr="00D519A3">
        <w:rPr>
          <w:rStyle w:val="FootnoteReference"/>
        </w:rPr>
        <w:footnoteRef/>
      </w:r>
      <w:r w:rsidRPr="00D519A3">
        <w:t xml:space="preserve"> </w:t>
      </w:r>
      <w:hyperlink r:id="rId27" w:history="1">
        <w:r w:rsidRPr="00D519A3">
          <w:rPr>
            <w:rStyle w:val="Hyperlink"/>
            <w:i/>
          </w:rPr>
          <w:t xml:space="preserve">DPP v Smith </w:t>
        </w:r>
        <w:r w:rsidRPr="00D519A3">
          <w:rPr>
            <w:rStyle w:val="Hyperlink"/>
          </w:rPr>
          <w:t>[1991] 1 VR 63</w:t>
        </w:r>
      </w:hyperlink>
      <w:r w:rsidR="001962EE" w:rsidRPr="00D519A3">
        <w:t>,</w:t>
      </w:r>
      <w:r w:rsidRPr="00D519A3">
        <w:t xml:space="preserve"> [75].</w:t>
      </w:r>
    </w:p>
  </w:footnote>
  <w:footnote w:id="24">
    <w:p w14:paraId="244AF428" w14:textId="699D65E8" w:rsidR="00EB66D0" w:rsidRPr="00D519A3" w:rsidRDefault="00EB66D0" w:rsidP="00EB66D0">
      <w:pPr>
        <w:pStyle w:val="FootnoteText"/>
      </w:pPr>
      <w:r w:rsidRPr="00D519A3">
        <w:rPr>
          <w:rStyle w:val="FootnoteReference"/>
        </w:rPr>
        <w:footnoteRef/>
      </w:r>
      <w:r w:rsidRPr="00D519A3">
        <w:t xml:space="preserve"> </w:t>
      </w:r>
      <w:hyperlink r:id="rId28" w:history="1">
        <w:r w:rsidRPr="00D519A3">
          <w:rPr>
            <w:rStyle w:val="Hyperlink"/>
            <w:i/>
          </w:rPr>
          <w:t xml:space="preserve">Community and Public Sector Union and Chief Minister, Treasury and Economic Development Directorate </w:t>
        </w:r>
        <w:r w:rsidRPr="00D519A3">
          <w:rPr>
            <w:rStyle w:val="Hyperlink"/>
          </w:rPr>
          <w:t>[2018] ACTOFOI 7</w:t>
        </w:r>
        <w:r w:rsidRPr="00D519A3">
          <w:rPr>
            <w:rStyle w:val="Hyperlink"/>
            <w:i/>
          </w:rPr>
          <w:t xml:space="preserve"> </w:t>
        </w:r>
        <w:r w:rsidRPr="00D519A3">
          <w:rPr>
            <w:rStyle w:val="Hyperlink"/>
          </w:rPr>
          <w:t>(14 November 2018)</w:t>
        </w:r>
      </w:hyperlink>
      <w:r w:rsidR="00BA31DD" w:rsidRPr="00D519A3">
        <w:rPr>
          <w:rStyle w:val="Hyperlink"/>
          <w:color w:val="auto"/>
          <w:u w:val="none"/>
        </w:rPr>
        <w:t>,</w:t>
      </w:r>
      <w:r w:rsidRPr="00D519A3">
        <w:t xml:space="preserve"> [31]</w:t>
      </w:r>
      <w:r w:rsidR="00D712CF" w:rsidRPr="00D519A3">
        <w:t>-[33]</w:t>
      </w:r>
      <w:r w:rsidRPr="00D519A3">
        <w:t xml:space="preserve">; </w:t>
      </w:r>
      <w:hyperlink r:id="rId29" w:history="1">
        <w:r w:rsidRPr="00D519A3">
          <w:rPr>
            <w:rStyle w:val="Hyperlink"/>
            <w:i/>
          </w:rPr>
          <w:t xml:space="preserve">Abbot Point Bulkcoal Pty Ltd and Department of Environment and Science; Mackay Conservation Group Inc (Third Party) </w:t>
        </w:r>
        <w:r w:rsidRPr="00D519A3">
          <w:rPr>
            <w:rStyle w:val="Hyperlink"/>
          </w:rPr>
          <w:t>[2018] QICmr 26</w:t>
        </w:r>
      </w:hyperlink>
      <w:r w:rsidR="00A20A7D" w:rsidRPr="00D519A3">
        <w:rPr>
          <w:i/>
        </w:rPr>
        <w:t>,</w:t>
      </w:r>
      <w:r w:rsidRPr="00D519A3">
        <w:t xml:space="preserve"> [18]. </w:t>
      </w:r>
    </w:p>
  </w:footnote>
  <w:footnote w:id="25">
    <w:p w14:paraId="6A85643E" w14:textId="0FAA8401" w:rsidR="00EB66D0" w:rsidRPr="00D519A3" w:rsidRDefault="00EB66D0" w:rsidP="00EB66D0">
      <w:pPr>
        <w:pStyle w:val="FootnoteText"/>
      </w:pPr>
      <w:r w:rsidRPr="00D519A3">
        <w:rPr>
          <w:rStyle w:val="FootnoteReference"/>
        </w:rPr>
        <w:footnoteRef/>
      </w:r>
      <w:r w:rsidRPr="00D519A3">
        <w:t xml:space="preserve"> </w:t>
      </w:r>
      <w:hyperlink r:id="rId30" w:history="1">
        <w:r w:rsidR="00403F6D" w:rsidRPr="00D519A3">
          <w:rPr>
            <w:rStyle w:val="Hyperlink"/>
          </w:rPr>
          <w:t>[2019] ACTOFOI 8 (5 June 2019)</w:t>
        </w:r>
      </w:hyperlink>
      <w:r w:rsidR="00403F6D" w:rsidRPr="00D519A3">
        <w:t xml:space="preserve">, [50]. </w:t>
      </w:r>
    </w:p>
  </w:footnote>
  <w:footnote w:id="26">
    <w:p w14:paraId="1A6383D4" w14:textId="6522F214" w:rsidR="00EB66D0" w:rsidRPr="00D519A3" w:rsidRDefault="00EB66D0" w:rsidP="00EB66D0">
      <w:pPr>
        <w:pStyle w:val="FootnoteText"/>
      </w:pPr>
      <w:r w:rsidRPr="00D519A3">
        <w:rPr>
          <w:rStyle w:val="FootnoteReference"/>
        </w:rPr>
        <w:footnoteRef/>
      </w:r>
      <w:r w:rsidRPr="00D519A3">
        <w:t xml:space="preserve"> </w:t>
      </w:r>
      <w:hyperlink r:id="rId31" w:history="1">
        <w:r w:rsidRPr="00D519A3">
          <w:rPr>
            <w:rStyle w:val="Hyperlink"/>
            <w:i/>
            <w:iCs/>
          </w:rPr>
          <w:t xml:space="preserve">Murphy and Treasury Department </w:t>
        </w:r>
        <w:r w:rsidRPr="00D519A3">
          <w:rPr>
            <w:rStyle w:val="Hyperlink"/>
          </w:rPr>
          <w:t>(1995) 2 QAR 744</w:t>
        </w:r>
      </w:hyperlink>
      <w:r w:rsidR="00216BAD" w:rsidRPr="00D519A3">
        <w:t xml:space="preserve">, </w:t>
      </w:r>
      <w:r w:rsidRPr="00D519A3">
        <w:t xml:space="preserve">[44], citing </w:t>
      </w:r>
      <w:hyperlink r:id="rId32" w:history="1">
        <w:r w:rsidRPr="00D519A3">
          <w:rPr>
            <w:rStyle w:val="Hyperlink"/>
            <w:i/>
            <w:iCs/>
          </w:rPr>
          <w:t xml:space="preserve">Re B and Brisbane North Regional </w:t>
        </w:r>
        <w:r w:rsidRPr="00D519A3">
          <w:rPr>
            <w:rStyle w:val="Hyperlink"/>
            <w:rFonts w:ascii="Calibri" w:eastAsiaTheme="minorHAnsi" w:hAnsi="Calibri" w:cs="Calibri"/>
            <w:i/>
            <w:iCs/>
          </w:rPr>
          <w:t xml:space="preserve">Health Authority </w:t>
        </w:r>
        <w:r w:rsidRPr="00D519A3">
          <w:rPr>
            <w:rStyle w:val="Hyperlink"/>
            <w:rFonts w:ascii="Calibri" w:eastAsiaTheme="minorHAnsi" w:hAnsi="Calibri" w:cs="Calibri"/>
          </w:rPr>
          <w:t>(1994) 1 QAR 279</w:t>
        </w:r>
      </w:hyperlink>
      <w:r w:rsidR="00225681" w:rsidRPr="00D519A3">
        <w:rPr>
          <w:i/>
          <w:iCs/>
        </w:rPr>
        <w:t>,</w:t>
      </w:r>
      <w:r w:rsidRPr="00D519A3">
        <w:rPr>
          <w:rFonts w:ascii="Calibri" w:eastAsiaTheme="minorHAnsi" w:hAnsi="Calibri" w:cs="Calibri"/>
          <w:color w:val="000000"/>
        </w:rPr>
        <w:t xml:space="preserve"> [160].</w:t>
      </w:r>
      <w:r w:rsidRPr="00D519A3">
        <w:rPr>
          <w:rFonts w:ascii="Calibri" w:eastAsiaTheme="minorHAnsi" w:hAnsi="Calibri" w:cs="Calibri"/>
          <w:color w:val="000000"/>
          <w:sz w:val="18"/>
          <w:szCs w:val="18"/>
        </w:rPr>
        <w:t xml:space="preserve"> </w:t>
      </w:r>
      <w:r w:rsidRPr="00D519A3">
        <w:rPr>
          <w:rFonts w:ascii="Calibri" w:eastAsiaTheme="minorHAnsi" w:hAnsi="Calibri" w:cs="Calibri"/>
          <w:color w:val="000000"/>
          <w:sz w:val="24"/>
          <w:szCs w:val="24"/>
        </w:rPr>
        <w:t xml:space="preserve"> </w:t>
      </w:r>
    </w:p>
  </w:footnote>
  <w:footnote w:id="27">
    <w:p w14:paraId="38FE4251" w14:textId="082827E7" w:rsidR="00516B20" w:rsidRPr="00D519A3" w:rsidRDefault="00516B20">
      <w:pPr>
        <w:pStyle w:val="FootnoteText"/>
      </w:pPr>
      <w:r w:rsidRPr="00D519A3">
        <w:rPr>
          <w:rStyle w:val="FootnoteReference"/>
        </w:rPr>
        <w:footnoteRef/>
      </w:r>
      <w:r w:rsidRPr="00D519A3">
        <w:t xml:space="preserve"> </w:t>
      </w:r>
      <w:hyperlink r:id="rId33" w:history="1">
        <w:r w:rsidR="006B12E4" w:rsidRPr="00792889">
          <w:rPr>
            <w:rStyle w:val="Hyperlink"/>
          </w:rPr>
          <w:t>FOI Act</w:t>
        </w:r>
      </w:hyperlink>
      <w:r w:rsidR="006B12E4" w:rsidRPr="00D519A3">
        <w:t xml:space="preserve"> s 16(2). </w:t>
      </w:r>
    </w:p>
  </w:footnote>
  <w:footnote w:id="28">
    <w:p w14:paraId="600117D9" w14:textId="0B65DDFC" w:rsidR="006B12E4" w:rsidRPr="00D519A3" w:rsidRDefault="006B12E4" w:rsidP="006B12E4">
      <w:pPr>
        <w:pStyle w:val="FootnoteText"/>
      </w:pPr>
      <w:r w:rsidRPr="00D519A3">
        <w:rPr>
          <w:rStyle w:val="FootnoteReference"/>
        </w:rPr>
        <w:footnoteRef/>
      </w:r>
      <w:r w:rsidRPr="00D519A3">
        <w:t xml:space="preserve"> </w:t>
      </w:r>
      <w:hyperlink r:id="rId34" w:history="1">
        <w:r w:rsidRPr="00792889">
          <w:rPr>
            <w:rStyle w:val="Hyperlink"/>
          </w:rPr>
          <w:t>FOI Act</w:t>
        </w:r>
      </w:hyperlink>
      <w:r w:rsidRPr="00D519A3">
        <w:t xml:space="preserve"> s 103.</w:t>
      </w:r>
    </w:p>
  </w:footnote>
  <w:footnote w:id="29">
    <w:p w14:paraId="0EA5CD80" w14:textId="27B8FBBC" w:rsidR="009D49EB" w:rsidRPr="00D519A3" w:rsidRDefault="009D49EB" w:rsidP="00E71C33">
      <w:pPr>
        <w:pStyle w:val="FootnoteText"/>
        <w:ind w:right="-164"/>
        <w:rPr>
          <w:color w:val="000000" w:themeColor="text1"/>
        </w:rPr>
      </w:pPr>
      <w:r w:rsidRPr="00D519A3">
        <w:rPr>
          <w:rStyle w:val="FootnoteReference"/>
        </w:rPr>
        <w:footnoteRef/>
      </w:r>
      <w:r w:rsidR="008361D2" w:rsidRPr="00D519A3">
        <w:rPr>
          <w:i/>
        </w:rPr>
        <w:t xml:space="preserve"> </w:t>
      </w:r>
      <w:hyperlink r:id="rId35" w:history="1">
        <w:r w:rsidRPr="00D519A3">
          <w:rPr>
            <w:rStyle w:val="Hyperlink"/>
            <w:i/>
          </w:rPr>
          <w:t xml:space="preserve">Henderson and Department of Education </w:t>
        </w:r>
        <w:r w:rsidR="00FB093A" w:rsidRPr="00D519A3">
          <w:rPr>
            <w:rStyle w:val="Hyperlink"/>
          </w:rPr>
          <w:t>[1997] QICmr 28</w:t>
        </w:r>
        <w:r w:rsidRPr="00D519A3">
          <w:rPr>
            <w:rStyle w:val="Hyperlink"/>
          </w:rPr>
          <w:t xml:space="preserve"> </w:t>
        </w:r>
        <w:r w:rsidR="00FB093A" w:rsidRPr="00D519A3">
          <w:rPr>
            <w:rStyle w:val="Hyperlink"/>
          </w:rPr>
          <w:t>(</w:t>
        </w:r>
        <w:r w:rsidRPr="00D519A3">
          <w:rPr>
            <w:rStyle w:val="Hyperlink"/>
          </w:rPr>
          <w:t>22 July 1997)</w:t>
        </w:r>
      </w:hyperlink>
      <w:r w:rsidR="00337270" w:rsidRPr="00D519A3">
        <w:t xml:space="preserve">, </w:t>
      </w:r>
      <w:r w:rsidRPr="00D519A3">
        <w:t>[23]</w:t>
      </w:r>
      <w:r w:rsidR="00337270" w:rsidRPr="00D519A3">
        <w:t xml:space="preserve"> </w:t>
      </w:r>
      <w:r w:rsidRPr="00D519A3">
        <w:t xml:space="preserve">cited in </w:t>
      </w:r>
      <w:hyperlink r:id="rId36" w:history="1">
        <w:r w:rsidRPr="00D519A3">
          <w:rPr>
            <w:rStyle w:val="Hyperlink"/>
            <w:i/>
          </w:rPr>
          <w:t>Deery Hotels Pty Limited and Department of Justice and Attorney-General</w:t>
        </w:r>
        <w:r w:rsidRPr="00D519A3">
          <w:rPr>
            <w:rStyle w:val="Hyperlink"/>
          </w:rPr>
          <w:t xml:space="preserve"> [2012] QICmr 55</w:t>
        </w:r>
      </w:hyperlink>
      <w:r w:rsidR="002E5851" w:rsidRPr="00D519A3">
        <w:rPr>
          <w:i/>
        </w:rPr>
        <w:t>,</w:t>
      </w:r>
      <w:r w:rsidRPr="00D519A3">
        <w:rPr>
          <w:color w:val="000000" w:themeColor="text1"/>
        </w:rPr>
        <w:t xml:space="preserve"> [22].</w:t>
      </w:r>
    </w:p>
  </w:footnote>
  <w:footnote w:id="30">
    <w:p w14:paraId="541E2BA5" w14:textId="7B62C9E3" w:rsidR="009D49EB" w:rsidRPr="00D519A3" w:rsidRDefault="009D49EB">
      <w:pPr>
        <w:pStyle w:val="FootnoteText"/>
        <w:rPr>
          <w:rFonts w:cstheme="minorHAnsi"/>
          <w:color w:val="000000" w:themeColor="text1"/>
        </w:rPr>
      </w:pPr>
      <w:r w:rsidRPr="00D519A3">
        <w:rPr>
          <w:rStyle w:val="FootnoteReference"/>
          <w:color w:val="000000" w:themeColor="text1"/>
        </w:rPr>
        <w:footnoteRef/>
      </w:r>
      <w:r w:rsidRPr="00D519A3">
        <w:rPr>
          <w:color w:val="000000" w:themeColor="text1"/>
        </w:rPr>
        <w:t xml:space="preserve"> </w:t>
      </w:r>
      <w:hyperlink r:id="rId37" w:history="1">
        <w:r w:rsidRPr="00D519A3">
          <w:rPr>
            <w:rStyle w:val="Hyperlink"/>
            <w:rFonts w:cstheme="minorHAnsi"/>
            <w:i/>
            <w:iCs/>
          </w:rPr>
          <w:t>Hendersen and Department of Education</w:t>
        </w:r>
        <w:r w:rsidR="00955C5C" w:rsidRPr="00D519A3">
          <w:rPr>
            <w:rStyle w:val="Hyperlink"/>
            <w:rFonts w:cstheme="minorHAnsi"/>
          </w:rPr>
          <w:t xml:space="preserve"> </w:t>
        </w:r>
        <w:r w:rsidR="00FB093A" w:rsidRPr="00D519A3">
          <w:rPr>
            <w:rStyle w:val="Hyperlink"/>
            <w:rFonts w:cstheme="minorHAnsi"/>
          </w:rPr>
          <w:t>[1997] QICmr (</w:t>
        </w:r>
        <w:r w:rsidRPr="00D519A3">
          <w:rPr>
            <w:rStyle w:val="Hyperlink"/>
            <w:rFonts w:cstheme="minorHAnsi"/>
          </w:rPr>
          <w:t>22 July 1997)</w:t>
        </w:r>
      </w:hyperlink>
      <w:r w:rsidR="00FB093A" w:rsidRPr="00D519A3">
        <w:rPr>
          <w:rFonts w:cstheme="minorHAnsi"/>
          <w:color w:val="000000" w:themeColor="text1"/>
        </w:rPr>
        <w:t xml:space="preserve">, </w:t>
      </w:r>
      <w:r w:rsidRPr="00D519A3">
        <w:rPr>
          <w:rFonts w:cstheme="minorHAnsi"/>
          <w:color w:val="000000" w:themeColor="text1"/>
        </w:rPr>
        <w:t>[24].</w:t>
      </w:r>
    </w:p>
  </w:footnote>
  <w:footnote w:id="31">
    <w:p w14:paraId="21E7D7F6" w14:textId="263C54DF" w:rsidR="009D49EB" w:rsidRPr="00D519A3" w:rsidRDefault="009D49EB">
      <w:pPr>
        <w:pStyle w:val="FootnoteText"/>
        <w:rPr>
          <w:color w:val="000000" w:themeColor="text1"/>
        </w:rPr>
      </w:pPr>
      <w:r w:rsidRPr="00D519A3">
        <w:rPr>
          <w:rStyle w:val="FootnoteReference"/>
          <w:rFonts w:cstheme="minorHAnsi"/>
          <w:color w:val="000000" w:themeColor="text1"/>
        </w:rPr>
        <w:footnoteRef/>
      </w:r>
      <w:r w:rsidRPr="00D519A3">
        <w:rPr>
          <w:rFonts w:cstheme="minorHAnsi"/>
          <w:color w:val="000000" w:themeColor="text1"/>
        </w:rPr>
        <w:t xml:space="preserve"> </w:t>
      </w:r>
      <w:hyperlink r:id="rId38" w:history="1">
        <w:r w:rsidRPr="00D519A3">
          <w:rPr>
            <w:rStyle w:val="Hyperlink"/>
            <w:rFonts w:cstheme="minorHAnsi"/>
            <w:i/>
            <w:iCs/>
          </w:rPr>
          <w:t xml:space="preserve">Sibelco Australia Ltd and Department of Natural Resources and Mines </w:t>
        </w:r>
        <w:r w:rsidRPr="00D519A3">
          <w:rPr>
            <w:rStyle w:val="Hyperlink"/>
            <w:rFonts w:cstheme="minorHAnsi"/>
          </w:rPr>
          <w:t>(</w:t>
        </w:r>
        <w:r w:rsidR="008361D2" w:rsidRPr="00D519A3">
          <w:rPr>
            <w:rStyle w:val="Hyperlink"/>
            <w:rFonts w:cstheme="minorHAnsi"/>
          </w:rPr>
          <w:t>U</w:t>
        </w:r>
        <w:r w:rsidRPr="00D519A3">
          <w:rPr>
            <w:rStyle w:val="Hyperlink"/>
            <w:rFonts w:cstheme="minorHAnsi"/>
          </w:rPr>
          <w:t>nreported, Queensland Information Commissioner, 15 March 2013)</w:t>
        </w:r>
      </w:hyperlink>
      <w:r w:rsidR="002D416B" w:rsidRPr="00D519A3">
        <w:rPr>
          <w:rFonts w:cstheme="minorHAnsi"/>
          <w:color w:val="000000" w:themeColor="text1"/>
        </w:rPr>
        <w:t>,</w:t>
      </w:r>
      <w:r w:rsidRPr="00D519A3">
        <w:rPr>
          <w:rFonts w:cstheme="minorHAnsi"/>
          <w:color w:val="000000" w:themeColor="text1"/>
        </w:rPr>
        <w:t xml:space="preserve"> [25].</w:t>
      </w:r>
    </w:p>
  </w:footnote>
  <w:footnote w:id="32">
    <w:p w14:paraId="776E014C" w14:textId="34A85B23" w:rsidR="009D49EB" w:rsidRPr="00D519A3" w:rsidRDefault="009D49EB" w:rsidP="00F71E05">
      <w:pPr>
        <w:pStyle w:val="FootnoteText"/>
      </w:pPr>
      <w:r w:rsidRPr="00D519A3">
        <w:rPr>
          <w:rStyle w:val="FootnoteReference"/>
        </w:rPr>
        <w:footnoteRef/>
      </w:r>
      <w:r w:rsidR="00D91649" w:rsidRPr="00D519A3">
        <w:t xml:space="preserve"> </w:t>
      </w:r>
      <w:hyperlink r:id="rId39" w:history="1">
        <w:r w:rsidRPr="00D519A3">
          <w:rPr>
            <w:rStyle w:val="Hyperlink"/>
            <w:i/>
          </w:rPr>
          <w:t xml:space="preserve">Re KJ Aldred and Department of Prime Minister and Cabinet </w:t>
        </w:r>
        <w:r w:rsidRPr="00D519A3">
          <w:rPr>
            <w:rStyle w:val="Hyperlink"/>
          </w:rPr>
          <w:t>[1989] AATA 148</w:t>
        </w:r>
      </w:hyperlink>
      <w:r w:rsidR="002D416B" w:rsidRPr="00D519A3">
        <w:t>,</w:t>
      </w:r>
      <w:r w:rsidRPr="00D519A3">
        <w:t xml:space="preserve"> [13]. </w:t>
      </w:r>
    </w:p>
  </w:footnote>
  <w:footnote w:id="33">
    <w:p w14:paraId="5234CA41" w14:textId="18A9528A" w:rsidR="009D49EB" w:rsidRPr="00D519A3" w:rsidRDefault="009D49EB" w:rsidP="00F71E05">
      <w:pPr>
        <w:pStyle w:val="FootnoteText"/>
      </w:pPr>
      <w:r w:rsidRPr="00D519A3">
        <w:rPr>
          <w:rStyle w:val="FootnoteReference"/>
        </w:rPr>
        <w:footnoteRef/>
      </w:r>
      <w:r w:rsidRPr="00D519A3">
        <w:t xml:space="preserve"> </w:t>
      </w:r>
      <w:hyperlink r:id="rId40" w:history="1">
        <w:r w:rsidRPr="00D519A3">
          <w:rPr>
            <w:rStyle w:val="Hyperlink"/>
            <w:i/>
          </w:rPr>
          <w:t>Legislation Act 200</w:t>
        </w:r>
        <w:r w:rsidR="00F03AB0" w:rsidRPr="00D519A3">
          <w:rPr>
            <w:rStyle w:val="Hyperlink"/>
            <w:i/>
          </w:rPr>
          <w:t>1</w:t>
        </w:r>
        <w:r w:rsidR="00F03AB0" w:rsidRPr="00D519A3">
          <w:rPr>
            <w:rStyle w:val="Hyperlink"/>
          </w:rPr>
          <w:t xml:space="preserve"> </w:t>
        </w:r>
        <w:r w:rsidR="009B50E3" w:rsidRPr="00D519A3">
          <w:rPr>
            <w:rStyle w:val="Hyperlink"/>
          </w:rPr>
          <w:t>(</w:t>
        </w:r>
        <w:r w:rsidR="00F03AB0" w:rsidRPr="00D519A3">
          <w:rPr>
            <w:rStyle w:val="Hyperlink"/>
          </w:rPr>
          <w:t>ACT</w:t>
        </w:r>
        <w:r w:rsidR="009B50E3" w:rsidRPr="00D519A3">
          <w:rPr>
            <w:rStyle w:val="Hyperlink"/>
          </w:rPr>
          <w:t>)</w:t>
        </w:r>
      </w:hyperlink>
      <w:r w:rsidR="007802B6" w:rsidRPr="007802B6">
        <w:t xml:space="preserve"> </w:t>
      </w:r>
      <w:r w:rsidR="007802B6" w:rsidRPr="00D519A3">
        <w:t>(‘Legislation Act’</w:t>
      </w:r>
      <w:r w:rsidR="007802B6">
        <w:t>)</w:t>
      </w:r>
      <w:r w:rsidRPr="00D519A3">
        <w:t xml:space="preserve"> Dictionary </w:t>
      </w:r>
      <w:r w:rsidR="000B3E84" w:rsidRPr="00D519A3">
        <w:t>pt 1 (definition of ‘tribunal’)</w:t>
      </w:r>
      <w:r w:rsidR="007802B6">
        <w:t>.</w:t>
      </w:r>
      <w:r w:rsidR="00566166" w:rsidRPr="00D519A3">
        <w:t xml:space="preserve"> </w:t>
      </w:r>
    </w:p>
  </w:footnote>
  <w:footnote w:id="34">
    <w:p w14:paraId="4E3FFB66" w14:textId="629017A8" w:rsidR="009D49EB" w:rsidRPr="00D519A3" w:rsidRDefault="009D49EB" w:rsidP="00F71E05">
      <w:pPr>
        <w:pStyle w:val="FootnoteText"/>
      </w:pPr>
      <w:r w:rsidRPr="00D519A3">
        <w:rPr>
          <w:rStyle w:val="FootnoteReference"/>
        </w:rPr>
        <w:footnoteRef/>
      </w:r>
      <w:r w:rsidRPr="00D519A3">
        <w:t xml:space="preserve"> </w:t>
      </w:r>
      <w:hyperlink r:id="rId41" w:history="1">
        <w:r w:rsidRPr="00D519A3">
          <w:rPr>
            <w:rStyle w:val="Hyperlink"/>
            <w:i/>
          </w:rPr>
          <w:t xml:space="preserve">Parliamentary Privileges Act 1987 </w:t>
        </w:r>
        <w:r w:rsidR="00C13908" w:rsidRPr="00D519A3">
          <w:rPr>
            <w:rStyle w:val="Hyperlink"/>
          </w:rPr>
          <w:t>(Cth)</w:t>
        </w:r>
      </w:hyperlink>
      <w:r w:rsidR="00EF4709" w:rsidRPr="00D519A3">
        <w:t xml:space="preserve"> </w:t>
      </w:r>
      <w:r w:rsidR="00F50032" w:rsidRPr="00D519A3">
        <w:t>s</w:t>
      </w:r>
      <w:r w:rsidR="00C13908" w:rsidRPr="00D519A3">
        <w:t xml:space="preserve"> 16(2). The </w:t>
      </w:r>
      <w:r w:rsidRPr="00D519A3">
        <w:t>parliamentary privileges of the Legislative Assembly are the same of those of the Commonwealth Parliament</w:t>
      </w:r>
      <w:r w:rsidR="001C4018">
        <w:t>,</w:t>
      </w:r>
      <w:r w:rsidR="00601EE7">
        <w:t xml:space="preserve"> s</w:t>
      </w:r>
      <w:r w:rsidR="002F34F9" w:rsidRPr="00D519A3">
        <w:t xml:space="preserve">ee </w:t>
      </w:r>
      <w:hyperlink r:id="rId42" w:history="1">
        <w:r w:rsidRPr="00E960D1">
          <w:rPr>
            <w:rStyle w:val="Hyperlink"/>
            <w:i/>
          </w:rPr>
          <w:t xml:space="preserve">Australian Capital Territory (Self-Government) Act 1988 </w:t>
        </w:r>
        <w:r w:rsidRPr="00E960D1">
          <w:rPr>
            <w:rStyle w:val="Hyperlink"/>
          </w:rPr>
          <w:t>(Cth)</w:t>
        </w:r>
      </w:hyperlink>
      <w:r w:rsidR="004D4A58" w:rsidRPr="00D519A3">
        <w:t xml:space="preserve"> s</w:t>
      </w:r>
      <w:r w:rsidR="001C4018">
        <w:t> </w:t>
      </w:r>
      <w:r w:rsidR="002275C4">
        <w:t>24</w:t>
      </w:r>
      <w:r w:rsidR="00601EE7">
        <w:t>.</w:t>
      </w:r>
      <w:r w:rsidR="00601EE7" w:rsidRPr="006F5CD6">
        <w:t xml:space="preserve"> </w:t>
      </w:r>
      <w:r w:rsidR="00601EE7">
        <w:t>See also</w:t>
      </w:r>
      <w:r w:rsidRPr="00D519A3">
        <w:t xml:space="preserve"> </w:t>
      </w:r>
      <w:hyperlink r:id="rId43" w:history="1">
        <w:r w:rsidRPr="006D572E">
          <w:rPr>
            <w:rStyle w:val="Hyperlink"/>
            <w:i/>
          </w:rPr>
          <w:t xml:space="preserve">Parliament of Queensland Act 2001 </w:t>
        </w:r>
        <w:r w:rsidRPr="006D572E">
          <w:rPr>
            <w:rStyle w:val="Hyperlink"/>
          </w:rPr>
          <w:t>(Qld)</w:t>
        </w:r>
      </w:hyperlink>
      <w:r w:rsidR="00F50032" w:rsidRPr="00D519A3">
        <w:t xml:space="preserve"> </w:t>
      </w:r>
      <w:r w:rsidRPr="00D519A3">
        <w:t>s 9</w:t>
      </w:r>
      <w:r w:rsidR="002275C4">
        <w:t>;</w:t>
      </w:r>
      <w:r w:rsidRPr="00D519A3">
        <w:t xml:space="preserve"> </w:t>
      </w:r>
      <w:hyperlink r:id="rId44" w:history="1">
        <w:r w:rsidRPr="003A0AC5">
          <w:rPr>
            <w:rStyle w:val="Hyperlink"/>
            <w:i/>
          </w:rPr>
          <w:t xml:space="preserve">Legislative Assembly (Powers and Privileges) Act 1992 </w:t>
        </w:r>
        <w:r w:rsidRPr="003A0AC5">
          <w:rPr>
            <w:rStyle w:val="Hyperlink"/>
          </w:rPr>
          <w:t>(NT</w:t>
        </w:r>
        <w:r w:rsidR="00852C1B" w:rsidRPr="003A0AC5">
          <w:rPr>
            <w:rStyle w:val="Hyperlink"/>
          </w:rPr>
          <w:t>)</w:t>
        </w:r>
      </w:hyperlink>
      <w:r w:rsidR="00852C1B" w:rsidRPr="00D519A3">
        <w:t xml:space="preserve"> </w:t>
      </w:r>
      <w:r w:rsidRPr="00D519A3">
        <w:t xml:space="preserve">s 6(2). </w:t>
      </w:r>
    </w:p>
  </w:footnote>
  <w:footnote w:id="35">
    <w:p w14:paraId="08FF4318" w14:textId="0E1F86F2" w:rsidR="009D49EB" w:rsidRPr="00D519A3" w:rsidRDefault="009D49EB">
      <w:pPr>
        <w:pStyle w:val="FootnoteText"/>
      </w:pPr>
      <w:r w:rsidRPr="00D519A3">
        <w:rPr>
          <w:rStyle w:val="FootnoteReference"/>
        </w:rPr>
        <w:footnoteRef/>
      </w:r>
      <w:r w:rsidRPr="00D519A3">
        <w:t xml:space="preserve"> ACT Legislative Assembly</w:t>
      </w:r>
      <w:r w:rsidR="002003D0" w:rsidRPr="00D519A3">
        <w:t xml:space="preserve">, </w:t>
      </w:r>
      <w:hyperlink r:id="rId45" w:history="1">
        <w:r w:rsidRPr="00D519A3">
          <w:rPr>
            <w:rStyle w:val="Hyperlink"/>
            <w:iCs/>
          </w:rPr>
          <w:t>Standing Orders and continuing resolutions of the Assembly</w:t>
        </w:r>
      </w:hyperlink>
      <w:r w:rsidRPr="00D519A3">
        <w:rPr>
          <w:i/>
        </w:rPr>
        <w:t xml:space="preserve"> </w:t>
      </w:r>
      <w:r w:rsidRPr="00D519A3">
        <w:t>(</w:t>
      </w:r>
      <w:r w:rsidR="008B0E25" w:rsidRPr="00D519A3">
        <w:t>9 October</w:t>
      </w:r>
      <w:r w:rsidR="00E0224B" w:rsidRPr="00D519A3">
        <w:t xml:space="preserve"> 2023</w:t>
      </w:r>
      <w:r w:rsidR="00FF2F57" w:rsidRPr="00D519A3">
        <w:t xml:space="preserve">). </w:t>
      </w:r>
    </w:p>
  </w:footnote>
  <w:footnote w:id="36">
    <w:p w14:paraId="099D8F20" w14:textId="7CFD48D3" w:rsidR="009D49EB" w:rsidRPr="00D519A3" w:rsidRDefault="009D49EB" w:rsidP="00294896">
      <w:pPr>
        <w:pStyle w:val="FootnoteText"/>
      </w:pPr>
      <w:r w:rsidRPr="00D519A3">
        <w:rPr>
          <w:rStyle w:val="FootnoteReference"/>
        </w:rPr>
        <w:footnoteRef/>
      </w:r>
      <w:r w:rsidRPr="00D519A3">
        <w:t xml:space="preserve"> </w:t>
      </w:r>
      <w:r w:rsidR="00E82CF7" w:rsidRPr="00D519A3">
        <w:t xml:space="preserve">Ibid. </w:t>
      </w:r>
      <w:r w:rsidRPr="00D519A3">
        <w:t xml:space="preserve">See also </w:t>
      </w:r>
      <w:r w:rsidRPr="00D519A3">
        <w:rPr>
          <w:i/>
        </w:rPr>
        <w:t xml:space="preserve">Parliamentary Privileges Act 1987 </w:t>
      </w:r>
      <w:r w:rsidRPr="00D519A3">
        <w:t>(Cth)</w:t>
      </w:r>
      <w:r w:rsidR="009D384B" w:rsidRPr="00D519A3">
        <w:t xml:space="preserve"> s 13; </w:t>
      </w:r>
      <w:hyperlink r:id="rId46" w:history="1">
        <w:r w:rsidRPr="00D519A3">
          <w:rPr>
            <w:rStyle w:val="Hyperlink"/>
          </w:rPr>
          <w:t xml:space="preserve">House of Representatives Standing </w:t>
        </w:r>
        <w:r w:rsidR="00CC2704" w:rsidRPr="00D519A3">
          <w:rPr>
            <w:rStyle w:val="Hyperlink"/>
          </w:rPr>
          <w:t>Order 242</w:t>
        </w:r>
      </w:hyperlink>
      <w:r w:rsidR="009D384B" w:rsidRPr="00D519A3">
        <w:t xml:space="preserve">; </w:t>
      </w:r>
      <w:hyperlink r:id="rId47" w:anchor="standing-order_c05-037" w:history="1">
        <w:r w:rsidRPr="00D519A3">
          <w:rPr>
            <w:rStyle w:val="Hyperlink"/>
          </w:rPr>
          <w:t>Senate Standing Order 37.</w:t>
        </w:r>
      </w:hyperlink>
      <w:r w:rsidRPr="00D519A3">
        <w:t xml:space="preserve"> </w:t>
      </w:r>
    </w:p>
  </w:footnote>
  <w:footnote w:id="37">
    <w:p w14:paraId="4FE34AFF" w14:textId="03EDB274" w:rsidR="009D49EB" w:rsidRPr="00D519A3" w:rsidRDefault="009D49EB">
      <w:pPr>
        <w:pStyle w:val="FootnoteText"/>
      </w:pPr>
      <w:r w:rsidRPr="00D519A3">
        <w:rPr>
          <w:rStyle w:val="FootnoteReference"/>
        </w:rPr>
        <w:footnoteRef/>
      </w:r>
      <w:r w:rsidRPr="00D519A3">
        <w:t xml:space="preserve"> </w:t>
      </w:r>
      <w:hyperlink r:id="rId48" w:history="1">
        <w:r w:rsidRPr="00D519A3">
          <w:rPr>
            <w:rStyle w:val="Hyperlink"/>
            <w:i/>
          </w:rPr>
          <w:t>Kline v Official Secretary to the Governor General</w:t>
        </w:r>
        <w:r w:rsidRPr="00D519A3">
          <w:rPr>
            <w:rStyle w:val="Hyperlink"/>
          </w:rPr>
          <w:t xml:space="preserve"> [2013] HCA 52</w:t>
        </w:r>
      </w:hyperlink>
      <w:r w:rsidR="00371998" w:rsidRPr="00D519A3">
        <w:t>,</w:t>
      </w:r>
      <w:r w:rsidRPr="00D519A3">
        <w:t xml:space="preserve"> </w:t>
      </w:r>
      <w:r w:rsidR="00C13908" w:rsidRPr="00D519A3">
        <w:t>[</w:t>
      </w:r>
      <w:r w:rsidRPr="00D519A3">
        <w:t xml:space="preserve">45]. </w:t>
      </w:r>
    </w:p>
  </w:footnote>
  <w:footnote w:id="38">
    <w:p w14:paraId="6BE90C51" w14:textId="301A7B33" w:rsidR="009D49EB" w:rsidRPr="00D519A3" w:rsidRDefault="009D49EB">
      <w:pPr>
        <w:pStyle w:val="FootnoteText"/>
      </w:pPr>
      <w:r w:rsidRPr="00D519A3">
        <w:rPr>
          <w:rStyle w:val="FootnoteReference"/>
        </w:rPr>
        <w:footnoteRef/>
      </w:r>
      <w:r w:rsidRPr="00D519A3">
        <w:t xml:space="preserve"> </w:t>
      </w:r>
      <w:hyperlink r:id="rId49" w:history="1">
        <w:r w:rsidR="0000089F" w:rsidRPr="001C4018">
          <w:rPr>
            <w:rStyle w:val="Hyperlink"/>
          </w:rPr>
          <w:t>FOI Act</w:t>
        </w:r>
      </w:hyperlink>
      <w:r w:rsidR="00D37D2A" w:rsidRPr="00D519A3">
        <w:t xml:space="preserve"> sch 1 s 1.1A(2). </w:t>
      </w:r>
    </w:p>
  </w:footnote>
  <w:footnote w:id="39">
    <w:p w14:paraId="1E7215C9" w14:textId="64FF8646" w:rsidR="009D49EB" w:rsidRPr="00D519A3" w:rsidRDefault="009D49EB">
      <w:pPr>
        <w:pStyle w:val="FootnoteText"/>
      </w:pPr>
      <w:r w:rsidRPr="00D519A3">
        <w:rPr>
          <w:rStyle w:val="FootnoteReference"/>
        </w:rPr>
        <w:footnoteRef/>
      </w:r>
      <w:r w:rsidRPr="00D519A3">
        <w:t xml:space="preserve"> </w:t>
      </w:r>
      <w:hyperlink r:id="rId50" w:history="1">
        <w:r w:rsidR="00BE3A0F" w:rsidRPr="00D519A3">
          <w:rPr>
            <w:rStyle w:val="Hyperlink"/>
          </w:rPr>
          <w:t>[2013] HCA 52</w:t>
        </w:r>
      </w:hyperlink>
      <w:r w:rsidR="00BE3A0F" w:rsidRPr="00D519A3">
        <w:rPr>
          <w:rStyle w:val="Hyperlink"/>
          <w:color w:val="auto"/>
          <w:u w:val="none"/>
        </w:rPr>
        <w:t xml:space="preserve">, [47]. </w:t>
      </w:r>
    </w:p>
  </w:footnote>
  <w:footnote w:id="40">
    <w:p w14:paraId="1C403F19" w14:textId="11796DEA" w:rsidR="009D49EB" w:rsidRPr="00D519A3" w:rsidRDefault="009D49EB" w:rsidP="009F5737">
      <w:pPr>
        <w:pStyle w:val="FootnoteText"/>
      </w:pPr>
      <w:r w:rsidRPr="00D519A3">
        <w:rPr>
          <w:rStyle w:val="FootnoteReference"/>
        </w:rPr>
        <w:footnoteRef/>
      </w:r>
      <w:r w:rsidRPr="00D519A3">
        <w:t xml:space="preserve"> </w:t>
      </w:r>
      <w:hyperlink r:id="rId51" w:history="1">
        <w:r w:rsidRPr="00D519A3">
          <w:rPr>
            <w:rStyle w:val="Hyperlink"/>
            <w:i/>
          </w:rPr>
          <w:t>Esso Australia Resources v Commissioner of Taxation</w:t>
        </w:r>
        <w:r w:rsidRPr="00D519A3">
          <w:rPr>
            <w:rStyle w:val="Hyperlink"/>
          </w:rPr>
          <w:t xml:space="preserve"> (1999) 201 CLR 49</w:t>
        </w:r>
      </w:hyperlink>
      <w:r w:rsidR="009B3037" w:rsidRPr="00D519A3">
        <w:t>,</w:t>
      </w:r>
      <w:r w:rsidRPr="00D519A3">
        <w:t xml:space="preserve"> [35]. </w:t>
      </w:r>
    </w:p>
  </w:footnote>
  <w:footnote w:id="41">
    <w:p w14:paraId="0F6C6490" w14:textId="240FC41C" w:rsidR="00634426" w:rsidRPr="00D519A3" w:rsidRDefault="00634426">
      <w:pPr>
        <w:pStyle w:val="FootnoteText"/>
      </w:pPr>
      <w:r w:rsidRPr="00D519A3">
        <w:rPr>
          <w:rStyle w:val="FootnoteReference"/>
        </w:rPr>
        <w:footnoteRef/>
      </w:r>
      <w:r w:rsidRPr="00D519A3">
        <w:t xml:space="preserve"> See </w:t>
      </w:r>
      <w:hyperlink r:id="rId52" w:history="1">
        <w:r w:rsidRPr="00D519A3">
          <w:rPr>
            <w:rStyle w:val="Hyperlink"/>
            <w:i/>
            <w:iCs/>
          </w:rPr>
          <w:t>Evidence Act 2011</w:t>
        </w:r>
      </w:hyperlink>
      <w:r w:rsidR="00E95DC8" w:rsidRPr="00D519A3">
        <w:rPr>
          <w:rStyle w:val="Hyperlink"/>
          <w:i/>
          <w:iCs/>
        </w:rPr>
        <w:t xml:space="preserve"> </w:t>
      </w:r>
      <w:r w:rsidR="002B151A" w:rsidRPr="00D519A3">
        <w:t xml:space="preserve">(ACT) s 118; </w:t>
      </w:r>
      <w:r w:rsidR="007F08AA">
        <w:t xml:space="preserve">s </w:t>
      </w:r>
      <w:r w:rsidR="002B151A" w:rsidRPr="00D519A3">
        <w:t xml:space="preserve">119. </w:t>
      </w:r>
      <w:r w:rsidR="00E95DC8" w:rsidRPr="00D519A3">
        <w:t xml:space="preserve"> </w:t>
      </w:r>
    </w:p>
  </w:footnote>
  <w:footnote w:id="42">
    <w:p w14:paraId="22CD34FB" w14:textId="527869A8" w:rsidR="009D49EB" w:rsidRPr="00D519A3" w:rsidRDefault="009D49EB" w:rsidP="003C65DB">
      <w:pPr>
        <w:pStyle w:val="FootnoteText"/>
      </w:pPr>
      <w:r w:rsidRPr="00D519A3">
        <w:rPr>
          <w:rStyle w:val="FootnoteReference"/>
        </w:rPr>
        <w:footnoteRef/>
      </w:r>
      <w:r w:rsidRPr="00D519A3">
        <w:t xml:space="preserve"> </w:t>
      </w:r>
      <w:hyperlink r:id="rId53" w:history="1">
        <w:r w:rsidRPr="00D519A3">
          <w:rPr>
            <w:rStyle w:val="Hyperlink"/>
            <w:i/>
          </w:rPr>
          <w:t>Waterford v Commonwealth of Australia</w:t>
        </w:r>
        <w:r w:rsidR="006173A2" w:rsidRPr="00D519A3">
          <w:rPr>
            <w:rStyle w:val="Hyperlink"/>
          </w:rPr>
          <w:t xml:space="preserve"> (1987) </w:t>
        </w:r>
        <w:r w:rsidRPr="00D519A3">
          <w:rPr>
            <w:rStyle w:val="Hyperlink"/>
          </w:rPr>
          <w:t>163 CLR 54.</w:t>
        </w:r>
      </w:hyperlink>
      <w:r w:rsidRPr="00D519A3">
        <w:t xml:space="preserve"> </w:t>
      </w:r>
    </w:p>
  </w:footnote>
  <w:footnote w:id="43">
    <w:p w14:paraId="69847DEA" w14:textId="61BB2B35" w:rsidR="00E30199" w:rsidRPr="00D519A3" w:rsidRDefault="00E30199">
      <w:pPr>
        <w:pStyle w:val="FootnoteText"/>
      </w:pPr>
      <w:r w:rsidRPr="00D519A3">
        <w:rPr>
          <w:rStyle w:val="FootnoteReference"/>
        </w:rPr>
        <w:footnoteRef/>
      </w:r>
      <w:r w:rsidRPr="00D519A3">
        <w:t xml:space="preserve"> See </w:t>
      </w:r>
      <w:hyperlink r:id="rId54" w:anchor=":~:text=This%20Act%20is%20an%20amending,any%20laws%20that%20were%20amended." w:history="1">
        <w:r w:rsidR="001031D7" w:rsidRPr="00156EB3">
          <w:rPr>
            <w:rStyle w:val="Hyperlink"/>
            <w:i/>
            <w:iCs/>
          </w:rPr>
          <w:t>Freedom of Information Amendment Act 2023</w:t>
        </w:r>
        <w:r w:rsidR="001031D7" w:rsidRPr="00156EB3">
          <w:rPr>
            <w:rStyle w:val="Hyperlink"/>
          </w:rPr>
          <w:t xml:space="preserve"> (ACT)</w:t>
        </w:r>
      </w:hyperlink>
      <w:r w:rsidR="009A274A" w:rsidRPr="00D519A3">
        <w:t xml:space="preserve"> </w:t>
      </w:r>
      <w:r w:rsidR="00142B5B">
        <w:t xml:space="preserve">(‘FOI Amendment Act’) </w:t>
      </w:r>
      <w:r w:rsidR="009A274A" w:rsidRPr="00D519A3">
        <w:t xml:space="preserve">s 4. </w:t>
      </w:r>
    </w:p>
  </w:footnote>
  <w:footnote w:id="44">
    <w:p w14:paraId="6AD6ED5B" w14:textId="259DEB17" w:rsidR="009D49EB" w:rsidRPr="00D519A3" w:rsidRDefault="009D49EB">
      <w:pPr>
        <w:pStyle w:val="FootnoteText"/>
      </w:pPr>
      <w:r w:rsidRPr="00D519A3">
        <w:rPr>
          <w:rStyle w:val="FootnoteReference"/>
        </w:rPr>
        <w:footnoteRef/>
      </w:r>
      <w:r w:rsidRPr="00D519A3">
        <w:t xml:space="preserve"> </w:t>
      </w:r>
      <w:r w:rsidR="006C6652" w:rsidRPr="00D519A3">
        <w:t>Office of the Information Commissioner Queensland, ‘</w:t>
      </w:r>
      <w:hyperlink r:id="rId55" w:history="1">
        <w:r w:rsidR="006C6652" w:rsidRPr="00D519A3">
          <w:rPr>
            <w:rStyle w:val="Hyperlink"/>
          </w:rPr>
          <w:t>Exempt information - Legal professional privilege</w:t>
        </w:r>
      </w:hyperlink>
      <w:r w:rsidR="006C6652" w:rsidRPr="00D519A3">
        <w:t>’, Decision making (Guideline, 17 April 2023)</w:t>
      </w:r>
      <w:r w:rsidR="00CD6CA9" w:rsidRPr="00D519A3">
        <w:t xml:space="preserve">. </w:t>
      </w:r>
    </w:p>
  </w:footnote>
  <w:footnote w:id="45">
    <w:p w14:paraId="18D0CFC4" w14:textId="77F4EE31" w:rsidR="00287E8C" w:rsidRPr="00D519A3" w:rsidRDefault="00287E8C">
      <w:pPr>
        <w:pStyle w:val="FootnoteText"/>
      </w:pPr>
      <w:r w:rsidRPr="00D519A3">
        <w:rPr>
          <w:rStyle w:val="FootnoteReference"/>
        </w:rPr>
        <w:footnoteRef/>
      </w:r>
      <w:r w:rsidRPr="00D519A3">
        <w:t xml:space="preserve"> </w:t>
      </w:r>
      <w:hyperlink r:id="rId56" w:history="1">
        <w:r w:rsidRPr="00D519A3">
          <w:rPr>
            <w:rStyle w:val="Hyperlink"/>
            <w:i/>
            <w:iCs/>
          </w:rPr>
          <w:t>‘CB’ and Education Directorate</w:t>
        </w:r>
        <w:r w:rsidRPr="00D519A3">
          <w:rPr>
            <w:rStyle w:val="Hyperlink"/>
          </w:rPr>
          <w:t xml:space="preserve"> [2023] ACTOFOI 9 (20 June 2023)</w:t>
        </w:r>
      </w:hyperlink>
      <w:r w:rsidRPr="00D519A3">
        <w:t xml:space="preserve">, [48]-[60]. </w:t>
      </w:r>
    </w:p>
  </w:footnote>
  <w:footnote w:id="46">
    <w:p w14:paraId="70C1FFEB" w14:textId="76E8FEAC" w:rsidR="009D49EB" w:rsidRPr="00D519A3" w:rsidRDefault="009D49EB" w:rsidP="00F71E05">
      <w:pPr>
        <w:pStyle w:val="FootnoteText"/>
      </w:pPr>
      <w:r w:rsidRPr="00D519A3">
        <w:rPr>
          <w:rStyle w:val="FootnoteReference"/>
        </w:rPr>
        <w:footnoteRef/>
      </w:r>
      <w:r w:rsidRPr="00D519A3">
        <w:t xml:space="preserve"> </w:t>
      </w:r>
      <w:hyperlink r:id="rId57" w:history="1">
        <w:r w:rsidRPr="00D519A3">
          <w:rPr>
            <w:rStyle w:val="Hyperlink"/>
            <w:i/>
          </w:rPr>
          <w:t>Ransley and Commissioner of Taxation (Freedom of information)</w:t>
        </w:r>
        <w:r w:rsidRPr="00D519A3">
          <w:rPr>
            <w:rStyle w:val="Hyperlink"/>
          </w:rPr>
          <w:t xml:space="preserve"> [2015] AATA 728</w:t>
        </w:r>
      </w:hyperlink>
      <w:r w:rsidR="008B12DE" w:rsidRPr="00D519A3">
        <w:t xml:space="preserve">, </w:t>
      </w:r>
      <w:r w:rsidRPr="00D519A3">
        <w:t xml:space="preserve">[13]. </w:t>
      </w:r>
    </w:p>
  </w:footnote>
  <w:footnote w:id="47">
    <w:p w14:paraId="1AE1B9FC" w14:textId="51AE913C" w:rsidR="009D49EB" w:rsidRPr="00D519A3" w:rsidRDefault="009D49EB" w:rsidP="008712A5">
      <w:pPr>
        <w:pStyle w:val="FootnoteText"/>
      </w:pPr>
      <w:r w:rsidRPr="00D519A3">
        <w:rPr>
          <w:rStyle w:val="FootnoteReference"/>
        </w:rPr>
        <w:footnoteRef/>
      </w:r>
      <w:r w:rsidRPr="00D519A3">
        <w:t xml:space="preserve"> </w:t>
      </w:r>
      <w:r w:rsidR="00A90227" w:rsidRPr="00D519A3">
        <w:t>Ibid</w:t>
      </w:r>
      <w:r w:rsidRPr="00D519A3">
        <w:t>.</w:t>
      </w:r>
    </w:p>
  </w:footnote>
  <w:footnote w:id="48">
    <w:p w14:paraId="5D83DD1F" w14:textId="51FFB273" w:rsidR="009D49EB" w:rsidRPr="00D519A3" w:rsidRDefault="009D49EB" w:rsidP="00F71E05">
      <w:pPr>
        <w:pStyle w:val="FootnoteText"/>
      </w:pPr>
      <w:r w:rsidRPr="00D519A3">
        <w:rPr>
          <w:rStyle w:val="FootnoteReference"/>
        </w:rPr>
        <w:footnoteRef/>
      </w:r>
      <w:r w:rsidRPr="00D519A3">
        <w:t xml:space="preserve"> </w:t>
      </w:r>
      <w:hyperlink r:id="rId58" w:history="1">
        <w:r w:rsidRPr="00D519A3">
          <w:rPr>
            <w:rStyle w:val="Hyperlink"/>
            <w:i/>
          </w:rPr>
          <w:t>Taggart and Civil Aviation Safety Authority (Freedom of information)</w:t>
        </w:r>
        <w:r w:rsidRPr="00D519A3">
          <w:rPr>
            <w:rStyle w:val="Hyperlink"/>
          </w:rPr>
          <w:t xml:space="preserve"> [2016] AATA 327</w:t>
        </w:r>
      </w:hyperlink>
      <w:r w:rsidR="005C0648" w:rsidRPr="00D519A3">
        <w:t>,</w:t>
      </w:r>
      <w:r w:rsidRPr="00D519A3">
        <w:t xml:space="preserve"> [32]</w:t>
      </w:r>
      <w:r w:rsidR="00A90227" w:rsidRPr="00D519A3">
        <w:t>.</w:t>
      </w:r>
    </w:p>
  </w:footnote>
  <w:footnote w:id="49">
    <w:p w14:paraId="26C6C6C1" w14:textId="53B3D3D8" w:rsidR="009D49EB" w:rsidRPr="00D519A3" w:rsidRDefault="009D49EB" w:rsidP="00F71E05">
      <w:pPr>
        <w:pStyle w:val="FootnoteText"/>
      </w:pPr>
      <w:r w:rsidRPr="00D519A3">
        <w:rPr>
          <w:rStyle w:val="FootnoteReference"/>
        </w:rPr>
        <w:footnoteRef/>
      </w:r>
      <w:r w:rsidRPr="00D519A3">
        <w:t xml:space="preserve"> </w:t>
      </w:r>
      <w:hyperlink r:id="rId59" w:history="1">
        <w:r w:rsidRPr="00D519A3">
          <w:rPr>
            <w:rStyle w:val="Hyperlink"/>
            <w:i/>
          </w:rPr>
          <w:t xml:space="preserve">Aquila Coal Pty Ltd v Bowen Central Coal Pty Ltd </w:t>
        </w:r>
        <w:r w:rsidRPr="00D519A3">
          <w:rPr>
            <w:rStyle w:val="Hyperlink"/>
          </w:rPr>
          <w:t>[2013] QSC 82</w:t>
        </w:r>
      </w:hyperlink>
      <w:r w:rsidR="00C65DA9" w:rsidRPr="00D519A3">
        <w:t>,</w:t>
      </w:r>
      <w:r w:rsidRPr="00D519A3">
        <w:t xml:space="preserve"> [10]. </w:t>
      </w:r>
    </w:p>
  </w:footnote>
  <w:footnote w:id="50">
    <w:p w14:paraId="65EDA599" w14:textId="3118991E" w:rsidR="009D49EB" w:rsidRPr="00D519A3" w:rsidRDefault="009D49EB" w:rsidP="00FB311D">
      <w:pPr>
        <w:pStyle w:val="FootnoteText"/>
        <w:ind w:right="-731"/>
      </w:pPr>
      <w:r w:rsidRPr="00D519A3">
        <w:rPr>
          <w:rStyle w:val="FootnoteReference"/>
        </w:rPr>
        <w:footnoteRef/>
      </w:r>
      <w:r w:rsidRPr="00D519A3">
        <w:t xml:space="preserve"> </w:t>
      </w:r>
      <w:hyperlink r:id="rId60" w:history="1">
        <w:r w:rsidRPr="00D519A3">
          <w:rPr>
            <w:rStyle w:val="Hyperlink"/>
            <w:i/>
            <w:iCs/>
            <w:szCs w:val="16"/>
          </w:rPr>
          <w:t xml:space="preserve">Pratt Holdings Pty Ltd v Commissioner of Taxation </w:t>
        </w:r>
        <w:r w:rsidRPr="00D519A3">
          <w:rPr>
            <w:rStyle w:val="Hyperlink"/>
            <w:szCs w:val="16"/>
          </w:rPr>
          <w:t>(2004) 136 FCR 357</w:t>
        </w:r>
      </w:hyperlink>
      <w:r w:rsidR="00A82730" w:rsidRPr="00D519A3">
        <w:rPr>
          <w:szCs w:val="16"/>
        </w:rPr>
        <w:t>,</w:t>
      </w:r>
      <w:r w:rsidRPr="00D519A3">
        <w:rPr>
          <w:szCs w:val="16"/>
        </w:rPr>
        <w:t xml:space="preserve"> [35]; </w:t>
      </w:r>
      <w:hyperlink r:id="rId61" w:history="1">
        <w:r w:rsidRPr="00D519A3">
          <w:rPr>
            <w:rStyle w:val="Hyperlink"/>
            <w:i/>
            <w:iCs/>
            <w:szCs w:val="16"/>
          </w:rPr>
          <w:t xml:space="preserve">AWB Ltd v Cole </w:t>
        </w:r>
        <w:r w:rsidR="00A82730" w:rsidRPr="00D519A3">
          <w:rPr>
            <w:rStyle w:val="Hyperlink"/>
            <w:szCs w:val="16"/>
          </w:rPr>
          <w:t>[2006] FCA 571</w:t>
        </w:r>
      </w:hyperlink>
      <w:r w:rsidR="00A82730" w:rsidRPr="00D519A3">
        <w:rPr>
          <w:szCs w:val="16"/>
        </w:rPr>
        <w:t xml:space="preserve">, </w:t>
      </w:r>
      <w:r w:rsidRPr="00D519A3">
        <w:rPr>
          <w:szCs w:val="16"/>
        </w:rPr>
        <w:t xml:space="preserve">[107]. </w:t>
      </w:r>
      <w:r w:rsidRPr="00D519A3">
        <w:rPr>
          <w:sz w:val="24"/>
        </w:rPr>
        <w:t xml:space="preserve"> </w:t>
      </w:r>
    </w:p>
  </w:footnote>
  <w:footnote w:id="51">
    <w:p w14:paraId="16156942" w14:textId="5F4DDD32" w:rsidR="009D49EB" w:rsidRPr="00D519A3" w:rsidRDefault="009D49EB" w:rsidP="00F71E05">
      <w:pPr>
        <w:pStyle w:val="FootnoteText"/>
      </w:pPr>
      <w:r w:rsidRPr="00D519A3">
        <w:rPr>
          <w:rStyle w:val="FootnoteReference"/>
        </w:rPr>
        <w:footnoteRef/>
      </w:r>
      <w:r w:rsidRPr="00D519A3">
        <w:t xml:space="preserve"> </w:t>
      </w:r>
      <w:hyperlink r:id="rId62" w:history="1">
        <w:r w:rsidRPr="00D519A3">
          <w:rPr>
            <w:rStyle w:val="Hyperlink"/>
            <w:i/>
          </w:rPr>
          <w:t>Esso Australia Resources and Commissioner for Taxation</w:t>
        </w:r>
        <w:r w:rsidRPr="00D519A3">
          <w:rPr>
            <w:rStyle w:val="Hyperlink"/>
          </w:rPr>
          <w:t xml:space="preserve"> (1999) 201 CLR 49</w:t>
        </w:r>
      </w:hyperlink>
      <w:r w:rsidRPr="00D519A3">
        <w:t>.</w:t>
      </w:r>
    </w:p>
  </w:footnote>
  <w:footnote w:id="52">
    <w:p w14:paraId="4E73D075" w14:textId="4C4D48D2" w:rsidR="009D49EB" w:rsidRPr="00D519A3" w:rsidRDefault="009D49EB" w:rsidP="00FB311D">
      <w:pPr>
        <w:pStyle w:val="FootnoteText"/>
        <w:ind w:right="-731"/>
      </w:pPr>
      <w:r w:rsidRPr="00D519A3">
        <w:rPr>
          <w:rStyle w:val="FootnoteReference"/>
        </w:rPr>
        <w:footnoteRef/>
      </w:r>
      <w:r w:rsidRPr="00D519A3">
        <w:t xml:space="preserve"> </w:t>
      </w:r>
      <w:hyperlink r:id="rId63" w:history="1">
        <w:r w:rsidRPr="00D519A3">
          <w:rPr>
            <w:rStyle w:val="Hyperlink"/>
            <w:i/>
          </w:rPr>
          <w:t>Federal Commissioner of Taxation v Spotless Services Ltd</w:t>
        </w:r>
        <w:r w:rsidRPr="00D519A3">
          <w:rPr>
            <w:rStyle w:val="Hyperlink"/>
          </w:rPr>
          <w:t xml:space="preserve"> (1996) 186 CLR 404</w:t>
        </w:r>
        <w:r w:rsidR="00806418" w:rsidRPr="00D519A3">
          <w:rPr>
            <w:rStyle w:val="Hyperlink"/>
          </w:rPr>
          <w:t>,</w:t>
        </w:r>
      </w:hyperlink>
      <w:r w:rsidR="00806418" w:rsidRPr="00D519A3">
        <w:t xml:space="preserve"> </w:t>
      </w:r>
      <w:r w:rsidR="006173A2" w:rsidRPr="00D519A3">
        <w:t>[</w:t>
      </w:r>
      <w:r w:rsidRPr="00D519A3">
        <w:t>416</w:t>
      </w:r>
      <w:r w:rsidR="006173A2" w:rsidRPr="00D519A3">
        <w:t>]</w:t>
      </w:r>
      <w:r w:rsidRPr="00D519A3">
        <w:t xml:space="preserve">; </w:t>
      </w:r>
      <w:hyperlink r:id="rId64" w:history="1">
        <w:r w:rsidRPr="00D519A3">
          <w:rPr>
            <w:rStyle w:val="Hyperlink"/>
            <w:i/>
          </w:rPr>
          <w:t>AWB Ltd v Cole</w:t>
        </w:r>
        <w:r w:rsidRPr="00D519A3">
          <w:rPr>
            <w:rStyle w:val="Hyperlink"/>
          </w:rPr>
          <w:t xml:space="preserve"> </w:t>
        </w:r>
        <w:r w:rsidR="00A82730" w:rsidRPr="00D519A3">
          <w:rPr>
            <w:rStyle w:val="Hyperlink"/>
          </w:rPr>
          <w:t>[2006] FCA 571</w:t>
        </w:r>
      </w:hyperlink>
      <w:r w:rsidR="00A82730" w:rsidRPr="00D519A3">
        <w:t>,</w:t>
      </w:r>
      <w:r w:rsidR="006173A2" w:rsidRPr="00D519A3">
        <w:t xml:space="preserve"> </w:t>
      </w:r>
      <w:r w:rsidRPr="00D519A3">
        <w:t xml:space="preserve">[105]. </w:t>
      </w:r>
    </w:p>
  </w:footnote>
  <w:footnote w:id="53">
    <w:p w14:paraId="2FBD8115" w14:textId="4BAD794D" w:rsidR="009D49EB" w:rsidRPr="00D519A3" w:rsidRDefault="009D49EB">
      <w:pPr>
        <w:pStyle w:val="FootnoteText"/>
      </w:pPr>
      <w:r w:rsidRPr="00D519A3">
        <w:rPr>
          <w:rStyle w:val="FootnoteReference"/>
        </w:rPr>
        <w:footnoteRef/>
      </w:r>
      <w:r w:rsidRPr="00D519A3">
        <w:t xml:space="preserve"> </w:t>
      </w:r>
      <w:hyperlink r:id="rId65" w:history="1">
        <w:r w:rsidRPr="00D519A3">
          <w:rPr>
            <w:rStyle w:val="Hyperlink"/>
            <w:i/>
          </w:rPr>
          <w:t>Jones and Queensland Police Service</w:t>
        </w:r>
        <w:r w:rsidRPr="00D519A3">
          <w:rPr>
            <w:rStyle w:val="Hyperlink"/>
          </w:rPr>
          <w:t xml:space="preserve"> [2015] QICmr 15 (26 June 2015)</w:t>
        </w:r>
      </w:hyperlink>
      <w:r w:rsidR="00597D69" w:rsidRPr="00D519A3">
        <w:t xml:space="preserve">, </w:t>
      </w:r>
      <w:r w:rsidRPr="00D519A3">
        <w:t>[30</w:t>
      </w:r>
      <w:r w:rsidR="00B509EF" w:rsidRPr="00D519A3">
        <w:t>].</w:t>
      </w:r>
      <w:r w:rsidRPr="00D519A3">
        <w:t xml:space="preserve"> </w:t>
      </w:r>
    </w:p>
  </w:footnote>
  <w:footnote w:id="54">
    <w:p w14:paraId="47F2CBEB" w14:textId="44E20374" w:rsidR="009D49EB" w:rsidRPr="00D519A3" w:rsidRDefault="009D49EB" w:rsidP="002270FB">
      <w:pPr>
        <w:pStyle w:val="FootnoteText"/>
      </w:pPr>
      <w:r w:rsidRPr="00D519A3">
        <w:rPr>
          <w:rStyle w:val="FootnoteReference"/>
        </w:rPr>
        <w:footnoteRef/>
      </w:r>
      <w:r w:rsidRPr="00D519A3">
        <w:t xml:space="preserve"> </w:t>
      </w:r>
      <w:hyperlink r:id="rId66" w:history="1">
        <w:r w:rsidRPr="00990C3D">
          <w:rPr>
            <w:rStyle w:val="Hyperlink"/>
            <w:i/>
          </w:rPr>
          <w:t>AWB Ltd v Cole</w:t>
        </w:r>
        <w:r w:rsidR="0008076B" w:rsidRPr="00990C3D">
          <w:rPr>
            <w:rStyle w:val="Hyperlink"/>
          </w:rPr>
          <w:t xml:space="preserve"> [2006] FCA 571</w:t>
        </w:r>
      </w:hyperlink>
      <w:r w:rsidR="00B869A2">
        <w:t>, [132]</w:t>
      </w:r>
      <w:r w:rsidRPr="00D519A3">
        <w:t xml:space="preserve">; </w:t>
      </w:r>
      <w:hyperlink r:id="rId67" w:history="1">
        <w:r w:rsidRPr="00D519A3">
          <w:rPr>
            <w:rStyle w:val="Hyperlink"/>
            <w:i/>
          </w:rPr>
          <w:t xml:space="preserve">Mann v Carnell </w:t>
        </w:r>
        <w:r w:rsidRPr="00D519A3">
          <w:rPr>
            <w:rStyle w:val="Hyperlink"/>
          </w:rPr>
          <w:t>(1999) 201 CLR 1</w:t>
        </w:r>
      </w:hyperlink>
      <w:r w:rsidR="00680FF2" w:rsidRPr="00D519A3">
        <w:rPr>
          <w:i/>
        </w:rPr>
        <w:t>,</w:t>
      </w:r>
      <w:r w:rsidRPr="00D519A3">
        <w:t xml:space="preserve">[16].  </w:t>
      </w:r>
    </w:p>
  </w:footnote>
  <w:footnote w:id="55">
    <w:p w14:paraId="1BB0E231" w14:textId="24EFA7FB" w:rsidR="009D49EB" w:rsidRPr="00D519A3" w:rsidRDefault="009D49EB">
      <w:pPr>
        <w:pStyle w:val="FootnoteText"/>
      </w:pPr>
      <w:r w:rsidRPr="00D519A3">
        <w:rPr>
          <w:rStyle w:val="FootnoteReference"/>
        </w:rPr>
        <w:footnoteRef/>
      </w:r>
      <w:r w:rsidRPr="00D519A3">
        <w:t xml:space="preserve"> </w:t>
      </w:r>
      <w:hyperlink r:id="rId68" w:history="1">
        <w:r w:rsidRPr="00D519A3">
          <w:rPr>
            <w:rStyle w:val="Hyperlink"/>
            <w:i/>
          </w:rPr>
          <w:t xml:space="preserve">Pratt Holdings Pty Ltd v Commissioner of Taxation </w:t>
        </w:r>
        <w:r w:rsidRPr="00D519A3">
          <w:rPr>
            <w:rStyle w:val="Hyperlink"/>
          </w:rPr>
          <w:t>(2004) 136 FCR 357</w:t>
        </w:r>
      </w:hyperlink>
      <w:r w:rsidRPr="00D519A3">
        <w:t>.</w:t>
      </w:r>
    </w:p>
  </w:footnote>
  <w:footnote w:id="56">
    <w:p w14:paraId="29A9E7A9" w14:textId="0E092791" w:rsidR="009D49EB" w:rsidRPr="00D519A3" w:rsidRDefault="009D49EB" w:rsidP="00FB311D">
      <w:pPr>
        <w:pStyle w:val="FootnoteText"/>
        <w:ind w:right="-306"/>
        <w:rPr>
          <w:i/>
        </w:rPr>
      </w:pPr>
      <w:r w:rsidRPr="00D519A3">
        <w:rPr>
          <w:rStyle w:val="FootnoteReference"/>
        </w:rPr>
        <w:footnoteRef/>
      </w:r>
      <w:r w:rsidRPr="00D519A3">
        <w:t xml:space="preserve"> </w:t>
      </w:r>
      <w:r w:rsidR="00B509EF" w:rsidRPr="00D519A3">
        <w:rPr>
          <w:iCs/>
          <w:szCs w:val="16"/>
        </w:rPr>
        <w:t>Ibid</w:t>
      </w:r>
      <w:r w:rsidRPr="00D519A3">
        <w:rPr>
          <w:szCs w:val="16"/>
        </w:rPr>
        <w:t xml:space="preserve">; </w:t>
      </w:r>
      <w:hyperlink r:id="rId69" w:history="1">
        <w:r w:rsidRPr="00D519A3">
          <w:rPr>
            <w:rStyle w:val="Hyperlink"/>
            <w:i/>
          </w:rPr>
          <w:t xml:space="preserve">Trade Practices Commission v Sterling </w:t>
        </w:r>
        <w:r w:rsidRPr="00D519A3">
          <w:rPr>
            <w:rStyle w:val="Hyperlink"/>
          </w:rPr>
          <w:t>(1979) 36 FLR 244</w:t>
        </w:r>
      </w:hyperlink>
      <w:r w:rsidRPr="00D519A3">
        <w:t xml:space="preserve">; </w:t>
      </w:r>
      <w:hyperlink r:id="rId70" w:history="1">
        <w:r w:rsidRPr="00D519A3">
          <w:rPr>
            <w:rStyle w:val="Hyperlink"/>
            <w:i/>
          </w:rPr>
          <w:t>Carbone v National Crime Authority</w:t>
        </w:r>
        <w:r w:rsidRPr="00D519A3">
          <w:rPr>
            <w:rStyle w:val="Hyperlink"/>
          </w:rPr>
          <w:t xml:space="preserve"> (1994) 52 FCR 516</w:t>
        </w:r>
      </w:hyperlink>
      <w:r w:rsidRPr="00D519A3">
        <w:t xml:space="preserve">. </w:t>
      </w:r>
    </w:p>
  </w:footnote>
  <w:footnote w:id="57">
    <w:p w14:paraId="158A6170" w14:textId="05ED564C" w:rsidR="004036BF" w:rsidRPr="00D519A3" w:rsidRDefault="004036BF" w:rsidP="004036BF">
      <w:pPr>
        <w:pStyle w:val="FootnoteText"/>
      </w:pPr>
      <w:r w:rsidRPr="00D519A3">
        <w:rPr>
          <w:rStyle w:val="FootnoteReference"/>
        </w:rPr>
        <w:footnoteRef/>
      </w:r>
      <w:r w:rsidRPr="00D519A3">
        <w:t xml:space="preserve"> </w:t>
      </w:r>
      <w:hyperlink r:id="rId71" w:history="1">
        <w:r w:rsidRPr="00D519A3">
          <w:rPr>
            <w:rStyle w:val="Hyperlink"/>
            <w:i/>
            <w:iCs/>
            <w:szCs w:val="16"/>
          </w:rPr>
          <w:t xml:space="preserve">AWB Ltd v Cole (No 5) </w:t>
        </w:r>
        <w:r w:rsidRPr="00D519A3">
          <w:rPr>
            <w:rStyle w:val="Hyperlink"/>
            <w:szCs w:val="16"/>
          </w:rPr>
          <w:t>(2006) 234 ALR 651</w:t>
        </w:r>
      </w:hyperlink>
      <w:r w:rsidRPr="00D519A3">
        <w:rPr>
          <w:i/>
          <w:iCs/>
          <w:szCs w:val="16"/>
        </w:rPr>
        <w:t>,</w:t>
      </w:r>
      <w:r w:rsidRPr="00D519A3">
        <w:rPr>
          <w:szCs w:val="16"/>
        </w:rPr>
        <w:t xml:space="preserve"> [46]. </w:t>
      </w:r>
      <w:r w:rsidRPr="00D519A3">
        <w:rPr>
          <w:sz w:val="24"/>
        </w:rPr>
        <w:t xml:space="preserve"> </w:t>
      </w:r>
    </w:p>
  </w:footnote>
  <w:footnote w:id="58">
    <w:p w14:paraId="1C87788A" w14:textId="34349DF9" w:rsidR="009D49EB" w:rsidRPr="00D519A3" w:rsidRDefault="009D49EB">
      <w:pPr>
        <w:pStyle w:val="FootnoteText"/>
      </w:pPr>
      <w:r w:rsidRPr="00D519A3">
        <w:rPr>
          <w:rStyle w:val="FootnoteReference"/>
        </w:rPr>
        <w:footnoteRef/>
      </w:r>
      <w:r w:rsidRPr="00D519A3">
        <w:t xml:space="preserve"> </w:t>
      </w:r>
      <w:hyperlink r:id="rId72" w:history="1">
        <w:r w:rsidRPr="00D519A3">
          <w:rPr>
            <w:rStyle w:val="Hyperlink"/>
            <w:i/>
          </w:rPr>
          <w:t>Mitsubishi Electric Australia Pty Ltd v Victorian WorkCover Authority</w:t>
        </w:r>
        <w:r w:rsidRPr="00D519A3">
          <w:rPr>
            <w:rStyle w:val="Hyperlink"/>
          </w:rPr>
          <w:t xml:space="preserve"> (2002) 4 VR 332</w:t>
        </w:r>
      </w:hyperlink>
      <w:r w:rsidR="00614880" w:rsidRPr="00D519A3">
        <w:rPr>
          <w:i/>
        </w:rPr>
        <w:t>,</w:t>
      </w:r>
      <w:r w:rsidRPr="00D519A3">
        <w:t xml:space="preserve"> </w:t>
      </w:r>
      <w:r w:rsidR="006173A2" w:rsidRPr="00D519A3">
        <w:t>[</w:t>
      </w:r>
      <w:r w:rsidRPr="00D519A3">
        <w:t>341</w:t>
      </w:r>
      <w:r w:rsidR="006173A2" w:rsidRPr="00D519A3">
        <w:t>]</w:t>
      </w:r>
      <w:r w:rsidRPr="00D519A3">
        <w:t>.</w:t>
      </w:r>
    </w:p>
  </w:footnote>
  <w:footnote w:id="59">
    <w:p w14:paraId="6BA675CD" w14:textId="14EFBEB7" w:rsidR="009D49EB" w:rsidRPr="00D519A3" w:rsidRDefault="009D49EB" w:rsidP="00F71E05">
      <w:pPr>
        <w:pStyle w:val="FootnoteText"/>
      </w:pPr>
      <w:r w:rsidRPr="00D519A3">
        <w:rPr>
          <w:rStyle w:val="FootnoteReference"/>
        </w:rPr>
        <w:footnoteRef/>
      </w:r>
      <w:r w:rsidRPr="00D519A3">
        <w:t xml:space="preserve"> </w:t>
      </w:r>
      <w:hyperlink r:id="rId73" w:history="1">
        <w:r w:rsidRPr="00D519A3">
          <w:rPr>
            <w:rStyle w:val="Hyperlink"/>
            <w:i/>
          </w:rPr>
          <w:t xml:space="preserve">Mann v Carnell </w:t>
        </w:r>
        <w:r w:rsidRPr="00D519A3">
          <w:rPr>
            <w:rStyle w:val="Hyperlink"/>
          </w:rPr>
          <w:t>(1999) 201 CLR 1</w:t>
        </w:r>
      </w:hyperlink>
      <w:r w:rsidR="00614880" w:rsidRPr="00D519A3">
        <w:t>,</w:t>
      </w:r>
      <w:r w:rsidRPr="00D519A3">
        <w:t xml:space="preserve"> [29]. </w:t>
      </w:r>
    </w:p>
  </w:footnote>
  <w:footnote w:id="60">
    <w:p w14:paraId="25F85F9A" w14:textId="73E04EA8" w:rsidR="009D49EB" w:rsidRPr="00D519A3" w:rsidRDefault="009D49EB" w:rsidP="009F5737">
      <w:pPr>
        <w:pStyle w:val="FootnoteText"/>
      </w:pPr>
      <w:r w:rsidRPr="00D519A3">
        <w:rPr>
          <w:rStyle w:val="FootnoteReference"/>
        </w:rPr>
        <w:footnoteRef/>
      </w:r>
      <w:r w:rsidRPr="00D519A3">
        <w:t xml:space="preserve"> </w:t>
      </w:r>
      <w:r w:rsidR="00FB0F91" w:rsidRPr="00D519A3">
        <w:t>Ibid</w:t>
      </w:r>
      <w:r w:rsidR="00614880" w:rsidRPr="00D519A3">
        <w:t>,</w:t>
      </w:r>
      <w:r w:rsidR="00FB0F91" w:rsidRPr="00D519A3">
        <w:t xml:space="preserve"> </w:t>
      </w:r>
      <w:r w:rsidRPr="00D519A3">
        <w:t xml:space="preserve">[30]. </w:t>
      </w:r>
    </w:p>
  </w:footnote>
  <w:footnote w:id="61">
    <w:p w14:paraId="08BDB932" w14:textId="6E6B37F4" w:rsidR="009D49EB" w:rsidRPr="00D519A3" w:rsidRDefault="009D49EB" w:rsidP="00CC723C">
      <w:pPr>
        <w:pStyle w:val="FootnoteText"/>
      </w:pPr>
      <w:r w:rsidRPr="00D519A3">
        <w:rPr>
          <w:rStyle w:val="FootnoteReference"/>
        </w:rPr>
        <w:footnoteRef/>
      </w:r>
      <w:r w:rsidRPr="00D519A3">
        <w:t xml:space="preserve"> </w:t>
      </w:r>
      <w:r w:rsidR="00FB0F91" w:rsidRPr="00D519A3">
        <w:t>Ibid</w:t>
      </w:r>
      <w:r w:rsidR="00614880" w:rsidRPr="00D519A3">
        <w:t>,</w:t>
      </w:r>
      <w:r w:rsidRPr="00D519A3">
        <w:t xml:space="preserve"> [28]; </w:t>
      </w:r>
      <w:hyperlink r:id="rId74" w:history="1">
        <w:r w:rsidRPr="00D519A3">
          <w:rPr>
            <w:rStyle w:val="Hyperlink"/>
            <w:i/>
          </w:rPr>
          <w:t xml:space="preserve">Osland v Secretary to the Department of Justice </w:t>
        </w:r>
        <w:r w:rsidRPr="00D519A3">
          <w:rPr>
            <w:rStyle w:val="Hyperlink"/>
          </w:rPr>
          <w:t>(2008) 234 CLR 275</w:t>
        </w:r>
      </w:hyperlink>
      <w:r w:rsidR="00614880" w:rsidRPr="00D519A3">
        <w:t>,</w:t>
      </w:r>
      <w:r w:rsidRPr="00D519A3">
        <w:t xml:space="preserve"> [45].  </w:t>
      </w:r>
    </w:p>
  </w:footnote>
  <w:footnote w:id="62">
    <w:p w14:paraId="725ECFBA" w14:textId="6E53475F" w:rsidR="009D49EB" w:rsidRPr="00D519A3" w:rsidRDefault="009D49EB" w:rsidP="00CC723C">
      <w:pPr>
        <w:pStyle w:val="FootnoteText"/>
      </w:pPr>
      <w:r w:rsidRPr="00D519A3">
        <w:rPr>
          <w:rStyle w:val="FootnoteReference"/>
        </w:rPr>
        <w:footnoteRef/>
      </w:r>
      <w:r w:rsidRPr="00D519A3">
        <w:t xml:space="preserve"> </w:t>
      </w:r>
      <w:hyperlink r:id="rId75" w:history="1">
        <w:r w:rsidRPr="00D519A3">
          <w:rPr>
            <w:rStyle w:val="Hyperlink"/>
            <w:i/>
          </w:rPr>
          <w:t xml:space="preserve">Ampolex Ltd v Perpetual Trustee Company (Canberra) Ltd </w:t>
        </w:r>
        <w:r w:rsidRPr="00D519A3">
          <w:rPr>
            <w:rStyle w:val="Hyperlink"/>
          </w:rPr>
          <w:t>(1996) 137 ALR 28</w:t>
        </w:r>
      </w:hyperlink>
      <w:r w:rsidRPr="00D519A3">
        <w:t xml:space="preserve">. </w:t>
      </w:r>
    </w:p>
  </w:footnote>
  <w:footnote w:id="63">
    <w:p w14:paraId="6C022AFD" w14:textId="3149B3A0" w:rsidR="009D49EB" w:rsidRPr="00D519A3" w:rsidRDefault="009D49EB" w:rsidP="00F71E05">
      <w:pPr>
        <w:pStyle w:val="FootnoteText"/>
      </w:pPr>
      <w:r w:rsidRPr="00D519A3">
        <w:rPr>
          <w:rStyle w:val="FootnoteReference"/>
        </w:rPr>
        <w:footnoteRef/>
      </w:r>
      <w:r w:rsidRPr="00D519A3">
        <w:t xml:space="preserve"> </w:t>
      </w:r>
      <w:hyperlink r:id="rId76" w:history="1">
        <w:r w:rsidRPr="00D519A3">
          <w:rPr>
            <w:rStyle w:val="Hyperlink"/>
            <w:i/>
          </w:rPr>
          <w:t>Unsworth v Tristar Steering and Suspension Australia Ltd</w:t>
        </w:r>
        <w:r w:rsidRPr="00D519A3">
          <w:rPr>
            <w:rStyle w:val="Hyperlink"/>
          </w:rPr>
          <w:t xml:space="preserve"> [2007] FCA 1081</w:t>
        </w:r>
      </w:hyperlink>
      <w:r w:rsidR="004C53DB" w:rsidRPr="00D519A3">
        <w:t xml:space="preserve">, </w:t>
      </w:r>
      <w:r w:rsidRPr="00D519A3">
        <w:t xml:space="preserve">[6]-[9]. </w:t>
      </w:r>
    </w:p>
  </w:footnote>
  <w:footnote w:id="64">
    <w:p w14:paraId="3FB1BEF7" w14:textId="2A6D382B" w:rsidR="009D49EB" w:rsidRPr="00D519A3" w:rsidRDefault="009D49EB" w:rsidP="00146B33">
      <w:pPr>
        <w:pStyle w:val="FootnoteText"/>
        <w:ind w:left="142" w:right="-306" w:hanging="142"/>
      </w:pPr>
      <w:r w:rsidRPr="00D519A3">
        <w:rPr>
          <w:rStyle w:val="FootnoteReference"/>
        </w:rPr>
        <w:footnoteRef/>
      </w:r>
      <w:r w:rsidRPr="00D519A3">
        <w:t xml:space="preserve"> </w:t>
      </w:r>
      <w:hyperlink r:id="rId77" w:history="1">
        <w:r w:rsidRPr="00D519A3">
          <w:rPr>
            <w:rStyle w:val="Hyperlink"/>
            <w:rFonts w:cstheme="minorHAnsi"/>
            <w:i/>
            <w:iCs/>
          </w:rPr>
          <w:t xml:space="preserve">Australian Proprietary Hospital Care v Duggan </w:t>
        </w:r>
        <w:r w:rsidR="006351E2" w:rsidRPr="00D519A3">
          <w:rPr>
            <w:rStyle w:val="Hyperlink"/>
            <w:rFonts w:cstheme="minorHAnsi"/>
            <w:iCs/>
          </w:rPr>
          <w:t>[1999] VSC 96 (31 March 1999)</w:t>
        </w:r>
      </w:hyperlink>
      <w:r w:rsidR="006351E2" w:rsidRPr="00D519A3">
        <w:rPr>
          <w:rFonts w:cstheme="minorHAnsi"/>
          <w:iCs/>
        </w:rPr>
        <w:t>,</w:t>
      </w:r>
      <w:r w:rsidR="009B50E3" w:rsidRPr="00D519A3">
        <w:rPr>
          <w:rFonts w:cstheme="minorHAnsi"/>
        </w:rPr>
        <w:t xml:space="preserve"> </w:t>
      </w:r>
      <w:r w:rsidRPr="00D519A3">
        <w:rPr>
          <w:rFonts w:cstheme="minorHAnsi"/>
        </w:rPr>
        <w:t xml:space="preserve">[48] and [53]; </w:t>
      </w:r>
      <w:hyperlink r:id="rId78" w:history="1">
        <w:r w:rsidRPr="00D519A3">
          <w:rPr>
            <w:rStyle w:val="Hyperlink"/>
            <w:rFonts w:cstheme="minorHAnsi"/>
            <w:i/>
            <w:iCs/>
          </w:rPr>
          <w:t xml:space="preserve">Spotless Group Ltd v Premier Building and Consulting Pty Ltd </w:t>
        </w:r>
        <w:r w:rsidRPr="00D519A3">
          <w:rPr>
            <w:rStyle w:val="Hyperlink"/>
            <w:rFonts w:cstheme="minorHAnsi"/>
            <w:iCs/>
          </w:rPr>
          <w:t>[2006] VSCA 201</w:t>
        </w:r>
      </w:hyperlink>
      <w:r w:rsidRPr="00D519A3">
        <w:rPr>
          <w:rFonts w:cstheme="minorHAnsi"/>
          <w:iCs/>
        </w:rPr>
        <w:t>.</w:t>
      </w:r>
    </w:p>
  </w:footnote>
  <w:footnote w:id="65">
    <w:p w14:paraId="383C7FFC" w14:textId="1F3B30D6" w:rsidR="009D49EB" w:rsidRPr="00D519A3" w:rsidRDefault="009D49EB" w:rsidP="00146B33">
      <w:pPr>
        <w:pStyle w:val="FootnoteText"/>
        <w:ind w:left="142" w:hanging="142"/>
      </w:pPr>
      <w:r w:rsidRPr="00D519A3">
        <w:rPr>
          <w:rStyle w:val="FootnoteReference"/>
        </w:rPr>
        <w:footnoteRef/>
      </w:r>
      <w:r w:rsidR="002C7F53" w:rsidRPr="00D519A3">
        <w:t xml:space="preserve"> </w:t>
      </w:r>
      <w:hyperlink r:id="rId79" w:history="1">
        <w:r w:rsidRPr="00D519A3">
          <w:rPr>
            <w:rStyle w:val="Hyperlink"/>
            <w:i/>
          </w:rPr>
          <w:t xml:space="preserve">Perpetual Corporate Trust and Chief Minister, Treasury and Economic Development Directorate </w:t>
        </w:r>
        <w:r w:rsidRPr="00D519A3">
          <w:rPr>
            <w:rStyle w:val="Hyperlink"/>
          </w:rPr>
          <w:t>[2018] ACTOFOI 10 (17 December 2018)</w:t>
        </w:r>
      </w:hyperlink>
      <w:r w:rsidR="00ED7F53" w:rsidRPr="00D519A3">
        <w:rPr>
          <w:rStyle w:val="Hyperlink"/>
          <w:color w:val="auto"/>
          <w:u w:val="none"/>
        </w:rPr>
        <w:t>,</w:t>
      </w:r>
      <w:r w:rsidR="002C7F53" w:rsidRPr="00D519A3">
        <w:t xml:space="preserve"> [32].</w:t>
      </w:r>
      <w:r w:rsidRPr="00D519A3">
        <w:rPr>
          <w:rStyle w:val="Hyperlink"/>
        </w:rPr>
        <w:t xml:space="preserve"> </w:t>
      </w:r>
    </w:p>
  </w:footnote>
  <w:footnote w:id="66">
    <w:p w14:paraId="24EDE19E" w14:textId="55E423CA" w:rsidR="006173A2" w:rsidRPr="00D519A3" w:rsidRDefault="006173A2">
      <w:pPr>
        <w:pStyle w:val="FootnoteText"/>
      </w:pPr>
      <w:r w:rsidRPr="00D519A3">
        <w:rPr>
          <w:rStyle w:val="FootnoteReference"/>
        </w:rPr>
        <w:footnoteRef/>
      </w:r>
      <w:r w:rsidRPr="00D519A3">
        <w:t xml:space="preserve"> </w:t>
      </w:r>
      <w:r w:rsidR="00503E8E" w:rsidRPr="00D519A3">
        <w:rPr>
          <w:bCs/>
        </w:rPr>
        <w:t>Ibid</w:t>
      </w:r>
      <w:r w:rsidRPr="00D519A3">
        <w:rPr>
          <w:bCs/>
        </w:rPr>
        <w:t>.</w:t>
      </w:r>
    </w:p>
  </w:footnote>
  <w:footnote w:id="67">
    <w:p w14:paraId="40DA4DA5" w14:textId="36EC7370" w:rsidR="001969FB" w:rsidRPr="00D519A3" w:rsidRDefault="001969FB" w:rsidP="001969FB">
      <w:pPr>
        <w:pStyle w:val="FootnoteText"/>
      </w:pPr>
      <w:r w:rsidRPr="00D519A3">
        <w:rPr>
          <w:rStyle w:val="FootnoteReference"/>
        </w:rPr>
        <w:footnoteRef/>
      </w:r>
      <w:r w:rsidRPr="00D519A3">
        <w:t xml:space="preserve"> </w:t>
      </w:r>
      <w:hyperlink r:id="rId80" w:history="1">
        <w:r w:rsidRPr="00D519A3">
          <w:rPr>
            <w:rStyle w:val="Hyperlink"/>
            <w:i/>
            <w:iCs/>
          </w:rPr>
          <w:t>Adoption Act 1993</w:t>
        </w:r>
        <w:r w:rsidRPr="00D519A3">
          <w:rPr>
            <w:rStyle w:val="Hyperlink"/>
          </w:rPr>
          <w:t xml:space="preserve"> (ACT)</w:t>
        </w:r>
      </w:hyperlink>
      <w:r w:rsidR="00464240" w:rsidRPr="00D519A3">
        <w:t xml:space="preserve"> s 60. </w:t>
      </w:r>
    </w:p>
  </w:footnote>
  <w:footnote w:id="68">
    <w:p w14:paraId="2AD5FB36" w14:textId="3A2A0428" w:rsidR="002A4F3C" w:rsidRPr="00D519A3" w:rsidRDefault="002A4F3C">
      <w:pPr>
        <w:pStyle w:val="FootnoteText"/>
      </w:pPr>
      <w:r w:rsidRPr="00D519A3">
        <w:rPr>
          <w:rStyle w:val="FootnoteReference"/>
        </w:rPr>
        <w:footnoteRef/>
      </w:r>
      <w:r w:rsidRPr="00D519A3">
        <w:t xml:space="preserve"> </w:t>
      </w:r>
      <w:hyperlink r:id="rId81" w:history="1">
        <w:r w:rsidR="00C4319E" w:rsidRPr="00B52F6B">
          <w:rPr>
            <w:rStyle w:val="Hyperlink"/>
            <w:i/>
            <w:iCs/>
          </w:rPr>
          <w:t>Children and Young People Act 2008</w:t>
        </w:r>
        <w:r w:rsidR="00C4319E" w:rsidRPr="00B52F6B">
          <w:rPr>
            <w:rStyle w:val="Hyperlink"/>
          </w:rPr>
          <w:t xml:space="preserve"> (ACT)</w:t>
        </w:r>
      </w:hyperlink>
      <w:r w:rsidR="00C4319E" w:rsidRPr="00D519A3">
        <w:t xml:space="preserve"> (‘CYP Act’) </w:t>
      </w:r>
      <w:r w:rsidRPr="00D519A3">
        <w:t xml:space="preserve">s </w:t>
      </w:r>
      <w:r w:rsidR="005037A1" w:rsidRPr="00D519A3">
        <w:t xml:space="preserve">365. </w:t>
      </w:r>
    </w:p>
  </w:footnote>
  <w:footnote w:id="69">
    <w:p w14:paraId="3BA6BD92" w14:textId="5EC70634" w:rsidR="009D49EB" w:rsidRPr="00D519A3" w:rsidRDefault="009D49EB" w:rsidP="00A05F81">
      <w:pPr>
        <w:pStyle w:val="FootnoteText"/>
      </w:pPr>
      <w:r w:rsidRPr="00D519A3">
        <w:rPr>
          <w:rStyle w:val="FootnoteReference"/>
        </w:rPr>
        <w:footnoteRef/>
      </w:r>
      <w:r w:rsidRPr="00D519A3">
        <w:t xml:space="preserve"> </w:t>
      </w:r>
      <w:hyperlink r:id="rId82" w:history="1">
        <w:r w:rsidR="0041676B" w:rsidRPr="0041676B">
          <w:rPr>
            <w:rStyle w:val="Hyperlink"/>
          </w:rPr>
          <w:t>CYP Act</w:t>
        </w:r>
      </w:hyperlink>
      <w:r w:rsidR="002A4F3C" w:rsidRPr="00D519A3">
        <w:t xml:space="preserve"> </w:t>
      </w:r>
      <w:r w:rsidR="00113229" w:rsidRPr="00D519A3">
        <w:t xml:space="preserve">s </w:t>
      </w:r>
      <w:r w:rsidRPr="00D519A3">
        <w:t>845</w:t>
      </w:r>
      <w:r w:rsidR="002C7F53" w:rsidRPr="00D519A3">
        <w:t>.</w:t>
      </w:r>
    </w:p>
  </w:footnote>
  <w:footnote w:id="70">
    <w:p w14:paraId="6CEC3624" w14:textId="387DBE96" w:rsidR="009D49EB" w:rsidRPr="00D519A3" w:rsidRDefault="009D49EB" w:rsidP="00F71E05">
      <w:pPr>
        <w:pStyle w:val="FootnoteText"/>
      </w:pPr>
      <w:r w:rsidRPr="00D519A3">
        <w:rPr>
          <w:rStyle w:val="FootnoteReference"/>
        </w:rPr>
        <w:footnoteRef/>
      </w:r>
      <w:r w:rsidRPr="00D519A3">
        <w:t xml:space="preserve"> </w:t>
      </w:r>
      <w:hyperlink r:id="rId83" w:history="1">
        <w:r w:rsidR="0041676B" w:rsidRPr="0041676B">
          <w:rPr>
            <w:rStyle w:val="Hyperlink"/>
          </w:rPr>
          <w:t>CYP Act</w:t>
        </w:r>
      </w:hyperlink>
      <w:r w:rsidR="00C4319E" w:rsidRPr="00D519A3">
        <w:t xml:space="preserve"> </w:t>
      </w:r>
      <w:r w:rsidR="00113229" w:rsidRPr="00D519A3">
        <w:t>s</w:t>
      </w:r>
      <w:r w:rsidRPr="00D519A3">
        <w:t xml:space="preserve"> 847(2)</w:t>
      </w:r>
      <w:r w:rsidR="002C7F53" w:rsidRPr="00D519A3">
        <w:rPr>
          <w:i/>
        </w:rPr>
        <w:t>.</w:t>
      </w:r>
    </w:p>
  </w:footnote>
  <w:footnote w:id="71">
    <w:p w14:paraId="3CE5E9BB" w14:textId="01731F28" w:rsidR="009D49EB" w:rsidRPr="00D519A3" w:rsidRDefault="009D49EB" w:rsidP="00F71E05">
      <w:pPr>
        <w:pStyle w:val="FootnoteText"/>
      </w:pPr>
      <w:r w:rsidRPr="00D519A3">
        <w:rPr>
          <w:rStyle w:val="FootnoteReference"/>
        </w:rPr>
        <w:footnoteRef/>
      </w:r>
      <w:r w:rsidRPr="00D519A3">
        <w:t xml:space="preserve"> </w:t>
      </w:r>
      <w:hyperlink r:id="rId84" w:history="1">
        <w:r w:rsidR="0041676B" w:rsidRPr="0041676B">
          <w:rPr>
            <w:rStyle w:val="Hyperlink"/>
          </w:rPr>
          <w:t>CYP Act</w:t>
        </w:r>
      </w:hyperlink>
      <w:r w:rsidR="00C4319E" w:rsidRPr="00D519A3">
        <w:t xml:space="preserve"> </w:t>
      </w:r>
      <w:r w:rsidR="002A4F3C" w:rsidRPr="00D519A3">
        <w:t>s</w:t>
      </w:r>
      <w:r w:rsidRPr="00D519A3">
        <w:t xml:space="preserve"> 848(2)</w:t>
      </w:r>
      <w:r w:rsidR="002C7F53" w:rsidRPr="00D519A3">
        <w:rPr>
          <w:i/>
        </w:rPr>
        <w:t>.</w:t>
      </w:r>
    </w:p>
  </w:footnote>
  <w:footnote w:id="72">
    <w:p w14:paraId="5B447F14" w14:textId="321C90D7" w:rsidR="009D49EB" w:rsidRPr="00D519A3" w:rsidRDefault="009D49EB" w:rsidP="00F71E05">
      <w:pPr>
        <w:pStyle w:val="FootnoteText"/>
      </w:pPr>
      <w:r w:rsidRPr="00D519A3">
        <w:rPr>
          <w:rStyle w:val="FootnoteReference"/>
        </w:rPr>
        <w:footnoteRef/>
      </w:r>
      <w:r w:rsidRPr="00D519A3">
        <w:t xml:space="preserve"> </w:t>
      </w:r>
      <w:hyperlink r:id="rId85" w:history="1">
        <w:r w:rsidR="0041676B" w:rsidRPr="0041676B">
          <w:rPr>
            <w:rStyle w:val="Hyperlink"/>
          </w:rPr>
          <w:t>CYP Act</w:t>
        </w:r>
      </w:hyperlink>
      <w:r w:rsidR="002A4F3C" w:rsidRPr="00D519A3">
        <w:t xml:space="preserve"> </w:t>
      </w:r>
      <w:r w:rsidR="00113229" w:rsidRPr="00D519A3">
        <w:t>s</w:t>
      </w:r>
      <w:r w:rsidRPr="00D519A3">
        <w:t xml:space="preserve"> 849</w:t>
      </w:r>
      <w:r w:rsidR="002C7F53" w:rsidRPr="00D519A3">
        <w:rPr>
          <w:i/>
        </w:rPr>
        <w:t>.</w:t>
      </w:r>
    </w:p>
  </w:footnote>
  <w:footnote w:id="73">
    <w:p w14:paraId="45798AA5" w14:textId="132764F6" w:rsidR="009D49EB" w:rsidRPr="00D519A3" w:rsidRDefault="009D49EB" w:rsidP="00146B33">
      <w:pPr>
        <w:pStyle w:val="FootnoteText"/>
        <w:ind w:left="142" w:hanging="142"/>
      </w:pPr>
      <w:r w:rsidRPr="00D519A3">
        <w:rPr>
          <w:rStyle w:val="FootnoteReference"/>
        </w:rPr>
        <w:footnoteRef/>
      </w:r>
      <w:r w:rsidRPr="00D519A3">
        <w:t xml:space="preserve"> See </w:t>
      </w:r>
      <w:hyperlink r:id="rId86" w:history="1">
        <w:r w:rsidRPr="00D519A3">
          <w:rPr>
            <w:rStyle w:val="Hyperlink"/>
            <w:i/>
            <w:iCs/>
          </w:rPr>
          <w:t>Planning and Development Act 2007</w:t>
        </w:r>
        <w:r w:rsidR="0059509D" w:rsidRPr="00D519A3">
          <w:rPr>
            <w:rStyle w:val="Hyperlink"/>
            <w:iCs/>
          </w:rPr>
          <w:t xml:space="preserve"> (ACT)</w:t>
        </w:r>
      </w:hyperlink>
      <w:r w:rsidR="00916343" w:rsidRPr="00D519A3">
        <w:t xml:space="preserve"> s 418</w:t>
      </w:r>
      <w:r w:rsidR="001E31EB" w:rsidRPr="00D519A3">
        <w:t>;</w:t>
      </w:r>
      <w:r w:rsidRPr="00D519A3">
        <w:t xml:space="preserve"> </w:t>
      </w:r>
      <w:hyperlink r:id="rId87" w:history="1">
        <w:r w:rsidRPr="00D519A3">
          <w:rPr>
            <w:rStyle w:val="Hyperlink"/>
            <w:i/>
            <w:iCs/>
          </w:rPr>
          <w:t>Public Trustee and Guardian Act</w:t>
        </w:r>
        <w:r w:rsidR="001269CB" w:rsidRPr="00D519A3">
          <w:rPr>
            <w:rStyle w:val="Hyperlink"/>
            <w:i/>
            <w:iCs/>
          </w:rPr>
          <w:t xml:space="preserve"> 1985</w:t>
        </w:r>
        <w:r w:rsidR="0059509D" w:rsidRPr="00D519A3">
          <w:rPr>
            <w:rStyle w:val="Hyperlink"/>
            <w:i/>
            <w:iCs/>
          </w:rPr>
          <w:t xml:space="preserve"> </w:t>
        </w:r>
        <w:r w:rsidR="0059509D" w:rsidRPr="00D519A3">
          <w:rPr>
            <w:rStyle w:val="Hyperlink"/>
            <w:iCs/>
          </w:rPr>
          <w:t>(ACT)</w:t>
        </w:r>
      </w:hyperlink>
      <w:r w:rsidR="001E31EB" w:rsidRPr="00D519A3">
        <w:rPr>
          <w:iCs/>
        </w:rPr>
        <w:t xml:space="preserve"> </w:t>
      </w:r>
      <w:r w:rsidR="001E31EB" w:rsidRPr="00D519A3">
        <w:t>s 65A;</w:t>
      </w:r>
      <w:r w:rsidRPr="00D519A3">
        <w:t xml:space="preserve"> </w:t>
      </w:r>
      <w:hyperlink r:id="rId88" w:history="1">
        <w:r w:rsidRPr="00D519A3">
          <w:rPr>
            <w:rStyle w:val="Hyperlink"/>
            <w:i/>
            <w:iCs/>
          </w:rPr>
          <w:t>Health</w:t>
        </w:r>
        <w:r w:rsidR="0080118F">
          <w:rPr>
            <w:rStyle w:val="Hyperlink"/>
            <w:i/>
            <w:iCs/>
          </w:rPr>
          <w:t> </w:t>
        </w:r>
        <w:r w:rsidRPr="00D519A3">
          <w:rPr>
            <w:rStyle w:val="Hyperlink"/>
            <w:i/>
            <w:iCs/>
          </w:rPr>
          <w:t>Act 1993</w:t>
        </w:r>
        <w:r w:rsidR="0059509D" w:rsidRPr="00D519A3">
          <w:rPr>
            <w:rStyle w:val="Hyperlink"/>
            <w:i/>
            <w:iCs/>
          </w:rPr>
          <w:t xml:space="preserve"> </w:t>
        </w:r>
        <w:r w:rsidR="0059509D" w:rsidRPr="00D519A3">
          <w:rPr>
            <w:rStyle w:val="Hyperlink"/>
            <w:iCs/>
          </w:rPr>
          <w:t>(ACT)</w:t>
        </w:r>
      </w:hyperlink>
      <w:r w:rsidR="001E31EB" w:rsidRPr="00D519A3">
        <w:t xml:space="preserve"> s 125. </w:t>
      </w:r>
    </w:p>
  </w:footnote>
  <w:footnote w:id="74">
    <w:p w14:paraId="67D9240F" w14:textId="5060F284" w:rsidR="009D49EB" w:rsidRPr="00D519A3" w:rsidRDefault="009D49EB" w:rsidP="00AA5202">
      <w:pPr>
        <w:pStyle w:val="FootnoteText"/>
      </w:pPr>
      <w:r w:rsidRPr="00D519A3">
        <w:rPr>
          <w:vertAlign w:val="superscript"/>
        </w:rPr>
        <w:footnoteRef/>
      </w:r>
      <w:r w:rsidRPr="00D519A3">
        <w:t xml:space="preserve"> </w:t>
      </w:r>
      <w:hyperlink r:id="rId89" w:history="1">
        <w:r w:rsidR="00195014" w:rsidRPr="008A0B30">
          <w:rPr>
            <w:rStyle w:val="Hyperlink"/>
            <w:i/>
            <w:iCs/>
          </w:rPr>
          <w:t>Crimes (Child Sex Offenders) Act 2005</w:t>
        </w:r>
        <w:r w:rsidR="008A0B30" w:rsidRPr="008A0B30">
          <w:rPr>
            <w:rStyle w:val="Hyperlink"/>
          </w:rPr>
          <w:t xml:space="preserve"> (ACT)</w:t>
        </w:r>
      </w:hyperlink>
      <w:r w:rsidRPr="00D519A3">
        <w:t xml:space="preserve"> s 133A(3)</w:t>
      </w:r>
      <w:r w:rsidR="002C7F53" w:rsidRPr="00D519A3">
        <w:t>.</w:t>
      </w:r>
    </w:p>
  </w:footnote>
  <w:footnote w:id="75">
    <w:p w14:paraId="104947AB" w14:textId="0C779E08" w:rsidR="009D49EB" w:rsidRPr="00D519A3" w:rsidRDefault="009D49EB" w:rsidP="00B81FF6">
      <w:pPr>
        <w:pStyle w:val="FootnoteText"/>
      </w:pPr>
      <w:r w:rsidRPr="00D519A3">
        <w:rPr>
          <w:rStyle w:val="FootnoteReference"/>
        </w:rPr>
        <w:footnoteRef/>
      </w:r>
      <w:r w:rsidRPr="00D519A3">
        <w:t xml:space="preserve"> </w:t>
      </w:r>
      <w:hyperlink r:id="rId90" w:history="1">
        <w:r w:rsidR="0041676B" w:rsidRPr="0041676B">
          <w:rPr>
            <w:rStyle w:val="Hyperlink"/>
          </w:rPr>
          <w:t>Crimes CSO Act</w:t>
        </w:r>
      </w:hyperlink>
      <w:r w:rsidR="00113229" w:rsidRPr="00D519A3">
        <w:t xml:space="preserve"> s</w:t>
      </w:r>
      <w:r w:rsidRPr="00D519A3">
        <w:t xml:space="preserve"> 133A(4)</w:t>
      </w:r>
      <w:r w:rsidR="002C7F53" w:rsidRPr="00D519A3">
        <w:t>.</w:t>
      </w:r>
    </w:p>
  </w:footnote>
  <w:footnote w:id="76">
    <w:p w14:paraId="664F1408" w14:textId="21D50BEF" w:rsidR="009D49EB" w:rsidRPr="00D519A3" w:rsidRDefault="009D49EB" w:rsidP="00B81FF6">
      <w:pPr>
        <w:pStyle w:val="FootnoteText"/>
      </w:pPr>
      <w:r w:rsidRPr="00D519A3">
        <w:rPr>
          <w:rStyle w:val="FootnoteReference"/>
        </w:rPr>
        <w:footnoteRef/>
      </w:r>
      <w:r w:rsidRPr="00D519A3">
        <w:t xml:space="preserve"> </w:t>
      </w:r>
      <w:hyperlink r:id="rId91" w:history="1">
        <w:r w:rsidR="0041676B" w:rsidRPr="0041676B">
          <w:rPr>
            <w:rStyle w:val="Hyperlink"/>
          </w:rPr>
          <w:t>Crimes CSO Act</w:t>
        </w:r>
      </w:hyperlink>
      <w:r w:rsidR="00BE1BE0" w:rsidRPr="00D519A3">
        <w:t xml:space="preserve"> s </w:t>
      </w:r>
      <w:r w:rsidRPr="00D519A3">
        <w:t>133A(5)</w:t>
      </w:r>
      <w:r w:rsidR="00113229" w:rsidRPr="00D519A3">
        <w:t>.</w:t>
      </w:r>
    </w:p>
  </w:footnote>
  <w:footnote w:id="77">
    <w:p w14:paraId="468C7004" w14:textId="01FB34BD" w:rsidR="009D49EB" w:rsidRPr="00D519A3" w:rsidRDefault="009D49EB" w:rsidP="00B81FF6">
      <w:pPr>
        <w:pStyle w:val="FootnoteText"/>
      </w:pPr>
      <w:r w:rsidRPr="00D519A3">
        <w:rPr>
          <w:rStyle w:val="FootnoteReference"/>
        </w:rPr>
        <w:footnoteRef/>
      </w:r>
      <w:r w:rsidRPr="00D519A3">
        <w:t xml:space="preserve"> The FOI Act is not considered to be another law under which protected information can be disclosed</w:t>
      </w:r>
      <w:r w:rsidRPr="00D519A3">
        <w:rPr>
          <w:i/>
        </w:rPr>
        <w:t>.</w:t>
      </w:r>
    </w:p>
  </w:footnote>
  <w:footnote w:id="78">
    <w:p w14:paraId="14B2185B" w14:textId="541F70B6" w:rsidR="009D49EB" w:rsidRPr="00D519A3" w:rsidRDefault="009D49EB" w:rsidP="00CB034F">
      <w:pPr>
        <w:pStyle w:val="FootnoteText"/>
      </w:pPr>
      <w:r w:rsidRPr="00D519A3">
        <w:rPr>
          <w:rStyle w:val="FootnoteReference"/>
        </w:rPr>
        <w:footnoteRef/>
      </w:r>
      <w:r w:rsidRPr="00D519A3">
        <w:t xml:space="preserve"> </w:t>
      </w:r>
      <w:hyperlink r:id="rId92" w:history="1">
        <w:r w:rsidR="002413E9" w:rsidRPr="002413E9">
          <w:rPr>
            <w:rStyle w:val="Hyperlink"/>
            <w:i/>
            <w:iCs/>
          </w:rPr>
          <w:t>Crimes (Restorative Justice) Act 2004</w:t>
        </w:r>
        <w:r w:rsidR="002413E9" w:rsidRPr="002413E9">
          <w:rPr>
            <w:rStyle w:val="Hyperlink"/>
          </w:rPr>
          <w:t xml:space="preserve"> (ACT)</w:t>
        </w:r>
      </w:hyperlink>
      <w:r w:rsidR="00113229" w:rsidRPr="00D519A3">
        <w:t xml:space="preserve"> s </w:t>
      </w:r>
      <w:r w:rsidRPr="00D519A3">
        <w:t>64(4)</w:t>
      </w:r>
      <w:r w:rsidR="00113229" w:rsidRPr="00D519A3">
        <w:t>.</w:t>
      </w:r>
    </w:p>
  </w:footnote>
  <w:footnote w:id="79">
    <w:p w14:paraId="157ED651" w14:textId="1FBB88E6" w:rsidR="009D49EB" w:rsidRPr="00D519A3" w:rsidRDefault="009D49EB" w:rsidP="00B81FF6">
      <w:pPr>
        <w:pStyle w:val="FootnoteText"/>
      </w:pPr>
      <w:r w:rsidRPr="00D519A3">
        <w:rPr>
          <w:rStyle w:val="FootnoteReference"/>
        </w:rPr>
        <w:footnoteRef/>
      </w:r>
      <w:r w:rsidRPr="00D519A3">
        <w:t xml:space="preserve"> </w:t>
      </w:r>
      <w:hyperlink r:id="rId93" w:history="1">
        <w:r w:rsidR="0041676B" w:rsidRPr="0041676B">
          <w:rPr>
            <w:rStyle w:val="Hyperlink"/>
          </w:rPr>
          <w:t>Crimes RJ Act</w:t>
        </w:r>
      </w:hyperlink>
      <w:r w:rsidR="00BE1BE0" w:rsidRPr="00D519A3">
        <w:t xml:space="preserve"> s</w:t>
      </w:r>
      <w:r w:rsidR="00113229" w:rsidRPr="00D519A3">
        <w:t xml:space="preserve"> </w:t>
      </w:r>
      <w:r w:rsidRPr="00D519A3">
        <w:t>64(1)</w:t>
      </w:r>
      <w:r w:rsidR="00113229" w:rsidRPr="00D519A3">
        <w:t>.</w:t>
      </w:r>
    </w:p>
  </w:footnote>
  <w:footnote w:id="80">
    <w:p w14:paraId="037D0B2D" w14:textId="3AA6A509" w:rsidR="004C3EDB" w:rsidRPr="00D519A3" w:rsidRDefault="004C3EDB" w:rsidP="004C3EDB">
      <w:pPr>
        <w:pStyle w:val="FootnoteText"/>
      </w:pPr>
      <w:r w:rsidRPr="00D519A3">
        <w:rPr>
          <w:rStyle w:val="FootnoteReference"/>
        </w:rPr>
        <w:footnoteRef/>
      </w:r>
      <w:r w:rsidRPr="00D519A3">
        <w:t xml:space="preserve"> </w:t>
      </w:r>
      <w:hyperlink r:id="rId94" w:history="1">
        <w:r w:rsidRPr="00D519A3">
          <w:rPr>
            <w:rStyle w:val="Hyperlink"/>
            <w:i/>
          </w:rPr>
          <w:t xml:space="preserve">Wyeth and Queensland Police Service </w:t>
        </w:r>
        <w:r w:rsidRPr="00D519A3">
          <w:rPr>
            <w:rStyle w:val="Hyperlink"/>
          </w:rPr>
          <w:t>[2015] QICmr 26</w:t>
        </w:r>
      </w:hyperlink>
      <w:r w:rsidRPr="00D519A3">
        <w:t>.</w:t>
      </w:r>
    </w:p>
  </w:footnote>
  <w:footnote w:id="81">
    <w:p w14:paraId="2241A540" w14:textId="76D1B393" w:rsidR="009D49EB" w:rsidRPr="00D519A3" w:rsidRDefault="009D49EB" w:rsidP="00146B33">
      <w:pPr>
        <w:pStyle w:val="FootnoteText"/>
        <w:ind w:left="142" w:hanging="142"/>
      </w:pPr>
      <w:r w:rsidRPr="00D519A3">
        <w:rPr>
          <w:rStyle w:val="FootnoteReference"/>
        </w:rPr>
        <w:footnoteRef/>
      </w:r>
      <w:r w:rsidRPr="00D519A3">
        <w:t xml:space="preserve"> </w:t>
      </w:r>
      <w:hyperlink r:id="rId95" w:history="1">
        <w:r w:rsidRPr="00D519A3">
          <w:rPr>
            <w:rStyle w:val="Hyperlink"/>
            <w:i/>
          </w:rPr>
          <w:t>Utopia Financial Services Pty Ltd and Australian Securities and Investments Commission (Freedom of information)</w:t>
        </w:r>
        <w:r w:rsidRPr="00D519A3">
          <w:rPr>
            <w:rStyle w:val="Hyperlink"/>
          </w:rPr>
          <w:t xml:space="preserve"> [2017] AATA 269</w:t>
        </w:r>
      </w:hyperlink>
      <w:r w:rsidR="00E57022" w:rsidRPr="00D519A3">
        <w:t>,</w:t>
      </w:r>
      <w:r w:rsidRPr="00D519A3">
        <w:t xml:space="preserve"> [228]-[238].  </w:t>
      </w:r>
    </w:p>
  </w:footnote>
  <w:footnote w:id="82">
    <w:p w14:paraId="4B6D5C65" w14:textId="0A410039" w:rsidR="009D49EB" w:rsidRPr="00D519A3" w:rsidRDefault="009D49EB" w:rsidP="00146B33">
      <w:pPr>
        <w:pStyle w:val="FootnoteText"/>
        <w:ind w:left="142" w:hanging="142"/>
      </w:pPr>
      <w:r w:rsidRPr="00D519A3">
        <w:rPr>
          <w:rStyle w:val="FootnoteReference"/>
        </w:rPr>
        <w:footnoteRef/>
      </w:r>
      <w:r w:rsidRPr="00D519A3">
        <w:t xml:space="preserve"> </w:t>
      </w:r>
      <w:hyperlink r:id="rId96" w:history="1">
        <w:r w:rsidRPr="00D519A3">
          <w:rPr>
            <w:rStyle w:val="Hyperlink"/>
            <w:i/>
          </w:rPr>
          <w:t>Jonathan Laird and Department of Defence</w:t>
        </w:r>
        <w:r w:rsidRPr="00D519A3">
          <w:rPr>
            <w:rStyle w:val="Hyperlink"/>
          </w:rPr>
          <w:t xml:space="preserve"> [2014] AICmr 144</w:t>
        </w:r>
      </w:hyperlink>
      <w:r w:rsidR="002E5195" w:rsidRPr="00D519A3">
        <w:rPr>
          <w:i/>
        </w:rPr>
        <w:t>,</w:t>
      </w:r>
      <w:r w:rsidRPr="00D519A3">
        <w:t xml:space="preserve"> [16]. See also </w:t>
      </w:r>
      <w:hyperlink r:id="rId97" w:history="1">
        <w:r w:rsidRPr="00D519A3">
          <w:rPr>
            <w:rStyle w:val="Hyperlink"/>
            <w:i/>
          </w:rPr>
          <w:t>Alsop and Redland City Council</w:t>
        </w:r>
        <w:r w:rsidRPr="00D519A3">
          <w:rPr>
            <w:rStyle w:val="Hyperlink"/>
          </w:rPr>
          <w:t xml:space="preserve"> [2017] QICmr 27</w:t>
        </w:r>
      </w:hyperlink>
      <w:r w:rsidR="002E5195" w:rsidRPr="00D519A3">
        <w:t>,</w:t>
      </w:r>
      <w:r w:rsidR="00113229" w:rsidRPr="00D519A3">
        <w:t xml:space="preserve"> </w:t>
      </w:r>
      <w:r w:rsidRPr="00D519A3">
        <w:t xml:space="preserve">[21]. </w:t>
      </w:r>
    </w:p>
  </w:footnote>
  <w:footnote w:id="83">
    <w:p w14:paraId="3D7E67DB" w14:textId="0178CF8D" w:rsidR="009D49EB" w:rsidRPr="00D519A3" w:rsidRDefault="009D49EB" w:rsidP="00F71E05">
      <w:pPr>
        <w:pStyle w:val="FootnoteText"/>
      </w:pPr>
      <w:r w:rsidRPr="00D519A3">
        <w:rPr>
          <w:rStyle w:val="FootnoteReference"/>
        </w:rPr>
        <w:footnoteRef/>
      </w:r>
      <w:r w:rsidRPr="00D519A3">
        <w:t xml:space="preserve"> </w:t>
      </w:r>
      <w:r w:rsidR="001E07EE" w:rsidRPr="00D519A3">
        <w:t>Ibid</w:t>
      </w:r>
      <w:r w:rsidRPr="00D519A3">
        <w:t xml:space="preserve">. </w:t>
      </w:r>
    </w:p>
  </w:footnote>
  <w:footnote w:id="84">
    <w:p w14:paraId="696782CD" w14:textId="2AE25F4E" w:rsidR="004C3EDB" w:rsidRPr="00D519A3" w:rsidRDefault="004C3EDB" w:rsidP="00146B33">
      <w:pPr>
        <w:pStyle w:val="FootnoteText"/>
        <w:ind w:left="142" w:hanging="142"/>
      </w:pPr>
      <w:r w:rsidRPr="00D519A3">
        <w:rPr>
          <w:rStyle w:val="FootnoteReference"/>
        </w:rPr>
        <w:footnoteRef/>
      </w:r>
      <w:r w:rsidRPr="00D519A3">
        <w:t xml:space="preserve"> </w:t>
      </w:r>
      <w:hyperlink r:id="rId98" w:history="1">
        <w:r w:rsidRPr="00D519A3">
          <w:rPr>
            <w:rStyle w:val="Hyperlink"/>
            <w:i/>
          </w:rPr>
          <w:t>Alex Cuthbertson and Department of Immigration and Border Protection</w:t>
        </w:r>
        <w:r w:rsidRPr="00D519A3">
          <w:rPr>
            <w:rStyle w:val="Hyperlink"/>
          </w:rPr>
          <w:t xml:space="preserve"> [2016] AICmr 18</w:t>
        </w:r>
      </w:hyperlink>
      <w:r w:rsidRPr="00D519A3">
        <w:t xml:space="preserve">; </w:t>
      </w:r>
      <w:hyperlink r:id="rId99" w:history="1">
        <w:r w:rsidRPr="00D519A3">
          <w:rPr>
            <w:rStyle w:val="Hyperlink"/>
            <w:i/>
          </w:rPr>
          <w:t>Alex Cuthbertson and Department of Immigration and Border Protection</w:t>
        </w:r>
        <w:r w:rsidRPr="00D519A3">
          <w:rPr>
            <w:rStyle w:val="Hyperlink"/>
          </w:rPr>
          <w:t xml:space="preserve"> [2016] AICmr 19</w:t>
        </w:r>
      </w:hyperlink>
      <w:r w:rsidRPr="00D519A3">
        <w:t xml:space="preserve">; </w:t>
      </w:r>
      <w:hyperlink r:id="rId100" w:history="1">
        <w:r w:rsidRPr="00D519A3">
          <w:rPr>
            <w:rStyle w:val="Hyperlink"/>
            <w:i/>
          </w:rPr>
          <w:t>Alex Cuthbertson and Department of Immigration and Border Protection</w:t>
        </w:r>
        <w:r w:rsidRPr="00D519A3">
          <w:rPr>
            <w:rStyle w:val="Hyperlink"/>
          </w:rPr>
          <w:t xml:space="preserve"> [2016] AICmr 20</w:t>
        </w:r>
      </w:hyperlink>
      <w:r w:rsidRPr="00D519A3">
        <w:t>.</w:t>
      </w:r>
    </w:p>
  </w:footnote>
  <w:footnote w:id="85">
    <w:p w14:paraId="4311EACF" w14:textId="4214A325" w:rsidR="004C3EDB" w:rsidRPr="00D519A3" w:rsidRDefault="004C3EDB" w:rsidP="004C3EDB">
      <w:pPr>
        <w:pStyle w:val="FootnoteText"/>
      </w:pPr>
      <w:r w:rsidRPr="00D519A3">
        <w:rPr>
          <w:rStyle w:val="FootnoteReference"/>
        </w:rPr>
        <w:footnoteRef/>
      </w:r>
      <w:hyperlink r:id="rId101" w:history="1">
        <w:r w:rsidRPr="00D519A3">
          <w:rPr>
            <w:rStyle w:val="Hyperlink"/>
            <w:i/>
          </w:rPr>
          <w:t xml:space="preserve"> </w:t>
        </w:r>
        <w:r w:rsidRPr="00D519A3">
          <w:rPr>
            <w:rStyle w:val="Hyperlink"/>
          </w:rPr>
          <w:t>[2014] AICmr 144</w:t>
        </w:r>
      </w:hyperlink>
      <w:r w:rsidRPr="00D519A3">
        <w:t>.</w:t>
      </w:r>
    </w:p>
  </w:footnote>
  <w:footnote w:id="86">
    <w:p w14:paraId="2169D61A" w14:textId="670BC1DF" w:rsidR="004C3EDB" w:rsidRPr="00D519A3" w:rsidRDefault="004C3EDB" w:rsidP="004C3EDB">
      <w:pPr>
        <w:pStyle w:val="FootnoteText"/>
      </w:pPr>
      <w:r w:rsidRPr="00D519A3">
        <w:rPr>
          <w:rStyle w:val="FootnoteReference"/>
        </w:rPr>
        <w:footnoteRef/>
      </w:r>
      <w:r w:rsidR="00113229" w:rsidRPr="00D519A3">
        <w:t xml:space="preserve"> Ibid</w:t>
      </w:r>
      <w:r w:rsidR="009B5418" w:rsidRPr="00D519A3">
        <w:t xml:space="preserve">, </w:t>
      </w:r>
      <w:r w:rsidRPr="00D519A3">
        <w:t>[17].</w:t>
      </w:r>
    </w:p>
  </w:footnote>
  <w:footnote w:id="87">
    <w:p w14:paraId="4BBDADC9" w14:textId="2E1C6DDA" w:rsidR="009D49EB" w:rsidRPr="00D519A3" w:rsidRDefault="009D49EB" w:rsidP="00AA5202">
      <w:pPr>
        <w:pStyle w:val="FootnoteText"/>
      </w:pPr>
      <w:r w:rsidRPr="00D519A3">
        <w:rPr>
          <w:rStyle w:val="FootnoteReference"/>
        </w:rPr>
        <w:footnoteRef/>
      </w:r>
      <w:r w:rsidRPr="00D519A3">
        <w:t xml:space="preserve"> </w:t>
      </w:r>
      <w:r w:rsidR="003D0224" w:rsidRPr="00D519A3">
        <w:t xml:space="preserve">See </w:t>
      </w:r>
      <w:hyperlink r:id="rId102" w:history="1">
        <w:r w:rsidR="003D0224" w:rsidRPr="0080118F">
          <w:rPr>
            <w:rStyle w:val="Hyperlink"/>
          </w:rPr>
          <w:t>FOI Guidelines Vol 3 – Dealing with access applications</w:t>
        </w:r>
      </w:hyperlink>
      <w:r w:rsidR="003D0224" w:rsidRPr="00D519A3">
        <w:t xml:space="preserve">. </w:t>
      </w:r>
    </w:p>
  </w:footnote>
  <w:footnote w:id="88">
    <w:p w14:paraId="35631C3E" w14:textId="23831C2E" w:rsidR="009D49EB" w:rsidRPr="00D519A3" w:rsidRDefault="009D49EB" w:rsidP="00146B33">
      <w:pPr>
        <w:pStyle w:val="FootnoteText"/>
        <w:ind w:left="142" w:hanging="142"/>
      </w:pPr>
      <w:r w:rsidRPr="00D519A3">
        <w:rPr>
          <w:rStyle w:val="FootnoteReference"/>
        </w:rPr>
        <w:footnoteRef/>
      </w:r>
      <w:r w:rsidRPr="00D519A3">
        <w:t xml:space="preserve"> </w:t>
      </w:r>
      <w:hyperlink r:id="rId103" w:history="1">
        <w:r w:rsidRPr="00E2700D">
          <w:rPr>
            <w:rStyle w:val="Hyperlink"/>
            <w:i/>
          </w:rPr>
          <w:t>Re Chandra and Minister for Immigration and Ethnic Affairs</w:t>
        </w:r>
        <w:r w:rsidRPr="00E2700D">
          <w:rPr>
            <w:rStyle w:val="Hyperlink"/>
          </w:rPr>
          <w:t xml:space="preserve"> [1984] AATA 437</w:t>
        </w:r>
      </w:hyperlink>
      <w:r w:rsidRPr="00D519A3">
        <w:t xml:space="preserve">; </w:t>
      </w:r>
      <w:hyperlink r:id="rId104" w:history="1">
        <w:r w:rsidRPr="006E16C0">
          <w:rPr>
            <w:rStyle w:val="Hyperlink"/>
            <w:i/>
          </w:rPr>
          <w:t xml:space="preserve">‘FG’ and National Archives of Australia </w:t>
        </w:r>
        <w:r w:rsidRPr="006E16C0">
          <w:rPr>
            <w:rStyle w:val="Hyperlink"/>
          </w:rPr>
          <w:t>[2015] AICmr 26</w:t>
        </w:r>
      </w:hyperlink>
      <w:r w:rsidR="001506E7" w:rsidRPr="00D519A3">
        <w:t>,</w:t>
      </w:r>
      <w:r w:rsidRPr="00D519A3">
        <w:t xml:space="preserve"> [47]-[48].</w:t>
      </w:r>
    </w:p>
  </w:footnote>
  <w:footnote w:id="89">
    <w:p w14:paraId="363F4EA4" w14:textId="14922844" w:rsidR="009D49EB" w:rsidRPr="00D519A3" w:rsidRDefault="009D49EB" w:rsidP="00F71E05">
      <w:pPr>
        <w:pStyle w:val="FootnoteText"/>
      </w:pPr>
      <w:r w:rsidRPr="00D519A3">
        <w:rPr>
          <w:rStyle w:val="FootnoteReference"/>
        </w:rPr>
        <w:footnoteRef/>
      </w:r>
      <w:r w:rsidR="00525537">
        <w:rPr>
          <w:i/>
        </w:rPr>
        <w:t xml:space="preserve"> </w:t>
      </w:r>
      <w:hyperlink r:id="rId105" w:history="1">
        <w:r w:rsidRPr="00525537">
          <w:rPr>
            <w:rStyle w:val="Hyperlink"/>
            <w:i/>
          </w:rPr>
          <w:t xml:space="preserve">WL1T8P and Queensland Police Service </w:t>
        </w:r>
        <w:r w:rsidRPr="00525537">
          <w:rPr>
            <w:rStyle w:val="Hyperlink"/>
          </w:rPr>
          <w:t>[2014] QICmr 40</w:t>
        </w:r>
      </w:hyperlink>
      <w:r w:rsidR="001506E7" w:rsidRPr="00D519A3">
        <w:t>,</w:t>
      </w:r>
      <w:r w:rsidRPr="00D519A3">
        <w:t xml:space="preserve"> [44]. </w:t>
      </w:r>
    </w:p>
  </w:footnote>
  <w:footnote w:id="90">
    <w:p w14:paraId="35B8B46F" w14:textId="4279E27D" w:rsidR="009D49EB" w:rsidRPr="00D519A3" w:rsidRDefault="009D49EB" w:rsidP="00F71E05">
      <w:pPr>
        <w:pStyle w:val="FootnoteText"/>
      </w:pPr>
      <w:r w:rsidRPr="00D519A3">
        <w:rPr>
          <w:rStyle w:val="FootnoteReference"/>
        </w:rPr>
        <w:footnoteRef/>
      </w:r>
      <w:r w:rsidRPr="00D519A3">
        <w:t xml:space="preserve"> </w:t>
      </w:r>
      <w:hyperlink r:id="rId106" w:history="1">
        <w:r w:rsidRPr="00D519A3">
          <w:rPr>
            <w:rStyle w:val="Hyperlink"/>
            <w:i/>
          </w:rPr>
          <w:t>‘AD’ and Health Directorate</w:t>
        </w:r>
        <w:r w:rsidRPr="00D519A3">
          <w:rPr>
            <w:rStyle w:val="Hyperlink"/>
          </w:rPr>
          <w:t xml:space="preserve"> [2018] ACTOFOI 8 </w:t>
        </w:r>
        <w:r w:rsidR="00071381" w:rsidRPr="00D519A3">
          <w:rPr>
            <w:rStyle w:val="Hyperlink"/>
          </w:rPr>
          <w:t>(27 November 2018)</w:t>
        </w:r>
      </w:hyperlink>
      <w:r w:rsidR="001506E7" w:rsidRPr="00D519A3">
        <w:rPr>
          <w:rStyle w:val="Hyperlink"/>
        </w:rPr>
        <w:t>,</w:t>
      </w:r>
      <w:r w:rsidR="00071381" w:rsidRPr="00D519A3">
        <w:t xml:space="preserve"> </w:t>
      </w:r>
      <w:r w:rsidRPr="00D519A3">
        <w:t>[48].</w:t>
      </w:r>
    </w:p>
  </w:footnote>
  <w:footnote w:id="91">
    <w:p w14:paraId="09EECB69" w14:textId="175DEB84" w:rsidR="009D49EB" w:rsidRPr="00D519A3" w:rsidRDefault="009D49EB" w:rsidP="00F71E05">
      <w:pPr>
        <w:pStyle w:val="FootnoteText"/>
      </w:pPr>
      <w:r w:rsidRPr="00D519A3">
        <w:rPr>
          <w:rStyle w:val="FootnoteReference"/>
        </w:rPr>
        <w:footnoteRef/>
      </w:r>
      <w:r w:rsidRPr="00D519A3">
        <w:t xml:space="preserve"> </w:t>
      </w:r>
      <w:r w:rsidR="00CF047A" w:rsidRPr="00D519A3">
        <w:t>I</w:t>
      </w:r>
      <w:r w:rsidR="00071381" w:rsidRPr="00D519A3">
        <w:t>bid</w:t>
      </w:r>
      <w:r w:rsidRPr="00D519A3">
        <w:t xml:space="preserve">; </w:t>
      </w:r>
      <w:hyperlink r:id="rId107" w:history="1">
        <w:r w:rsidRPr="00D519A3">
          <w:rPr>
            <w:rStyle w:val="Hyperlink"/>
            <w:i/>
          </w:rPr>
          <w:t>‘AB’ and Chief Minister, Treasury and Economic Development Directorate</w:t>
        </w:r>
        <w:r w:rsidRPr="00D519A3">
          <w:rPr>
            <w:rStyle w:val="Hyperlink"/>
          </w:rPr>
          <w:t xml:space="preserve"> [2018] ACTOFOI 2 </w:t>
        </w:r>
        <w:r w:rsidR="00071381" w:rsidRPr="00D519A3">
          <w:rPr>
            <w:rStyle w:val="Hyperlink"/>
          </w:rPr>
          <w:t>(23 August 2018)</w:t>
        </w:r>
      </w:hyperlink>
      <w:r w:rsidR="00071381" w:rsidRPr="00D519A3">
        <w:t xml:space="preserve"> </w:t>
      </w:r>
      <w:r w:rsidRPr="00D519A3">
        <w:t xml:space="preserve">[52]; </w:t>
      </w:r>
      <w:hyperlink r:id="rId108" w:history="1">
        <w:r w:rsidRPr="00D519A3">
          <w:rPr>
            <w:rStyle w:val="Hyperlink"/>
            <w:i/>
          </w:rPr>
          <w:t>Alistair Coe and ACT Health Directorate</w:t>
        </w:r>
        <w:r w:rsidRPr="00D519A3">
          <w:rPr>
            <w:rStyle w:val="Hyperlink"/>
          </w:rPr>
          <w:t xml:space="preserve"> [2018] ACTOFOI 4 </w:t>
        </w:r>
        <w:r w:rsidR="00071381" w:rsidRPr="00D519A3">
          <w:rPr>
            <w:rStyle w:val="Hyperlink"/>
          </w:rPr>
          <w:t>(5 September 2018)</w:t>
        </w:r>
      </w:hyperlink>
      <w:r w:rsidR="001506E7" w:rsidRPr="00D519A3">
        <w:rPr>
          <w:rStyle w:val="Hyperlink"/>
        </w:rPr>
        <w:t>,</w:t>
      </w:r>
      <w:r w:rsidR="00071381" w:rsidRPr="00D519A3">
        <w:t xml:space="preserve"> </w:t>
      </w:r>
      <w:r w:rsidRPr="00D519A3">
        <w:t>[45].</w:t>
      </w:r>
    </w:p>
  </w:footnote>
  <w:footnote w:id="92">
    <w:p w14:paraId="6CB6D91C" w14:textId="0A83304F" w:rsidR="009D49EB" w:rsidRPr="00D519A3" w:rsidRDefault="009D49EB">
      <w:pPr>
        <w:pStyle w:val="FootnoteText"/>
      </w:pPr>
      <w:r w:rsidRPr="00D519A3">
        <w:rPr>
          <w:rStyle w:val="FootnoteReference"/>
        </w:rPr>
        <w:footnoteRef/>
      </w:r>
      <w:r w:rsidRPr="00D519A3">
        <w:t xml:space="preserve"> </w:t>
      </w:r>
      <w:hyperlink r:id="rId109" w:history="1">
        <w:r w:rsidR="00071381" w:rsidRPr="0041676B">
          <w:rPr>
            <w:rStyle w:val="Hyperlink"/>
          </w:rPr>
          <w:t>F</w:t>
        </w:r>
        <w:r w:rsidR="0059509D" w:rsidRPr="0041676B">
          <w:rPr>
            <w:rStyle w:val="Hyperlink"/>
          </w:rPr>
          <w:t>OI Act</w:t>
        </w:r>
      </w:hyperlink>
      <w:r w:rsidR="0059509D" w:rsidRPr="00D519A3">
        <w:t xml:space="preserve"> </w:t>
      </w:r>
      <w:r w:rsidR="00071381" w:rsidRPr="00D519A3">
        <w:t xml:space="preserve">s </w:t>
      </w:r>
      <w:r w:rsidR="00071381" w:rsidRPr="00EF7B1B">
        <w:t>6</w:t>
      </w:r>
      <w:r w:rsidRPr="00D519A3">
        <w:t>.</w:t>
      </w:r>
    </w:p>
  </w:footnote>
  <w:footnote w:id="93">
    <w:p w14:paraId="28FE40C1" w14:textId="768A92BD" w:rsidR="009D49EB" w:rsidRPr="00D519A3" w:rsidRDefault="009D49EB" w:rsidP="00146B33">
      <w:pPr>
        <w:pStyle w:val="FootnoteText"/>
        <w:ind w:left="142" w:hanging="142"/>
      </w:pPr>
      <w:r w:rsidRPr="00D519A3">
        <w:rPr>
          <w:rStyle w:val="FootnoteReference"/>
        </w:rPr>
        <w:footnoteRef/>
      </w:r>
      <w:r w:rsidRPr="00D519A3">
        <w:t xml:space="preserve"> </w:t>
      </w:r>
      <w:hyperlink r:id="rId110" w:history="1">
        <w:r w:rsidRPr="00D519A3">
          <w:rPr>
            <w:rStyle w:val="Hyperlink"/>
            <w:i/>
          </w:rPr>
          <w:t xml:space="preserve">Master Builders Association of the ACT and Chief Minister, Treasury and Economic Development Directorate </w:t>
        </w:r>
        <w:r w:rsidRPr="00D519A3">
          <w:rPr>
            <w:rStyle w:val="Hyperlink"/>
          </w:rPr>
          <w:t>[2018] ACTOFOI 6</w:t>
        </w:r>
        <w:r w:rsidR="00071381" w:rsidRPr="00D519A3">
          <w:rPr>
            <w:rStyle w:val="Hyperlink"/>
          </w:rPr>
          <w:t xml:space="preserve"> (2 November 2018)</w:t>
        </w:r>
      </w:hyperlink>
      <w:r w:rsidR="00C2566C" w:rsidRPr="00D519A3">
        <w:t>,</w:t>
      </w:r>
      <w:r w:rsidRPr="00D519A3">
        <w:t xml:space="preserve">[44]. </w:t>
      </w:r>
    </w:p>
  </w:footnote>
  <w:footnote w:id="94">
    <w:p w14:paraId="3D06FC23" w14:textId="61AFE910" w:rsidR="009D49EB" w:rsidRPr="00D519A3" w:rsidRDefault="009D49EB" w:rsidP="00146B33">
      <w:pPr>
        <w:pStyle w:val="FootnoteText"/>
        <w:ind w:left="142" w:hanging="142"/>
      </w:pPr>
      <w:r w:rsidRPr="00D519A3">
        <w:rPr>
          <w:rStyle w:val="FootnoteReference"/>
        </w:rPr>
        <w:footnoteRef/>
      </w:r>
      <w:r w:rsidR="00CF047A" w:rsidRPr="00D519A3">
        <w:t xml:space="preserve"> </w:t>
      </w:r>
      <w:hyperlink r:id="rId111" w:history="1">
        <w:r w:rsidRPr="0041676B">
          <w:rPr>
            <w:rStyle w:val="Hyperlink"/>
            <w:i/>
          </w:rPr>
          <w:t xml:space="preserve">WL1T8P and Queensland Police Service </w:t>
        </w:r>
        <w:r w:rsidRPr="0041676B">
          <w:rPr>
            <w:rStyle w:val="Hyperlink"/>
          </w:rPr>
          <w:t>[2014] QICmr 40</w:t>
        </w:r>
      </w:hyperlink>
      <w:r w:rsidR="001506E7" w:rsidRPr="00D519A3">
        <w:t>,</w:t>
      </w:r>
      <w:r w:rsidRPr="00D519A3">
        <w:t xml:space="preserve"> [46]. </w:t>
      </w:r>
    </w:p>
  </w:footnote>
  <w:footnote w:id="95">
    <w:p w14:paraId="260CE142" w14:textId="7DDC34B5" w:rsidR="009D49EB" w:rsidRPr="00D519A3" w:rsidRDefault="009D49EB" w:rsidP="00146B33">
      <w:pPr>
        <w:pStyle w:val="FootnoteText"/>
        <w:ind w:left="142" w:hanging="142"/>
      </w:pPr>
      <w:r w:rsidRPr="00D519A3">
        <w:rPr>
          <w:rStyle w:val="FootnoteReference"/>
        </w:rPr>
        <w:footnoteRef/>
      </w:r>
      <w:r w:rsidRPr="00D519A3">
        <w:t xml:space="preserve"> Ibid.</w:t>
      </w:r>
    </w:p>
  </w:footnote>
  <w:footnote w:id="96">
    <w:p w14:paraId="36C12DC7" w14:textId="79498A24" w:rsidR="009D49EB" w:rsidRPr="00D519A3" w:rsidRDefault="009D49EB" w:rsidP="00146B33">
      <w:pPr>
        <w:pStyle w:val="FootnoteText"/>
        <w:ind w:left="142" w:hanging="142"/>
      </w:pPr>
      <w:r w:rsidRPr="00D519A3">
        <w:rPr>
          <w:rStyle w:val="FootnoteReference"/>
        </w:rPr>
        <w:footnoteRef/>
      </w:r>
      <w:r w:rsidRPr="00D519A3">
        <w:t xml:space="preserve"> </w:t>
      </w:r>
      <w:hyperlink r:id="rId112" w:history="1">
        <w:r w:rsidR="0059509D" w:rsidRPr="0041676B">
          <w:rPr>
            <w:rStyle w:val="Hyperlink"/>
          </w:rPr>
          <w:t>FOI Act</w:t>
        </w:r>
      </w:hyperlink>
      <w:r w:rsidR="00071381" w:rsidRPr="00D519A3">
        <w:t xml:space="preserve"> s </w:t>
      </w:r>
      <w:r w:rsidRPr="00D519A3">
        <w:t>9. Section 17(2)(f)</w:t>
      </w:r>
      <w:r w:rsidR="00CE441D" w:rsidRPr="00D519A3">
        <w:t xml:space="preserve"> of the FOI Act</w:t>
      </w:r>
      <w:r w:rsidRPr="00D519A3">
        <w:t xml:space="preserve"> does not apply when determining whether disclosure of the sensitive information would be ‘unreasonable’, as the public interest test set out in s 17 </w:t>
      </w:r>
      <w:r w:rsidR="00CE441D" w:rsidRPr="00D519A3">
        <w:t xml:space="preserve">of the FOI Act </w:t>
      </w:r>
      <w:r w:rsidRPr="00D519A3">
        <w:t xml:space="preserve">does not apply to information that is taken to be contrary to the public interest to disclose under </w:t>
      </w:r>
      <w:r w:rsidR="00CE441D" w:rsidRPr="00D519A3">
        <w:t>S</w:t>
      </w:r>
      <w:r w:rsidRPr="00D519A3">
        <w:t xml:space="preserve">chedule 1. </w:t>
      </w:r>
    </w:p>
  </w:footnote>
  <w:footnote w:id="97">
    <w:p w14:paraId="2C05EECE" w14:textId="7BDEA54E" w:rsidR="009D49EB" w:rsidRPr="00D519A3" w:rsidRDefault="009D49EB" w:rsidP="00146B33">
      <w:pPr>
        <w:pStyle w:val="FootnoteText"/>
        <w:ind w:left="142" w:hanging="142"/>
      </w:pPr>
      <w:r w:rsidRPr="00D519A3">
        <w:rPr>
          <w:rStyle w:val="FootnoteReference"/>
        </w:rPr>
        <w:footnoteRef/>
      </w:r>
      <w:r w:rsidRPr="00D519A3">
        <w:rPr>
          <w:i/>
        </w:rPr>
        <w:t>‘</w:t>
      </w:r>
      <w:hyperlink r:id="rId113" w:history="1">
        <w:r w:rsidRPr="0041676B">
          <w:rPr>
            <w:rStyle w:val="Hyperlink"/>
            <w:i/>
          </w:rPr>
          <w:t xml:space="preserve">FG’ and National Archives of Australia </w:t>
        </w:r>
        <w:r w:rsidRPr="0041676B">
          <w:rPr>
            <w:rStyle w:val="Hyperlink"/>
          </w:rPr>
          <w:t>[2015] AICmr 26</w:t>
        </w:r>
        <w:r w:rsidR="004253F2" w:rsidRPr="0041676B">
          <w:rPr>
            <w:rStyle w:val="Hyperlink"/>
          </w:rPr>
          <w:t>,</w:t>
        </w:r>
      </w:hyperlink>
      <w:r w:rsidRPr="00D519A3">
        <w:t xml:space="preserve"> [47]-[48]; </w:t>
      </w:r>
      <w:hyperlink r:id="rId114" w:history="1">
        <w:r w:rsidRPr="00AC1C98">
          <w:rPr>
            <w:rStyle w:val="Hyperlink"/>
            <w:i/>
          </w:rPr>
          <w:t xml:space="preserve">Marke v Department of Justice and Regulation </w:t>
        </w:r>
        <w:r w:rsidRPr="00AC1C98">
          <w:rPr>
            <w:rStyle w:val="Hyperlink"/>
          </w:rPr>
          <w:t>[2019] VCAT 479</w:t>
        </w:r>
      </w:hyperlink>
      <w:r w:rsidR="004253F2">
        <w:t>,</w:t>
      </w:r>
      <w:r w:rsidRPr="00D519A3">
        <w:t xml:space="preserve"> [45]; </w:t>
      </w:r>
      <w:hyperlink r:id="rId115" w:history="1">
        <w:r w:rsidRPr="00C7066E">
          <w:rPr>
            <w:rStyle w:val="Hyperlink"/>
            <w:i/>
          </w:rPr>
          <w:t xml:space="preserve">Victoria Police v Marke </w:t>
        </w:r>
        <w:r w:rsidRPr="00C7066E">
          <w:rPr>
            <w:rStyle w:val="Hyperlink"/>
          </w:rPr>
          <w:t>(2008) 23 VR 223</w:t>
        </w:r>
      </w:hyperlink>
      <w:r w:rsidRPr="00D519A3">
        <w:t>.</w:t>
      </w:r>
    </w:p>
  </w:footnote>
  <w:footnote w:id="98">
    <w:p w14:paraId="3256FC76" w14:textId="009A4B84" w:rsidR="009D49EB" w:rsidRPr="00D519A3" w:rsidRDefault="009D49EB">
      <w:pPr>
        <w:pStyle w:val="FootnoteText"/>
      </w:pPr>
      <w:r w:rsidRPr="00D519A3">
        <w:rPr>
          <w:rStyle w:val="FootnoteReference"/>
        </w:rPr>
        <w:footnoteRef/>
      </w:r>
      <w:r w:rsidR="00303A48">
        <w:t xml:space="preserve"> </w:t>
      </w:r>
      <w:hyperlink r:id="rId116" w:history="1">
        <w:r w:rsidR="00303A48" w:rsidRPr="00303A48">
          <w:rPr>
            <w:rStyle w:val="Hyperlink"/>
            <w:i/>
            <w:iCs/>
          </w:rPr>
          <w:t>Auditor-General Act 1996</w:t>
        </w:r>
        <w:r w:rsidR="00303A48" w:rsidRPr="00303A48">
          <w:rPr>
            <w:rStyle w:val="Hyperlink"/>
          </w:rPr>
          <w:t xml:space="preserve"> (ACT)</w:t>
        </w:r>
      </w:hyperlink>
      <w:r w:rsidR="00303A48">
        <w:t xml:space="preserve"> (‘A-G Act’) div 3.6. </w:t>
      </w:r>
    </w:p>
  </w:footnote>
  <w:footnote w:id="99">
    <w:p w14:paraId="7AA7218F" w14:textId="2D8C833B" w:rsidR="009D49EB" w:rsidRPr="00D519A3" w:rsidRDefault="009D49EB" w:rsidP="00F71E05">
      <w:pPr>
        <w:pStyle w:val="FootnoteText"/>
        <w:rPr>
          <w:i/>
        </w:rPr>
      </w:pPr>
      <w:r w:rsidRPr="00D519A3">
        <w:rPr>
          <w:rStyle w:val="FootnoteReference"/>
        </w:rPr>
        <w:footnoteRef/>
      </w:r>
      <w:r w:rsidRPr="00D519A3">
        <w:t xml:space="preserve"> </w:t>
      </w:r>
      <w:hyperlink r:id="rId117" w:history="1">
        <w:r w:rsidR="00D64F27" w:rsidRPr="00D64F27">
          <w:rPr>
            <w:rStyle w:val="Hyperlink"/>
          </w:rPr>
          <w:t>A-G Act</w:t>
        </w:r>
      </w:hyperlink>
      <w:r w:rsidR="005C7073" w:rsidRPr="00D519A3">
        <w:t xml:space="preserve"> s </w:t>
      </w:r>
      <w:r w:rsidRPr="001C171E">
        <w:t>10</w:t>
      </w:r>
      <w:r w:rsidRPr="00D519A3">
        <w:rPr>
          <w:i/>
        </w:rPr>
        <w:t>.</w:t>
      </w:r>
    </w:p>
  </w:footnote>
  <w:footnote w:id="100">
    <w:p w14:paraId="78BF6B26" w14:textId="77138D03" w:rsidR="009D49EB" w:rsidRPr="00D519A3" w:rsidRDefault="009D49EB" w:rsidP="00F71E05">
      <w:pPr>
        <w:pStyle w:val="FootnoteText"/>
        <w:rPr>
          <w:i/>
        </w:rPr>
      </w:pPr>
      <w:r w:rsidRPr="00D519A3">
        <w:rPr>
          <w:rStyle w:val="FootnoteReference"/>
        </w:rPr>
        <w:footnoteRef/>
      </w:r>
      <w:r w:rsidR="00DB46C0" w:rsidRPr="00D519A3">
        <w:t xml:space="preserve"> </w:t>
      </w:r>
      <w:hyperlink r:id="rId118" w:history="1">
        <w:r w:rsidR="00D64F27" w:rsidRPr="00D64F27">
          <w:rPr>
            <w:rStyle w:val="Hyperlink"/>
          </w:rPr>
          <w:t>A-G Act</w:t>
        </w:r>
      </w:hyperlink>
      <w:r w:rsidR="001C171E" w:rsidRPr="00D519A3">
        <w:t xml:space="preserve"> </w:t>
      </w:r>
      <w:r w:rsidR="005C7073" w:rsidRPr="00D519A3">
        <w:t xml:space="preserve">s </w:t>
      </w:r>
      <w:r w:rsidR="005C7073" w:rsidRPr="001C171E">
        <w:t>11</w:t>
      </w:r>
      <w:r w:rsidR="005C7073" w:rsidRPr="00D519A3">
        <w:t>.</w:t>
      </w:r>
    </w:p>
  </w:footnote>
  <w:footnote w:id="101">
    <w:p w14:paraId="627E88EA" w14:textId="2B24944A" w:rsidR="009D49EB" w:rsidRPr="00D519A3" w:rsidRDefault="009D49EB" w:rsidP="00F71E05">
      <w:pPr>
        <w:pStyle w:val="FootnoteText"/>
        <w:rPr>
          <w:i/>
        </w:rPr>
      </w:pPr>
      <w:r w:rsidRPr="00D519A3">
        <w:rPr>
          <w:rStyle w:val="FootnoteReference"/>
        </w:rPr>
        <w:footnoteRef/>
      </w:r>
      <w:r w:rsidRPr="00D519A3">
        <w:t xml:space="preserve"> </w:t>
      </w:r>
      <w:hyperlink r:id="rId119" w:history="1">
        <w:r w:rsidR="00D64F27" w:rsidRPr="00D64F27">
          <w:rPr>
            <w:rStyle w:val="Hyperlink"/>
          </w:rPr>
          <w:t>A-G Act</w:t>
        </w:r>
      </w:hyperlink>
      <w:r w:rsidR="001C171E" w:rsidRPr="00D519A3">
        <w:t xml:space="preserve"> </w:t>
      </w:r>
      <w:r w:rsidR="005C7073" w:rsidRPr="00D519A3">
        <w:t>s</w:t>
      </w:r>
      <w:r w:rsidRPr="00D519A3">
        <w:t xml:space="preserve"> </w:t>
      </w:r>
      <w:r w:rsidRPr="001C171E">
        <w:t>11B</w:t>
      </w:r>
      <w:r w:rsidR="00C93E50">
        <w:t>; s</w:t>
      </w:r>
      <w:r w:rsidRPr="00D519A3">
        <w:t xml:space="preserve"> </w:t>
      </w:r>
      <w:r w:rsidRPr="001C171E">
        <w:t>12</w:t>
      </w:r>
      <w:r w:rsidR="005C7073" w:rsidRPr="00D519A3">
        <w:t>.</w:t>
      </w:r>
    </w:p>
  </w:footnote>
  <w:footnote w:id="102">
    <w:p w14:paraId="52CDD423" w14:textId="5CDD7E7F" w:rsidR="009D49EB" w:rsidRPr="00D519A3" w:rsidRDefault="009D49EB" w:rsidP="00146B33">
      <w:pPr>
        <w:pStyle w:val="FootnoteText"/>
        <w:ind w:left="142" w:hanging="142"/>
      </w:pPr>
      <w:r w:rsidRPr="00D519A3">
        <w:rPr>
          <w:rStyle w:val="FootnoteReference"/>
        </w:rPr>
        <w:footnoteRef/>
      </w:r>
      <w:r w:rsidRPr="00D519A3">
        <w:t xml:space="preserve"> </w:t>
      </w:r>
      <w:hyperlink r:id="rId120" w:history="1">
        <w:r w:rsidRPr="00282AC7">
          <w:rPr>
            <w:rStyle w:val="Hyperlink"/>
            <w:i/>
          </w:rPr>
          <w:t>Brett Goyne and Australian National Audit Office</w:t>
        </w:r>
        <w:r w:rsidRPr="00282AC7">
          <w:rPr>
            <w:rStyle w:val="Hyperlink"/>
          </w:rPr>
          <w:t xml:space="preserve"> [2015] AICmr 9</w:t>
        </w:r>
      </w:hyperlink>
      <w:r w:rsidRPr="00D519A3">
        <w:t>, where documents in the possession of the Australian National Audit Office were in the ‘constructive possession’ of the Auditor-General.</w:t>
      </w:r>
    </w:p>
  </w:footnote>
  <w:footnote w:id="103">
    <w:p w14:paraId="510F151F" w14:textId="6327925F" w:rsidR="009D49EB" w:rsidRPr="00D519A3" w:rsidRDefault="009D49EB" w:rsidP="00146B33">
      <w:pPr>
        <w:autoSpaceDE w:val="0"/>
        <w:autoSpaceDN w:val="0"/>
        <w:adjustRightInd w:val="0"/>
        <w:spacing w:after="0"/>
        <w:ind w:left="142" w:hanging="142"/>
      </w:pPr>
      <w:r w:rsidRPr="00BA3C35">
        <w:rPr>
          <w:rStyle w:val="FootnoteReference"/>
        </w:rPr>
        <w:footnoteRef/>
      </w:r>
      <w:r w:rsidRPr="00BA3C35">
        <w:t xml:space="preserve"> </w:t>
      </w:r>
      <w:r w:rsidR="00960EF9" w:rsidRPr="00BA3C35">
        <w:rPr>
          <w:sz w:val="20"/>
        </w:rPr>
        <w:t>See</w:t>
      </w:r>
      <w:r w:rsidRPr="00BA3C35">
        <w:rPr>
          <w:sz w:val="20"/>
        </w:rPr>
        <w:t xml:space="preserve"> </w:t>
      </w:r>
      <w:hyperlink r:id="rId121" w:history="1">
        <w:r w:rsidR="00BA3C35" w:rsidRPr="00D64F27">
          <w:rPr>
            <w:rStyle w:val="Hyperlink"/>
            <w:sz w:val="20"/>
            <w:szCs w:val="20"/>
          </w:rPr>
          <w:t xml:space="preserve">Explanatory Statement, </w:t>
        </w:r>
        <w:r w:rsidR="00BA3C35" w:rsidRPr="00D64F27">
          <w:rPr>
            <w:rStyle w:val="Hyperlink"/>
            <w:sz w:val="20"/>
          </w:rPr>
          <w:t>Freedom of Information Bill 2016</w:t>
        </w:r>
        <w:r w:rsidR="00BA3C35" w:rsidRPr="00D64F27">
          <w:rPr>
            <w:rStyle w:val="Hyperlink"/>
            <w:sz w:val="20"/>
            <w:szCs w:val="20"/>
          </w:rPr>
          <w:t xml:space="preserve"> (ACT)</w:t>
        </w:r>
      </w:hyperlink>
      <w:r w:rsidR="00D64F27">
        <w:rPr>
          <w:sz w:val="20"/>
          <w:szCs w:val="20"/>
        </w:rPr>
        <w:t xml:space="preserve">. As </w:t>
      </w:r>
      <w:r w:rsidRPr="00BA3C35">
        <w:rPr>
          <w:rFonts w:eastAsiaTheme="minorHAnsi"/>
          <w:sz w:val="20"/>
          <w:szCs w:val="20"/>
        </w:rPr>
        <w:t xml:space="preserve">the auditor-general is required to make a decision about the publication of information obtained from an agency under the </w:t>
      </w:r>
      <w:r w:rsidR="00D64F27">
        <w:rPr>
          <w:rFonts w:eastAsiaTheme="minorHAnsi"/>
          <w:sz w:val="20"/>
          <w:szCs w:val="20"/>
        </w:rPr>
        <w:t>A-G Act</w:t>
      </w:r>
      <w:r w:rsidRPr="00BA3C35">
        <w:rPr>
          <w:rFonts w:eastAsiaTheme="minorHAnsi"/>
          <w:i/>
          <w:iCs/>
          <w:sz w:val="20"/>
          <w:szCs w:val="20"/>
        </w:rPr>
        <w:t xml:space="preserve"> </w:t>
      </w:r>
      <w:r w:rsidRPr="00BA3C35">
        <w:rPr>
          <w:rFonts w:eastAsiaTheme="minorHAnsi"/>
          <w:sz w:val="20"/>
          <w:szCs w:val="20"/>
        </w:rPr>
        <w:t xml:space="preserve">and the information held </w:t>
      </w:r>
      <w:r w:rsidR="00D64F27">
        <w:rPr>
          <w:rFonts w:eastAsiaTheme="minorHAnsi"/>
          <w:sz w:val="20"/>
          <w:szCs w:val="20"/>
        </w:rPr>
        <w:t>is</w:t>
      </w:r>
      <w:r w:rsidRPr="00BA3C35">
        <w:rPr>
          <w:rFonts w:eastAsiaTheme="minorHAnsi"/>
          <w:sz w:val="20"/>
          <w:szCs w:val="20"/>
        </w:rPr>
        <w:t xml:space="preserve"> available from the agency directly it is not necessary for this information to be available under the FOI scheme.</w:t>
      </w:r>
    </w:p>
  </w:footnote>
  <w:footnote w:id="104">
    <w:p w14:paraId="177C635A" w14:textId="48B3DFCB" w:rsidR="00B81CF6" w:rsidRPr="00D519A3" w:rsidRDefault="00B81CF6">
      <w:pPr>
        <w:pStyle w:val="FootnoteText"/>
      </w:pPr>
      <w:r w:rsidRPr="00D519A3">
        <w:rPr>
          <w:rStyle w:val="FootnoteReference"/>
        </w:rPr>
        <w:footnoteRef/>
      </w:r>
      <w:r w:rsidRPr="00D519A3">
        <w:t xml:space="preserve"> </w:t>
      </w:r>
      <w:hyperlink r:id="rId122" w:history="1">
        <w:r w:rsidRPr="00582B0C">
          <w:rPr>
            <w:rStyle w:val="Hyperlink"/>
          </w:rPr>
          <w:t>FOI Act</w:t>
        </w:r>
      </w:hyperlink>
      <w:r w:rsidRPr="00D519A3">
        <w:t xml:space="preserve"> </w:t>
      </w:r>
      <w:r w:rsidR="006835A0">
        <w:t>s</w:t>
      </w:r>
      <w:r w:rsidRPr="00D519A3">
        <w:t>ch 1</w:t>
      </w:r>
      <w:r w:rsidR="006835A0">
        <w:t xml:space="preserve"> s</w:t>
      </w:r>
      <w:r w:rsidRPr="00D519A3">
        <w:t xml:space="preserve"> 1.6(1)(a).</w:t>
      </w:r>
    </w:p>
  </w:footnote>
  <w:footnote w:id="105">
    <w:p w14:paraId="0BA0910B" w14:textId="34E2A76A" w:rsidR="00B81CF6" w:rsidRPr="00D519A3" w:rsidRDefault="00B81CF6">
      <w:pPr>
        <w:pStyle w:val="FootnoteText"/>
      </w:pPr>
      <w:r w:rsidRPr="00D519A3">
        <w:rPr>
          <w:rStyle w:val="FootnoteReference"/>
        </w:rPr>
        <w:footnoteRef/>
      </w:r>
      <w:r w:rsidRPr="00D519A3">
        <w:t xml:space="preserve"> </w:t>
      </w:r>
      <w:hyperlink r:id="rId123" w:history="1">
        <w:r w:rsidR="00582B0C" w:rsidRPr="00582B0C">
          <w:rPr>
            <w:rStyle w:val="Hyperlink"/>
          </w:rPr>
          <w:t>FOI Act</w:t>
        </w:r>
      </w:hyperlink>
      <w:r w:rsidRPr="00D519A3">
        <w:t xml:space="preserve"> Sch 1 s 1.6(1)(b).</w:t>
      </w:r>
    </w:p>
  </w:footnote>
  <w:footnote w:id="106">
    <w:p w14:paraId="4D267825" w14:textId="1D7F2DEC" w:rsidR="00B81CF6" w:rsidRPr="00D519A3" w:rsidRDefault="00B81CF6">
      <w:pPr>
        <w:pStyle w:val="FootnoteText"/>
      </w:pPr>
      <w:r w:rsidRPr="00D519A3">
        <w:rPr>
          <w:rStyle w:val="FootnoteReference"/>
        </w:rPr>
        <w:footnoteRef/>
      </w:r>
      <w:r w:rsidRPr="00D519A3">
        <w:t xml:space="preserve"> </w:t>
      </w:r>
      <w:hyperlink r:id="rId124" w:history="1">
        <w:r w:rsidR="00582B0C" w:rsidRPr="00582B0C">
          <w:rPr>
            <w:rStyle w:val="Hyperlink"/>
          </w:rPr>
          <w:t>FOI Act</w:t>
        </w:r>
      </w:hyperlink>
      <w:r w:rsidRPr="00D519A3">
        <w:t xml:space="preserve"> Sch 1 s 1.6(1)(c).</w:t>
      </w:r>
    </w:p>
  </w:footnote>
  <w:footnote w:id="107">
    <w:p w14:paraId="23D3F45D" w14:textId="5CC3A98C" w:rsidR="00B81CF6" w:rsidRPr="00D519A3" w:rsidRDefault="00B81CF6">
      <w:pPr>
        <w:pStyle w:val="FootnoteText"/>
      </w:pPr>
      <w:r w:rsidRPr="00D519A3">
        <w:rPr>
          <w:rStyle w:val="FootnoteReference"/>
        </w:rPr>
        <w:footnoteRef/>
      </w:r>
      <w:r w:rsidRPr="00D519A3">
        <w:t xml:space="preserve"> </w:t>
      </w:r>
      <w:hyperlink r:id="rId125" w:history="1">
        <w:r w:rsidR="00582B0C">
          <w:rPr>
            <w:rStyle w:val="Hyperlink"/>
          </w:rPr>
          <w:t>FOI Act</w:t>
        </w:r>
      </w:hyperlink>
      <w:r w:rsidRPr="00D519A3">
        <w:t xml:space="preserve"> Sch 1 s 1.6(1)(d).</w:t>
      </w:r>
    </w:p>
  </w:footnote>
  <w:footnote w:id="108">
    <w:p w14:paraId="2D99849E" w14:textId="25A8AA45" w:rsidR="00B81CF6" w:rsidRPr="00D519A3" w:rsidRDefault="00B81CF6">
      <w:pPr>
        <w:pStyle w:val="FootnoteText"/>
      </w:pPr>
      <w:r w:rsidRPr="00D519A3">
        <w:rPr>
          <w:rStyle w:val="FootnoteReference"/>
        </w:rPr>
        <w:footnoteRef/>
      </w:r>
      <w:r w:rsidRPr="00D519A3">
        <w:t xml:space="preserve"> </w:t>
      </w:r>
      <w:hyperlink r:id="rId126" w:history="1">
        <w:r w:rsidR="00582B0C" w:rsidRPr="00582B0C">
          <w:rPr>
            <w:rStyle w:val="Hyperlink"/>
          </w:rPr>
          <w:t>FOI Act</w:t>
        </w:r>
      </w:hyperlink>
      <w:r w:rsidR="00F84988" w:rsidRPr="00D519A3">
        <w:t>.</w:t>
      </w:r>
      <w:hyperlink r:id="rId127" w:history="1"/>
      <w:r w:rsidRPr="00D519A3">
        <w:t xml:space="preserve"> </w:t>
      </w:r>
    </w:p>
  </w:footnote>
  <w:footnote w:id="109">
    <w:p w14:paraId="325643A0" w14:textId="1CB752CC" w:rsidR="00207557" w:rsidRPr="00D519A3" w:rsidRDefault="00207557">
      <w:pPr>
        <w:pStyle w:val="FootnoteText"/>
      </w:pPr>
      <w:r w:rsidRPr="00D519A3">
        <w:rPr>
          <w:rStyle w:val="FootnoteReference"/>
        </w:rPr>
        <w:footnoteRef/>
      </w:r>
      <w:r w:rsidRPr="00D519A3">
        <w:t xml:space="preserve"> </w:t>
      </w:r>
      <w:hyperlink r:id="rId128" w:history="1">
        <w:r w:rsidR="00582B0C" w:rsidRPr="00582B0C">
          <w:rPr>
            <w:rStyle w:val="Hyperlink"/>
          </w:rPr>
          <w:t>FOI Act</w:t>
        </w:r>
      </w:hyperlink>
      <w:r w:rsidRPr="00D519A3">
        <w:t xml:space="preserve"> Sch 1, s 1.6(3).</w:t>
      </w:r>
    </w:p>
  </w:footnote>
  <w:footnote w:id="110">
    <w:p w14:paraId="4AAA34A1" w14:textId="79EFFA75" w:rsidR="009D49EB" w:rsidRPr="00D519A3" w:rsidRDefault="009D49EB" w:rsidP="00146B33">
      <w:pPr>
        <w:pStyle w:val="FootnoteText"/>
        <w:ind w:left="142" w:hanging="142"/>
      </w:pPr>
      <w:r w:rsidRPr="00D519A3">
        <w:rPr>
          <w:rStyle w:val="FootnoteReference"/>
        </w:rPr>
        <w:footnoteRef/>
      </w:r>
      <w:r w:rsidR="008C0D86" w:rsidRPr="00D519A3">
        <w:t xml:space="preserve"> </w:t>
      </w:r>
      <w:hyperlink r:id="rId129" w:history="1">
        <w:r w:rsidRPr="009B3BF8">
          <w:rPr>
            <w:rStyle w:val="Hyperlink"/>
            <w:i/>
          </w:rPr>
          <w:t xml:space="preserve">Secretary, Department of Prime Minister and Cabinet and Secretary, Department of Infrastructure and Regional Development and Brett Sanderson </w:t>
        </w:r>
        <w:r w:rsidRPr="009B3BF8">
          <w:rPr>
            <w:rStyle w:val="Hyperlink"/>
          </w:rPr>
          <w:t>[2015] AATA 361</w:t>
        </w:r>
      </w:hyperlink>
      <w:r w:rsidR="009B3BF8">
        <w:t>,</w:t>
      </w:r>
      <w:r w:rsidRPr="00D519A3">
        <w:t xml:space="preserve"> </w:t>
      </w:r>
      <w:r w:rsidR="00BC18A5" w:rsidRPr="00D519A3">
        <w:t>[</w:t>
      </w:r>
      <w:r w:rsidRPr="00D519A3">
        <w:t>53].</w:t>
      </w:r>
    </w:p>
  </w:footnote>
  <w:footnote w:id="111">
    <w:p w14:paraId="69B003BD" w14:textId="067FCFC5" w:rsidR="009D49EB" w:rsidRPr="00D519A3" w:rsidRDefault="009D49EB" w:rsidP="00146B33">
      <w:pPr>
        <w:pStyle w:val="FootnoteText"/>
        <w:ind w:left="142" w:hanging="142"/>
      </w:pPr>
      <w:r w:rsidRPr="00D519A3">
        <w:rPr>
          <w:rStyle w:val="FootnoteReference"/>
        </w:rPr>
        <w:footnoteRef/>
      </w:r>
      <w:r w:rsidR="008C0D86" w:rsidRPr="00D519A3">
        <w:t xml:space="preserve"> </w:t>
      </w:r>
      <w:hyperlink r:id="rId130" w:history="1">
        <w:r w:rsidRPr="009B3BF8">
          <w:rPr>
            <w:rStyle w:val="Hyperlink"/>
            <w:i/>
          </w:rPr>
          <w:t>Re Toomer and Department of Agriculture, Fisheries and Forestry</w:t>
        </w:r>
        <w:r w:rsidRPr="009B3BF8">
          <w:rPr>
            <w:rStyle w:val="Hyperlink"/>
          </w:rPr>
          <w:t xml:space="preserve"> [2003] AATA 1301</w:t>
        </w:r>
      </w:hyperlink>
      <w:r w:rsidRPr="00D519A3">
        <w:t xml:space="preserve">; </w:t>
      </w:r>
      <w:hyperlink r:id="rId131" w:history="1">
        <w:r w:rsidRPr="009B3BF8">
          <w:rPr>
            <w:rStyle w:val="Hyperlink"/>
            <w:i/>
          </w:rPr>
          <w:t xml:space="preserve">Secretary, Department of Prime Minister and Cabinet and Secretary, Department of Infrastructure and Regional Development and Sanderson (Party Joined) </w:t>
        </w:r>
        <w:r w:rsidR="009B50E3" w:rsidRPr="009B3BF8">
          <w:rPr>
            <w:rStyle w:val="Hyperlink"/>
          </w:rPr>
          <w:t>[2015] AATA 361</w:t>
        </w:r>
      </w:hyperlink>
      <w:r w:rsidR="009B3BF8">
        <w:t>,</w:t>
      </w:r>
      <w:r w:rsidR="009B50E3" w:rsidRPr="00D519A3">
        <w:t xml:space="preserve"> [</w:t>
      </w:r>
      <w:r w:rsidRPr="00D519A3">
        <w:t>54]-[56].</w:t>
      </w:r>
    </w:p>
  </w:footnote>
  <w:footnote w:id="112">
    <w:p w14:paraId="3DFB7FAC" w14:textId="53A6BB8A" w:rsidR="009D49EB" w:rsidRPr="00D519A3" w:rsidRDefault="009D49EB" w:rsidP="00146B33">
      <w:pPr>
        <w:pStyle w:val="FootnoteText"/>
        <w:ind w:left="142" w:hanging="142"/>
      </w:pPr>
      <w:r w:rsidRPr="00D519A3">
        <w:rPr>
          <w:rStyle w:val="FootnoteReference"/>
        </w:rPr>
        <w:footnoteRef/>
      </w:r>
      <w:r w:rsidRPr="00D519A3">
        <w:t xml:space="preserve"> </w:t>
      </w:r>
      <w:hyperlink r:id="rId132" w:history="1">
        <w:r w:rsidRPr="009B3BF8">
          <w:rPr>
            <w:rStyle w:val="Hyperlink"/>
            <w:i/>
          </w:rPr>
          <w:t>Stanway and Queensland Police Service</w:t>
        </w:r>
        <w:r w:rsidRPr="009B3BF8">
          <w:rPr>
            <w:rStyle w:val="Hyperlink"/>
          </w:rPr>
          <w:t xml:space="preserve"> [2017] QICmr 22</w:t>
        </w:r>
      </w:hyperlink>
      <w:r w:rsidR="009B3BF8">
        <w:t xml:space="preserve">, </w:t>
      </w:r>
      <w:r w:rsidR="00BC18A5" w:rsidRPr="00D519A3">
        <w:t>[</w:t>
      </w:r>
      <w:r w:rsidRPr="00D519A3">
        <w:t xml:space="preserve">42]. </w:t>
      </w:r>
    </w:p>
  </w:footnote>
  <w:footnote w:id="113">
    <w:p w14:paraId="0289ED29" w14:textId="322154AF" w:rsidR="009D49EB" w:rsidRPr="00D519A3" w:rsidRDefault="009D49EB" w:rsidP="00146B33">
      <w:pPr>
        <w:pStyle w:val="FootnoteText"/>
        <w:ind w:left="142" w:hanging="142"/>
      </w:pPr>
      <w:r w:rsidRPr="00D519A3">
        <w:rPr>
          <w:rStyle w:val="FootnoteReference"/>
        </w:rPr>
        <w:footnoteRef/>
      </w:r>
      <w:r w:rsidRPr="00D519A3">
        <w:t xml:space="preserve"> </w:t>
      </w:r>
      <w:hyperlink r:id="rId133" w:history="1">
        <w:r w:rsidRPr="00BD28A2">
          <w:rPr>
            <w:rStyle w:val="Hyperlink"/>
            <w:i/>
          </w:rPr>
          <w:t xml:space="preserve">Office of the Leader of the Opposition and Treasury Department </w:t>
        </w:r>
        <w:r w:rsidR="000B2747" w:rsidRPr="00BD28A2">
          <w:rPr>
            <w:rStyle w:val="Hyperlink"/>
          </w:rPr>
          <w:t>(</w:t>
        </w:r>
        <w:r w:rsidR="009B50E3" w:rsidRPr="00BD28A2">
          <w:rPr>
            <w:rStyle w:val="Hyperlink"/>
          </w:rPr>
          <w:t>U</w:t>
        </w:r>
        <w:r w:rsidRPr="00BD28A2">
          <w:rPr>
            <w:rStyle w:val="Hyperlink"/>
          </w:rPr>
          <w:t>nreported, Queensland Informat</w:t>
        </w:r>
        <w:r w:rsidR="009B50E3" w:rsidRPr="00BD28A2">
          <w:rPr>
            <w:rStyle w:val="Hyperlink"/>
          </w:rPr>
          <w:t>ion Commissioner, 7 July 2010)</w:t>
        </w:r>
      </w:hyperlink>
      <w:r w:rsidR="00BD28A2">
        <w:t>,</w:t>
      </w:r>
      <w:r w:rsidRPr="00D519A3">
        <w:t xml:space="preserve"> [45].</w:t>
      </w:r>
    </w:p>
  </w:footnote>
  <w:footnote w:id="114">
    <w:p w14:paraId="43D4CB55" w14:textId="04FD04F8" w:rsidR="009D49EB" w:rsidRPr="00D519A3" w:rsidRDefault="009D49EB" w:rsidP="00146B33">
      <w:pPr>
        <w:pStyle w:val="FootnoteText"/>
        <w:ind w:left="142" w:hanging="142"/>
      </w:pPr>
      <w:r w:rsidRPr="00D519A3">
        <w:rPr>
          <w:rStyle w:val="FootnoteReference"/>
        </w:rPr>
        <w:footnoteRef/>
      </w:r>
      <w:r w:rsidR="00312F2C" w:rsidRPr="00D519A3">
        <w:t xml:space="preserve"> </w:t>
      </w:r>
      <w:hyperlink r:id="rId134" w:history="1">
        <w:r w:rsidRPr="00BD28A2">
          <w:rPr>
            <w:rStyle w:val="Hyperlink"/>
            <w:i/>
          </w:rPr>
          <w:t>Hudson (OS agent for Fencray Ltd) and Department of the Premier, Economic and Trade Development</w:t>
        </w:r>
        <w:r w:rsidRPr="00BD28A2">
          <w:rPr>
            <w:rStyle w:val="Hyperlink"/>
          </w:rPr>
          <w:t xml:space="preserve"> (1993) 1 QAR 123</w:t>
        </w:r>
      </w:hyperlink>
      <w:r w:rsidRPr="00D519A3">
        <w:t>.</w:t>
      </w:r>
    </w:p>
  </w:footnote>
  <w:footnote w:id="115">
    <w:p w14:paraId="13F2E576" w14:textId="3C45509B" w:rsidR="009D70E4" w:rsidRPr="00D519A3" w:rsidRDefault="009D70E4" w:rsidP="00146B33">
      <w:pPr>
        <w:pStyle w:val="FootnoteText"/>
        <w:ind w:left="142" w:hanging="142"/>
      </w:pPr>
      <w:r w:rsidRPr="00D519A3">
        <w:rPr>
          <w:rStyle w:val="FootnoteReference"/>
        </w:rPr>
        <w:footnoteRef/>
      </w:r>
      <w:r w:rsidRPr="00D519A3">
        <w:t xml:space="preserve"> </w:t>
      </w:r>
      <w:r w:rsidR="00055F1C" w:rsidRPr="00D519A3">
        <w:t xml:space="preserve">See </w:t>
      </w:r>
      <w:hyperlink r:id="rId135" w:history="1">
        <w:r w:rsidRPr="002A4DE2">
          <w:rPr>
            <w:rStyle w:val="Hyperlink"/>
            <w:i/>
          </w:rPr>
          <w:t>Wood</w:t>
        </w:r>
        <w:r w:rsidR="002A4DE2" w:rsidRPr="002A4DE2">
          <w:rPr>
            <w:rStyle w:val="Hyperlink"/>
            <w:i/>
          </w:rPr>
          <w:t xml:space="preserve">; </w:t>
        </w:r>
        <w:r w:rsidRPr="002A4DE2">
          <w:rPr>
            <w:rStyle w:val="Hyperlink"/>
            <w:i/>
          </w:rPr>
          <w:t xml:space="preserve">Secretary, Department of Prime Minister and Cabinet (Freedom of information) </w:t>
        </w:r>
        <w:r w:rsidRPr="002A4DE2">
          <w:rPr>
            <w:rStyle w:val="Hyperlink"/>
          </w:rPr>
          <w:t xml:space="preserve">[2015] AATA </w:t>
        </w:r>
        <w:r w:rsidR="002A4DE2" w:rsidRPr="002A4DE2">
          <w:rPr>
            <w:rStyle w:val="Hyperlink"/>
          </w:rPr>
          <w:t>9</w:t>
        </w:r>
        <w:r w:rsidRPr="002A4DE2">
          <w:rPr>
            <w:rStyle w:val="Hyperlink"/>
          </w:rPr>
          <w:t>45 (8</w:t>
        </w:r>
        <w:r w:rsidR="00055F1C" w:rsidRPr="002A4DE2">
          <w:rPr>
            <w:rStyle w:val="Hyperlink"/>
          </w:rPr>
          <w:t> </w:t>
        </w:r>
        <w:r w:rsidRPr="002A4DE2">
          <w:rPr>
            <w:rStyle w:val="Hyperlink"/>
          </w:rPr>
          <w:t>December 2015).</w:t>
        </w:r>
      </w:hyperlink>
    </w:p>
  </w:footnote>
  <w:footnote w:id="116">
    <w:p w14:paraId="0E34C1D7" w14:textId="600EA6D4" w:rsidR="009D49EB" w:rsidRPr="00D519A3" w:rsidRDefault="009D49EB" w:rsidP="00F71E05">
      <w:pPr>
        <w:pStyle w:val="FootnoteText"/>
      </w:pPr>
      <w:r w:rsidRPr="00D519A3">
        <w:rPr>
          <w:rStyle w:val="FootnoteReference"/>
        </w:rPr>
        <w:footnoteRef/>
      </w:r>
      <w:r w:rsidRPr="00D519A3">
        <w:t xml:space="preserve"> </w:t>
      </w:r>
      <w:hyperlink r:id="rId136" w:history="1">
        <w:r w:rsidRPr="00D519A3">
          <w:rPr>
            <w:rStyle w:val="Hyperlink"/>
            <w:i/>
          </w:rPr>
          <w:t>Alistair Coe and Suburban Land Agency</w:t>
        </w:r>
        <w:r w:rsidRPr="00D519A3">
          <w:rPr>
            <w:rStyle w:val="Hyperlink"/>
          </w:rPr>
          <w:t xml:space="preserve"> [2019] ACT</w:t>
        </w:r>
        <w:r w:rsidR="00834E15">
          <w:rPr>
            <w:rStyle w:val="Hyperlink"/>
          </w:rPr>
          <w:t>O</w:t>
        </w:r>
        <w:r w:rsidRPr="00D519A3">
          <w:rPr>
            <w:rStyle w:val="Hyperlink"/>
          </w:rPr>
          <w:t>FOI 5 (25 February 2019)</w:t>
        </w:r>
      </w:hyperlink>
      <w:r w:rsidR="00D60CAD" w:rsidRPr="00D519A3">
        <w:t>.</w:t>
      </w:r>
      <w:r w:rsidRPr="00D519A3">
        <w:t xml:space="preserve"> </w:t>
      </w:r>
    </w:p>
  </w:footnote>
  <w:footnote w:id="117">
    <w:p w14:paraId="18FD1C4A" w14:textId="1E62FE30" w:rsidR="009D49EB" w:rsidRPr="00D519A3" w:rsidRDefault="009D49EB" w:rsidP="00F71E05">
      <w:pPr>
        <w:pStyle w:val="FootnoteText"/>
        <w:ind w:right="-613"/>
      </w:pPr>
      <w:r w:rsidRPr="00D519A3">
        <w:rPr>
          <w:rStyle w:val="FootnoteReference"/>
        </w:rPr>
        <w:footnoteRef/>
      </w:r>
      <w:r w:rsidR="00D60CAD" w:rsidRPr="00D519A3">
        <w:t xml:space="preserve"> </w:t>
      </w:r>
      <w:hyperlink r:id="rId137" w:history="1">
        <w:r w:rsidRPr="002A4DE2">
          <w:rPr>
            <w:rStyle w:val="Hyperlink"/>
            <w:i/>
          </w:rPr>
          <w:t>Hudson and Department of the Premier, Economic and Trade Development</w:t>
        </w:r>
        <w:r w:rsidRPr="002A4DE2">
          <w:rPr>
            <w:rStyle w:val="Hyperlink"/>
          </w:rPr>
          <w:t xml:space="preserve"> (1993) 1 QAR 123</w:t>
        </w:r>
      </w:hyperlink>
      <w:r w:rsidR="002A4DE2">
        <w:t>,</w:t>
      </w:r>
      <w:r w:rsidRPr="00D519A3">
        <w:t xml:space="preserve"> [61].</w:t>
      </w:r>
    </w:p>
  </w:footnote>
  <w:footnote w:id="118">
    <w:p w14:paraId="10A7D383" w14:textId="49D6B746" w:rsidR="009D49EB" w:rsidRPr="00D519A3" w:rsidRDefault="009D49EB" w:rsidP="003E3940">
      <w:pPr>
        <w:pStyle w:val="FootnoteText"/>
      </w:pPr>
      <w:r w:rsidRPr="00D519A3">
        <w:rPr>
          <w:rStyle w:val="FootnoteReference"/>
        </w:rPr>
        <w:footnoteRef/>
      </w:r>
      <w:r w:rsidR="00D60CAD" w:rsidRPr="00D519A3">
        <w:t xml:space="preserve"> </w:t>
      </w:r>
      <w:hyperlink r:id="rId138" w:history="1">
        <w:r w:rsidRPr="00D519A3">
          <w:rPr>
            <w:rStyle w:val="Hyperlink"/>
            <w:i/>
          </w:rPr>
          <w:t>Alistair Coe and Suburban Land Agency</w:t>
        </w:r>
        <w:r w:rsidRPr="00D519A3">
          <w:rPr>
            <w:rStyle w:val="Hyperlink"/>
          </w:rPr>
          <w:t xml:space="preserve"> [2019] ACT</w:t>
        </w:r>
        <w:r w:rsidR="00834E15">
          <w:rPr>
            <w:rStyle w:val="Hyperlink"/>
          </w:rPr>
          <w:t>O</w:t>
        </w:r>
        <w:r w:rsidRPr="00D519A3">
          <w:rPr>
            <w:rStyle w:val="Hyperlink"/>
          </w:rPr>
          <w:t>FOI 5 (25 February 2019)</w:t>
        </w:r>
      </w:hyperlink>
      <w:r w:rsidR="002A4DE2">
        <w:t xml:space="preserve">, </w:t>
      </w:r>
      <w:r w:rsidRPr="00D519A3">
        <w:t xml:space="preserve">[33]. </w:t>
      </w:r>
    </w:p>
  </w:footnote>
  <w:footnote w:id="119">
    <w:p w14:paraId="41330BCA" w14:textId="2143A386" w:rsidR="009D49EB" w:rsidRPr="00D519A3" w:rsidRDefault="009D49EB" w:rsidP="00F71E05">
      <w:pPr>
        <w:pStyle w:val="FootnoteText"/>
      </w:pPr>
      <w:r w:rsidRPr="00D519A3">
        <w:rPr>
          <w:rStyle w:val="FootnoteReference"/>
        </w:rPr>
        <w:footnoteRef/>
      </w:r>
      <w:r w:rsidR="00D60CAD" w:rsidRPr="00D519A3">
        <w:t xml:space="preserve"> </w:t>
      </w:r>
      <w:hyperlink r:id="rId139" w:history="1">
        <w:r w:rsidRPr="002A4DE2">
          <w:rPr>
            <w:rStyle w:val="Hyperlink"/>
            <w:i/>
            <w:iCs/>
          </w:rPr>
          <w:t>Re Toomer and Department of Agriculture, Fisheries and Forestry and Ors</w:t>
        </w:r>
        <w:r w:rsidRPr="002A4DE2">
          <w:rPr>
            <w:rStyle w:val="Hyperlink"/>
            <w:i/>
          </w:rPr>
          <w:t xml:space="preserve"> </w:t>
        </w:r>
        <w:r w:rsidRPr="002A4DE2">
          <w:rPr>
            <w:rStyle w:val="Hyperlink"/>
          </w:rPr>
          <w:t>[2003] AATA 1301</w:t>
        </w:r>
      </w:hyperlink>
      <w:r w:rsidRPr="00D519A3">
        <w:t>.</w:t>
      </w:r>
    </w:p>
  </w:footnote>
  <w:footnote w:id="120">
    <w:p w14:paraId="5E58141B" w14:textId="77777777" w:rsidR="009D49EB" w:rsidRPr="00D519A3" w:rsidRDefault="009D49EB" w:rsidP="00F71E05">
      <w:pPr>
        <w:pStyle w:val="FootnoteText"/>
      </w:pPr>
      <w:r w:rsidRPr="00D519A3">
        <w:rPr>
          <w:rStyle w:val="FootnoteReference"/>
        </w:rPr>
        <w:footnoteRef/>
      </w:r>
      <w:r w:rsidRPr="00D519A3">
        <w:t xml:space="preserve"> Ibid.</w:t>
      </w:r>
    </w:p>
  </w:footnote>
  <w:footnote w:id="121">
    <w:p w14:paraId="740833D6" w14:textId="6C94D026" w:rsidR="009D49EB" w:rsidRPr="00D519A3" w:rsidRDefault="009D49EB" w:rsidP="00F71E05">
      <w:pPr>
        <w:pStyle w:val="FootnoteText"/>
      </w:pPr>
      <w:r w:rsidRPr="00D519A3">
        <w:rPr>
          <w:rStyle w:val="FootnoteReference"/>
        </w:rPr>
        <w:footnoteRef/>
      </w:r>
      <w:r w:rsidR="00DC415B" w:rsidRPr="00D519A3">
        <w:t xml:space="preserve"> Ibid</w:t>
      </w:r>
      <w:r w:rsidRPr="00D519A3">
        <w:t xml:space="preserve">; </w:t>
      </w:r>
      <w:hyperlink r:id="rId140" w:history="1">
        <w:r w:rsidRPr="00CE2F93">
          <w:rPr>
            <w:rStyle w:val="Hyperlink"/>
            <w:i/>
          </w:rPr>
          <w:t xml:space="preserve">North Queensland Conservation Council Incorporated and Queensland Treasury </w:t>
        </w:r>
        <w:r w:rsidR="007E3E0D" w:rsidRPr="00CE2F93">
          <w:rPr>
            <w:rStyle w:val="Hyperlink"/>
          </w:rPr>
          <w:t>[2016] QICmr 9</w:t>
        </w:r>
      </w:hyperlink>
      <w:r w:rsidR="00CE2F93">
        <w:t>,</w:t>
      </w:r>
      <w:r w:rsidRPr="00D519A3">
        <w:t xml:space="preserve"> [25]-[26].</w:t>
      </w:r>
    </w:p>
  </w:footnote>
  <w:footnote w:id="122">
    <w:p w14:paraId="79B98563" w14:textId="32ABD762" w:rsidR="009D49EB" w:rsidRPr="00D519A3" w:rsidRDefault="009D49EB" w:rsidP="00146B33">
      <w:pPr>
        <w:pStyle w:val="FootnoteText"/>
        <w:ind w:left="142" w:right="-330" w:hanging="142"/>
      </w:pPr>
      <w:r w:rsidRPr="00D519A3">
        <w:rPr>
          <w:rStyle w:val="FootnoteReference"/>
        </w:rPr>
        <w:footnoteRef/>
      </w:r>
      <w:r w:rsidRPr="00D519A3">
        <w:t xml:space="preserve"> </w:t>
      </w:r>
      <w:r w:rsidRPr="00D519A3">
        <w:rPr>
          <w:i/>
        </w:rPr>
        <w:t xml:space="preserve">Re Birrell and the Department of Cabinet (Nos 1 and 2) </w:t>
      </w:r>
      <w:r w:rsidRPr="00D519A3">
        <w:t>(1986)</w:t>
      </w:r>
      <w:r w:rsidR="007E3E0D" w:rsidRPr="00D519A3">
        <w:t xml:space="preserve"> 1 VAR 230</w:t>
      </w:r>
      <w:r w:rsidR="00CE2F93">
        <w:t>,</w:t>
      </w:r>
      <w:r w:rsidRPr="00D519A3">
        <w:t xml:space="preserve"> </w:t>
      </w:r>
      <w:r w:rsidR="007E3E0D" w:rsidRPr="00D519A3">
        <w:t>[</w:t>
      </w:r>
      <w:r w:rsidRPr="00D519A3">
        <w:t>239</w:t>
      </w:r>
      <w:r w:rsidR="007E3E0D" w:rsidRPr="00D519A3">
        <w:t>]</w:t>
      </w:r>
      <w:r w:rsidRPr="00D519A3">
        <w:t xml:space="preserve"> (deliberation encompasses ‘more than the mere receipt of information in the Cabinet Room for digestion by Cabinet Ministers then or later’).</w:t>
      </w:r>
    </w:p>
  </w:footnote>
  <w:footnote w:id="123">
    <w:p w14:paraId="5D3F0F7D" w14:textId="046D61EF" w:rsidR="009D49EB" w:rsidRPr="00D519A3" w:rsidRDefault="009D49EB" w:rsidP="00FB311D">
      <w:pPr>
        <w:pStyle w:val="FootnoteText"/>
        <w:ind w:right="-306"/>
      </w:pPr>
      <w:r w:rsidRPr="00D519A3">
        <w:rPr>
          <w:rStyle w:val="FootnoteReference"/>
        </w:rPr>
        <w:footnoteRef/>
      </w:r>
      <w:r w:rsidRPr="00D519A3">
        <w:t xml:space="preserve"> </w:t>
      </w:r>
      <w:hyperlink r:id="rId141" w:history="1">
        <w:r w:rsidRPr="00D519A3">
          <w:rPr>
            <w:rStyle w:val="Hyperlink"/>
            <w:i/>
          </w:rPr>
          <w:t>Alistair Coe and Chief Minister, Treasury and Economic Development Directorate</w:t>
        </w:r>
        <w:r w:rsidRPr="00D519A3">
          <w:rPr>
            <w:rStyle w:val="Hyperlink"/>
          </w:rPr>
          <w:t xml:space="preserve"> [2019</w:t>
        </w:r>
        <w:r w:rsidR="00C4462A" w:rsidRPr="00D519A3">
          <w:rPr>
            <w:rStyle w:val="Hyperlink"/>
          </w:rPr>
          <w:t>] ACTOFOI 6 (26 February 2019)</w:t>
        </w:r>
      </w:hyperlink>
      <w:r w:rsidR="00C4462A" w:rsidRPr="00D519A3">
        <w:t>.</w:t>
      </w:r>
    </w:p>
  </w:footnote>
  <w:footnote w:id="124">
    <w:p w14:paraId="5DC757A8" w14:textId="1B12EA6C" w:rsidR="00174D0F" w:rsidRPr="00D519A3" w:rsidRDefault="00174D0F">
      <w:pPr>
        <w:pStyle w:val="FootnoteText"/>
      </w:pPr>
      <w:r w:rsidRPr="00D519A3">
        <w:rPr>
          <w:rStyle w:val="FootnoteReference"/>
        </w:rPr>
        <w:footnoteRef/>
      </w:r>
      <w:r w:rsidRPr="00D519A3">
        <w:t xml:space="preserve"> </w:t>
      </w:r>
      <w:hyperlink r:id="rId142" w:history="1">
        <w:r w:rsidR="00742D92" w:rsidRPr="00935663">
          <w:rPr>
            <w:rStyle w:val="Hyperlink"/>
          </w:rPr>
          <w:t>FOI Act</w:t>
        </w:r>
      </w:hyperlink>
      <w:r w:rsidR="00742D92" w:rsidRPr="00D519A3">
        <w:t xml:space="preserve"> s </w:t>
      </w:r>
      <w:r w:rsidR="00E71ED5" w:rsidRPr="00D519A3">
        <w:t xml:space="preserve">24. </w:t>
      </w:r>
    </w:p>
  </w:footnote>
  <w:footnote w:id="125">
    <w:p w14:paraId="5742173C" w14:textId="300A9BA5" w:rsidR="009D49EB" w:rsidRPr="00D519A3" w:rsidRDefault="009D49EB" w:rsidP="00F71E05">
      <w:pPr>
        <w:pStyle w:val="FootnoteText"/>
      </w:pPr>
      <w:r w:rsidRPr="00D519A3">
        <w:rPr>
          <w:rStyle w:val="FootnoteReference"/>
        </w:rPr>
        <w:footnoteRef/>
      </w:r>
      <w:r w:rsidR="00717964" w:rsidRPr="00D519A3">
        <w:t xml:space="preserve"> </w:t>
      </w:r>
      <w:r w:rsidRPr="00D519A3">
        <w:rPr>
          <w:i/>
        </w:rPr>
        <w:t>Re Porter and Department of Community Services and Health</w:t>
      </w:r>
      <w:r w:rsidRPr="00D519A3">
        <w:t xml:space="preserve"> (1998) 14 ALD 403.</w:t>
      </w:r>
    </w:p>
  </w:footnote>
  <w:footnote w:id="126">
    <w:p w14:paraId="27870142" w14:textId="0CA59DC4" w:rsidR="009D49EB" w:rsidRPr="00D519A3" w:rsidRDefault="009D49EB" w:rsidP="00146B33">
      <w:pPr>
        <w:pStyle w:val="FootnoteText"/>
        <w:ind w:left="142" w:hanging="142"/>
      </w:pPr>
      <w:r w:rsidRPr="00D519A3">
        <w:rPr>
          <w:rStyle w:val="FootnoteReference"/>
        </w:rPr>
        <w:footnoteRef/>
      </w:r>
      <w:r w:rsidRPr="00D519A3">
        <w:t xml:space="preserve"> </w:t>
      </w:r>
      <w:hyperlink r:id="rId143" w:history="1">
        <w:r w:rsidRPr="00781D5E">
          <w:rPr>
            <w:rStyle w:val="Hyperlink"/>
            <w:i/>
          </w:rPr>
          <w:t xml:space="preserve">Secretary, Department of Prime Minister and Cabinet and Secretary, Department of Infrastructure and Regional Development and Brett Sanderson </w:t>
        </w:r>
        <w:r w:rsidR="005B6209" w:rsidRPr="00781D5E">
          <w:rPr>
            <w:rStyle w:val="Hyperlink"/>
          </w:rPr>
          <w:t>[2015] AATA 361</w:t>
        </w:r>
      </w:hyperlink>
      <w:r w:rsidR="00781D5E">
        <w:t>,</w:t>
      </w:r>
      <w:r w:rsidR="005B6209" w:rsidRPr="00D519A3">
        <w:t xml:space="preserve"> </w:t>
      </w:r>
      <w:r w:rsidRPr="00D519A3">
        <w:t>[77].</w:t>
      </w:r>
    </w:p>
  </w:footnote>
  <w:footnote w:id="127">
    <w:p w14:paraId="21090DCD" w14:textId="4F9081FD" w:rsidR="009D49EB" w:rsidRPr="00D519A3" w:rsidRDefault="009D49EB">
      <w:pPr>
        <w:pStyle w:val="FootnoteText"/>
      </w:pPr>
      <w:r w:rsidRPr="00D519A3">
        <w:rPr>
          <w:rStyle w:val="FootnoteReference"/>
        </w:rPr>
        <w:footnoteRef/>
      </w:r>
      <w:r w:rsidR="00681F23" w:rsidRPr="00D519A3">
        <w:rPr>
          <w:b/>
          <w:bCs/>
          <w:i/>
          <w:iCs/>
        </w:rPr>
        <w:t xml:space="preserve"> </w:t>
      </w:r>
      <w:hyperlink r:id="rId144" w:history="1">
        <w:r w:rsidR="00681F23" w:rsidRPr="00D519A3">
          <w:rPr>
            <w:rStyle w:val="Hyperlink"/>
            <w:bCs/>
            <w:iCs/>
          </w:rPr>
          <w:t>[2019] ACTOFOI 5</w:t>
        </w:r>
        <w:r w:rsidRPr="00D519A3">
          <w:rPr>
            <w:rStyle w:val="Hyperlink"/>
          </w:rPr>
          <w:t xml:space="preserve"> </w:t>
        </w:r>
        <w:r w:rsidR="00681F23" w:rsidRPr="00D519A3">
          <w:rPr>
            <w:rStyle w:val="Hyperlink"/>
          </w:rPr>
          <w:t>(25 February 2019)</w:t>
        </w:r>
      </w:hyperlink>
      <w:r w:rsidR="00681F23" w:rsidRPr="00D519A3">
        <w:t>.</w:t>
      </w:r>
    </w:p>
  </w:footnote>
  <w:footnote w:id="128">
    <w:p w14:paraId="3811E5D4" w14:textId="193F0029" w:rsidR="009D49EB" w:rsidRPr="00D519A3" w:rsidRDefault="009D49EB">
      <w:pPr>
        <w:pStyle w:val="FootnoteText"/>
      </w:pPr>
      <w:r w:rsidRPr="00D519A3">
        <w:rPr>
          <w:rStyle w:val="FootnoteReference"/>
        </w:rPr>
        <w:footnoteRef/>
      </w:r>
      <w:r w:rsidRPr="00D519A3">
        <w:t xml:space="preserve"> </w:t>
      </w:r>
      <w:hyperlink r:id="rId145" w:history="1">
        <w:r w:rsidR="00213B15" w:rsidRPr="00D519A3">
          <w:rPr>
            <w:rStyle w:val="Hyperlink"/>
            <w:bCs/>
            <w:iCs/>
          </w:rPr>
          <w:t>[2019] ACTOFOI 6 (26 February 2019)</w:t>
        </w:r>
      </w:hyperlink>
      <w:r w:rsidR="00213B15" w:rsidRPr="00D519A3">
        <w:rPr>
          <w:bCs/>
          <w:iCs/>
        </w:rPr>
        <w:t>.</w:t>
      </w:r>
    </w:p>
  </w:footnote>
  <w:footnote w:id="129">
    <w:p w14:paraId="7BD9251D" w14:textId="2000B669" w:rsidR="009D49EB" w:rsidRPr="00331D77" w:rsidRDefault="009D49EB" w:rsidP="00331D77">
      <w:pPr>
        <w:pStyle w:val="FootnoteText"/>
        <w:ind w:left="142" w:hanging="142"/>
        <w:rPr>
          <w:iCs/>
        </w:rPr>
      </w:pPr>
      <w:r w:rsidRPr="00D519A3">
        <w:rPr>
          <w:rStyle w:val="FootnoteReference"/>
        </w:rPr>
        <w:footnoteRef/>
      </w:r>
      <w:r w:rsidRPr="00D519A3">
        <w:t xml:space="preserve"> </w:t>
      </w:r>
      <w:hyperlink r:id="rId146" w:history="1">
        <w:r w:rsidR="00331D77" w:rsidRPr="00331D77">
          <w:rPr>
            <w:rStyle w:val="Hyperlink"/>
            <w:i/>
          </w:rPr>
          <w:t>Australian Crime Commission (ACT) Act 2003</w:t>
        </w:r>
        <w:r w:rsidR="00331D77" w:rsidRPr="00331D77">
          <w:rPr>
            <w:rStyle w:val="Hyperlink"/>
            <w:iCs/>
          </w:rPr>
          <w:t xml:space="preserve"> (ACT)</w:t>
        </w:r>
      </w:hyperlink>
      <w:r w:rsidR="00331D77">
        <w:rPr>
          <w:iCs/>
        </w:rPr>
        <w:t xml:space="preserve"> Dictionary (definition of ‘</w:t>
      </w:r>
      <w:r w:rsidR="00331D77" w:rsidRPr="00331D77">
        <w:rPr>
          <w:iCs/>
        </w:rPr>
        <w:t>serious and organised crime</w:t>
      </w:r>
      <w:r w:rsidR="00331D77">
        <w:rPr>
          <w:iCs/>
        </w:rPr>
        <w:t xml:space="preserve">’): means </w:t>
      </w:r>
      <w:r w:rsidRPr="00D519A3">
        <w:t xml:space="preserve">an offence that involves </w:t>
      </w:r>
      <w:r w:rsidR="00331D77">
        <w:t>2</w:t>
      </w:r>
      <w:r w:rsidRPr="00D519A3">
        <w:t xml:space="preserve"> or more offenders and substantial planning and organisation, ordinarily involves the use of sophisticated methods and techniques; is committed or ordinarily committed in conjunction with other offences of a like kind, and is an offence of a kind prescribed under the regulations or involves offences such as theft, fraud, tax evasion, money laundering, currency violations, illegal drug dealings, illegal gambling, extortion, violence, bribery or corruption, perverting the course of justice, bankruptcy and company violations, harbouring of criminals, forging of passports, firearms, armament dealings, cybercrime. </w:t>
      </w:r>
    </w:p>
  </w:footnote>
  <w:footnote w:id="130">
    <w:p w14:paraId="494134B9" w14:textId="2E218DC7" w:rsidR="002D10D4" w:rsidRPr="00D519A3" w:rsidRDefault="002D10D4" w:rsidP="002D10D4">
      <w:pPr>
        <w:pStyle w:val="FootnoteText"/>
      </w:pPr>
      <w:r w:rsidRPr="00D519A3">
        <w:rPr>
          <w:rStyle w:val="FootnoteReference"/>
        </w:rPr>
        <w:footnoteRef/>
      </w:r>
      <w:r w:rsidRPr="00D519A3">
        <w:t xml:space="preserve"> </w:t>
      </w:r>
      <w:hyperlink r:id="rId147" w:history="1">
        <w:r w:rsidR="00A809ED" w:rsidRPr="00A809ED">
          <w:rPr>
            <w:rStyle w:val="Hyperlink"/>
            <w:i/>
            <w:iCs/>
          </w:rPr>
          <w:t>Public Interest Disclosure Act 2012</w:t>
        </w:r>
        <w:r w:rsidR="00A809ED" w:rsidRPr="00A809ED">
          <w:rPr>
            <w:rStyle w:val="Hyperlink"/>
          </w:rPr>
          <w:t xml:space="preserve"> (ACT)</w:t>
        </w:r>
      </w:hyperlink>
      <w:r w:rsidR="00A809ED">
        <w:t xml:space="preserve"> (‘PID Act’)</w:t>
      </w:r>
      <w:r w:rsidR="00BA2376" w:rsidRPr="00D519A3">
        <w:t xml:space="preserve"> s 44</w:t>
      </w:r>
      <w:r w:rsidR="007B47EE" w:rsidRPr="00D519A3">
        <w:t xml:space="preserve">; </w:t>
      </w:r>
      <w:hyperlink r:id="rId148" w:history="1">
        <w:r w:rsidR="00F3038E" w:rsidRPr="00935663">
          <w:rPr>
            <w:rStyle w:val="Hyperlink"/>
          </w:rPr>
          <w:t>CYP Act</w:t>
        </w:r>
      </w:hyperlink>
      <w:r w:rsidR="00BA2376" w:rsidRPr="00D519A3">
        <w:t xml:space="preserve"> s 846</w:t>
      </w:r>
      <w:r w:rsidR="00CE2DA3" w:rsidRPr="00D519A3">
        <w:t xml:space="preserve">. </w:t>
      </w:r>
    </w:p>
  </w:footnote>
  <w:footnote w:id="131">
    <w:p w14:paraId="4AE2C6B5" w14:textId="3E6F2656" w:rsidR="006A17EC" w:rsidRPr="00D519A3" w:rsidRDefault="006A17EC">
      <w:pPr>
        <w:pStyle w:val="FootnoteText"/>
      </w:pPr>
      <w:r w:rsidRPr="00D519A3">
        <w:rPr>
          <w:rStyle w:val="FootnoteReference"/>
        </w:rPr>
        <w:footnoteRef/>
      </w:r>
      <w:r w:rsidRPr="00D519A3">
        <w:t xml:space="preserve"> </w:t>
      </w:r>
      <w:hyperlink r:id="rId149" w:history="1">
        <w:r w:rsidR="005116F0" w:rsidRPr="00935663">
          <w:rPr>
            <w:rStyle w:val="Hyperlink"/>
          </w:rPr>
          <w:t>PID Act</w:t>
        </w:r>
      </w:hyperlink>
      <w:r w:rsidR="00100F34" w:rsidRPr="00D519A3">
        <w:t xml:space="preserve"> s 6. </w:t>
      </w:r>
    </w:p>
  </w:footnote>
  <w:footnote w:id="132">
    <w:p w14:paraId="0EF0DD8C" w14:textId="6DF63B59" w:rsidR="009D49EB" w:rsidRPr="00D519A3" w:rsidRDefault="009D49EB" w:rsidP="00F71E05">
      <w:pPr>
        <w:pStyle w:val="FootnoteText"/>
      </w:pPr>
      <w:r w:rsidRPr="00D519A3">
        <w:rPr>
          <w:rStyle w:val="FootnoteReference"/>
        </w:rPr>
        <w:footnoteRef/>
      </w:r>
      <w:r w:rsidR="00100F34" w:rsidRPr="00D519A3">
        <w:t xml:space="preserve"> </w:t>
      </w:r>
      <w:hyperlink r:id="rId150" w:history="1">
        <w:r w:rsidR="00935663" w:rsidRPr="00935663">
          <w:rPr>
            <w:rStyle w:val="Hyperlink"/>
          </w:rPr>
          <w:t>PID Act</w:t>
        </w:r>
      </w:hyperlink>
      <w:r w:rsidR="00935A9D" w:rsidRPr="00D519A3">
        <w:t xml:space="preserve"> s 8. </w:t>
      </w:r>
    </w:p>
  </w:footnote>
  <w:footnote w:id="133">
    <w:p w14:paraId="497000DA" w14:textId="5F617A7E" w:rsidR="009D49EB" w:rsidRPr="00D519A3" w:rsidRDefault="009D49EB" w:rsidP="00F71E05">
      <w:pPr>
        <w:pStyle w:val="FootnoteText"/>
      </w:pPr>
      <w:r w:rsidRPr="00D519A3">
        <w:rPr>
          <w:rStyle w:val="FootnoteReference"/>
        </w:rPr>
        <w:footnoteRef/>
      </w:r>
      <w:r w:rsidRPr="00D519A3">
        <w:t xml:space="preserve"> </w:t>
      </w:r>
      <w:hyperlink r:id="rId151" w:history="1">
        <w:r w:rsidR="00255BF3" w:rsidRPr="00935663">
          <w:rPr>
            <w:rStyle w:val="Hyperlink"/>
          </w:rPr>
          <w:t>CYP Act</w:t>
        </w:r>
      </w:hyperlink>
      <w:r w:rsidR="00255BF3" w:rsidRPr="00D519A3">
        <w:t xml:space="preserve"> s</w:t>
      </w:r>
      <w:r w:rsidRPr="00D519A3">
        <w:t xml:space="preserve"> </w:t>
      </w:r>
      <w:r w:rsidR="00683CBA" w:rsidRPr="00D519A3">
        <w:t>354</w:t>
      </w:r>
      <w:r w:rsidRPr="00D519A3">
        <w:t xml:space="preserve">. </w:t>
      </w:r>
    </w:p>
  </w:footnote>
  <w:footnote w:id="134">
    <w:p w14:paraId="68DD7F7D" w14:textId="61D31273" w:rsidR="009D49EB" w:rsidRPr="00D519A3" w:rsidRDefault="009D49EB" w:rsidP="00F71E05">
      <w:pPr>
        <w:pStyle w:val="FootnoteText"/>
      </w:pPr>
      <w:r w:rsidRPr="00D519A3">
        <w:rPr>
          <w:rStyle w:val="FootnoteReference"/>
        </w:rPr>
        <w:footnoteRef/>
      </w:r>
      <w:r w:rsidRPr="00D519A3">
        <w:t xml:space="preserve"> </w:t>
      </w:r>
      <w:hyperlink r:id="rId152" w:history="1">
        <w:r w:rsidR="00935663" w:rsidRPr="00935663">
          <w:rPr>
            <w:rStyle w:val="Hyperlink"/>
          </w:rPr>
          <w:t>CYP Act</w:t>
        </w:r>
      </w:hyperlink>
      <w:r w:rsidR="00255BF3" w:rsidRPr="00D519A3">
        <w:t xml:space="preserve"> s</w:t>
      </w:r>
      <w:r w:rsidRPr="00D519A3">
        <w:t xml:space="preserve"> </w:t>
      </w:r>
      <w:r w:rsidR="00683CBA" w:rsidRPr="00D519A3">
        <w:t>356</w:t>
      </w:r>
      <w:r w:rsidRPr="00D519A3">
        <w:t xml:space="preserve">. </w:t>
      </w:r>
    </w:p>
  </w:footnote>
  <w:footnote w:id="135">
    <w:p w14:paraId="1470C584" w14:textId="44C12D13" w:rsidR="009D49EB" w:rsidRPr="00D519A3" w:rsidRDefault="009D49EB" w:rsidP="00F71E05">
      <w:pPr>
        <w:pStyle w:val="FootnoteText"/>
      </w:pPr>
      <w:r w:rsidRPr="00D519A3">
        <w:rPr>
          <w:rStyle w:val="FootnoteReference"/>
        </w:rPr>
        <w:footnoteRef/>
      </w:r>
      <w:r w:rsidRPr="00D519A3">
        <w:t xml:space="preserve"> </w:t>
      </w:r>
      <w:r w:rsidR="00683CBA" w:rsidRPr="00D519A3">
        <w:t>Ibid</w:t>
      </w:r>
      <w:r w:rsidR="00255BF3" w:rsidRPr="00D519A3">
        <w:t xml:space="preserve"> s</w:t>
      </w:r>
      <w:r w:rsidRPr="00D519A3">
        <w:t xml:space="preserve"> </w:t>
      </w:r>
      <w:r w:rsidR="00683CBA" w:rsidRPr="00D519A3">
        <w:t>876</w:t>
      </w:r>
      <w:r w:rsidRPr="00D519A3">
        <w:t xml:space="preserve">. </w:t>
      </w:r>
    </w:p>
  </w:footnote>
  <w:footnote w:id="136">
    <w:p w14:paraId="10CBADC6" w14:textId="639DC548" w:rsidR="009D49EB" w:rsidRPr="00D519A3" w:rsidRDefault="009D49EB" w:rsidP="00146B33">
      <w:pPr>
        <w:pStyle w:val="FootnoteText"/>
        <w:ind w:left="142" w:hanging="142"/>
      </w:pPr>
      <w:r w:rsidRPr="00D519A3">
        <w:rPr>
          <w:rStyle w:val="FootnoteReference"/>
        </w:rPr>
        <w:footnoteRef/>
      </w:r>
      <w:r w:rsidRPr="00D519A3">
        <w:t xml:space="preserve"> </w:t>
      </w:r>
      <w:hyperlink r:id="rId153" w:history="1">
        <w:r w:rsidRPr="00D519A3">
          <w:rPr>
            <w:rStyle w:val="Hyperlink"/>
            <w:i/>
          </w:rPr>
          <w:t>Re Petroulias and Others v Commissioner of Taxation</w:t>
        </w:r>
        <w:r w:rsidRPr="00D519A3">
          <w:rPr>
            <w:rStyle w:val="Hyperlink"/>
          </w:rPr>
          <w:t xml:space="preserve"> [2006] AATA 333</w:t>
        </w:r>
      </w:hyperlink>
      <w:r w:rsidR="00261212">
        <w:rPr>
          <w:rStyle w:val="Hyperlink"/>
        </w:rPr>
        <w:t>,</w:t>
      </w:r>
      <w:r w:rsidRPr="00D519A3">
        <w:t xml:space="preserve"> [29]-[30]. See also </w:t>
      </w:r>
      <w:hyperlink r:id="rId154" w:history="1">
        <w:r w:rsidRPr="007F3703">
          <w:rPr>
            <w:rStyle w:val="Hyperlink"/>
            <w:i/>
          </w:rPr>
          <w:t xml:space="preserve">Prinn and Department of Defence (Freedom of Information) </w:t>
        </w:r>
        <w:r w:rsidRPr="007F3703">
          <w:rPr>
            <w:rStyle w:val="Hyperlink"/>
          </w:rPr>
          <w:t>[2016] AATA 445</w:t>
        </w:r>
      </w:hyperlink>
      <w:r w:rsidR="00261212">
        <w:t>,</w:t>
      </w:r>
      <w:r w:rsidRPr="00D519A3">
        <w:t xml:space="preserve"> [80]-[81]; </w:t>
      </w:r>
      <w:hyperlink r:id="rId155" w:history="1">
        <w:r w:rsidRPr="007F3703">
          <w:rPr>
            <w:rStyle w:val="Hyperlink"/>
            <w:i/>
          </w:rPr>
          <w:t xml:space="preserve">Francis and Australian Sports Anti-Doping Authority (Freedom of Information) </w:t>
        </w:r>
        <w:r w:rsidRPr="007F3703">
          <w:rPr>
            <w:rStyle w:val="Hyperlink"/>
          </w:rPr>
          <w:t>[2019] AATA 12</w:t>
        </w:r>
      </w:hyperlink>
      <w:r w:rsidR="00261212">
        <w:t>,</w:t>
      </w:r>
      <w:r w:rsidRPr="00D519A3">
        <w:t xml:space="preserve"> [177]-[178].</w:t>
      </w:r>
    </w:p>
  </w:footnote>
  <w:footnote w:id="137">
    <w:p w14:paraId="70D648BD" w14:textId="11264E50" w:rsidR="009D49EB" w:rsidRPr="00D519A3" w:rsidRDefault="009D49EB" w:rsidP="00F71E05">
      <w:pPr>
        <w:pStyle w:val="FootnoteText"/>
      </w:pPr>
      <w:r w:rsidRPr="00D519A3">
        <w:rPr>
          <w:rStyle w:val="FootnoteReference"/>
        </w:rPr>
        <w:footnoteRef/>
      </w:r>
      <w:r w:rsidRPr="00D519A3">
        <w:t xml:space="preserve"> ‘</w:t>
      </w:r>
      <w:hyperlink r:id="rId156" w:history="1">
        <w:r w:rsidRPr="007F3703">
          <w:rPr>
            <w:rStyle w:val="Hyperlink"/>
            <w:i/>
          </w:rPr>
          <w:t>HR’ and Department of Immigration and Border Protection</w:t>
        </w:r>
        <w:r w:rsidRPr="007F3703">
          <w:rPr>
            <w:rStyle w:val="Hyperlink"/>
          </w:rPr>
          <w:t xml:space="preserve"> [2015] AICmr 80</w:t>
        </w:r>
      </w:hyperlink>
      <w:r w:rsidR="00261212">
        <w:t>,</w:t>
      </w:r>
      <w:r w:rsidRPr="00D519A3">
        <w:t xml:space="preserve"> [13].</w:t>
      </w:r>
    </w:p>
  </w:footnote>
  <w:footnote w:id="138">
    <w:p w14:paraId="5789977A" w14:textId="728DEEBA" w:rsidR="009D49EB" w:rsidRPr="00D519A3" w:rsidRDefault="009D49EB" w:rsidP="007B04CD">
      <w:pPr>
        <w:pStyle w:val="FootnoteText"/>
      </w:pPr>
      <w:r w:rsidRPr="00D519A3">
        <w:rPr>
          <w:rStyle w:val="FootnoteReference"/>
        </w:rPr>
        <w:footnoteRef/>
      </w:r>
      <w:r w:rsidRPr="00D519A3">
        <w:t xml:space="preserve"> </w:t>
      </w:r>
      <w:hyperlink r:id="rId157" w:history="1">
        <w:r w:rsidR="00244B97" w:rsidRPr="00244B97">
          <w:rPr>
            <w:rStyle w:val="Hyperlink"/>
            <w:i/>
            <w:iCs/>
          </w:rPr>
          <w:t>Election Commitments Costing Act 2012</w:t>
        </w:r>
        <w:r w:rsidR="00244B97" w:rsidRPr="00244B97">
          <w:rPr>
            <w:rStyle w:val="Hyperlink"/>
          </w:rPr>
          <w:t xml:space="preserve"> (ACT)</w:t>
        </w:r>
      </w:hyperlink>
      <w:r w:rsidR="00244B97" w:rsidRPr="00244B97">
        <w:t xml:space="preserve"> (‘ECC Act’</w:t>
      </w:r>
      <w:r w:rsidR="00244B97">
        <w:t>)</w:t>
      </w:r>
      <w:r w:rsidR="004246CD" w:rsidRPr="00D519A3">
        <w:t xml:space="preserve"> </w:t>
      </w:r>
      <w:r w:rsidR="004246CD" w:rsidRPr="00244B97">
        <w:t>Dictionary</w:t>
      </w:r>
      <w:r w:rsidR="00244B97">
        <w:t xml:space="preserve"> (definition of ‘costing period’). </w:t>
      </w:r>
    </w:p>
  </w:footnote>
  <w:footnote w:id="139">
    <w:p w14:paraId="2F7BE85F" w14:textId="3DF29559" w:rsidR="009D49EB" w:rsidRPr="00D519A3" w:rsidRDefault="009D49EB">
      <w:pPr>
        <w:pStyle w:val="FootnoteText"/>
      </w:pPr>
      <w:r w:rsidRPr="00D519A3">
        <w:rPr>
          <w:rStyle w:val="FootnoteReference"/>
        </w:rPr>
        <w:footnoteRef/>
      </w:r>
      <w:r w:rsidRPr="00D519A3">
        <w:t xml:space="preserve"> </w:t>
      </w:r>
      <w:hyperlink r:id="rId158" w:history="1">
        <w:r w:rsidR="00DD79AE" w:rsidRPr="00935663">
          <w:rPr>
            <w:rStyle w:val="Hyperlink"/>
          </w:rPr>
          <w:t>Electoral Act</w:t>
        </w:r>
        <w:r w:rsidR="0017271B" w:rsidRPr="00935663">
          <w:rPr>
            <w:rStyle w:val="Hyperlink"/>
          </w:rPr>
          <w:t xml:space="preserve"> 1992 (ACT)</w:t>
        </w:r>
      </w:hyperlink>
      <w:r w:rsidRPr="00D519A3">
        <w:t xml:space="preserve"> s </w:t>
      </w:r>
      <w:r w:rsidRPr="00244B97">
        <w:t>65</w:t>
      </w:r>
      <w:r w:rsidR="0017271B">
        <w:t xml:space="preserve">; </w:t>
      </w:r>
      <w:r w:rsidRPr="00244B97">
        <w:t>121A</w:t>
      </w:r>
      <w:r w:rsidR="00A66F9C" w:rsidRPr="00D519A3">
        <w:t>.</w:t>
      </w:r>
      <w:r w:rsidRPr="00D519A3">
        <w:t xml:space="preserve"> </w:t>
      </w:r>
    </w:p>
  </w:footnote>
  <w:footnote w:id="140">
    <w:p w14:paraId="1B39CAB2" w14:textId="7EF52671" w:rsidR="009D49EB" w:rsidRPr="00D519A3" w:rsidRDefault="009D49EB" w:rsidP="00F71E05">
      <w:pPr>
        <w:pStyle w:val="FootnoteText"/>
      </w:pPr>
      <w:r w:rsidRPr="00D519A3">
        <w:rPr>
          <w:rStyle w:val="FootnoteReference"/>
        </w:rPr>
        <w:footnoteRef/>
      </w:r>
      <w:r w:rsidR="0022100B" w:rsidRPr="00D519A3">
        <w:t xml:space="preserve"> </w:t>
      </w:r>
      <w:hyperlink r:id="rId159" w:history="1">
        <w:r w:rsidR="00A66F9C" w:rsidRPr="00935663">
          <w:rPr>
            <w:rStyle w:val="Hyperlink"/>
          </w:rPr>
          <w:t>FOI Act</w:t>
        </w:r>
      </w:hyperlink>
      <w:r w:rsidR="00A66F9C" w:rsidRPr="00D519A3">
        <w:t xml:space="preserve"> </w:t>
      </w:r>
      <w:r w:rsidR="007C6184">
        <w:t>s</w:t>
      </w:r>
      <w:r w:rsidR="0022100B" w:rsidRPr="00244B97">
        <w:t xml:space="preserve">ch 1 s </w:t>
      </w:r>
      <w:r w:rsidRPr="00244B97">
        <w:t>1.11(1)(a)-(f)</w:t>
      </w:r>
      <w:r w:rsidRPr="00D519A3">
        <w:t xml:space="preserve"> for the full list of ‘related documents’ to an electoral roll. </w:t>
      </w:r>
    </w:p>
  </w:footnote>
  <w:footnote w:id="141">
    <w:p w14:paraId="13301BF3" w14:textId="359D8F3B" w:rsidR="00860028" w:rsidRPr="00D519A3" w:rsidRDefault="00860028">
      <w:pPr>
        <w:pStyle w:val="FootnoteText"/>
      </w:pPr>
      <w:r w:rsidRPr="00D519A3">
        <w:rPr>
          <w:rStyle w:val="FootnoteReference"/>
        </w:rPr>
        <w:footnoteRef/>
      </w:r>
      <w:r w:rsidRPr="00D519A3">
        <w:t xml:space="preserve"> </w:t>
      </w:r>
      <w:hyperlink r:id="rId160" w:history="1">
        <w:r w:rsidR="00A66F9C" w:rsidRPr="00935663">
          <w:rPr>
            <w:rStyle w:val="Hyperlink"/>
          </w:rPr>
          <w:t>FOI Act</w:t>
        </w:r>
      </w:hyperlink>
      <w:r w:rsidR="00A66F9C" w:rsidRPr="00D519A3">
        <w:t xml:space="preserve"> </w:t>
      </w:r>
      <w:r w:rsidR="007C6184">
        <w:t>s</w:t>
      </w:r>
      <w:r w:rsidR="0022100B" w:rsidRPr="00244B97">
        <w:t>ch 1 s</w:t>
      </w:r>
      <w:r w:rsidRPr="00244B97">
        <w:t> 1.11(2)</w:t>
      </w:r>
      <w:r w:rsidR="0022100B" w:rsidRPr="00D519A3">
        <w:t>.</w:t>
      </w:r>
    </w:p>
  </w:footnote>
  <w:footnote w:id="142">
    <w:p w14:paraId="65855DA2" w14:textId="485DD8F6" w:rsidR="009E50F0" w:rsidRDefault="009E50F0">
      <w:pPr>
        <w:pStyle w:val="FootnoteText"/>
      </w:pPr>
      <w:r>
        <w:rPr>
          <w:rStyle w:val="FootnoteReference"/>
        </w:rPr>
        <w:footnoteRef/>
      </w:r>
      <w:r>
        <w:t xml:space="preserve"> </w:t>
      </w:r>
      <w:hyperlink r:id="rId161" w:history="1">
        <w:r w:rsidRPr="009E50F0">
          <w:rPr>
            <w:rStyle w:val="Hyperlink"/>
            <w:i/>
            <w:iCs/>
          </w:rPr>
          <w:t>Ombudsman Act 1989</w:t>
        </w:r>
        <w:r w:rsidRPr="009E50F0">
          <w:rPr>
            <w:rStyle w:val="Hyperlink"/>
          </w:rPr>
          <w:t xml:space="preserve"> (ACT)</w:t>
        </w:r>
      </w:hyperlink>
      <w:r>
        <w:rPr>
          <w:i/>
          <w:iCs/>
        </w:rPr>
        <w:t>v</w:t>
      </w:r>
      <w:r>
        <w:t xml:space="preserve"> s 17G. </w:t>
      </w:r>
    </w:p>
  </w:footnote>
  <w:footnote w:id="143">
    <w:p w14:paraId="1321E1D6" w14:textId="7542868E" w:rsidR="009D49EB" w:rsidRPr="00D519A3" w:rsidRDefault="009D49EB" w:rsidP="00F71E05">
      <w:pPr>
        <w:pStyle w:val="FootnoteText"/>
      </w:pPr>
      <w:r w:rsidRPr="00D519A3">
        <w:rPr>
          <w:rStyle w:val="FootnoteReference"/>
        </w:rPr>
        <w:footnoteRef/>
      </w:r>
      <w:r w:rsidRPr="00D519A3">
        <w:t xml:space="preserve"> </w:t>
      </w:r>
      <w:hyperlink r:id="rId162" w:history="1">
        <w:r w:rsidRPr="007B660F">
          <w:rPr>
            <w:rStyle w:val="Hyperlink"/>
            <w:i/>
          </w:rPr>
          <w:t>Prinn and Department of Defence (Freedom of Information)</w:t>
        </w:r>
        <w:r w:rsidRPr="007B660F">
          <w:rPr>
            <w:rStyle w:val="Hyperlink"/>
          </w:rPr>
          <w:t xml:space="preserve"> [2016] AATA 445</w:t>
        </w:r>
      </w:hyperlink>
      <w:r w:rsidR="007B660F">
        <w:t xml:space="preserve">, </w:t>
      </w:r>
      <w:r w:rsidRPr="00D519A3">
        <w:t xml:space="preserve">[63]. </w:t>
      </w:r>
    </w:p>
  </w:footnote>
  <w:footnote w:id="144">
    <w:p w14:paraId="15E19A0C" w14:textId="363580AD" w:rsidR="009D49EB" w:rsidRPr="00D519A3" w:rsidRDefault="009D49EB" w:rsidP="00146B33">
      <w:pPr>
        <w:pStyle w:val="FootnoteText"/>
        <w:ind w:left="142" w:right="-306" w:hanging="142"/>
      </w:pPr>
      <w:r w:rsidRPr="00D519A3">
        <w:rPr>
          <w:rStyle w:val="FootnoteReference"/>
        </w:rPr>
        <w:footnoteRef/>
      </w:r>
      <w:r w:rsidR="0073648A" w:rsidRPr="00D519A3">
        <w:t xml:space="preserve"> </w:t>
      </w:r>
      <w:hyperlink r:id="rId163" w:history="1">
        <w:r w:rsidRPr="00566182">
          <w:rPr>
            <w:rStyle w:val="Hyperlink"/>
            <w:i/>
          </w:rPr>
          <w:t xml:space="preserve">Re McKnight and Australian Archives </w:t>
        </w:r>
        <w:r w:rsidRPr="00566182">
          <w:rPr>
            <w:rStyle w:val="Hyperlink"/>
          </w:rPr>
          <w:t>[1992] AATA 225</w:t>
        </w:r>
      </w:hyperlink>
      <w:r w:rsidRPr="00D519A3">
        <w:t xml:space="preserve">; </w:t>
      </w:r>
      <w:hyperlink r:id="rId164" w:history="1">
        <w:r w:rsidRPr="00E76ADD">
          <w:rPr>
            <w:rStyle w:val="Hyperlink"/>
            <w:i/>
          </w:rPr>
          <w:t xml:space="preserve">Prinn and Department of Defence (Freedom of Information) </w:t>
        </w:r>
        <w:r w:rsidRPr="00E76ADD">
          <w:rPr>
            <w:rStyle w:val="Hyperlink"/>
          </w:rPr>
          <w:t>[2016] AATA 445</w:t>
        </w:r>
      </w:hyperlink>
      <w:r w:rsidR="007B660F">
        <w:t>,</w:t>
      </w:r>
      <w:r w:rsidRPr="00D519A3">
        <w:t xml:space="preserve"> [80]-[81]; </w:t>
      </w:r>
      <w:hyperlink r:id="rId165" w:history="1">
        <w:r w:rsidRPr="00566182">
          <w:rPr>
            <w:rStyle w:val="Hyperlink"/>
            <w:i/>
          </w:rPr>
          <w:t xml:space="preserve">Francis and Australian Sports Anti-Doping Authority (Freedom of Information) </w:t>
        </w:r>
        <w:r w:rsidRPr="00566182">
          <w:rPr>
            <w:rStyle w:val="Hyperlink"/>
          </w:rPr>
          <w:t>[2019] AATA 12</w:t>
        </w:r>
      </w:hyperlink>
      <w:r w:rsidR="007B660F">
        <w:t>,</w:t>
      </w:r>
      <w:r w:rsidRPr="00D519A3">
        <w:t xml:space="preserve"> [177]-[178].</w:t>
      </w:r>
    </w:p>
  </w:footnote>
  <w:footnote w:id="145">
    <w:p w14:paraId="0ADF86E5" w14:textId="474D89A5" w:rsidR="009D49EB" w:rsidRPr="00D519A3" w:rsidRDefault="009D49EB" w:rsidP="00F71E05">
      <w:pPr>
        <w:pStyle w:val="FootnoteText"/>
      </w:pPr>
      <w:r w:rsidRPr="00D519A3">
        <w:rPr>
          <w:rStyle w:val="FootnoteReference"/>
        </w:rPr>
        <w:footnoteRef/>
      </w:r>
      <w:r w:rsidR="00A66F9C" w:rsidRPr="00D519A3">
        <w:t xml:space="preserve"> </w:t>
      </w:r>
      <w:hyperlink r:id="rId166" w:history="1">
        <w:r w:rsidR="00A66F9C" w:rsidRPr="007C3B2A">
          <w:rPr>
            <w:rStyle w:val="Hyperlink"/>
          </w:rPr>
          <w:t>FOI Act</w:t>
        </w:r>
      </w:hyperlink>
      <w:r w:rsidR="00A66F9C" w:rsidRPr="00D519A3">
        <w:t xml:space="preserve"> </w:t>
      </w:r>
      <w:r w:rsidR="007C6184">
        <w:t>s</w:t>
      </w:r>
      <w:r w:rsidRPr="007B660F">
        <w:t>ch 1 s 1.3(2)(a)</w:t>
      </w:r>
      <w:r w:rsidRPr="00D519A3">
        <w:t>.</w:t>
      </w:r>
    </w:p>
  </w:footnote>
  <w:footnote w:id="146">
    <w:p w14:paraId="3C46AC13" w14:textId="2E75A459" w:rsidR="009D49EB" w:rsidRPr="00D519A3" w:rsidRDefault="009D49EB" w:rsidP="00F71E05">
      <w:pPr>
        <w:pStyle w:val="FootnoteText"/>
      </w:pPr>
      <w:r w:rsidRPr="00D519A3">
        <w:rPr>
          <w:rStyle w:val="FootnoteReference"/>
        </w:rPr>
        <w:footnoteRef/>
      </w:r>
      <w:r w:rsidRPr="00D519A3">
        <w:t xml:space="preserve"> </w:t>
      </w:r>
      <w:hyperlink r:id="rId167" w:history="1">
        <w:r w:rsidR="00A66F9C" w:rsidRPr="007C3B2A">
          <w:rPr>
            <w:rStyle w:val="Hyperlink"/>
          </w:rPr>
          <w:t>FOI Act</w:t>
        </w:r>
      </w:hyperlink>
      <w:r w:rsidR="00A66F9C" w:rsidRPr="00D519A3">
        <w:t xml:space="preserve"> </w:t>
      </w:r>
      <w:r w:rsidR="007C6184">
        <w:t>s</w:t>
      </w:r>
      <w:r w:rsidRPr="007B660F">
        <w:t>ch 1 s 1.3(2)(b)</w:t>
      </w:r>
      <w:r w:rsidRPr="00D519A3">
        <w:t>.</w:t>
      </w:r>
    </w:p>
  </w:footnote>
  <w:footnote w:id="147">
    <w:p w14:paraId="6FB663F9" w14:textId="6AA318FB" w:rsidR="009D49EB" w:rsidRPr="00D519A3" w:rsidRDefault="009D49EB" w:rsidP="003E3940">
      <w:pPr>
        <w:pStyle w:val="FootnoteText"/>
        <w:ind w:right="-448"/>
      </w:pPr>
      <w:r w:rsidRPr="00D519A3">
        <w:rPr>
          <w:rStyle w:val="FootnoteReference"/>
        </w:rPr>
        <w:footnoteRef/>
      </w:r>
      <w:r w:rsidRPr="00D519A3">
        <w:t xml:space="preserve"> </w:t>
      </w:r>
      <w:hyperlink r:id="rId168" w:history="1">
        <w:r w:rsidRPr="0041396E">
          <w:rPr>
            <w:rStyle w:val="Hyperlink"/>
            <w:i/>
          </w:rPr>
          <w:t xml:space="preserve">Farrell; Secretary, Department of Immigration and Border Protection (Freedom of Information) </w:t>
        </w:r>
        <w:r w:rsidRPr="0041396E">
          <w:rPr>
            <w:rStyle w:val="Hyperlink"/>
          </w:rPr>
          <w:t>[2017] AATA 409</w:t>
        </w:r>
      </w:hyperlink>
      <w:r w:rsidR="0041396E">
        <w:t>,</w:t>
      </w:r>
      <w:r w:rsidRPr="00D519A3">
        <w:t xml:space="preserve"> [39]. </w:t>
      </w:r>
    </w:p>
  </w:footnote>
  <w:footnote w:id="148">
    <w:p w14:paraId="35FEFA33" w14:textId="41902A40" w:rsidR="00A66F9C" w:rsidRPr="00D519A3" w:rsidRDefault="00A66F9C">
      <w:pPr>
        <w:pStyle w:val="FootnoteText"/>
      </w:pPr>
      <w:r w:rsidRPr="00D519A3">
        <w:rPr>
          <w:rStyle w:val="FootnoteReference"/>
        </w:rPr>
        <w:footnoteRef/>
      </w:r>
      <w:r w:rsidRPr="00D519A3">
        <w:t xml:space="preserve"> </w:t>
      </w:r>
      <w:hyperlink r:id="rId169" w:history="1">
        <w:r w:rsidRPr="00D519A3">
          <w:rPr>
            <w:rStyle w:val="Hyperlink"/>
          </w:rPr>
          <w:t>[2019] ACTOFOI 8 (5 June 2019)</w:t>
        </w:r>
      </w:hyperlink>
      <w:r w:rsidRPr="00D519A3">
        <w:t>.</w:t>
      </w:r>
    </w:p>
  </w:footnote>
  <w:footnote w:id="149">
    <w:p w14:paraId="452F189A" w14:textId="1CA63731" w:rsidR="009D49EB" w:rsidRPr="00D519A3" w:rsidRDefault="009D49EB" w:rsidP="003923D4">
      <w:pPr>
        <w:pStyle w:val="FootnoteText"/>
      </w:pPr>
      <w:r w:rsidRPr="00D519A3">
        <w:rPr>
          <w:rStyle w:val="FootnoteReference"/>
        </w:rPr>
        <w:footnoteRef/>
      </w:r>
      <w:r w:rsidRPr="00D519A3">
        <w:t xml:space="preserve"> </w:t>
      </w:r>
      <w:hyperlink r:id="rId170" w:history="1">
        <w:r w:rsidRPr="0096731A">
          <w:rPr>
            <w:rStyle w:val="Hyperlink"/>
            <w:iCs/>
          </w:rPr>
          <w:t>Legislation Act</w:t>
        </w:r>
      </w:hyperlink>
      <w:r w:rsidR="00DF5986" w:rsidRPr="00D519A3">
        <w:t xml:space="preserve"> </w:t>
      </w:r>
      <w:r w:rsidRPr="00D519A3">
        <w:t xml:space="preserve">Dictionary </w:t>
      </w:r>
      <w:r w:rsidR="00DF5986" w:rsidRPr="00D519A3">
        <w:t>pt</w:t>
      </w:r>
      <w:r w:rsidRPr="00D519A3">
        <w:t xml:space="preserve"> 1</w:t>
      </w:r>
      <w:r w:rsidR="00DF5986" w:rsidRPr="00D519A3">
        <w:t xml:space="preserve"> (definition of </w:t>
      </w:r>
      <w:r w:rsidRPr="00D519A3">
        <w:t>‘law’</w:t>
      </w:r>
      <w:r w:rsidR="00DF5986" w:rsidRPr="00D519A3">
        <w:t xml:space="preserve">). </w:t>
      </w:r>
    </w:p>
  </w:footnote>
  <w:footnote w:id="150">
    <w:p w14:paraId="50FCDCE7" w14:textId="1D343FDC" w:rsidR="009D49EB" w:rsidRPr="00D519A3" w:rsidRDefault="009D49EB" w:rsidP="00146B33">
      <w:pPr>
        <w:pStyle w:val="FootnoteText"/>
        <w:ind w:left="142" w:hanging="142"/>
      </w:pPr>
      <w:r w:rsidRPr="00D519A3">
        <w:rPr>
          <w:rStyle w:val="FootnoteReference"/>
        </w:rPr>
        <w:footnoteRef/>
      </w:r>
      <w:r w:rsidRPr="00D519A3">
        <w:t xml:space="preserve"> </w:t>
      </w:r>
      <w:hyperlink r:id="rId171" w:history="1">
        <w:r w:rsidRPr="00E8424D">
          <w:rPr>
            <w:rStyle w:val="Hyperlink"/>
            <w:i/>
            <w:iCs/>
          </w:rPr>
          <w:t xml:space="preserve">Re Gold and Australian Federal Police and National Crime Authority </w:t>
        </w:r>
        <w:r w:rsidRPr="00E8424D">
          <w:rPr>
            <w:rStyle w:val="Hyperlink"/>
          </w:rPr>
          <w:t>[1994] AATA 382,</w:t>
        </w:r>
      </w:hyperlink>
      <w:r w:rsidRPr="00D519A3">
        <w:t xml:space="preserve"> citing Young CJ in </w:t>
      </w:r>
      <w:r w:rsidRPr="00D519A3">
        <w:rPr>
          <w:i/>
          <w:iCs/>
        </w:rPr>
        <w:t xml:space="preserve">Accident Compensation Commission </w:t>
      </w:r>
      <w:r w:rsidRPr="00D519A3">
        <w:t xml:space="preserve">v </w:t>
      </w:r>
      <w:r w:rsidRPr="00D519A3">
        <w:rPr>
          <w:i/>
          <w:iCs/>
        </w:rPr>
        <w:t xml:space="preserve">Croom </w:t>
      </w:r>
      <w:r w:rsidRPr="00D519A3">
        <w:t>(1991) 2 VR 322</w:t>
      </w:r>
      <w:r w:rsidR="0045424C">
        <w:t>,</w:t>
      </w:r>
      <w:r w:rsidR="003452B6" w:rsidRPr="00D519A3">
        <w:t xml:space="preserve"> [</w:t>
      </w:r>
      <w:r w:rsidRPr="00D519A3">
        <w:t>324</w:t>
      </w:r>
      <w:r w:rsidR="003452B6" w:rsidRPr="00D519A3">
        <w:t>]</w:t>
      </w:r>
      <w:r w:rsidRPr="00D519A3">
        <w:t xml:space="preserve">. </w:t>
      </w:r>
    </w:p>
  </w:footnote>
  <w:footnote w:id="151">
    <w:p w14:paraId="1288CE82" w14:textId="023F4C34" w:rsidR="00B7581D" w:rsidRPr="00D519A3" w:rsidRDefault="00B7581D">
      <w:pPr>
        <w:pStyle w:val="FootnoteText"/>
      </w:pPr>
      <w:r w:rsidRPr="00D519A3">
        <w:rPr>
          <w:rStyle w:val="FootnoteReference"/>
        </w:rPr>
        <w:footnoteRef/>
      </w:r>
      <w:r w:rsidRPr="00D519A3">
        <w:t xml:space="preserve"> </w:t>
      </w:r>
      <w:hyperlink r:id="rId172" w:history="1">
        <w:r w:rsidR="00AF2870" w:rsidRPr="0096731A">
          <w:rPr>
            <w:rStyle w:val="Hyperlink"/>
          </w:rPr>
          <w:t>FOI Act</w:t>
        </w:r>
      </w:hyperlink>
      <w:r w:rsidR="003452B6" w:rsidRPr="00D519A3">
        <w:t xml:space="preserve"> </w:t>
      </w:r>
      <w:r w:rsidR="007C6184">
        <w:t>s</w:t>
      </w:r>
      <w:r w:rsidRPr="00E8424D">
        <w:t>ch 1 s 1.14(5)</w:t>
      </w:r>
      <w:r w:rsidRPr="00D519A3">
        <w:t>.</w:t>
      </w:r>
    </w:p>
  </w:footnote>
  <w:footnote w:id="152">
    <w:p w14:paraId="3ACF9F44" w14:textId="1603EAFA" w:rsidR="009D49EB" w:rsidRPr="00D519A3" w:rsidRDefault="009D49EB" w:rsidP="003923D4">
      <w:pPr>
        <w:pStyle w:val="FootnoteText"/>
      </w:pPr>
      <w:r w:rsidRPr="00D519A3">
        <w:rPr>
          <w:rStyle w:val="FootnoteReference"/>
        </w:rPr>
        <w:footnoteRef/>
      </w:r>
      <w:r w:rsidRPr="00D519A3">
        <w:t xml:space="preserve"> </w:t>
      </w:r>
      <w:hyperlink r:id="rId173" w:history="1">
        <w:r w:rsidR="00FA5B73" w:rsidRPr="0096731A">
          <w:rPr>
            <w:rStyle w:val="Hyperlink"/>
            <w:iCs/>
          </w:rPr>
          <w:t>Legislation Act</w:t>
        </w:r>
      </w:hyperlink>
      <w:r w:rsidR="00FA5B73" w:rsidRPr="00D519A3">
        <w:t xml:space="preserve"> Dictionary pt 1 (definition of </w:t>
      </w:r>
      <w:r w:rsidRPr="00D519A3">
        <w:t>‘State’</w:t>
      </w:r>
      <w:r w:rsidR="004F7058" w:rsidRPr="00D519A3">
        <w:t xml:space="preserve">). </w:t>
      </w:r>
    </w:p>
  </w:footnote>
  <w:footnote w:id="153">
    <w:p w14:paraId="613119F8" w14:textId="275C1983" w:rsidR="00AF2870" w:rsidRPr="00D519A3" w:rsidRDefault="00AF2870">
      <w:pPr>
        <w:pStyle w:val="FootnoteText"/>
      </w:pPr>
      <w:r w:rsidRPr="00D519A3">
        <w:rPr>
          <w:rStyle w:val="FootnoteReference"/>
        </w:rPr>
        <w:footnoteRef/>
      </w:r>
      <w:r w:rsidRPr="00D519A3">
        <w:t xml:space="preserve"> </w:t>
      </w:r>
      <w:hyperlink r:id="rId174" w:history="1">
        <w:r w:rsidRPr="0096731A">
          <w:rPr>
            <w:rStyle w:val="Hyperlink"/>
          </w:rPr>
          <w:t>FOI Act</w:t>
        </w:r>
      </w:hyperlink>
      <w:r w:rsidRPr="00D519A3">
        <w:t xml:space="preserve"> </w:t>
      </w:r>
      <w:r w:rsidR="007C6184">
        <w:t>s</w:t>
      </w:r>
      <w:r w:rsidRPr="00E8424D">
        <w:t>ch 1</w:t>
      </w:r>
      <w:r w:rsidR="00CA2F7C">
        <w:t xml:space="preserve"> </w:t>
      </w:r>
      <w:r w:rsidRPr="00E8424D">
        <w:t>s 1.14(2)</w:t>
      </w:r>
      <w:r w:rsidRPr="00D519A3">
        <w:t>.</w:t>
      </w:r>
    </w:p>
  </w:footnote>
  <w:footnote w:id="154">
    <w:p w14:paraId="6CF5D10E" w14:textId="3CD46D81" w:rsidR="00F36460" w:rsidRPr="00D519A3" w:rsidRDefault="00F36460">
      <w:pPr>
        <w:pStyle w:val="FootnoteText"/>
      </w:pPr>
      <w:r w:rsidRPr="00D519A3">
        <w:rPr>
          <w:rStyle w:val="FootnoteReference"/>
        </w:rPr>
        <w:footnoteRef/>
      </w:r>
      <w:r w:rsidRPr="00D519A3">
        <w:t xml:space="preserve"> </w:t>
      </w:r>
      <w:hyperlink r:id="rId175" w:history="1">
        <w:r w:rsidR="003452B6" w:rsidRPr="0096731A">
          <w:rPr>
            <w:rStyle w:val="Hyperlink"/>
          </w:rPr>
          <w:t>FOI Act</w:t>
        </w:r>
      </w:hyperlink>
      <w:r w:rsidR="003452B6" w:rsidRPr="00D519A3">
        <w:t xml:space="preserve"> </w:t>
      </w:r>
      <w:r w:rsidR="007C6184">
        <w:t>s</w:t>
      </w:r>
      <w:r w:rsidRPr="00E8424D">
        <w:t xml:space="preserve">ch </w:t>
      </w:r>
      <w:r w:rsidR="00CA2F7C">
        <w:t>1</w:t>
      </w:r>
      <w:r w:rsidRPr="00E8424D">
        <w:t xml:space="preserve"> s 1.14(3)</w:t>
      </w:r>
      <w:r w:rsidRPr="00D519A3">
        <w:t>.</w:t>
      </w:r>
    </w:p>
  </w:footnote>
  <w:footnote w:id="155">
    <w:p w14:paraId="179FADC3" w14:textId="686CE7B7" w:rsidR="009D49EB" w:rsidRPr="00D519A3" w:rsidRDefault="009D49EB" w:rsidP="00146B33">
      <w:pPr>
        <w:pStyle w:val="FootnoteText"/>
        <w:ind w:left="142" w:right="261" w:hanging="142"/>
      </w:pPr>
      <w:r w:rsidRPr="00D519A3">
        <w:rPr>
          <w:rStyle w:val="FootnoteReference"/>
        </w:rPr>
        <w:footnoteRef/>
      </w:r>
      <w:r w:rsidRPr="00D519A3">
        <w:t xml:space="preserve"> </w:t>
      </w:r>
      <w:bookmarkStart w:id="708" w:name="_Hlk149928679"/>
      <w:r w:rsidR="0096731A">
        <w:fldChar w:fldCharType="begin"/>
      </w:r>
      <w:r w:rsidR="0096731A">
        <w:instrText>HYPERLINK "https://www.legislation.act.gov.au/a/2016-55/"</w:instrText>
      </w:r>
      <w:r w:rsidR="0096731A">
        <w:fldChar w:fldCharType="separate"/>
      </w:r>
      <w:r w:rsidR="0096731A" w:rsidRPr="0096731A">
        <w:rPr>
          <w:rStyle w:val="Hyperlink"/>
        </w:rPr>
        <w:t>FOI Act</w:t>
      </w:r>
      <w:r w:rsidR="0096731A">
        <w:fldChar w:fldCharType="end"/>
      </w:r>
      <w:bookmarkEnd w:id="708"/>
      <w:r w:rsidR="0096731A">
        <w:t xml:space="preserve"> </w:t>
      </w:r>
      <w:r w:rsidR="00470E95">
        <w:t>s</w:t>
      </w:r>
      <w:r w:rsidR="00E84BCB" w:rsidRPr="00470E95">
        <w:t>ch 1 s 1.14(4)(a)</w:t>
      </w:r>
      <w:r w:rsidR="00E84BCB" w:rsidRPr="00D519A3">
        <w:t xml:space="preserve">. </w:t>
      </w:r>
      <w:r w:rsidRPr="00D519A3">
        <w:t xml:space="preserve">This exception only applies where there is an objective and authoritative finding that the scope of a law enforcement investigation has exceeded the limits imposed by law: </w:t>
      </w:r>
      <w:hyperlink r:id="rId176" w:history="1">
        <w:r w:rsidRPr="00F632D0">
          <w:rPr>
            <w:rStyle w:val="Hyperlink"/>
            <w:i/>
          </w:rPr>
          <w:t>Isles and Queensland Police Service</w:t>
        </w:r>
        <w:r w:rsidRPr="00F632D0">
          <w:rPr>
            <w:rStyle w:val="Hyperlink"/>
          </w:rPr>
          <w:t xml:space="preserve"> [2017] QICmr 1</w:t>
        </w:r>
      </w:hyperlink>
      <w:r w:rsidR="00470E95">
        <w:t>,</w:t>
      </w:r>
      <w:r w:rsidRPr="00D519A3">
        <w:t xml:space="preserve"> [21]. </w:t>
      </w:r>
    </w:p>
  </w:footnote>
  <w:footnote w:id="156">
    <w:p w14:paraId="2DF06025" w14:textId="7DE26070" w:rsidR="00E84BCB" w:rsidRPr="00D519A3" w:rsidRDefault="00E84BCB" w:rsidP="00146B33">
      <w:pPr>
        <w:pStyle w:val="FootnoteText"/>
        <w:ind w:left="142" w:hanging="142"/>
      </w:pPr>
      <w:r w:rsidRPr="00D519A3">
        <w:rPr>
          <w:rStyle w:val="FootnoteReference"/>
        </w:rPr>
        <w:footnoteRef/>
      </w:r>
      <w:r w:rsidRPr="00D519A3">
        <w:t xml:space="preserve"> </w:t>
      </w:r>
      <w:hyperlink r:id="rId177" w:history="1">
        <w:r w:rsidR="0096731A" w:rsidRPr="0096731A">
          <w:rPr>
            <w:rStyle w:val="Hyperlink"/>
          </w:rPr>
          <w:t>FOI Act</w:t>
        </w:r>
      </w:hyperlink>
      <w:r w:rsidRPr="00D519A3">
        <w:t xml:space="preserve"> </w:t>
      </w:r>
      <w:r w:rsidR="00470E95">
        <w:t>s</w:t>
      </w:r>
      <w:r w:rsidRPr="00470E95">
        <w:t>ch 1 s 1.14(4)(b)</w:t>
      </w:r>
      <w:r w:rsidRPr="00D519A3">
        <w:t>.</w:t>
      </w:r>
    </w:p>
  </w:footnote>
  <w:footnote w:id="157">
    <w:p w14:paraId="469F2215" w14:textId="45B66EB2" w:rsidR="00C762E9" w:rsidRPr="00D519A3" w:rsidRDefault="00C762E9" w:rsidP="00146B33">
      <w:pPr>
        <w:pStyle w:val="FootnoteText"/>
        <w:ind w:left="142" w:hanging="142"/>
      </w:pPr>
      <w:r w:rsidRPr="00D519A3">
        <w:rPr>
          <w:rStyle w:val="FootnoteReference"/>
        </w:rPr>
        <w:footnoteRef/>
      </w:r>
      <w:r w:rsidRPr="00D519A3">
        <w:t xml:space="preserve"> </w:t>
      </w:r>
      <w:hyperlink r:id="rId178" w:history="1">
        <w:r w:rsidR="0096731A" w:rsidRPr="0096731A">
          <w:rPr>
            <w:rStyle w:val="Hyperlink"/>
          </w:rPr>
          <w:t>FOI Act</w:t>
        </w:r>
      </w:hyperlink>
      <w:r w:rsidRPr="00D519A3">
        <w:t xml:space="preserve"> </w:t>
      </w:r>
      <w:r w:rsidR="00470E95">
        <w:t>s</w:t>
      </w:r>
      <w:r w:rsidRPr="00470E95">
        <w:t>ch 1 s 1.14(4)(c)</w:t>
      </w:r>
      <w:r w:rsidRPr="00D519A3">
        <w:t>.</w:t>
      </w:r>
    </w:p>
  </w:footnote>
  <w:footnote w:id="158">
    <w:p w14:paraId="58099371" w14:textId="07A7239B" w:rsidR="00CA0CA1" w:rsidRPr="00D519A3" w:rsidRDefault="00CA0CA1" w:rsidP="00146B33">
      <w:pPr>
        <w:pStyle w:val="FootnoteText"/>
        <w:ind w:left="142" w:hanging="142"/>
      </w:pPr>
      <w:r w:rsidRPr="00D519A3">
        <w:rPr>
          <w:rStyle w:val="FootnoteReference"/>
        </w:rPr>
        <w:footnoteRef/>
      </w:r>
      <w:r w:rsidRPr="00D519A3">
        <w:t xml:space="preserve"> </w:t>
      </w:r>
      <w:hyperlink r:id="rId179" w:history="1">
        <w:r w:rsidR="0096731A" w:rsidRPr="0096731A">
          <w:rPr>
            <w:rStyle w:val="Hyperlink"/>
          </w:rPr>
          <w:t>FOI Act</w:t>
        </w:r>
      </w:hyperlink>
      <w:r w:rsidRPr="00D519A3">
        <w:t xml:space="preserve"> </w:t>
      </w:r>
      <w:r w:rsidR="00470E95">
        <w:t>s</w:t>
      </w:r>
      <w:r w:rsidRPr="00470E95">
        <w:t>ch 1 s 1.14(4)(d)</w:t>
      </w:r>
      <w:r w:rsidRPr="00D519A3">
        <w:t>.</w:t>
      </w:r>
    </w:p>
  </w:footnote>
  <w:footnote w:id="159">
    <w:p w14:paraId="12097215" w14:textId="4638B285" w:rsidR="00611FF1" w:rsidRPr="00D519A3" w:rsidRDefault="00611FF1" w:rsidP="00146B33">
      <w:pPr>
        <w:pStyle w:val="FootnoteText"/>
        <w:ind w:left="142" w:hanging="142"/>
      </w:pPr>
      <w:r w:rsidRPr="00D519A3">
        <w:rPr>
          <w:rStyle w:val="FootnoteReference"/>
        </w:rPr>
        <w:footnoteRef/>
      </w:r>
      <w:r w:rsidRPr="00D519A3">
        <w:t xml:space="preserve"> </w:t>
      </w:r>
      <w:hyperlink r:id="rId180" w:history="1">
        <w:r w:rsidR="0096731A" w:rsidRPr="0096731A">
          <w:rPr>
            <w:rStyle w:val="Hyperlink"/>
          </w:rPr>
          <w:t>FOI Act</w:t>
        </w:r>
      </w:hyperlink>
      <w:r w:rsidRPr="00D519A3">
        <w:t xml:space="preserve"> </w:t>
      </w:r>
      <w:r w:rsidR="00470E95">
        <w:t>s</w:t>
      </w:r>
      <w:r w:rsidRPr="00470E95">
        <w:t>ch 1 s 1.14(4)(e)</w:t>
      </w:r>
      <w:r w:rsidRPr="00D519A3">
        <w:t>.</w:t>
      </w:r>
    </w:p>
  </w:footnote>
  <w:footnote w:id="160">
    <w:p w14:paraId="7C5E5B6F" w14:textId="119CBC46" w:rsidR="009D49EB" w:rsidRPr="00D519A3" w:rsidRDefault="009D49EB" w:rsidP="00146B33">
      <w:pPr>
        <w:pStyle w:val="FootnoteText"/>
        <w:ind w:left="142" w:hanging="142"/>
      </w:pPr>
      <w:r w:rsidRPr="00D519A3">
        <w:rPr>
          <w:rStyle w:val="FootnoteReference"/>
        </w:rPr>
        <w:footnoteRef/>
      </w:r>
      <w:r w:rsidR="001B0076">
        <w:t xml:space="preserve"> Office of the Queensland Information Commissioner,</w:t>
      </w:r>
      <w:r w:rsidR="003452B6" w:rsidRPr="00D519A3">
        <w:t xml:space="preserve"> </w:t>
      </w:r>
      <w:r w:rsidRPr="00D519A3">
        <w:t>‘</w:t>
      </w:r>
      <w:hyperlink r:id="rId181" w:history="1">
        <w:r w:rsidRPr="001B0076">
          <w:rPr>
            <w:rStyle w:val="Hyperlink"/>
          </w:rPr>
          <w:t xml:space="preserve">Law </w:t>
        </w:r>
        <w:r w:rsidR="003452B6" w:rsidRPr="001B0076">
          <w:rPr>
            <w:rStyle w:val="Hyperlink"/>
          </w:rPr>
          <w:t>enforcement and public safety’</w:t>
        </w:r>
      </w:hyperlink>
      <w:r w:rsidR="001B0076">
        <w:t xml:space="preserve"> </w:t>
      </w:r>
      <w:r w:rsidR="001B0076">
        <w:rPr>
          <w:i/>
          <w:iCs/>
        </w:rPr>
        <w:t xml:space="preserve">Exempt information </w:t>
      </w:r>
      <w:r w:rsidR="003452B6" w:rsidRPr="00D519A3">
        <w:t>(</w:t>
      </w:r>
      <w:r w:rsidR="001B0076">
        <w:t>Guideline</w:t>
      </w:r>
      <w:r w:rsidR="003452B6" w:rsidRPr="00D519A3">
        <w:t>, 21 October 2019)</w:t>
      </w:r>
      <w:r w:rsidR="001B0076">
        <w:t xml:space="preserve">. </w:t>
      </w:r>
    </w:p>
  </w:footnote>
  <w:footnote w:id="161">
    <w:p w14:paraId="0E9D00B9" w14:textId="11EC801C" w:rsidR="009D49EB" w:rsidRPr="00D519A3" w:rsidRDefault="009D49EB" w:rsidP="00146B33">
      <w:pPr>
        <w:pStyle w:val="FootnoteText"/>
        <w:ind w:left="142" w:hanging="142"/>
        <w:rPr>
          <w:i/>
        </w:rPr>
      </w:pPr>
      <w:r w:rsidRPr="00D519A3">
        <w:rPr>
          <w:rStyle w:val="FootnoteReference"/>
        </w:rPr>
        <w:footnoteRef/>
      </w:r>
      <w:r w:rsidRPr="00D519A3">
        <w:t xml:space="preserve"> </w:t>
      </w:r>
      <w:hyperlink r:id="rId182" w:history="1">
        <w:r w:rsidRPr="00DA6087">
          <w:rPr>
            <w:rStyle w:val="Hyperlink"/>
            <w:i/>
          </w:rPr>
          <w:t>Community and Public Sector Union and Chief Minister, Treasury and Economic Development Directorate</w:t>
        </w:r>
        <w:r w:rsidRPr="00DA6087">
          <w:rPr>
            <w:rStyle w:val="Hyperlink"/>
          </w:rPr>
          <w:t xml:space="preserve"> [2018]</w:t>
        </w:r>
        <w:r w:rsidR="00DA6087" w:rsidRPr="00DA6087">
          <w:rPr>
            <w:rStyle w:val="Hyperlink"/>
          </w:rPr>
          <w:t xml:space="preserve"> </w:t>
        </w:r>
        <w:r w:rsidRPr="00DA6087">
          <w:rPr>
            <w:rStyle w:val="Hyperlink"/>
          </w:rPr>
          <w:t>ACTOFOI 7</w:t>
        </w:r>
        <w:r w:rsidR="003452B6" w:rsidRPr="00DA6087">
          <w:rPr>
            <w:rStyle w:val="Hyperlink"/>
          </w:rPr>
          <w:t xml:space="preserve"> (14 November 2019)</w:t>
        </w:r>
      </w:hyperlink>
      <w:r w:rsidR="00DA6087" w:rsidRPr="00DA6087">
        <w:rPr>
          <w:rStyle w:val="Hyperlink"/>
          <w:color w:val="auto"/>
          <w:u w:val="none"/>
        </w:rPr>
        <w:t>,</w:t>
      </w:r>
      <w:r w:rsidRPr="00DA6087">
        <w:t xml:space="preserve"> [</w:t>
      </w:r>
      <w:r w:rsidRPr="00D519A3">
        <w:t xml:space="preserve">32]; </w:t>
      </w:r>
      <w:hyperlink r:id="rId183" w:history="1">
        <w:r w:rsidRPr="0096731A">
          <w:rPr>
            <w:rStyle w:val="Hyperlink"/>
            <w:i/>
          </w:rPr>
          <w:t>Abbot Point Bulkcoal Pty Ltd and Department of Environment and Science; Mackay Conservation Group Inc (Third</w:t>
        </w:r>
        <w:r w:rsidR="003452B6" w:rsidRPr="0096731A">
          <w:rPr>
            <w:rStyle w:val="Hyperlink"/>
            <w:i/>
          </w:rPr>
          <w:t xml:space="preserve"> </w:t>
        </w:r>
        <w:r w:rsidRPr="0096731A">
          <w:rPr>
            <w:rStyle w:val="Hyperlink"/>
            <w:i/>
          </w:rPr>
          <w:t>Party)</w:t>
        </w:r>
        <w:r w:rsidR="00887F99" w:rsidRPr="0096731A">
          <w:rPr>
            <w:rStyle w:val="Hyperlink"/>
            <w:i/>
          </w:rPr>
          <w:t xml:space="preserve"> </w:t>
        </w:r>
        <w:r w:rsidRPr="0096731A">
          <w:rPr>
            <w:rStyle w:val="Hyperlink"/>
          </w:rPr>
          <w:t>[2018] QICmr 26</w:t>
        </w:r>
      </w:hyperlink>
      <w:r w:rsidR="00854F5F">
        <w:t>,</w:t>
      </w:r>
      <w:r w:rsidR="003452B6" w:rsidRPr="00D519A3">
        <w:t xml:space="preserve"> </w:t>
      </w:r>
      <w:r w:rsidRPr="00D519A3">
        <w:t xml:space="preserve">[18]; </w:t>
      </w:r>
      <w:hyperlink r:id="rId184" w:history="1">
        <w:r w:rsidRPr="0096731A">
          <w:rPr>
            <w:rStyle w:val="Hyperlink"/>
            <w:i/>
          </w:rPr>
          <w:t xml:space="preserve">Parker and Australian Securities and Investments Commission (Freedom of Information) </w:t>
        </w:r>
        <w:r w:rsidRPr="0096731A">
          <w:rPr>
            <w:rStyle w:val="Hyperlink"/>
          </w:rPr>
          <w:t>[2016] AATA 767</w:t>
        </w:r>
      </w:hyperlink>
      <w:r w:rsidRPr="00D519A3">
        <w:t xml:space="preserve">.  </w:t>
      </w:r>
    </w:p>
  </w:footnote>
  <w:footnote w:id="162">
    <w:p w14:paraId="38316E68" w14:textId="330CCEC9" w:rsidR="009D49EB" w:rsidRPr="006F5CD6" w:rsidRDefault="009D49EB" w:rsidP="00146B33">
      <w:pPr>
        <w:pStyle w:val="FootnoteText"/>
        <w:ind w:left="142" w:hanging="142"/>
      </w:pPr>
      <w:r w:rsidRPr="00D519A3">
        <w:rPr>
          <w:rStyle w:val="FootnoteReference"/>
        </w:rPr>
        <w:footnoteRef/>
      </w:r>
      <w:r w:rsidRPr="00D519A3">
        <w:t xml:space="preserve"> </w:t>
      </w:r>
      <w:r w:rsidRPr="00D519A3">
        <w:rPr>
          <w:i/>
        </w:rPr>
        <w:t>News Corporation v National Companies and Securities Commission</w:t>
      </w:r>
      <w:r w:rsidRPr="00D519A3">
        <w:t xml:space="preserve"> [1984] 5 FCR 88; </w:t>
      </w:r>
      <w:r w:rsidRPr="00D519A3">
        <w:rPr>
          <w:i/>
        </w:rPr>
        <w:t>Swales and Department of Health</w:t>
      </w:r>
      <w:r w:rsidRPr="00D519A3">
        <w:t xml:space="preserve"> [2011] QICmr 5</w:t>
      </w:r>
      <w:r w:rsidR="00854F5F">
        <w:t>,</w:t>
      </w:r>
      <w:r w:rsidRPr="00D519A3">
        <w:t xml:space="preserve"> [23].  </w:t>
      </w:r>
    </w:p>
  </w:footnote>
  <w:footnote w:id="163">
    <w:p w14:paraId="5B656445" w14:textId="7BED39EB" w:rsidR="009D49EB" w:rsidRPr="00D519A3" w:rsidRDefault="009D49EB" w:rsidP="00F71E05">
      <w:pPr>
        <w:pStyle w:val="Default"/>
      </w:pPr>
      <w:r w:rsidRPr="00D519A3">
        <w:rPr>
          <w:rStyle w:val="FootnoteReference"/>
          <w:sz w:val="20"/>
        </w:rPr>
        <w:footnoteRef/>
      </w:r>
      <w:r w:rsidRPr="00D519A3">
        <w:t xml:space="preserve"> </w:t>
      </w:r>
      <w:r w:rsidRPr="00D519A3">
        <w:rPr>
          <w:sz w:val="20"/>
          <w:szCs w:val="20"/>
        </w:rPr>
        <w:t xml:space="preserve">See also discussion in </w:t>
      </w:r>
      <w:r w:rsidRPr="003C0077">
        <w:rPr>
          <w:sz w:val="20"/>
          <w:szCs w:val="20"/>
        </w:rPr>
        <w:t>identities of people making disclosures</w:t>
      </w:r>
      <w:r w:rsidR="003C0077">
        <w:rPr>
          <w:sz w:val="20"/>
          <w:szCs w:val="20"/>
        </w:rPr>
        <w:t xml:space="preserve"> at [</w:t>
      </w:r>
      <w:hyperlink w:anchor="_Section_1.9_–" w:history="1">
        <w:r w:rsidR="003C0077" w:rsidRPr="003C0077">
          <w:rPr>
            <w:rStyle w:val="Hyperlink"/>
            <w:sz w:val="20"/>
            <w:szCs w:val="20"/>
          </w:rPr>
          <w:t>5.12</w:t>
        </w:r>
      </w:hyperlink>
      <w:r w:rsidR="003C0077">
        <w:rPr>
          <w:sz w:val="20"/>
          <w:szCs w:val="20"/>
        </w:rPr>
        <w:t xml:space="preserve">]. </w:t>
      </w:r>
    </w:p>
  </w:footnote>
  <w:footnote w:id="164">
    <w:p w14:paraId="202547AF" w14:textId="63915D19" w:rsidR="009D49EB" w:rsidRPr="00D519A3" w:rsidRDefault="009D49EB" w:rsidP="00F71E05">
      <w:pPr>
        <w:pStyle w:val="FootnoteText"/>
      </w:pPr>
      <w:r w:rsidRPr="00D519A3">
        <w:rPr>
          <w:rStyle w:val="FootnoteReference"/>
        </w:rPr>
        <w:footnoteRef/>
      </w:r>
      <w:r w:rsidRPr="00D519A3">
        <w:t xml:space="preserve"> </w:t>
      </w:r>
      <w:hyperlink r:id="rId185" w:history="1">
        <w:r w:rsidRPr="00CE6142">
          <w:rPr>
            <w:rStyle w:val="Hyperlink"/>
            <w:i/>
          </w:rPr>
          <w:t>94HQWR and Queensland Police Service</w:t>
        </w:r>
        <w:r w:rsidRPr="00CE6142">
          <w:rPr>
            <w:rStyle w:val="Hyperlink"/>
          </w:rPr>
          <w:t xml:space="preserve"> [2014] QICmr 45</w:t>
        </w:r>
      </w:hyperlink>
      <w:r w:rsidR="00EA3220">
        <w:t>,</w:t>
      </w:r>
      <w:r w:rsidRPr="00D519A3">
        <w:t xml:space="preserve"> [18]-[21]. </w:t>
      </w:r>
    </w:p>
  </w:footnote>
  <w:footnote w:id="165">
    <w:p w14:paraId="513BCC0E" w14:textId="371A42D0" w:rsidR="009D49EB" w:rsidRPr="00D519A3" w:rsidRDefault="009D49EB" w:rsidP="00F71E05">
      <w:pPr>
        <w:pStyle w:val="FootnoteText"/>
      </w:pPr>
      <w:r w:rsidRPr="00D519A3">
        <w:rPr>
          <w:rStyle w:val="FootnoteReference"/>
        </w:rPr>
        <w:footnoteRef/>
      </w:r>
      <w:r w:rsidRPr="00D519A3">
        <w:t xml:space="preserve"> </w:t>
      </w:r>
      <w:hyperlink r:id="rId186" w:history="1">
        <w:r w:rsidRPr="00CE6142">
          <w:rPr>
            <w:rStyle w:val="Hyperlink"/>
            <w:i/>
          </w:rPr>
          <w:t>Anthony Mearrick and Australian Skills Quality Authority</w:t>
        </w:r>
        <w:r w:rsidRPr="00CE6142">
          <w:rPr>
            <w:rStyle w:val="Hyperlink"/>
          </w:rPr>
          <w:t xml:space="preserve"> [2016] AICmr 93</w:t>
        </w:r>
      </w:hyperlink>
      <w:r w:rsidRPr="00D519A3">
        <w:t xml:space="preserve">. </w:t>
      </w:r>
    </w:p>
  </w:footnote>
  <w:footnote w:id="166">
    <w:p w14:paraId="7E1019DC" w14:textId="07C2EED9" w:rsidR="009D49EB" w:rsidRPr="00D519A3" w:rsidRDefault="009D49EB" w:rsidP="00F71E05">
      <w:pPr>
        <w:pStyle w:val="FootnoteText"/>
      </w:pPr>
      <w:r w:rsidRPr="00D519A3">
        <w:rPr>
          <w:rStyle w:val="FootnoteReference"/>
        </w:rPr>
        <w:footnoteRef/>
      </w:r>
      <w:r w:rsidR="00622D8F" w:rsidRPr="00D519A3">
        <w:rPr>
          <w:i/>
        </w:rPr>
        <w:t xml:space="preserve"> </w:t>
      </w:r>
      <w:hyperlink r:id="rId187" w:history="1">
        <w:r w:rsidRPr="00CE6142">
          <w:rPr>
            <w:rStyle w:val="Hyperlink"/>
            <w:i/>
          </w:rPr>
          <w:t xml:space="preserve">NM and Department of Human Services (Freedom of Information) </w:t>
        </w:r>
        <w:r w:rsidRPr="00CE6142">
          <w:rPr>
            <w:rStyle w:val="Hyperlink"/>
          </w:rPr>
          <w:t>[2017] AICmr 134</w:t>
        </w:r>
      </w:hyperlink>
      <w:r w:rsidRPr="00D519A3">
        <w:t xml:space="preserve">. </w:t>
      </w:r>
    </w:p>
  </w:footnote>
  <w:footnote w:id="167">
    <w:p w14:paraId="4ABD18E3" w14:textId="12EC3859" w:rsidR="009D49EB" w:rsidRPr="00D519A3" w:rsidRDefault="009D49EB" w:rsidP="00F71E05">
      <w:pPr>
        <w:pStyle w:val="FootnoteText"/>
      </w:pPr>
      <w:r w:rsidRPr="00D519A3">
        <w:rPr>
          <w:rStyle w:val="FootnoteReference"/>
        </w:rPr>
        <w:footnoteRef/>
      </w:r>
      <w:r w:rsidRPr="00D519A3">
        <w:t xml:space="preserve"> </w:t>
      </w:r>
      <w:hyperlink r:id="rId188" w:history="1">
        <w:r w:rsidRPr="00CE6142">
          <w:rPr>
            <w:rStyle w:val="Hyperlink"/>
            <w:i/>
          </w:rPr>
          <w:t>Callejo and Department of Immigration and Citizenship</w:t>
        </w:r>
        <w:r w:rsidRPr="00CE6142">
          <w:rPr>
            <w:rStyle w:val="Hyperlink"/>
          </w:rPr>
          <w:t xml:space="preserve"> [2010] AATA 244</w:t>
        </w:r>
      </w:hyperlink>
      <w:r w:rsidR="00EA3220">
        <w:t>,</w:t>
      </w:r>
      <w:r w:rsidR="003452B6" w:rsidRPr="00D519A3">
        <w:t xml:space="preserve"> [</w:t>
      </w:r>
      <w:r w:rsidRPr="00D519A3">
        <w:t xml:space="preserve">195].  </w:t>
      </w:r>
    </w:p>
  </w:footnote>
  <w:footnote w:id="168">
    <w:p w14:paraId="5370A1FE" w14:textId="4807D8A5" w:rsidR="009D49EB" w:rsidRPr="00D519A3" w:rsidRDefault="009D49EB" w:rsidP="00F71E05">
      <w:pPr>
        <w:pStyle w:val="FootnoteText"/>
      </w:pPr>
      <w:r w:rsidRPr="00D519A3">
        <w:rPr>
          <w:rStyle w:val="FootnoteReference"/>
        </w:rPr>
        <w:footnoteRef/>
      </w:r>
      <w:r w:rsidRPr="00D519A3">
        <w:t xml:space="preserve"> </w:t>
      </w:r>
      <w:hyperlink r:id="rId189" w:history="1">
        <w:r w:rsidRPr="00CE6142">
          <w:rPr>
            <w:rStyle w:val="Hyperlink"/>
            <w:i/>
          </w:rPr>
          <w:t>6ZJ3HG and Department of Environment and Heritage Protection; OY76VY (Third Party)</w:t>
        </w:r>
        <w:r w:rsidR="003452B6" w:rsidRPr="00CE6142">
          <w:rPr>
            <w:rStyle w:val="Hyperlink"/>
          </w:rPr>
          <w:t xml:space="preserve"> [2016] QICmr 8</w:t>
        </w:r>
      </w:hyperlink>
      <w:r w:rsidR="00EA3220">
        <w:t>,</w:t>
      </w:r>
      <w:r w:rsidRPr="00D519A3">
        <w:t xml:space="preserve"> [49]. </w:t>
      </w:r>
    </w:p>
  </w:footnote>
  <w:footnote w:id="169">
    <w:p w14:paraId="23036BD6" w14:textId="78B58891" w:rsidR="009D49EB" w:rsidRPr="00D519A3" w:rsidRDefault="009D49EB" w:rsidP="00F71E05">
      <w:pPr>
        <w:pStyle w:val="FootnoteText"/>
      </w:pPr>
      <w:r w:rsidRPr="00D519A3">
        <w:rPr>
          <w:rStyle w:val="FootnoteReference"/>
        </w:rPr>
        <w:footnoteRef/>
      </w:r>
      <w:r w:rsidRPr="00D519A3">
        <w:t xml:space="preserve"> </w:t>
      </w:r>
      <w:hyperlink r:id="rId190" w:history="1">
        <w:r w:rsidRPr="00CE6142">
          <w:rPr>
            <w:rStyle w:val="Hyperlink"/>
            <w:i/>
          </w:rPr>
          <w:t>‘M’ and WA Country Health Service – South West</w:t>
        </w:r>
        <w:r w:rsidRPr="00CE6142">
          <w:rPr>
            <w:rStyle w:val="Hyperlink"/>
          </w:rPr>
          <w:t xml:space="preserve"> [2012] WAICmr 8</w:t>
        </w:r>
      </w:hyperlink>
      <w:r w:rsidRPr="00D519A3">
        <w:t xml:space="preserve">. </w:t>
      </w:r>
    </w:p>
  </w:footnote>
  <w:footnote w:id="170">
    <w:p w14:paraId="0D62C080" w14:textId="387B3DEA" w:rsidR="00F9781E" w:rsidRPr="00D519A3" w:rsidRDefault="00F9781E" w:rsidP="00146B33">
      <w:pPr>
        <w:pStyle w:val="FootnoteText"/>
        <w:ind w:left="142" w:hanging="142"/>
      </w:pPr>
      <w:r w:rsidRPr="00D519A3">
        <w:rPr>
          <w:rStyle w:val="FootnoteReference"/>
        </w:rPr>
        <w:footnoteRef/>
      </w:r>
      <w:r w:rsidRPr="00D519A3">
        <w:t xml:space="preserve"> </w:t>
      </w:r>
      <w:hyperlink r:id="rId191" w:history="1">
        <w:r w:rsidRPr="0010115E">
          <w:rPr>
            <w:rStyle w:val="Hyperlink"/>
            <w:i/>
          </w:rPr>
          <w:t xml:space="preserve">Re Ford and Child Support Registrar </w:t>
        </w:r>
        <w:r w:rsidRPr="0010115E">
          <w:rPr>
            <w:rStyle w:val="Hyperlink"/>
          </w:rPr>
          <w:t>[2006] AATA 283</w:t>
        </w:r>
      </w:hyperlink>
      <w:r w:rsidRPr="00D519A3">
        <w:t>.</w:t>
      </w:r>
    </w:p>
  </w:footnote>
  <w:footnote w:id="171">
    <w:p w14:paraId="7997FAC0" w14:textId="0B93DA33" w:rsidR="009D49EB" w:rsidRPr="00D519A3" w:rsidRDefault="009D49EB" w:rsidP="00146B33">
      <w:pPr>
        <w:pStyle w:val="FootnoteText"/>
        <w:ind w:left="142" w:hanging="142"/>
      </w:pPr>
      <w:r w:rsidRPr="00D519A3">
        <w:rPr>
          <w:rStyle w:val="FootnoteReference"/>
        </w:rPr>
        <w:footnoteRef/>
      </w:r>
      <w:r w:rsidRPr="00D519A3">
        <w:t xml:space="preserve"> </w:t>
      </w:r>
      <w:hyperlink r:id="rId192" w:history="1">
        <w:r w:rsidRPr="0010115E">
          <w:rPr>
            <w:rStyle w:val="Hyperlink"/>
            <w:i/>
          </w:rPr>
          <w:t>J6Q8CH and Department of Justice and Attorney-General</w:t>
        </w:r>
        <w:r w:rsidR="003452B6" w:rsidRPr="0010115E">
          <w:rPr>
            <w:rStyle w:val="Hyperlink"/>
          </w:rPr>
          <w:t xml:space="preserve"> [2018] QICmr 49</w:t>
        </w:r>
      </w:hyperlink>
      <w:r w:rsidR="007259C8" w:rsidRPr="00D519A3">
        <w:t>,</w:t>
      </w:r>
      <w:r w:rsidRPr="00D519A3">
        <w:t xml:space="preserve"> [24]-[25]. </w:t>
      </w:r>
    </w:p>
  </w:footnote>
  <w:footnote w:id="172">
    <w:p w14:paraId="567BA3F1" w14:textId="08C30420" w:rsidR="009D49EB" w:rsidRPr="00D519A3" w:rsidRDefault="009D49EB" w:rsidP="00146B33">
      <w:pPr>
        <w:pStyle w:val="FootnoteText"/>
        <w:ind w:left="142" w:right="-589" w:hanging="142"/>
      </w:pPr>
      <w:r w:rsidRPr="00D519A3">
        <w:rPr>
          <w:rStyle w:val="FootnoteReference"/>
        </w:rPr>
        <w:footnoteRef/>
      </w:r>
      <w:r w:rsidRPr="00D519A3">
        <w:t xml:space="preserve"> A reasonable expectation of a single act of serious harassment is sufficient; it is not necessary for there to be a reasonable expectation of persistent or repeated conduct: </w:t>
      </w:r>
      <w:hyperlink r:id="rId193" w:history="1">
        <w:r w:rsidRPr="0010115E">
          <w:rPr>
            <w:rStyle w:val="Hyperlink"/>
            <w:i/>
          </w:rPr>
          <w:t>Scott and South Burnett Regional Council</w:t>
        </w:r>
        <w:r w:rsidRPr="0010115E">
          <w:rPr>
            <w:rStyle w:val="Hyperlink"/>
          </w:rPr>
          <w:t xml:space="preserve"> [2009] QICmr 25</w:t>
        </w:r>
      </w:hyperlink>
      <w:r w:rsidR="007259C8" w:rsidRPr="00D519A3">
        <w:t>,</w:t>
      </w:r>
      <w:r w:rsidRPr="00D519A3">
        <w:t xml:space="preserve"> [125].</w:t>
      </w:r>
    </w:p>
  </w:footnote>
  <w:footnote w:id="173">
    <w:p w14:paraId="604D28B2" w14:textId="7954F526" w:rsidR="009D49EB" w:rsidRPr="00D519A3" w:rsidRDefault="009D49EB" w:rsidP="00146B33">
      <w:pPr>
        <w:pStyle w:val="FootnoteText"/>
        <w:ind w:left="142" w:hanging="142"/>
      </w:pPr>
      <w:r w:rsidRPr="00D519A3">
        <w:rPr>
          <w:rStyle w:val="FootnoteReference"/>
        </w:rPr>
        <w:footnoteRef/>
      </w:r>
      <w:r w:rsidRPr="00D519A3">
        <w:t xml:space="preserve"> </w:t>
      </w:r>
      <w:hyperlink r:id="rId194" w:history="1">
        <w:r w:rsidRPr="0010115E">
          <w:rPr>
            <w:rStyle w:val="Hyperlink"/>
            <w:i/>
          </w:rPr>
          <w:t>J6Q8CH and Department of Justice and Attorney-General</w:t>
        </w:r>
        <w:r w:rsidRPr="0010115E">
          <w:rPr>
            <w:rStyle w:val="Hyperlink"/>
          </w:rPr>
          <w:t xml:space="preserve"> [2018] QICmr 49</w:t>
        </w:r>
      </w:hyperlink>
      <w:r w:rsidR="007259C8" w:rsidRPr="00D519A3">
        <w:t>,</w:t>
      </w:r>
      <w:r w:rsidRPr="00D519A3">
        <w:t xml:space="preserve"> [24]-[25]; </w:t>
      </w:r>
      <w:hyperlink r:id="rId195" w:history="1">
        <w:r w:rsidRPr="0010115E">
          <w:rPr>
            <w:rStyle w:val="Hyperlink"/>
            <w:i/>
          </w:rPr>
          <w:t>Watson v Office of Information Commissioner Qld &amp; Ors</w:t>
        </w:r>
        <w:r w:rsidRPr="0010115E">
          <w:rPr>
            <w:rStyle w:val="Hyperlink"/>
          </w:rPr>
          <w:t xml:space="preserve"> [2015] QCATA 95</w:t>
        </w:r>
        <w:r w:rsidR="007259C8" w:rsidRPr="0010115E">
          <w:rPr>
            <w:rStyle w:val="Hyperlink"/>
          </w:rPr>
          <w:t>,</w:t>
        </w:r>
      </w:hyperlink>
      <w:r w:rsidRPr="00D519A3">
        <w:t xml:space="preserve"> [19].</w:t>
      </w:r>
    </w:p>
  </w:footnote>
  <w:footnote w:id="174">
    <w:p w14:paraId="0B1F0DD5" w14:textId="00DDE7F7" w:rsidR="009D49EB" w:rsidRPr="00D519A3" w:rsidRDefault="009D49EB" w:rsidP="00146B33">
      <w:pPr>
        <w:pStyle w:val="FootnoteText"/>
        <w:ind w:left="142" w:hanging="142"/>
      </w:pPr>
      <w:r w:rsidRPr="00D519A3">
        <w:rPr>
          <w:rStyle w:val="FootnoteReference"/>
        </w:rPr>
        <w:footnoteRef/>
      </w:r>
      <w:r w:rsidRPr="00D519A3">
        <w:t xml:space="preserve"> </w:t>
      </w:r>
      <w:r w:rsidR="00863340" w:rsidRPr="00D519A3">
        <w:t>Ibid</w:t>
      </w:r>
      <w:r w:rsidRPr="00D519A3">
        <w:t xml:space="preserve">. </w:t>
      </w:r>
    </w:p>
  </w:footnote>
  <w:footnote w:id="175">
    <w:p w14:paraId="41625DB3" w14:textId="72CE0C0D" w:rsidR="009D49EB" w:rsidRPr="00D519A3" w:rsidRDefault="009D49EB" w:rsidP="00146B33">
      <w:pPr>
        <w:pStyle w:val="FootnoteText"/>
        <w:ind w:left="142" w:hanging="142"/>
      </w:pPr>
      <w:r w:rsidRPr="00D519A3">
        <w:rPr>
          <w:rStyle w:val="FootnoteReference"/>
        </w:rPr>
        <w:footnoteRef/>
      </w:r>
      <w:r w:rsidRPr="00D519A3">
        <w:t xml:space="preserve"> </w:t>
      </w:r>
      <w:hyperlink r:id="rId196" w:history="1">
        <w:r w:rsidRPr="0010115E">
          <w:rPr>
            <w:rStyle w:val="Hyperlink"/>
            <w:i/>
          </w:rPr>
          <w:t>Mathews and Department of Transport and Main Roads</w:t>
        </w:r>
        <w:r w:rsidRPr="0010115E">
          <w:rPr>
            <w:rStyle w:val="Hyperlink"/>
          </w:rPr>
          <w:t xml:space="preserve"> [2014] QICmr 37; </w:t>
        </w:r>
        <w:r w:rsidRPr="0010115E">
          <w:rPr>
            <w:rStyle w:val="Hyperlink"/>
            <w:i/>
          </w:rPr>
          <w:t>Mathews and Department of Transport and Main Roads</w:t>
        </w:r>
        <w:r w:rsidRPr="0010115E">
          <w:rPr>
            <w:rStyle w:val="Hyperlink"/>
          </w:rPr>
          <w:t xml:space="preserve"> [2013] QICmr 22</w:t>
        </w:r>
      </w:hyperlink>
      <w:r w:rsidR="007259C8" w:rsidRPr="00D519A3">
        <w:t>.</w:t>
      </w:r>
    </w:p>
  </w:footnote>
  <w:footnote w:id="176">
    <w:p w14:paraId="75B17424" w14:textId="754288B5" w:rsidR="009D49EB" w:rsidRPr="00D519A3" w:rsidRDefault="009D49EB" w:rsidP="00146B33">
      <w:pPr>
        <w:pStyle w:val="FootnoteText"/>
        <w:ind w:left="142" w:hanging="142"/>
      </w:pPr>
      <w:r w:rsidRPr="00D519A3">
        <w:rPr>
          <w:rStyle w:val="FootnoteReference"/>
        </w:rPr>
        <w:footnoteRef/>
      </w:r>
      <w:r w:rsidRPr="00D519A3">
        <w:t xml:space="preserve"> </w:t>
      </w:r>
      <w:hyperlink r:id="rId197" w:history="1">
        <w:r w:rsidRPr="0010115E">
          <w:rPr>
            <w:rStyle w:val="Hyperlink"/>
            <w:i/>
          </w:rPr>
          <w:t>Toogood and Cassowary Coast Regional Council</w:t>
        </w:r>
        <w:r w:rsidRPr="0010115E">
          <w:rPr>
            <w:rStyle w:val="Hyperlink"/>
          </w:rPr>
          <w:t xml:space="preserve"> [2018] QICmr 13</w:t>
        </w:r>
      </w:hyperlink>
      <w:r w:rsidR="007259C8" w:rsidRPr="00D519A3">
        <w:t>,</w:t>
      </w:r>
      <w:r w:rsidRPr="00D519A3">
        <w:t xml:space="preserve"> [25]</w:t>
      </w:r>
      <w:r w:rsidR="007259C8" w:rsidRPr="00D519A3">
        <w:t xml:space="preserve">. </w:t>
      </w:r>
    </w:p>
  </w:footnote>
  <w:footnote w:id="177">
    <w:p w14:paraId="33C17A4C" w14:textId="06C433DA" w:rsidR="009D49EB" w:rsidRPr="00D519A3" w:rsidRDefault="009D49EB" w:rsidP="00F71E05">
      <w:pPr>
        <w:pStyle w:val="FootnoteText"/>
      </w:pPr>
      <w:r w:rsidRPr="00D519A3">
        <w:rPr>
          <w:rStyle w:val="FootnoteReference"/>
        </w:rPr>
        <w:footnoteRef/>
      </w:r>
      <w:r w:rsidRPr="00D519A3">
        <w:t xml:space="preserve"> </w:t>
      </w:r>
      <w:hyperlink r:id="rId198" w:history="1">
        <w:r w:rsidRPr="00966520">
          <w:rPr>
            <w:rStyle w:val="Hyperlink"/>
            <w:i/>
          </w:rPr>
          <w:t>Bradford and Australian Federal Police (Freedom of information)</w:t>
        </w:r>
        <w:r w:rsidRPr="00966520">
          <w:rPr>
            <w:rStyle w:val="Hyperlink"/>
          </w:rPr>
          <w:t xml:space="preserve"> [2016] AATA 775</w:t>
        </w:r>
      </w:hyperlink>
      <w:r w:rsidR="00966520">
        <w:t>,</w:t>
      </w:r>
      <w:r w:rsidRPr="00D519A3">
        <w:t xml:space="preserve"> [34]. </w:t>
      </w:r>
    </w:p>
  </w:footnote>
  <w:footnote w:id="178">
    <w:p w14:paraId="207D7AC5" w14:textId="2A3E3780" w:rsidR="009D49EB" w:rsidRPr="00D519A3" w:rsidRDefault="009D49EB" w:rsidP="00F71E05">
      <w:pPr>
        <w:pStyle w:val="FootnoteText"/>
      </w:pPr>
      <w:r w:rsidRPr="00D519A3">
        <w:rPr>
          <w:rStyle w:val="FootnoteReference"/>
        </w:rPr>
        <w:footnoteRef/>
      </w:r>
      <w:r w:rsidRPr="00D519A3">
        <w:t xml:space="preserve"> </w:t>
      </w:r>
      <w:hyperlink r:id="rId199" w:history="1">
        <w:r w:rsidRPr="00966520">
          <w:rPr>
            <w:rStyle w:val="Hyperlink"/>
            <w:i/>
          </w:rPr>
          <w:t>RFJ v Victoria Police FOI Division (Review and Regulation)</w:t>
        </w:r>
        <w:r w:rsidRPr="00966520">
          <w:rPr>
            <w:rStyle w:val="Hyperlink"/>
          </w:rPr>
          <w:t xml:space="preserve"> [2013] VCAT 1267</w:t>
        </w:r>
      </w:hyperlink>
      <w:r w:rsidR="00966520">
        <w:t>,</w:t>
      </w:r>
      <w:r w:rsidRPr="00D519A3">
        <w:t xml:space="preserve"> [136]. </w:t>
      </w:r>
    </w:p>
  </w:footnote>
  <w:footnote w:id="179">
    <w:p w14:paraId="08DBA426" w14:textId="20FED121" w:rsidR="009D49EB" w:rsidRPr="00D519A3" w:rsidRDefault="009D49EB" w:rsidP="00F71E05">
      <w:pPr>
        <w:pStyle w:val="FootnoteText"/>
      </w:pPr>
      <w:r w:rsidRPr="00D519A3">
        <w:rPr>
          <w:rStyle w:val="FootnoteReference"/>
        </w:rPr>
        <w:footnoteRef/>
      </w:r>
      <w:r w:rsidRPr="00D519A3">
        <w:t xml:space="preserve"> </w:t>
      </w:r>
      <w:hyperlink r:id="rId200" w:history="1">
        <w:r w:rsidRPr="00966520">
          <w:rPr>
            <w:rStyle w:val="Hyperlink"/>
            <w:i/>
          </w:rPr>
          <w:t xml:space="preserve">JCL v Victoria Police (General) </w:t>
        </w:r>
        <w:r w:rsidRPr="00966520">
          <w:rPr>
            <w:rStyle w:val="Hyperlink"/>
          </w:rPr>
          <w:t>[2012] VCAT 1060</w:t>
        </w:r>
      </w:hyperlink>
      <w:r w:rsidR="00966520">
        <w:t>,</w:t>
      </w:r>
      <w:r w:rsidRPr="00D519A3">
        <w:t xml:space="preserve"> [55]-[56].  </w:t>
      </w:r>
    </w:p>
  </w:footnote>
  <w:footnote w:id="180">
    <w:p w14:paraId="6D34EB57" w14:textId="128DB40A" w:rsidR="009D49EB" w:rsidRPr="00D519A3" w:rsidRDefault="009D49EB" w:rsidP="00F71E05">
      <w:pPr>
        <w:pStyle w:val="FootnoteText"/>
      </w:pPr>
      <w:r w:rsidRPr="00D519A3">
        <w:rPr>
          <w:rStyle w:val="FootnoteReference"/>
        </w:rPr>
        <w:footnoteRef/>
      </w:r>
      <w:r w:rsidRPr="00D519A3">
        <w:t xml:space="preserve"> </w:t>
      </w:r>
      <w:hyperlink r:id="rId201" w:history="1">
        <w:r w:rsidRPr="00966520">
          <w:rPr>
            <w:rStyle w:val="Hyperlink"/>
            <w:i/>
          </w:rPr>
          <w:t xml:space="preserve">HU and Australian Federal Police </w:t>
        </w:r>
        <w:r w:rsidRPr="00966520">
          <w:rPr>
            <w:rStyle w:val="Hyperlink"/>
          </w:rPr>
          <w:t>[2015] AICmr 83</w:t>
        </w:r>
      </w:hyperlink>
      <w:r w:rsidRPr="00D519A3">
        <w:t xml:space="preserve">. </w:t>
      </w:r>
    </w:p>
  </w:footnote>
  <w:footnote w:id="181">
    <w:p w14:paraId="59D6470F" w14:textId="4A64B20B" w:rsidR="009D49EB" w:rsidRPr="00D519A3" w:rsidRDefault="009D49EB" w:rsidP="00146B33">
      <w:pPr>
        <w:pStyle w:val="FootnoteText"/>
        <w:ind w:left="142" w:hanging="142"/>
      </w:pPr>
      <w:r w:rsidRPr="00D519A3">
        <w:rPr>
          <w:rStyle w:val="FootnoteReference"/>
        </w:rPr>
        <w:footnoteRef/>
      </w:r>
      <w:r w:rsidRPr="00D519A3">
        <w:t xml:space="preserve"> </w:t>
      </w:r>
      <w:hyperlink r:id="rId202" w:history="1">
        <w:r w:rsidRPr="00966520">
          <w:rPr>
            <w:rStyle w:val="Hyperlink"/>
            <w:i/>
          </w:rPr>
          <w:t xml:space="preserve">Harris and Queensland Police Service </w:t>
        </w:r>
        <w:r w:rsidRPr="00966520">
          <w:rPr>
            <w:rStyle w:val="Hyperlink"/>
          </w:rPr>
          <w:t>[2014] QICmr 10</w:t>
        </w:r>
      </w:hyperlink>
      <w:r w:rsidR="00966520">
        <w:t>,</w:t>
      </w:r>
      <w:r w:rsidRPr="00D519A3">
        <w:t xml:space="preserve"> [15], referring to </w:t>
      </w:r>
      <w:r w:rsidRPr="00D519A3">
        <w:rPr>
          <w:i/>
        </w:rPr>
        <w:t xml:space="preserve">The Gold Coast Bulletin and Department of Police </w:t>
      </w:r>
      <w:r w:rsidRPr="00D519A3">
        <w:t>(</w:t>
      </w:r>
      <w:r w:rsidR="00241849" w:rsidRPr="00D519A3">
        <w:t>U</w:t>
      </w:r>
      <w:r w:rsidRPr="00D519A3">
        <w:t xml:space="preserve">nreported, Queensland Information Commissioner, 23 December 2010).  </w:t>
      </w:r>
    </w:p>
  </w:footnote>
  <w:footnote w:id="182">
    <w:p w14:paraId="7B20BFCD" w14:textId="686F0843" w:rsidR="009D49EB" w:rsidRPr="00D519A3" w:rsidRDefault="009D49EB" w:rsidP="00146B33">
      <w:pPr>
        <w:pStyle w:val="FootnoteText"/>
        <w:ind w:left="142" w:hanging="142"/>
      </w:pPr>
      <w:r w:rsidRPr="00D519A3">
        <w:rPr>
          <w:rStyle w:val="FootnoteReference"/>
        </w:rPr>
        <w:footnoteRef/>
      </w:r>
      <w:r w:rsidRPr="00D519A3">
        <w:t xml:space="preserve"> </w:t>
      </w:r>
      <w:hyperlink r:id="rId203" w:history="1">
        <w:r w:rsidRPr="00966520">
          <w:rPr>
            <w:rStyle w:val="Hyperlink"/>
            <w:i/>
          </w:rPr>
          <w:t>Apache Northwest Pty Ltd v Department of Mines and Petroleum (No 2)</w:t>
        </w:r>
        <w:r w:rsidRPr="00966520">
          <w:rPr>
            <w:rStyle w:val="Hyperlink"/>
          </w:rPr>
          <w:t xml:space="preserve"> [2011] WASC 283</w:t>
        </w:r>
      </w:hyperlink>
      <w:r w:rsidR="00966520">
        <w:t>,</w:t>
      </w:r>
      <w:r w:rsidRPr="00D519A3">
        <w:t xml:space="preserve"> [142]-[151]; </w:t>
      </w:r>
      <w:hyperlink r:id="rId204" w:history="1">
        <w:r w:rsidRPr="00966520">
          <w:rPr>
            <w:rStyle w:val="Hyperlink"/>
            <w:i/>
          </w:rPr>
          <w:t xml:space="preserve">Re Parisi and Australian Federal Police and Queensland </w:t>
        </w:r>
        <w:r w:rsidRPr="00966520">
          <w:rPr>
            <w:rStyle w:val="Hyperlink"/>
          </w:rPr>
          <w:t>[1987] AATA 395</w:t>
        </w:r>
        <w:r w:rsidR="00966520" w:rsidRPr="00966520">
          <w:rPr>
            <w:rStyle w:val="Hyperlink"/>
          </w:rPr>
          <w:t>,</w:t>
        </w:r>
      </w:hyperlink>
      <w:r w:rsidRPr="00D519A3">
        <w:t xml:space="preserve"> [25]; </w:t>
      </w:r>
      <w:hyperlink r:id="rId205" w:history="1">
        <w:r w:rsidRPr="00966520">
          <w:rPr>
            <w:rStyle w:val="Hyperlink"/>
            <w:i/>
          </w:rPr>
          <w:t>Hanes v Australian Health Practitioner Regulation Agency (Review and Regulation)</w:t>
        </w:r>
        <w:r w:rsidRPr="00966520">
          <w:rPr>
            <w:rStyle w:val="Hyperlink"/>
          </w:rPr>
          <w:t xml:space="preserve"> [2013] VCAT 1270</w:t>
        </w:r>
      </w:hyperlink>
      <w:r w:rsidR="00966520">
        <w:t>,</w:t>
      </w:r>
      <w:r w:rsidRPr="00D519A3">
        <w:t xml:space="preserve"> [48].</w:t>
      </w:r>
    </w:p>
  </w:footnote>
  <w:footnote w:id="183">
    <w:p w14:paraId="326B1755" w14:textId="1D11BDF9" w:rsidR="009D49EB" w:rsidRPr="00D519A3" w:rsidRDefault="009D49EB" w:rsidP="00F71E05">
      <w:pPr>
        <w:pStyle w:val="FootnoteText"/>
      </w:pPr>
      <w:r w:rsidRPr="00D519A3">
        <w:rPr>
          <w:rStyle w:val="FootnoteReference"/>
        </w:rPr>
        <w:footnoteRef/>
      </w:r>
      <w:r w:rsidRPr="00D519A3">
        <w:t xml:space="preserve"> </w:t>
      </w:r>
      <w:hyperlink r:id="rId206" w:history="1">
        <w:r w:rsidRPr="000E4AA7">
          <w:rPr>
            <w:rStyle w:val="Hyperlink"/>
            <w:i/>
          </w:rPr>
          <w:t xml:space="preserve">Stanway and Queensland Police Service (No 2) </w:t>
        </w:r>
        <w:r w:rsidRPr="000E4AA7">
          <w:rPr>
            <w:rStyle w:val="Hyperlink"/>
          </w:rPr>
          <w:t>[2018] QICmr 5</w:t>
        </w:r>
      </w:hyperlink>
      <w:r w:rsidRPr="00D519A3">
        <w:t xml:space="preserve">. </w:t>
      </w:r>
    </w:p>
  </w:footnote>
  <w:footnote w:id="184">
    <w:p w14:paraId="516AD518" w14:textId="005DB157" w:rsidR="009D49EB" w:rsidRPr="00D519A3" w:rsidRDefault="009D49EB" w:rsidP="00F71E05">
      <w:pPr>
        <w:pStyle w:val="FootnoteText"/>
      </w:pPr>
      <w:r w:rsidRPr="00D519A3">
        <w:rPr>
          <w:rStyle w:val="FootnoteReference"/>
        </w:rPr>
        <w:footnoteRef/>
      </w:r>
      <w:r w:rsidRPr="00D519A3">
        <w:t xml:space="preserve"> </w:t>
      </w:r>
      <w:hyperlink r:id="rId207" w:history="1">
        <w:r w:rsidRPr="000E4AA7">
          <w:rPr>
            <w:rStyle w:val="Hyperlink"/>
            <w:i/>
          </w:rPr>
          <w:t xml:space="preserve">Australian Workers’ Union and Queensland Treasury; Ardent Leisure Limited (Third Party) </w:t>
        </w:r>
        <w:r w:rsidRPr="000E4AA7">
          <w:rPr>
            <w:rStyle w:val="Hyperlink"/>
          </w:rPr>
          <w:t>[2016] QICmr 28</w:t>
        </w:r>
      </w:hyperlink>
      <w:r w:rsidRPr="00D519A3">
        <w:t xml:space="preserve">. </w:t>
      </w:r>
    </w:p>
  </w:footnote>
  <w:footnote w:id="185">
    <w:p w14:paraId="755F6FDC" w14:textId="5357531C" w:rsidR="009D49EB" w:rsidRPr="00D519A3" w:rsidRDefault="009D49EB" w:rsidP="003E3940">
      <w:pPr>
        <w:pStyle w:val="FootnoteText"/>
      </w:pPr>
      <w:r w:rsidRPr="00D519A3">
        <w:rPr>
          <w:rStyle w:val="FootnoteReference"/>
        </w:rPr>
        <w:footnoteRef/>
      </w:r>
      <w:r w:rsidRPr="00D519A3">
        <w:t xml:space="preserve"> </w:t>
      </w:r>
      <w:hyperlink r:id="rId208" w:history="1">
        <w:r w:rsidRPr="00D519A3">
          <w:rPr>
            <w:rStyle w:val="Hyperlink"/>
            <w:i/>
          </w:rPr>
          <w:t xml:space="preserve">Canberra Metro Construction and Chief Minister, Treasury and Economic Development Directorate </w:t>
        </w:r>
        <w:r w:rsidRPr="00D519A3">
          <w:rPr>
            <w:rStyle w:val="Hyperlink"/>
          </w:rPr>
          <w:t>[2019] ACTOFOI 8 (5 June 2019)</w:t>
        </w:r>
      </w:hyperlink>
      <w:r w:rsidR="00F26797" w:rsidRPr="00D519A3">
        <w:t>.</w:t>
      </w:r>
    </w:p>
  </w:footnote>
  <w:footnote w:id="186">
    <w:p w14:paraId="0A7DE2EC" w14:textId="1D2274D3" w:rsidR="009D49EB" w:rsidRPr="00D519A3" w:rsidRDefault="009D49EB" w:rsidP="00F71E05">
      <w:pPr>
        <w:pStyle w:val="FootnoteText"/>
      </w:pPr>
      <w:r w:rsidRPr="00D519A3">
        <w:rPr>
          <w:rStyle w:val="FootnoteReference"/>
        </w:rPr>
        <w:footnoteRef/>
      </w:r>
      <w:r w:rsidRPr="00D519A3">
        <w:t xml:space="preserve"> </w:t>
      </w:r>
      <w:hyperlink r:id="rId209" w:history="1">
        <w:r w:rsidRPr="000E4AA7">
          <w:rPr>
            <w:rStyle w:val="Hyperlink"/>
            <w:i/>
          </w:rPr>
          <w:t>NK &amp; DK and Pine Rivers Shire Council; Another (Third Party)</w:t>
        </w:r>
        <w:r w:rsidR="00F26797" w:rsidRPr="000E4AA7">
          <w:rPr>
            <w:rStyle w:val="Hyperlink"/>
            <w:i/>
          </w:rPr>
          <w:t xml:space="preserve"> </w:t>
        </w:r>
        <w:r w:rsidRPr="000E4AA7">
          <w:rPr>
            <w:rStyle w:val="Hyperlink"/>
          </w:rPr>
          <w:t>[2006] QICmr 18</w:t>
        </w:r>
      </w:hyperlink>
      <w:r w:rsidR="00F26797" w:rsidRPr="00D519A3">
        <w:t>.</w:t>
      </w:r>
    </w:p>
  </w:footnote>
  <w:footnote w:id="187">
    <w:p w14:paraId="1A772C1D" w14:textId="1C8D764E" w:rsidR="009D49EB" w:rsidRPr="00D519A3" w:rsidRDefault="009D49EB" w:rsidP="00F71E05">
      <w:pPr>
        <w:pStyle w:val="FootnoteText"/>
      </w:pPr>
      <w:r w:rsidRPr="00D519A3">
        <w:rPr>
          <w:rStyle w:val="FootnoteReference"/>
        </w:rPr>
        <w:footnoteRef/>
      </w:r>
      <w:r w:rsidRPr="00D519A3">
        <w:t xml:space="preserve"> </w:t>
      </w:r>
      <w:hyperlink r:id="rId210" w:history="1">
        <w:r w:rsidRPr="000E4AA7">
          <w:rPr>
            <w:rStyle w:val="Hyperlink"/>
            <w:i/>
          </w:rPr>
          <w:t xml:space="preserve">Queensland Newspapers Pty Ltd and Queensland Police Service; Third Parties </w:t>
        </w:r>
        <w:r w:rsidRPr="000E4AA7">
          <w:rPr>
            <w:rStyle w:val="Hyperlink"/>
          </w:rPr>
          <w:t>[2014] QICmr 27</w:t>
        </w:r>
      </w:hyperlink>
      <w:r w:rsidR="000E4AA7">
        <w:t>,</w:t>
      </w:r>
      <w:r w:rsidRPr="00D519A3">
        <w:rPr>
          <w:i/>
        </w:rPr>
        <w:t xml:space="preserve"> </w:t>
      </w:r>
      <w:r w:rsidRPr="00D519A3">
        <w:t xml:space="preserve">[100]. </w:t>
      </w:r>
    </w:p>
  </w:footnote>
  <w:footnote w:id="188">
    <w:p w14:paraId="68E406BC" w14:textId="2BAE9736" w:rsidR="009D49EB" w:rsidRPr="00D519A3" w:rsidRDefault="009D49EB" w:rsidP="00F71E05">
      <w:pPr>
        <w:pStyle w:val="FootnoteText"/>
      </w:pPr>
      <w:r w:rsidRPr="00D519A3">
        <w:rPr>
          <w:rStyle w:val="FootnoteReference"/>
        </w:rPr>
        <w:footnoteRef/>
      </w:r>
      <w:r w:rsidRPr="00D519A3">
        <w:t xml:space="preserve"> </w:t>
      </w:r>
      <w:hyperlink r:id="rId211" w:history="1">
        <w:r w:rsidRPr="000E4AA7">
          <w:rPr>
            <w:rStyle w:val="Hyperlink"/>
            <w:i/>
          </w:rPr>
          <w:t>Ross and Department of Justice and Attorney-General</w:t>
        </w:r>
        <w:r w:rsidRPr="000E4AA7">
          <w:rPr>
            <w:rStyle w:val="Hyperlink"/>
          </w:rPr>
          <w:t xml:space="preserve"> [2017] QICmr 46</w:t>
        </w:r>
      </w:hyperlink>
      <w:r w:rsidR="000E4AA7">
        <w:t>,</w:t>
      </w:r>
      <w:r w:rsidRPr="00D519A3">
        <w:t xml:space="preserve"> [15]. </w:t>
      </w:r>
    </w:p>
  </w:footnote>
  <w:footnote w:id="189">
    <w:p w14:paraId="0EE34EF7" w14:textId="60ADB946" w:rsidR="009D49EB" w:rsidRPr="00D519A3" w:rsidRDefault="009D49EB" w:rsidP="00F71E05">
      <w:pPr>
        <w:pStyle w:val="FootnoteText"/>
      </w:pPr>
      <w:r w:rsidRPr="00D519A3">
        <w:rPr>
          <w:rStyle w:val="FootnoteReference"/>
        </w:rPr>
        <w:footnoteRef/>
      </w:r>
      <w:r w:rsidRPr="00D519A3">
        <w:t xml:space="preserve"> </w:t>
      </w:r>
      <w:hyperlink r:id="rId212" w:history="1">
        <w:r w:rsidRPr="000E4AA7">
          <w:rPr>
            <w:rStyle w:val="Hyperlink"/>
            <w:i/>
          </w:rPr>
          <w:t>Z'Quessah Bosch v Office of the Information Commissioner &amp; Anor</w:t>
        </w:r>
        <w:r w:rsidRPr="000E4AA7">
          <w:rPr>
            <w:rStyle w:val="Hyperlink"/>
          </w:rPr>
          <w:t xml:space="preserve"> [2016] QCATA 191</w:t>
        </w:r>
      </w:hyperlink>
      <w:r w:rsidRPr="00D519A3">
        <w:t xml:space="preserve">. </w:t>
      </w:r>
    </w:p>
  </w:footnote>
  <w:footnote w:id="190">
    <w:p w14:paraId="41590617" w14:textId="6992A3B9" w:rsidR="009D49EB" w:rsidRPr="00D519A3" w:rsidRDefault="009D49EB" w:rsidP="00F71E05">
      <w:pPr>
        <w:pStyle w:val="FootnoteText"/>
      </w:pPr>
      <w:r w:rsidRPr="00D519A3">
        <w:rPr>
          <w:rStyle w:val="FootnoteReference"/>
        </w:rPr>
        <w:footnoteRef/>
      </w:r>
      <w:r w:rsidRPr="00D519A3">
        <w:t xml:space="preserve"> </w:t>
      </w:r>
      <w:hyperlink r:id="rId213" w:history="1">
        <w:r w:rsidRPr="000E4AA7">
          <w:rPr>
            <w:rStyle w:val="Hyperlink"/>
            <w:i/>
          </w:rPr>
          <w:t xml:space="preserve">94NNEZ and Department of Community Safety </w:t>
        </w:r>
        <w:r w:rsidRPr="000E4AA7">
          <w:rPr>
            <w:rStyle w:val="Hyperlink"/>
            <w:lang w:val="en"/>
          </w:rPr>
          <w:t>(310324)</w:t>
        </w:r>
        <w:r w:rsidRPr="000E4AA7">
          <w:rPr>
            <w:rStyle w:val="Hyperlink"/>
          </w:rPr>
          <w:t xml:space="preserve"> (29 November 2010).</w:t>
        </w:r>
      </w:hyperlink>
      <w:r w:rsidRPr="00D519A3">
        <w:t xml:space="preserve"> </w:t>
      </w:r>
    </w:p>
  </w:footnote>
  <w:footnote w:id="191">
    <w:p w14:paraId="23EE7FBD" w14:textId="40255C8A" w:rsidR="009D49EB" w:rsidRPr="00D519A3" w:rsidRDefault="009D49EB">
      <w:pPr>
        <w:pStyle w:val="FootnoteText"/>
      </w:pPr>
      <w:r w:rsidRPr="00D519A3">
        <w:rPr>
          <w:rStyle w:val="FootnoteReference"/>
        </w:rPr>
        <w:footnoteRef/>
      </w:r>
      <w:r w:rsidR="00E32A95" w:rsidRPr="00D519A3">
        <w:t xml:space="preserve"> </w:t>
      </w:r>
      <w:hyperlink r:id="rId214" w:history="1">
        <w:r w:rsidRPr="00D519A3">
          <w:rPr>
            <w:rStyle w:val="Hyperlink"/>
            <w:i/>
          </w:rPr>
          <w:t>Department of Defence and Health Directorate</w:t>
        </w:r>
        <w:r w:rsidRPr="00D519A3">
          <w:rPr>
            <w:rStyle w:val="Hyperlink"/>
          </w:rPr>
          <w:t xml:space="preserve"> [</w:t>
        </w:r>
        <w:r w:rsidR="00E32A95" w:rsidRPr="00D519A3">
          <w:rPr>
            <w:rStyle w:val="Hyperlink"/>
          </w:rPr>
          <w:t>2019] ACTOFOI 11 (17 June 2019)</w:t>
        </w:r>
      </w:hyperlink>
      <w:r w:rsidR="00E32A95" w:rsidRPr="00D519A3">
        <w:t>.</w:t>
      </w:r>
    </w:p>
  </w:footnote>
  <w:footnote w:id="192">
    <w:p w14:paraId="6C689D4E" w14:textId="77777777" w:rsidR="00FF3202" w:rsidRPr="00D519A3" w:rsidRDefault="00FF3202" w:rsidP="00FF3202">
      <w:pPr>
        <w:pStyle w:val="FootnoteText"/>
      </w:pPr>
      <w:r w:rsidRPr="00D519A3">
        <w:rPr>
          <w:rStyle w:val="FootnoteReference"/>
        </w:rPr>
        <w:footnoteRef/>
      </w:r>
      <w:r w:rsidRPr="00D519A3">
        <w:t xml:space="preserve"> Ibid.</w:t>
      </w:r>
    </w:p>
  </w:footnote>
  <w:footnote w:id="193">
    <w:p w14:paraId="0F4B6837" w14:textId="08010EEA" w:rsidR="009D49EB" w:rsidRPr="00D519A3" w:rsidRDefault="009D49EB" w:rsidP="00F71E05">
      <w:pPr>
        <w:pStyle w:val="FootnoteText"/>
      </w:pPr>
      <w:r w:rsidRPr="00D519A3">
        <w:rPr>
          <w:rStyle w:val="FootnoteReference"/>
        </w:rPr>
        <w:footnoteRef/>
      </w:r>
      <w:r w:rsidRPr="00D519A3">
        <w:t xml:space="preserve"> </w:t>
      </w:r>
      <w:hyperlink r:id="rId215" w:history="1">
        <w:r w:rsidR="00B670F3" w:rsidRPr="00F06A40">
          <w:rPr>
            <w:rStyle w:val="Hyperlink"/>
            <w:i/>
            <w:iCs/>
          </w:rPr>
          <w:t>Mental Health Act 2015</w:t>
        </w:r>
        <w:r w:rsidR="00B670F3" w:rsidRPr="00F06A40">
          <w:rPr>
            <w:rStyle w:val="Hyperlink"/>
          </w:rPr>
          <w:t xml:space="preserve"> (ACT)</w:t>
        </w:r>
      </w:hyperlink>
      <w:r w:rsidR="00B670F3" w:rsidRPr="00D519A3">
        <w:t xml:space="preserve"> s 60; </w:t>
      </w:r>
      <w:r w:rsidR="00E50A56" w:rsidRPr="00D519A3">
        <w:t xml:space="preserve">s </w:t>
      </w:r>
      <w:r w:rsidR="00B670F3" w:rsidRPr="00D519A3">
        <w:t>61</w:t>
      </w:r>
      <w:r w:rsidR="0056338F" w:rsidRPr="00D519A3">
        <w:t>;</w:t>
      </w:r>
      <w:r w:rsidR="00E50A56" w:rsidRPr="00D519A3">
        <w:t xml:space="preserve"> s</w:t>
      </w:r>
      <w:r w:rsidR="0056338F" w:rsidRPr="00D519A3">
        <w:t xml:space="preserve"> 65</w:t>
      </w:r>
      <w:r w:rsidR="00330295" w:rsidRPr="00D519A3">
        <w:t>; s 68; s 69</w:t>
      </w:r>
      <w:r w:rsidR="006B1D03" w:rsidRPr="00D519A3">
        <w:t>; 73.</w:t>
      </w:r>
      <w:r w:rsidR="00B670F3" w:rsidRPr="00D519A3">
        <w:t xml:space="preserve"> </w:t>
      </w:r>
      <w:r w:rsidR="005A670D" w:rsidRPr="00D519A3">
        <w:t xml:space="preserve">See </w:t>
      </w:r>
      <w:hyperlink r:id="rId216" w:history="1">
        <w:r w:rsidRPr="00D519A3">
          <w:rPr>
            <w:rStyle w:val="Hyperlink"/>
            <w:i/>
          </w:rPr>
          <w:t>Crimes (Sentence Administration) Act 2005</w:t>
        </w:r>
        <w:r w:rsidR="00E221E7" w:rsidRPr="00D519A3">
          <w:rPr>
            <w:rStyle w:val="Hyperlink"/>
            <w:i/>
          </w:rPr>
          <w:t xml:space="preserve"> </w:t>
        </w:r>
        <w:r w:rsidR="00E221E7" w:rsidRPr="00D519A3">
          <w:rPr>
            <w:rStyle w:val="Hyperlink"/>
          </w:rPr>
          <w:t>(ACT)</w:t>
        </w:r>
      </w:hyperlink>
      <w:r w:rsidR="00E221E7" w:rsidRPr="00D519A3">
        <w:t xml:space="preserve"> s</w:t>
      </w:r>
      <w:r w:rsidR="0096731A">
        <w:t> </w:t>
      </w:r>
      <w:r w:rsidR="00E221E7" w:rsidRPr="00D519A3">
        <w:t>80(</w:t>
      </w:r>
      <w:r w:rsidR="0004216C" w:rsidRPr="00D519A3">
        <w:t>4</w:t>
      </w:r>
      <w:r w:rsidR="00E221E7" w:rsidRPr="00D519A3">
        <w:t>).</w:t>
      </w:r>
    </w:p>
  </w:footnote>
  <w:footnote w:id="194">
    <w:p w14:paraId="5AE9C0DF" w14:textId="349E33C3" w:rsidR="009D49EB" w:rsidRPr="00D519A3" w:rsidRDefault="009D49EB" w:rsidP="00F71E05">
      <w:pPr>
        <w:pStyle w:val="FootnoteText"/>
      </w:pPr>
      <w:r w:rsidRPr="00D519A3">
        <w:rPr>
          <w:rStyle w:val="FootnoteReference"/>
        </w:rPr>
        <w:footnoteRef/>
      </w:r>
      <w:r w:rsidRPr="00D519A3">
        <w:t xml:space="preserve"> </w:t>
      </w:r>
      <w:hyperlink r:id="rId217" w:history="1">
        <w:r w:rsidRPr="00D519A3">
          <w:rPr>
            <w:rStyle w:val="Hyperlink"/>
            <w:i/>
          </w:rPr>
          <w:t>Prisoners' Legal Service Inc and Queensland Corrective Services Commission</w:t>
        </w:r>
        <w:r w:rsidRPr="00D519A3">
          <w:rPr>
            <w:rStyle w:val="Hyperlink"/>
          </w:rPr>
          <w:t xml:space="preserve"> [1997] QICmr 4</w:t>
        </w:r>
      </w:hyperlink>
      <w:r w:rsidRPr="00D519A3">
        <w:t xml:space="preserve">. </w:t>
      </w:r>
    </w:p>
  </w:footnote>
  <w:footnote w:id="195">
    <w:p w14:paraId="5499225F" w14:textId="605E253A" w:rsidR="009D49EB" w:rsidRPr="00D519A3" w:rsidRDefault="009D49EB" w:rsidP="00F71E05">
      <w:pPr>
        <w:pStyle w:val="FootnoteText"/>
      </w:pPr>
      <w:r w:rsidRPr="00D519A3">
        <w:rPr>
          <w:rStyle w:val="FootnoteReference"/>
        </w:rPr>
        <w:footnoteRef/>
      </w:r>
      <w:r w:rsidR="003A3C4D" w:rsidRPr="00D519A3">
        <w:t xml:space="preserve"> </w:t>
      </w:r>
      <w:hyperlink r:id="rId218" w:history="1">
        <w:r w:rsidRPr="00D519A3">
          <w:rPr>
            <w:rStyle w:val="Hyperlink"/>
            <w:i/>
          </w:rPr>
          <w:t>Heritage Act</w:t>
        </w:r>
        <w:r w:rsidR="00284998" w:rsidRPr="00D519A3">
          <w:rPr>
            <w:rStyle w:val="Hyperlink"/>
            <w:i/>
          </w:rPr>
          <w:t xml:space="preserve"> 2004 </w:t>
        </w:r>
        <w:r w:rsidR="00284998" w:rsidRPr="00D519A3">
          <w:rPr>
            <w:rStyle w:val="Hyperlink"/>
            <w:iCs/>
          </w:rPr>
          <w:t>(ACT)</w:t>
        </w:r>
      </w:hyperlink>
      <w:r w:rsidR="00284998" w:rsidRPr="00D519A3">
        <w:t xml:space="preserve"> (‘Heritage Act’) </w:t>
      </w:r>
      <w:r w:rsidR="00A93050" w:rsidRPr="00D519A3">
        <w:t>s 10</w:t>
      </w:r>
      <w:r w:rsidR="00284998" w:rsidRPr="00D519A3">
        <w:t xml:space="preserve">A. </w:t>
      </w:r>
    </w:p>
  </w:footnote>
  <w:footnote w:id="196">
    <w:p w14:paraId="11C87DEA" w14:textId="5A112B69" w:rsidR="009D49EB" w:rsidRPr="00D519A3" w:rsidRDefault="009D49EB" w:rsidP="00F71E05">
      <w:pPr>
        <w:pStyle w:val="FootnoteText"/>
      </w:pPr>
      <w:r w:rsidRPr="00D519A3">
        <w:rPr>
          <w:rStyle w:val="FootnoteReference"/>
        </w:rPr>
        <w:footnoteRef/>
      </w:r>
      <w:r w:rsidR="003A3C4D" w:rsidRPr="00D519A3">
        <w:t xml:space="preserve"> </w:t>
      </w:r>
      <w:hyperlink r:id="rId219" w:history="1">
        <w:r w:rsidR="0096731A" w:rsidRPr="0096731A">
          <w:rPr>
            <w:rStyle w:val="Hyperlink"/>
            <w:iCs/>
          </w:rPr>
          <w:t>Heritage Act</w:t>
        </w:r>
      </w:hyperlink>
      <w:r w:rsidRPr="00D519A3">
        <w:rPr>
          <w:i/>
        </w:rPr>
        <w:t xml:space="preserve"> </w:t>
      </w:r>
      <w:r w:rsidR="00A93050" w:rsidRPr="00D519A3">
        <w:t>s 10B.</w:t>
      </w:r>
    </w:p>
  </w:footnote>
  <w:footnote w:id="197">
    <w:p w14:paraId="37F6A688" w14:textId="04F97703" w:rsidR="00480DD6" w:rsidRPr="00D519A3" w:rsidRDefault="00480DD6" w:rsidP="00480DD6">
      <w:pPr>
        <w:pStyle w:val="FootnoteText"/>
      </w:pPr>
      <w:r w:rsidRPr="00D519A3">
        <w:rPr>
          <w:rStyle w:val="FootnoteReference"/>
        </w:rPr>
        <w:footnoteRef/>
      </w:r>
      <w:r w:rsidRPr="00D519A3">
        <w:t xml:space="preserve"> </w:t>
      </w:r>
      <w:hyperlink r:id="rId220" w:history="1">
        <w:r w:rsidR="007C1E9C" w:rsidRPr="00D519A3">
          <w:rPr>
            <w:rStyle w:val="Hyperlink"/>
            <w:i/>
            <w:iCs/>
          </w:rPr>
          <w:t>Nature Conservation Act 2014</w:t>
        </w:r>
        <w:r w:rsidR="007C1E9C" w:rsidRPr="00D519A3">
          <w:rPr>
            <w:rStyle w:val="Hyperlink"/>
          </w:rPr>
          <w:t xml:space="preserve"> (ACT)</w:t>
        </w:r>
      </w:hyperlink>
      <w:r w:rsidR="007C1E9C" w:rsidRPr="00D519A3">
        <w:t xml:space="preserve"> (‘Nature Conservation Act’)</w:t>
      </w:r>
      <w:r w:rsidR="00C23F6A" w:rsidRPr="00D519A3">
        <w:t xml:space="preserve"> Dictionary</w:t>
      </w:r>
      <w:r w:rsidR="007C1E9C" w:rsidRPr="00D519A3">
        <w:t xml:space="preserve"> </w:t>
      </w:r>
      <w:r w:rsidR="00066BD1" w:rsidRPr="00D519A3">
        <w:t>(</w:t>
      </w:r>
      <w:r w:rsidRPr="00D519A3">
        <w:t>definition of ‘</w:t>
      </w:r>
      <w:r w:rsidR="00066BD1" w:rsidRPr="00D519A3">
        <w:t>h</w:t>
      </w:r>
      <w:r w:rsidRPr="00D519A3">
        <w:t>abitat’</w:t>
      </w:r>
      <w:r w:rsidR="00066BD1" w:rsidRPr="00D519A3">
        <w:t>)</w:t>
      </w:r>
      <w:r w:rsidRPr="00D519A3">
        <w:t xml:space="preserve">. </w:t>
      </w:r>
    </w:p>
  </w:footnote>
  <w:footnote w:id="198">
    <w:p w14:paraId="18AA33D3" w14:textId="79CAE680" w:rsidR="00705A38" w:rsidRPr="00D519A3" w:rsidRDefault="00705A38" w:rsidP="00705A38">
      <w:pPr>
        <w:pStyle w:val="FootnoteText"/>
      </w:pPr>
      <w:r w:rsidRPr="00D519A3">
        <w:rPr>
          <w:rStyle w:val="FootnoteReference"/>
        </w:rPr>
        <w:footnoteRef/>
      </w:r>
      <w:r w:rsidRPr="00D519A3">
        <w:t xml:space="preserve"> </w:t>
      </w:r>
      <w:hyperlink r:id="rId221" w:history="1">
        <w:r w:rsidR="00B74441" w:rsidRPr="0096731A">
          <w:rPr>
            <w:rStyle w:val="Hyperlink"/>
          </w:rPr>
          <w:t>FOI Act</w:t>
        </w:r>
      </w:hyperlink>
      <w:r w:rsidR="00B74441" w:rsidRPr="00D519A3">
        <w:t xml:space="preserve"> s 17. </w:t>
      </w:r>
      <w:r w:rsidRPr="00D519A3">
        <w:t xml:space="preserve"> </w:t>
      </w:r>
    </w:p>
  </w:footnote>
  <w:footnote w:id="199">
    <w:p w14:paraId="5DBA6A81" w14:textId="32F154CB" w:rsidR="006368DC" w:rsidRPr="00D519A3" w:rsidRDefault="006368DC">
      <w:pPr>
        <w:pStyle w:val="FootnoteText"/>
      </w:pPr>
      <w:r w:rsidRPr="00D519A3">
        <w:rPr>
          <w:rStyle w:val="FootnoteReference"/>
        </w:rPr>
        <w:footnoteRef/>
      </w:r>
      <w:r w:rsidRPr="00D519A3">
        <w:t xml:space="preserve"> </w:t>
      </w:r>
      <w:hyperlink r:id="rId222" w:history="1">
        <w:r w:rsidRPr="0096731A">
          <w:rPr>
            <w:rStyle w:val="Hyperlink"/>
          </w:rPr>
          <w:t>FOI Act</w:t>
        </w:r>
      </w:hyperlink>
      <w:r w:rsidRPr="00D519A3">
        <w:t xml:space="preserve"> s 50. </w:t>
      </w:r>
    </w:p>
  </w:footnote>
  <w:footnote w:id="200">
    <w:p w14:paraId="00AF2815" w14:textId="10C10F0E" w:rsidR="001428A4" w:rsidRPr="00D519A3" w:rsidRDefault="001428A4" w:rsidP="001428A4">
      <w:pPr>
        <w:pStyle w:val="FootnoteText"/>
      </w:pPr>
      <w:r w:rsidRPr="00D519A3">
        <w:rPr>
          <w:rStyle w:val="FootnoteReference"/>
        </w:rPr>
        <w:footnoteRef/>
      </w:r>
      <w:r w:rsidR="009D49EB">
        <w:t xml:space="preserve"> </w:t>
      </w:r>
      <w:hyperlink r:id="rId223" w:history="1">
        <w:r w:rsidR="009D49EB" w:rsidRPr="0096731A">
          <w:rPr>
            <w:rStyle w:val="Hyperlink"/>
          </w:rPr>
          <w:t>FOI Act</w:t>
        </w:r>
      </w:hyperlink>
      <w:r w:rsidR="00E52DC6" w:rsidRPr="00E52DC6">
        <w:t xml:space="preserve"> </w:t>
      </w:r>
      <w:r w:rsidR="00E52DC6">
        <w:t xml:space="preserve">s </w:t>
      </w:r>
      <w:hyperlink r:id="rId224" w:anchor="%5B%7B%22num%22%3A83%2C%22gen%22%3A0%7D%2C%7B%22name%22%3A%22XYZ%22%7D%2C112%2C523%2C0%5D" w:history="1">
        <w:r w:rsidR="00E52DC6" w:rsidRPr="00E52DC6">
          <w:rPr>
            <w:rStyle w:val="Hyperlink"/>
          </w:rPr>
          <w:t>17(2)</w:t>
        </w:r>
      </w:hyperlink>
      <w:r w:rsidR="009D49EB">
        <w:t>.</w:t>
      </w:r>
      <w:r w:rsidR="009D49EB" w:rsidRPr="00D519A3">
        <w:t xml:space="preserve"> FOI Act</w:t>
      </w:r>
      <w:r w:rsidR="00E52DC6" w:rsidRPr="00D519A3">
        <w:t xml:space="preserve"> s </w:t>
      </w:r>
      <w:r w:rsidR="00111221" w:rsidRPr="00D519A3">
        <w:t>17(2)</w:t>
      </w:r>
      <w:r w:rsidR="009D49EB" w:rsidRPr="00D519A3">
        <w:t>.</w:t>
      </w:r>
      <w:r w:rsidRPr="00D519A3">
        <w:t xml:space="preserve"> </w:t>
      </w:r>
    </w:p>
  </w:footnote>
  <w:footnote w:id="201">
    <w:p w14:paraId="5AA15903" w14:textId="2FBB35F1" w:rsidR="001428A4" w:rsidRPr="00D519A3" w:rsidRDefault="001428A4" w:rsidP="001428A4">
      <w:pPr>
        <w:pStyle w:val="FootnoteText"/>
      </w:pPr>
      <w:r w:rsidRPr="00D519A3">
        <w:rPr>
          <w:rStyle w:val="FootnoteReference"/>
        </w:rPr>
        <w:footnoteRef/>
      </w:r>
      <w:r w:rsidRPr="00D519A3">
        <w:t xml:space="preserve"> </w:t>
      </w:r>
      <w:hyperlink r:id="rId225" w:history="1">
        <w:r w:rsidR="0096731A" w:rsidRPr="0096731A">
          <w:rPr>
            <w:rStyle w:val="Hyperlink"/>
          </w:rPr>
          <w:t>FOI Act</w:t>
        </w:r>
      </w:hyperlink>
      <w:r w:rsidR="009D49EB">
        <w:t xml:space="preserve"> and </w:t>
      </w:r>
      <w:hyperlink r:id="rId226" w:history="1">
        <w:r w:rsidR="009D49EB" w:rsidRPr="00E52DC6">
          <w:rPr>
            <w:rStyle w:val="Hyperlink"/>
          </w:rPr>
          <w:t>Explanatory Statement</w:t>
        </w:r>
      </w:hyperlink>
      <w:r w:rsidR="0096731A">
        <w:t xml:space="preserve">, </w:t>
      </w:r>
      <w:r w:rsidRPr="006F5CD6">
        <w:t>Freedom of Information Bill 2016</w:t>
      </w:r>
      <w:r w:rsidRPr="00D519A3">
        <w:t xml:space="preserve"> (ACT)</w:t>
      </w:r>
      <w:r w:rsidR="0096731A">
        <w:t xml:space="preserve"> [14]</w:t>
      </w:r>
      <w:r w:rsidRPr="00D519A3">
        <w:t>.</w:t>
      </w:r>
    </w:p>
  </w:footnote>
  <w:footnote w:id="202">
    <w:p w14:paraId="75B49763" w14:textId="31A53643" w:rsidR="00C4290C" w:rsidRPr="00D519A3" w:rsidRDefault="00C4290C">
      <w:pPr>
        <w:pStyle w:val="FootnoteText"/>
      </w:pPr>
      <w:r w:rsidRPr="00D519A3">
        <w:rPr>
          <w:rStyle w:val="FootnoteReference"/>
        </w:rPr>
        <w:footnoteRef/>
      </w:r>
      <w:r w:rsidRPr="00D519A3">
        <w:t xml:space="preserve"> </w:t>
      </w:r>
      <w:hyperlink r:id="rId227" w:history="1">
        <w:r w:rsidR="0032375A" w:rsidRPr="0096731A">
          <w:rPr>
            <w:rStyle w:val="Hyperlink"/>
          </w:rPr>
          <w:t>FOI Guidelines Vol 3 – Dealing with access applications</w:t>
        </w:r>
      </w:hyperlink>
      <w:r w:rsidR="007F72C4">
        <w:t xml:space="preserve">. </w:t>
      </w:r>
    </w:p>
  </w:footnote>
  <w:footnote w:id="203">
    <w:p w14:paraId="7AE0A872" w14:textId="77777777" w:rsidR="001428A4" w:rsidRPr="00D519A3" w:rsidRDefault="001428A4" w:rsidP="001428A4">
      <w:pPr>
        <w:pStyle w:val="FootnoteText"/>
      </w:pPr>
      <w:r w:rsidRPr="00D519A3">
        <w:rPr>
          <w:rStyle w:val="FootnoteReference"/>
        </w:rPr>
        <w:footnoteRef/>
      </w:r>
      <w:r w:rsidRPr="00D519A3">
        <w:t xml:space="preserve"> </w:t>
      </w:r>
      <w:hyperlink r:id="rId228" w:history="1">
        <w:r w:rsidRPr="00D519A3">
          <w:rPr>
            <w:rStyle w:val="Hyperlink"/>
          </w:rPr>
          <w:t>[2019] ACTOFOI 8 (5 June 2019)</w:t>
        </w:r>
      </w:hyperlink>
      <w:r w:rsidRPr="00D519A3">
        <w:t>.</w:t>
      </w:r>
    </w:p>
  </w:footnote>
  <w:footnote w:id="204">
    <w:p w14:paraId="17AB1959" w14:textId="65728AAF" w:rsidR="001428A4" w:rsidRPr="00D519A3" w:rsidRDefault="001428A4" w:rsidP="001428A4">
      <w:pPr>
        <w:pStyle w:val="FootnoteText"/>
      </w:pPr>
      <w:r w:rsidRPr="00D519A3">
        <w:rPr>
          <w:rStyle w:val="FootnoteReference"/>
        </w:rPr>
        <w:footnoteRef/>
      </w:r>
      <w:r w:rsidRPr="00D519A3">
        <w:t xml:space="preserve"> </w:t>
      </w:r>
      <w:bookmarkStart w:id="731" w:name="_Hlk149930220"/>
      <w:r w:rsidR="0096731A">
        <w:fldChar w:fldCharType="begin"/>
      </w:r>
      <w:r w:rsidR="0096731A">
        <w:instrText>HYPERLINK "https://www.legislation.act.gov.au/a/2016-55/"</w:instrText>
      </w:r>
      <w:r w:rsidR="0096731A">
        <w:fldChar w:fldCharType="separate"/>
      </w:r>
      <w:r w:rsidR="008078BD" w:rsidRPr="0096731A">
        <w:rPr>
          <w:rStyle w:val="Hyperlink"/>
        </w:rPr>
        <w:t>FOI Act</w:t>
      </w:r>
      <w:r w:rsidR="0096731A">
        <w:fldChar w:fldCharType="end"/>
      </w:r>
      <w:bookmarkEnd w:id="731"/>
      <w:r w:rsidR="008078BD" w:rsidRPr="00D519A3">
        <w:t xml:space="preserve"> s 17(3). </w:t>
      </w:r>
      <w:r w:rsidRPr="00D519A3">
        <w:t xml:space="preserve"> </w:t>
      </w:r>
    </w:p>
  </w:footnote>
  <w:footnote w:id="205">
    <w:p w14:paraId="4CD8C8B1" w14:textId="11CD21E3" w:rsidR="001F62E8" w:rsidRPr="00D519A3" w:rsidRDefault="001F62E8" w:rsidP="001F62E8">
      <w:pPr>
        <w:pStyle w:val="FootnoteText"/>
        <w:rPr>
          <w:i/>
          <w:iCs/>
        </w:rPr>
      </w:pPr>
      <w:r w:rsidRPr="00D519A3">
        <w:rPr>
          <w:rStyle w:val="FootnoteReference"/>
        </w:rPr>
        <w:footnoteRef/>
      </w:r>
      <w:r w:rsidRPr="00D519A3">
        <w:t xml:space="preserve"> </w:t>
      </w:r>
      <w:hyperlink r:id="rId229" w:history="1">
        <w:r w:rsidR="00306E24" w:rsidRPr="0096731A">
          <w:rPr>
            <w:rStyle w:val="Hyperlink"/>
          </w:rPr>
          <w:t>FOI Amendment Act</w:t>
        </w:r>
      </w:hyperlink>
      <w:r w:rsidR="00306E24">
        <w:t xml:space="preserve"> </w:t>
      </w:r>
      <w:r w:rsidR="006C703C" w:rsidRPr="00D519A3">
        <w:t xml:space="preserve">s 5. </w:t>
      </w:r>
    </w:p>
  </w:footnote>
  <w:footnote w:id="206">
    <w:p w14:paraId="19F82F98" w14:textId="7B442624" w:rsidR="001428A4" w:rsidRPr="00D519A3" w:rsidRDefault="001428A4" w:rsidP="001428A4">
      <w:pPr>
        <w:pStyle w:val="FootnoteText"/>
      </w:pPr>
      <w:r w:rsidRPr="00D519A3">
        <w:rPr>
          <w:rStyle w:val="FootnoteReference"/>
        </w:rPr>
        <w:footnoteRef/>
      </w:r>
      <w:r w:rsidRPr="00D519A3">
        <w:t xml:space="preserve"> </w:t>
      </w:r>
      <w:hyperlink r:id="rId230" w:history="1">
        <w:r w:rsidR="0096731A" w:rsidRPr="0096731A">
          <w:rPr>
            <w:rStyle w:val="Hyperlink"/>
          </w:rPr>
          <w:t>FOI Act</w:t>
        </w:r>
      </w:hyperlink>
      <w:r w:rsidR="0096731A">
        <w:t xml:space="preserve"> </w:t>
      </w:r>
      <w:r w:rsidRPr="00D519A3">
        <w:t>Dictionary</w:t>
      </w:r>
      <w:r w:rsidR="00705DD9">
        <w:t xml:space="preserve"> (definition of </w:t>
      </w:r>
      <w:r w:rsidRPr="00D519A3">
        <w:t>‘personal information’</w:t>
      </w:r>
      <w:r w:rsidR="00705DD9">
        <w:t>)</w:t>
      </w:r>
      <w:r w:rsidRPr="00D519A3">
        <w:t xml:space="preserve">. </w:t>
      </w:r>
    </w:p>
  </w:footnote>
  <w:footnote w:id="207">
    <w:p w14:paraId="61469FE6" w14:textId="49211CB8" w:rsidR="001428A4" w:rsidRPr="00D519A3" w:rsidRDefault="001428A4" w:rsidP="001428A4">
      <w:pPr>
        <w:pStyle w:val="FootnoteText"/>
      </w:pPr>
      <w:r w:rsidRPr="00E2692F">
        <w:rPr>
          <w:rStyle w:val="FootnoteReference"/>
        </w:rPr>
        <w:footnoteRef/>
      </w:r>
      <w:r w:rsidRPr="00E2692F">
        <w:t xml:space="preserve"> </w:t>
      </w:r>
      <w:hyperlink r:id="rId231" w:history="1">
        <w:r w:rsidR="0096731A" w:rsidRPr="0096731A">
          <w:rPr>
            <w:rStyle w:val="Hyperlink"/>
          </w:rPr>
          <w:t>FOI Act</w:t>
        </w:r>
      </w:hyperlink>
      <w:r w:rsidR="008078BD" w:rsidRPr="00E2692F">
        <w:t xml:space="preserve"> sch</w:t>
      </w:r>
      <w:r w:rsidRPr="00E2692F">
        <w:t xml:space="preserve"> 2 s 2.1(a)(xiv)</w:t>
      </w:r>
      <w:r w:rsidR="008078BD" w:rsidRPr="00E2692F">
        <w:t xml:space="preserve">; </w:t>
      </w:r>
      <w:r w:rsidRPr="00E2692F">
        <w:t>s 2.1(b); s 2.2(a)(ii)</w:t>
      </w:r>
      <w:r w:rsidR="00076F42" w:rsidRPr="00E2692F">
        <w:t>;</w:t>
      </w:r>
      <w:r w:rsidRPr="00E2692F">
        <w:t xml:space="preserve"> s 2.2 (a)(v)</w:t>
      </w:r>
      <w:r w:rsidR="00076F42" w:rsidRPr="00E2692F">
        <w:t xml:space="preserve">; </w:t>
      </w:r>
      <w:r w:rsidRPr="00E2692F">
        <w:t>s 2.2(b)(i)</w:t>
      </w:r>
      <w:r w:rsidR="00076F42" w:rsidRPr="00E2692F">
        <w:t>;</w:t>
      </w:r>
      <w:r w:rsidRPr="00E2692F">
        <w:t xml:space="preserve"> s</w:t>
      </w:r>
      <w:r w:rsidR="000918BB" w:rsidRPr="00E2692F">
        <w:t> </w:t>
      </w:r>
      <w:r w:rsidRPr="00E2692F">
        <w:t>2.2(b)(iii)</w:t>
      </w:r>
      <w:r w:rsidR="00076F42" w:rsidRPr="00E2692F">
        <w:t>;</w:t>
      </w:r>
      <w:r w:rsidRPr="00E2692F">
        <w:t xml:space="preserve"> s 2.2(b)(v)</w:t>
      </w:r>
      <w:r w:rsidR="00076F42" w:rsidRPr="00E2692F">
        <w:t>.</w:t>
      </w:r>
      <w:r w:rsidR="00076F42" w:rsidRPr="00D519A3">
        <w:t xml:space="preserve"> </w:t>
      </w:r>
    </w:p>
  </w:footnote>
  <w:footnote w:id="208">
    <w:p w14:paraId="6D7137E8" w14:textId="60D67C07" w:rsidR="001428A4" w:rsidRPr="00F84E93" w:rsidRDefault="001428A4" w:rsidP="001428A4">
      <w:pPr>
        <w:pStyle w:val="FootnoteText"/>
        <w:rPr>
          <w:rFonts w:cstheme="minorHAnsi"/>
        </w:rPr>
      </w:pPr>
      <w:r w:rsidRPr="00D519A3">
        <w:rPr>
          <w:rStyle w:val="FootnoteReference"/>
        </w:rPr>
        <w:footnoteRef/>
      </w:r>
      <w:r w:rsidRPr="00D519A3">
        <w:t xml:space="preserve"> </w:t>
      </w:r>
      <w:hyperlink r:id="rId232" w:history="1">
        <w:r w:rsidR="0096731A" w:rsidRPr="0096731A">
          <w:rPr>
            <w:rStyle w:val="Hyperlink"/>
          </w:rPr>
          <w:t>FOI Act</w:t>
        </w:r>
      </w:hyperlink>
      <w:r w:rsidR="00076F42" w:rsidRPr="00D519A3">
        <w:t xml:space="preserve"> s</w:t>
      </w:r>
      <w:r w:rsidRPr="00D519A3">
        <w:t>ch</w:t>
      </w:r>
      <w:r w:rsidR="00076F42" w:rsidRPr="00D519A3">
        <w:t xml:space="preserve"> 2</w:t>
      </w:r>
      <w:r w:rsidRPr="00D519A3">
        <w:t xml:space="preserve"> s 2.</w:t>
      </w:r>
      <w:r w:rsidRPr="00F84E93">
        <w:rPr>
          <w:rFonts w:cstheme="minorHAnsi"/>
        </w:rPr>
        <w:t>2(a)(ii)</w:t>
      </w:r>
      <w:r w:rsidR="00076F42" w:rsidRPr="00F84E93">
        <w:rPr>
          <w:rFonts w:cstheme="minorHAnsi"/>
        </w:rPr>
        <w:t xml:space="preserve">. </w:t>
      </w:r>
    </w:p>
  </w:footnote>
  <w:footnote w:id="209">
    <w:p w14:paraId="2B7ABB10" w14:textId="151BCAB0" w:rsidR="001428A4" w:rsidRPr="00F84E93" w:rsidRDefault="001428A4" w:rsidP="001428A4">
      <w:pPr>
        <w:pStyle w:val="FootnoteText"/>
        <w:rPr>
          <w:rFonts w:cstheme="minorHAnsi"/>
        </w:rPr>
      </w:pPr>
      <w:r w:rsidRPr="00F84E93">
        <w:rPr>
          <w:rStyle w:val="FootnoteReference"/>
          <w:rFonts w:cstheme="minorHAnsi"/>
        </w:rPr>
        <w:footnoteRef/>
      </w:r>
      <w:r w:rsidRPr="00F84E93">
        <w:rPr>
          <w:rFonts w:cstheme="minorHAnsi"/>
        </w:rPr>
        <w:t xml:space="preserve"> </w:t>
      </w:r>
      <w:hyperlink r:id="rId233" w:history="1">
        <w:r w:rsidR="0096731A" w:rsidRPr="0096731A">
          <w:rPr>
            <w:rStyle w:val="Hyperlink"/>
          </w:rPr>
          <w:t>FOI Act</w:t>
        </w:r>
      </w:hyperlink>
      <w:r w:rsidR="0096731A">
        <w:t xml:space="preserve"> </w:t>
      </w:r>
      <w:r w:rsidR="00076F42" w:rsidRPr="00F84E93">
        <w:rPr>
          <w:rFonts w:cstheme="minorHAnsi"/>
        </w:rPr>
        <w:t xml:space="preserve">sch 2 </w:t>
      </w:r>
      <w:r w:rsidRPr="00F84E93">
        <w:rPr>
          <w:rFonts w:cstheme="minorHAnsi"/>
        </w:rPr>
        <w:t>s 2.1(b)(iii)</w:t>
      </w:r>
      <w:r w:rsidR="00076F42" w:rsidRPr="00F84E93">
        <w:rPr>
          <w:rFonts w:cstheme="minorHAnsi"/>
        </w:rPr>
        <w:t xml:space="preserve">. </w:t>
      </w:r>
    </w:p>
  </w:footnote>
  <w:footnote w:id="210">
    <w:p w14:paraId="1E67315A" w14:textId="3FF79284" w:rsidR="001428A4" w:rsidRPr="00F84E93" w:rsidRDefault="001428A4" w:rsidP="001428A4">
      <w:pPr>
        <w:pStyle w:val="FootnoteText"/>
        <w:rPr>
          <w:rFonts w:cstheme="minorHAnsi"/>
          <w:lang w:val="en-US"/>
        </w:rPr>
      </w:pPr>
      <w:r w:rsidRPr="00F84E93">
        <w:rPr>
          <w:rStyle w:val="FootnoteReference"/>
          <w:rFonts w:cstheme="minorHAnsi"/>
        </w:rPr>
        <w:footnoteRef/>
      </w:r>
      <w:r w:rsidRPr="00F84E93">
        <w:rPr>
          <w:rFonts w:cstheme="minorHAnsi"/>
        </w:rPr>
        <w:t xml:space="preserve"> </w:t>
      </w:r>
      <w:r w:rsidR="0064741B" w:rsidRPr="00F84E93">
        <w:rPr>
          <w:rFonts w:cstheme="minorHAnsi"/>
        </w:rPr>
        <w:t xml:space="preserve">For </w:t>
      </w:r>
      <w:r w:rsidR="00431E07" w:rsidRPr="00F84E93">
        <w:rPr>
          <w:rFonts w:cstheme="minorHAnsi"/>
        </w:rPr>
        <w:t>discussion about approaches to accessing</w:t>
      </w:r>
      <w:r w:rsidR="0064741B" w:rsidRPr="00F84E93">
        <w:rPr>
          <w:rFonts w:cstheme="minorHAnsi"/>
        </w:rPr>
        <w:t xml:space="preserve"> Stolen Generations records see:</w:t>
      </w:r>
      <w:r w:rsidR="006856FE" w:rsidRPr="00F84E93">
        <w:rPr>
          <w:rFonts w:cstheme="minorHAnsi"/>
        </w:rPr>
        <w:t xml:space="preserve"> </w:t>
      </w:r>
      <w:r w:rsidR="00F84E93" w:rsidRPr="00F84E93">
        <w:rPr>
          <w:rStyle w:val="cf01"/>
          <w:rFonts w:asciiTheme="minorHAnsi" w:hAnsiTheme="minorHAnsi" w:cstheme="minorHAnsi"/>
          <w:i w:val="0"/>
          <w:iCs w:val="0"/>
          <w:sz w:val="20"/>
          <w:szCs w:val="20"/>
        </w:rPr>
        <w:t>Healing Foundation Taskforce</w:t>
      </w:r>
      <w:r w:rsidR="00F84E93" w:rsidRPr="00F84E93">
        <w:rPr>
          <w:rFonts w:cstheme="minorHAnsi"/>
        </w:rPr>
        <w:t xml:space="preserve"> ‘</w:t>
      </w:r>
      <w:hyperlink r:id="rId234" w:history="1">
        <w:r w:rsidRPr="00F84E93">
          <w:rPr>
            <w:rStyle w:val="Hyperlink"/>
            <w:rFonts w:cstheme="minorHAnsi"/>
          </w:rPr>
          <w:t>Principles for nationally consistent approaches to accessing Stolen Generations records</w:t>
        </w:r>
      </w:hyperlink>
      <w:r w:rsidR="00F84E93" w:rsidRPr="00F84E93">
        <w:rPr>
          <w:rStyle w:val="cf01"/>
          <w:rFonts w:asciiTheme="minorHAnsi" w:hAnsiTheme="minorHAnsi" w:cstheme="minorHAnsi"/>
          <w:i w:val="0"/>
          <w:iCs w:val="0"/>
          <w:sz w:val="20"/>
          <w:szCs w:val="20"/>
        </w:rPr>
        <w:t>’</w:t>
      </w:r>
      <w:r w:rsidR="00FE4521" w:rsidRPr="00F84E93">
        <w:rPr>
          <w:rStyle w:val="cf01"/>
          <w:rFonts w:asciiTheme="minorHAnsi" w:hAnsiTheme="minorHAnsi" w:cstheme="minorHAnsi"/>
          <w:i w:val="0"/>
          <w:iCs w:val="0"/>
          <w:sz w:val="20"/>
          <w:szCs w:val="20"/>
        </w:rPr>
        <w:t xml:space="preserve"> </w:t>
      </w:r>
      <w:r w:rsidR="00F84E93" w:rsidRPr="00F84E93">
        <w:rPr>
          <w:rStyle w:val="cf01"/>
          <w:rFonts w:asciiTheme="minorHAnsi" w:hAnsiTheme="minorHAnsi" w:cstheme="minorHAnsi"/>
          <w:i w:val="0"/>
          <w:iCs w:val="0"/>
          <w:sz w:val="20"/>
          <w:szCs w:val="20"/>
        </w:rPr>
        <w:t>(</w:t>
      </w:r>
      <w:r w:rsidR="00FE4521" w:rsidRPr="00F84E93">
        <w:rPr>
          <w:rStyle w:val="cf01"/>
          <w:rFonts w:asciiTheme="minorHAnsi" w:hAnsiTheme="minorHAnsi" w:cstheme="minorHAnsi"/>
          <w:i w:val="0"/>
          <w:iCs w:val="0"/>
          <w:sz w:val="20"/>
          <w:szCs w:val="20"/>
        </w:rPr>
        <w:t>15 December 2022</w:t>
      </w:r>
      <w:r w:rsidR="00F84E93" w:rsidRPr="00F84E93">
        <w:rPr>
          <w:rStyle w:val="cf01"/>
          <w:rFonts w:asciiTheme="minorHAnsi" w:hAnsiTheme="minorHAnsi" w:cstheme="minorHAnsi"/>
          <w:i w:val="0"/>
          <w:iCs w:val="0"/>
          <w:sz w:val="20"/>
          <w:szCs w:val="20"/>
        </w:rPr>
        <w:t>)</w:t>
      </w:r>
      <w:r w:rsidR="00FE4521" w:rsidRPr="00F84E93">
        <w:rPr>
          <w:rStyle w:val="cf01"/>
          <w:rFonts w:asciiTheme="minorHAnsi" w:hAnsiTheme="minorHAnsi" w:cstheme="minorHAnsi"/>
          <w:i w:val="0"/>
          <w:iCs w:val="0"/>
          <w:sz w:val="20"/>
          <w:szCs w:val="20"/>
        </w:rPr>
        <w:t xml:space="preserve">. </w:t>
      </w:r>
    </w:p>
  </w:footnote>
  <w:footnote w:id="211">
    <w:p w14:paraId="1B2FBADC" w14:textId="1DFB0ECD" w:rsidR="009D49EB" w:rsidRPr="00D519A3" w:rsidRDefault="009D49EB" w:rsidP="003923D4">
      <w:pPr>
        <w:pStyle w:val="FootnoteText"/>
      </w:pPr>
      <w:r w:rsidRPr="00F84E93">
        <w:rPr>
          <w:rStyle w:val="FootnoteReference"/>
          <w:rFonts w:cstheme="minorHAnsi"/>
        </w:rPr>
        <w:footnoteRef/>
      </w:r>
      <w:r w:rsidRPr="00F84E93">
        <w:rPr>
          <w:rFonts w:cstheme="minorHAnsi"/>
        </w:rPr>
        <w:t xml:space="preserve"> </w:t>
      </w:r>
      <w:hyperlink r:id="rId235" w:history="1">
        <w:r w:rsidRPr="0096731A">
          <w:rPr>
            <w:rStyle w:val="Hyperlink"/>
            <w:rFonts w:cstheme="minorHAnsi"/>
          </w:rPr>
          <w:t>Explanatory Statement</w:t>
        </w:r>
      </w:hyperlink>
      <w:r w:rsidRPr="00F84E93">
        <w:rPr>
          <w:rFonts w:cstheme="minorHAnsi"/>
        </w:rPr>
        <w:t xml:space="preserve">, </w:t>
      </w:r>
      <w:r w:rsidRPr="006F5CD6">
        <w:t>Freedom o</w:t>
      </w:r>
      <w:r w:rsidR="0019223C" w:rsidRPr="006F5CD6">
        <w:t>f Information Bill 2016</w:t>
      </w:r>
      <w:r w:rsidR="0019223C" w:rsidRPr="00F84E93">
        <w:rPr>
          <w:rFonts w:cstheme="minorHAnsi"/>
        </w:rPr>
        <w:t xml:space="preserve"> (ACT) 13</w:t>
      </w:r>
      <w:r w:rsidRPr="00F84E93">
        <w:rPr>
          <w:rFonts w:cstheme="minorHAnsi"/>
        </w:rPr>
        <w:t>.</w:t>
      </w:r>
    </w:p>
  </w:footnote>
  <w:footnote w:id="212">
    <w:p w14:paraId="2895DEB3" w14:textId="6DAE4DD1" w:rsidR="005D6CC7" w:rsidRPr="00D519A3" w:rsidRDefault="005D6CC7">
      <w:pPr>
        <w:pStyle w:val="FootnoteText"/>
      </w:pPr>
      <w:r w:rsidRPr="00D519A3">
        <w:rPr>
          <w:rStyle w:val="FootnoteReference"/>
        </w:rPr>
        <w:footnoteRef/>
      </w:r>
      <w:r w:rsidRPr="00D519A3">
        <w:t xml:space="preserve"> </w:t>
      </w:r>
      <w:hyperlink r:id="rId236" w:history="1">
        <w:r w:rsidRPr="00D519A3">
          <w:rPr>
            <w:rStyle w:val="Hyperlink"/>
          </w:rPr>
          <w:t>[2019] ACTOFOI 8 (5 June 2019)</w:t>
        </w:r>
      </w:hyperlink>
      <w:r w:rsidRPr="00D519A3">
        <w:t>.</w:t>
      </w:r>
    </w:p>
  </w:footnote>
  <w:footnote w:id="213">
    <w:p w14:paraId="04AD6B38" w14:textId="2DCACC29" w:rsidR="009D49EB" w:rsidRPr="00D519A3" w:rsidRDefault="009D49EB">
      <w:pPr>
        <w:pStyle w:val="FootnoteText"/>
      </w:pPr>
      <w:r w:rsidRPr="00D519A3">
        <w:rPr>
          <w:rStyle w:val="FootnoteReference"/>
        </w:rPr>
        <w:footnoteRef/>
      </w:r>
      <w:r w:rsidR="005D6CC7" w:rsidRPr="00D519A3">
        <w:t xml:space="preserve"> </w:t>
      </w:r>
      <w:hyperlink r:id="rId237" w:history="1">
        <w:r w:rsidRPr="00D519A3">
          <w:rPr>
            <w:rStyle w:val="Hyperlink"/>
            <w:i/>
          </w:rPr>
          <w:t>Department of Defence and Health Directorate</w:t>
        </w:r>
        <w:r w:rsidRPr="00D519A3">
          <w:rPr>
            <w:rStyle w:val="Hyperlink"/>
          </w:rPr>
          <w:t xml:space="preserve"> [2019] ACTOFOI</w:t>
        </w:r>
        <w:r w:rsidR="00241849" w:rsidRPr="00D519A3">
          <w:rPr>
            <w:rStyle w:val="Hyperlink"/>
          </w:rPr>
          <w:t xml:space="preserve"> 11 (17 June 2019)</w:t>
        </w:r>
      </w:hyperlink>
      <w:r w:rsidR="007F73E1" w:rsidRPr="007F73E1">
        <w:rPr>
          <w:rStyle w:val="Hyperlink"/>
          <w:u w:val="none"/>
        </w:rPr>
        <w:t>,</w:t>
      </w:r>
      <w:r w:rsidR="00241849" w:rsidRPr="007F73E1">
        <w:t xml:space="preserve"> [</w:t>
      </w:r>
      <w:r w:rsidR="00241849" w:rsidRPr="00D519A3">
        <w:t>54]</w:t>
      </w:r>
      <w:r w:rsidR="005D6CC7" w:rsidRPr="00D519A3">
        <w:t>.</w:t>
      </w:r>
    </w:p>
  </w:footnote>
  <w:footnote w:id="214">
    <w:p w14:paraId="3B05314E" w14:textId="7342CAC2" w:rsidR="009D49EB" w:rsidRPr="00D519A3" w:rsidRDefault="009D49EB">
      <w:pPr>
        <w:pStyle w:val="FootnoteText"/>
        <w:rPr>
          <w:color w:val="000000" w:themeColor="text1"/>
        </w:rPr>
      </w:pPr>
      <w:r w:rsidRPr="00D519A3">
        <w:rPr>
          <w:rStyle w:val="FootnoteReference"/>
          <w:color w:val="000000" w:themeColor="text1"/>
        </w:rPr>
        <w:footnoteRef/>
      </w:r>
      <w:r w:rsidRPr="00D519A3">
        <w:rPr>
          <w:color w:val="000000" w:themeColor="text1"/>
        </w:rPr>
        <w:t xml:space="preserve"> </w:t>
      </w:r>
      <w:hyperlink r:id="rId238" w:history="1">
        <w:r w:rsidRPr="00401EB6">
          <w:rPr>
            <w:rStyle w:val="Hyperlink"/>
            <w:i/>
          </w:rPr>
          <w:t>Gapsa and Department of Transport and Main Roads</w:t>
        </w:r>
        <w:r w:rsidRPr="00401EB6">
          <w:rPr>
            <w:rStyle w:val="Hyperlink"/>
          </w:rPr>
          <w:t xml:space="preserve"> (</w:t>
        </w:r>
        <w:r w:rsidR="00241849" w:rsidRPr="00401EB6">
          <w:rPr>
            <w:rStyle w:val="Hyperlink"/>
          </w:rPr>
          <w:t>U</w:t>
        </w:r>
        <w:r w:rsidRPr="00401EB6">
          <w:rPr>
            <w:rStyle w:val="Hyperlink"/>
          </w:rPr>
          <w:t>nreported,</w:t>
        </w:r>
        <w:r w:rsidR="000B2747" w:rsidRPr="00401EB6">
          <w:rPr>
            <w:rStyle w:val="Hyperlink"/>
          </w:rPr>
          <w:t xml:space="preserve"> Queensland Information Commissioner,</w:t>
        </w:r>
        <w:r w:rsidRPr="00401EB6">
          <w:rPr>
            <w:rStyle w:val="Hyperlink"/>
          </w:rPr>
          <w:t xml:space="preserve"> 6</w:t>
        </w:r>
        <w:r w:rsidR="00FF3202" w:rsidRPr="00401EB6">
          <w:rPr>
            <w:rStyle w:val="Hyperlink"/>
          </w:rPr>
          <w:t> </w:t>
        </w:r>
        <w:r w:rsidRPr="00401EB6">
          <w:rPr>
            <w:rStyle w:val="Hyperlink"/>
          </w:rPr>
          <w:t>September 2013)</w:t>
        </w:r>
        <w:r w:rsidR="00401EB6" w:rsidRPr="00401EB6">
          <w:rPr>
            <w:rStyle w:val="Hyperlink"/>
          </w:rPr>
          <w:t>,</w:t>
        </w:r>
      </w:hyperlink>
      <w:r w:rsidR="000B2747" w:rsidRPr="00D519A3">
        <w:rPr>
          <w:color w:val="000000" w:themeColor="text1"/>
        </w:rPr>
        <w:t xml:space="preserve"> </w:t>
      </w:r>
      <w:r w:rsidRPr="00D519A3">
        <w:rPr>
          <w:color w:val="000000" w:themeColor="text1"/>
        </w:rPr>
        <w:t>[20]</w:t>
      </w:r>
      <w:r w:rsidR="000B2747" w:rsidRPr="00D519A3">
        <w:rPr>
          <w:color w:val="000000" w:themeColor="text1"/>
        </w:rPr>
        <w:t>.</w:t>
      </w:r>
      <w:r w:rsidRPr="00D519A3">
        <w:rPr>
          <w:color w:val="000000" w:themeColor="text1"/>
        </w:rPr>
        <w:t xml:space="preserve"> </w:t>
      </w:r>
    </w:p>
  </w:footnote>
  <w:footnote w:id="215">
    <w:p w14:paraId="796C98C3" w14:textId="011D6EAA" w:rsidR="00D74911" w:rsidRPr="00D519A3" w:rsidRDefault="00D74911">
      <w:pPr>
        <w:pStyle w:val="FootnoteText"/>
      </w:pPr>
      <w:r w:rsidRPr="00D519A3">
        <w:rPr>
          <w:rStyle w:val="FootnoteReference"/>
          <w:color w:val="000000" w:themeColor="text1"/>
        </w:rPr>
        <w:footnoteRef/>
      </w:r>
      <w:r w:rsidRPr="00D519A3">
        <w:rPr>
          <w:color w:val="000000" w:themeColor="text1"/>
        </w:rPr>
        <w:t xml:space="preserve"> </w:t>
      </w:r>
      <w:hyperlink r:id="rId239" w:history="1">
        <w:r w:rsidRPr="00D519A3">
          <w:rPr>
            <w:rStyle w:val="Hyperlink"/>
          </w:rPr>
          <w:t>[2019] ACTOFOI 4 (5 February 2019)</w:t>
        </w:r>
      </w:hyperlink>
      <w:r w:rsidR="007F73E1">
        <w:rPr>
          <w:rStyle w:val="Hyperlink"/>
        </w:rPr>
        <w:t>,</w:t>
      </w:r>
      <w:r w:rsidRPr="00D519A3">
        <w:rPr>
          <w:color w:val="000000" w:themeColor="text1"/>
        </w:rPr>
        <w:t xml:space="preserve"> </w:t>
      </w:r>
      <w:r w:rsidRPr="00D519A3">
        <w:t>[35]-[38].</w:t>
      </w:r>
    </w:p>
  </w:footnote>
  <w:footnote w:id="216">
    <w:p w14:paraId="44DB5247" w14:textId="38145624" w:rsidR="009A6F2A" w:rsidRPr="00D519A3" w:rsidRDefault="009A6F2A" w:rsidP="009A6F2A">
      <w:pPr>
        <w:pStyle w:val="FootnoteText"/>
      </w:pPr>
      <w:r w:rsidRPr="00D519A3">
        <w:rPr>
          <w:rStyle w:val="FootnoteReference"/>
        </w:rPr>
        <w:footnoteRef/>
      </w:r>
      <w:r w:rsidRPr="00D519A3">
        <w:t xml:space="preserve"> </w:t>
      </w:r>
      <w:hyperlink r:id="rId240" w:history="1">
        <w:r w:rsidRPr="00401EB6">
          <w:rPr>
            <w:rStyle w:val="Hyperlink"/>
            <w:i/>
          </w:rPr>
          <w:t>3FG6LI and Queensland Police Service</w:t>
        </w:r>
        <w:r w:rsidRPr="00401EB6">
          <w:rPr>
            <w:rStyle w:val="Hyperlink"/>
          </w:rPr>
          <w:t xml:space="preserve"> [2014] QICmr 32</w:t>
        </w:r>
      </w:hyperlink>
      <w:r w:rsidR="004B6687" w:rsidRPr="00D519A3">
        <w:t>.</w:t>
      </w:r>
      <w:r w:rsidRPr="00D519A3">
        <w:t xml:space="preserve"> </w:t>
      </w:r>
    </w:p>
  </w:footnote>
  <w:footnote w:id="217">
    <w:p w14:paraId="70A00E22" w14:textId="2EFD1F58" w:rsidR="007A1336" w:rsidRPr="00823503" w:rsidRDefault="007A1336">
      <w:pPr>
        <w:pStyle w:val="FootnoteText"/>
      </w:pPr>
      <w:r w:rsidRPr="00D519A3">
        <w:rPr>
          <w:rStyle w:val="FootnoteReference"/>
        </w:rPr>
        <w:footnoteRef/>
      </w:r>
      <w:r w:rsidRPr="00D519A3">
        <w:t xml:space="preserve"> See </w:t>
      </w:r>
      <w:hyperlink r:id="rId241" w:history="1">
        <w:r w:rsidRPr="00823503">
          <w:rPr>
            <w:rStyle w:val="Hyperlink"/>
          </w:rPr>
          <w:t>‘AK’ and Education Directorate [2019] ACTOFOI 4 (5 February 2019)</w:t>
        </w:r>
      </w:hyperlink>
      <w:r w:rsidR="00823503">
        <w:rPr>
          <w:rStyle w:val="Hyperlink"/>
          <w:color w:val="auto"/>
          <w:u w:val="none"/>
        </w:rPr>
        <w:t xml:space="preserve">. </w:t>
      </w:r>
    </w:p>
  </w:footnote>
  <w:footnote w:id="218">
    <w:p w14:paraId="51371760" w14:textId="6F0B93A2" w:rsidR="00B80141" w:rsidRPr="00D519A3" w:rsidRDefault="00B80141">
      <w:pPr>
        <w:pStyle w:val="FootnoteText"/>
      </w:pPr>
      <w:r w:rsidRPr="00D519A3">
        <w:rPr>
          <w:rStyle w:val="FootnoteReference"/>
        </w:rPr>
        <w:footnoteRef/>
      </w:r>
      <w:r w:rsidRPr="00D519A3">
        <w:t xml:space="preserve"> </w:t>
      </w:r>
      <w:hyperlink r:id="rId242" w:history="1">
        <w:r w:rsidR="004B7F37" w:rsidRPr="00D519A3">
          <w:rPr>
            <w:rStyle w:val="Hyperlink"/>
          </w:rPr>
          <w:t>‘</w:t>
        </w:r>
        <w:r w:rsidR="004B7F37" w:rsidRPr="00D519A3">
          <w:rPr>
            <w:rStyle w:val="Hyperlink"/>
            <w:i/>
          </w:rPr>
          <w:t xml:space="preserve">AC’ and Justice and Community Safety Directorate </w:t>
        </w:r>
        <w:r w:rsidR="004B7F37" w:rsidRPr="00D519A3">
          <w:rPr>
            <w:rStyle w:val="Hyperlink"/>
          </w:rPr>
          <w:t>[2018] ACTOFOI 5 (10 October 2018).</w:t>
        </w:r>
      </w:hyperlink>
    </w:p>
  </w:footnote>
  <w:footnote w:id="219">
    <w:p w14:paraId="3F29C2B7" w14:textId="21AC660E" w:rsidR="009D49EB" w:rsidRPr="00D519A3" w:rsidRDefault="009D49EB">
      <w:pPr>
        <w:pStyle w:val="FootnoteText"/>
      </w:pPr>
      <w:r w:rsidRPr="00D519A3">
        <w:rPr>
          <w:rStyle w:val="FootnoteReference"/>
        </w:rPr>
        <w:footnoteRef/>
      </w:r>
      <w:r w:rsidRPr="00D519A3">
        <w:t xml:space="preserve"> </w:t>
      </w:r>
      <w:hyperlink r:id="rId243" w:history="1">
        <w:r w:rsidRPr="00CF35D9">
          <w:rPr>
            <w:rStyle w:val="Hyperlink"/>
            <w:i/>
          </w:rPr>
          <w:t>Abbot and Marohasy and Central Queensland University</w:t>
        </w:r>
        <w:r w:rsidRPr="00CF35D9">
          <w:rPr>
            <w:rStyle w:val="Hyperlink"/>
          </w:rPr>
          <w:t xml:space="preserve"> [2017] QICmr 54</w:t>
        </w:r>
      </w:hyperlink>
      <w:r w:rsidR="00E01514" w:rsidRPr="00D519A3">
        <w:t>.</w:t>
      </w:r>
      <w:r w:rsidRPr="00D519A3">
        <w:t xml:space="preserve"> </w:t>
      </w:r>
    </w:p>
  </w:footnote>
  <w:footnote w:id="220">
    <w:p w14:paraId="47B7C3F6" w14:textId="6A57E5FE" w:rsidR="009D49EB" w:rsidRPr="00D519A3" w:rsidRDefault="009D49EB" w:rsidP="00FD5115">
      <w:pPr>
        <w:pStyle w:val="FootnoteText"/>
      </w:pPr>
      <w:r w:rsidRPr="00D519A3">
        <w:rPr>
          <w:rStyle w:val="FootnoteReference"/>
        </w:rPr>
        <w:footnoteRef/>
      </w:r>
      <w:r w:rsidRPr="00D519A3">
        <w:t xml:space="preserve"> </w:t>
      </w:r>
      <w:hyperlink r:id="rId244" w:history="1">
        <w:r w:rsidRPr="0096731A">
          <w:rPr>
            <w:rStyle w:val="Hyperlink"/>
          </w:rPr>
          <w:t>Explanatory Statement, Freedom of Information Bill 2016 (ACT)</w:t>
        </w:r>
      </w:hyperlink>
      <w:r w:rsidRPr="00D519A3">
        <w:t xml:space="preserve"> </w:t>
      </w:r>
      <w:r w:rsidR="0019223C" w:rsidRPr="00D519A3">
        <w:t>13</w:t>
      </w:r>
      <w:r w:rsidRPr="00D519A3">
        <w:t>.</w:t>
      </w:r>
    </w:p>
  </w:footnote>
  <w:footnote w:id="221">
    <w:p w14:paraId="5B0C468B" w14:textId="5996E617" w:rsidR="009D49EB" w:rsidRPr="00D519A3" w:rsidRDefault="009D49EB" w:rsidP="007B6AFB">
      <w:pPr>
        <w:pStyle w:val="FootnoteText"/>
      </w:pPr>
      <w:r w:rsidRPr="00D519A3">
        <w:rPr>
          <w:rStyle w:val="FootnoteReference"/>
        </w:rPr>
        <w:footnoteRef/>
      </w:r>
      <w:r w:rsidRPr="00D519A3">
        <w:t xml:space="preserve"> </w:t>
      </w:r>
      <w:hyperlink r:id="rId245" w:history="1">
        <w:r w:rsidRPr="00CF35D9">
          <w:rPr>
            <w:rStyle w:val="Hyperlink"/>
            <w:i/>
          </w:rPr>
          <w:t>Commonwealth v Northern Land Council</w:t>
        </w:r>
        <w:r w:rsidR="0057457D" w:rsidRPr="00CF35D9">
          <w:rPr>
            <w:rStyle w:val="Hyperlink"/>
          </w:rPr>
          <w:t xml:space="preserve"> [1993] HCA 24</w:t>
        </w:r>
      </w:hyperlink>
      <w:r w:rsidR="0057457D" w:rsidRPr="00D519A3">
        <w:t>; 176 CLR 604</w:t>
      </w:r>
      <w:r w:rsidR="00CF35D9">
        <w:t>,</w:t>
      </w:r>
      <w:r w:rsidR="0057457D" w:rsidRPr="00D519A3">
        <w:t>[</w:t>
      </w:r>
      <w:r w:rsidRPr="00D519A3">
        <w:t>615</w:t>
      </w:r>
      <w:r w:rsidR="0057457D" w:rsidRPr="00D519A3">
        <w:t>]</w:t>
      </w:r>
      <w:r w:rsidRPr="00D519A3">
        <w:t xml:space="preserve">.  </w:t>
      </w:r>
    </w:p>
  </w:footnote>
  <w:footnote w:id="222">
    <w:p w14:paraId="00FB33DE" w14:textId="4F9FF7E1" w:rsidR="009D49EB" w:rsidRPr="00D519A3" w:rsidRDefault="009D49EB" w:rsidP="007B6AFB">
      <w:pPr>
        <w:pStyle w:val="FootnoteText"/>
      </w:pPr>
      <w:r w:rsidRPr="00D519A3">
        <w:rPr>
          <w:rStyle w:val="FootnoteReference"/>
        </w:rPr>
        <w:footnoteRef/>
      </w:r>
      <w:r w:rsidRPr="00D519A3">
        <w:t xml:space="preserve"> Ibid</w:t>
      </w:r>
      <w:r w:rsidR="00CF35D9">
        <w:t>,</w:t>
      </w:r>
      <w:r w:rsidRPr="00D519A3">
        <w:t xml:space="preserve"> </w:t>
      </w:r>
      <w:r w:rsidR="0057457D" w:rsidRPr="00D519A3">
        <w:t>[</w:t>
      </w:r>
      <w:r w:rsidRPr="00D519A3">
        <w:t>628</w:t>
      </w:r>
      <w:r w:rsidR="0057457D" w:rsidRPr="00D519A3">
        <w:t>]</w:t>
      </w:r>
      <w:r w:rsidRPr="00D519A3">
        <w:t xml:space="preserve">.  </w:t>
      </w:r>
    </w:p>
  </w:footnote>
  <w:footnote w:id="223">
    <w:p w14:paraId="4001784E" w14:textId="770672E6" w:rsidR="009D49EB" w:rsidRPr="00D519A3" w:rsidRDefault="009D49EB" w:rsidP="007B6AFB">
      <w:pPr>
        <w:pStyle w:val="FootnoteText"/>
      </w:pPr>
      <w:r w:rsidRPr="00D519A3">
        <w:rPr>
          <w:rStyle w:val="FootnoteReference"/>
        </w:rPr>
        <w:footnoteRef/>
      </w:r>
      <w:r w:rsidRPr="00D519A3">
        <w:t xml:space="preserve"> </w:t>
      </w:r>
      <w:hyperlink r:id="rId246" w:history="1">
        <w:r w:rsidRPr="00CF7142">
          <w:rPr>
            <w:rStyle w:val="Hyperlink"/>
            <w:i/>
          </w:rPr>
          <w:t xml:space="preserve">FAI Insurances Ltd v Winneke </w:t>
        </w:r>
        <w:r w:rsidRPr="00CF7142">
          <w:rPr>
            <w:rStyle w:val="Hyperlink"/>
          </w:rPr>
          <w:t>[1982] HCA 26</w:t>
        </w:r>
      </w:hyperlink>
      <w:r w:rsidRPr="00D519A3">
        <w:t>; 151 CLR 342</w:t>
      </w:r>
      <w:r w:rsidR="00CF7142">
        <w:t xml:space="preserve">, </w:t>
      </w:r>
      <w:r w:rsidR="0057457D" w:rsidRPr="00D519A3">
        <w:t>[</w:t>
      </w:r>
      <w:r w:rsidRPr="00D519A3">
        <w:t>364</w:t>
      </w:r>
      <w:r w:rsidR="0057457D" w:rsidRPr="00D519A3">
        <w:t>]</w:t>
      </w:r>
      <w:r w:rsidRPr="00D519A3">
        <w:t xml:space="preserve">.  </w:t>
      </w:r>
    </w:p>
  </w:footnote>
  <w:footnote w:id="224">
    <w:p w14:paraId="4B90687D" w14:textId="4CAD14C8" w:rsidR="009D49EB" w:rsidRPr="00D519A3" w:rsidRDefault="009D49EB" w:rsidP="00146B33">
      <w:pPr>
        <w:pStyle w:val="FootnoteText"/>
        <w:ind w:left="142" w:right="-448" w:hanging="142"/>
        <w:rPr>
          <w:i/>
        </w:rPr>
      </w:pPr>
      <w:r w:rsidRPr="00D519A3">
        <w:rPr>
          <w:rStyle w:val="FootnoteReference"/>
        </w:rPr>
        <w:footnoteRef/>
      </w:r>
      <w:r w:rsidRPr="00D519A3">
        <w:t xml:space="preserve"> </w:t>
      </w:r>
      <w:hyperlink r:id="rId247" w:history="1">
        <w:r w:rsidRPr="00CF7142">
          <w:rPr>
            <w:rStyle w:val="Hyperlink"/>
            <w:i/>
          </w:rPr>
          <w:t>Commonwealth v Northern Land Council</w:t>
        </w:r>
        <w:r w:rsidR="00A76411" w:rsidRPr="00CF7142">
          <w:rPr>
            <w:rStyle w:val="Hyperlink"/>
          </w:rPr>
          <w:t xml:space="preserve"> [1993] HCA 24</w:t>
        </w:r>
      </w:hyperlink>
      <w:r w:rsidR="00A76411" w:rsidRPr="00D519A3">
        <w:t>; 176 CLR 604</w:t>
      </w:r>
      <w:r w:rsidR="00CF7142">
        <w:t>,</w:t>
      </w:r>
      <w:r w:rsidR="00A76411" w:rsidRPr="00D519A3">
        <w:t xml:space="preserve"> [</w:t>
      </w:r>
      <w:r w:rsidRPr="00D519A3">
        <w:t>627</w:t>
      </w:r>
      <w:r w:rsidR="00A76411" w:rsidRPr="00D519A3">
        <w:t>]</w:t>
      </w:r>
      <w:r w:rsidRPr="00D519A3">
        <w:t xml:space="preserve">; </w:t>
      </w:r>
      <w:hyperlink r:id="rId248" w:history="1">
        <w:r w:rsidRPr="00CF7142">
          <w:rPr>
            <w:rStyle w:val="Hyperlink"/>
            <w:i/>
          </w:rPr>
          <w:t xml:space="preserve">Commonwealth of Australia v Construction, Forestry, Mining &amp; Energy Union </w:t>
        </w:r>
        <w:r w:rsidRPr="00CF7142">
          <w:rPr>
            <w:rStyle w:val="Hyperlink"/>
          </w:rPr>
          <w:t>[2000] FCA 453;</w:t>
        </w:r>
      </w:hyperlink>
      <w:r w:rsidRPr="00D519A3">
        <w:t xml:space="preserve"> 98 FCR 31</w:t>
      </w:r>
      <w:r w:rsidR="00CF7142">
        <w:t xml:space="preserve">, </w:t>
      </w:r>
      <w:r w:rsidRPr="00D519A3">
        <w:t xml:space="preserve">[43]; </w:t>
      </w:r>
      <w:hyperlink r:id="rId249" w:history="1">
        <w:r w:rsidRPr="00CF7142">
          <w:rPr>
            <w:rStyle w:val="Hyperlink"/>
            <w:i/>
          </w:rPr>
          <w:t xml:space="preserve">Toomer and Department of Agriculture, Fisheries and Forestry </w:t>
        </w:r>
        <w:r w:rsidRPr="00CF7142">
          <w:rPr>
            <w:rStyle w:val="Hyperlink"/>
          </w:rPr>
          <w:t>[2003] AATA 1301</w:t>
        </w:r>
      </w:hyperlink>
      <w:r w:rsidR="00CF7142">
        <w:t>,</w:t>
      </w:r>
      <w:r w:rsidRPr="00D519A3">
        <w:t xml:space="preserve"> [145]; </w:t>
      </w:r>
      <w:hyperlink r:id="rId250" w:history="1">
        <w:r w:rsidRPr="00CF7142">
          <w:rPr>
            <w:rStyle w:val="Hyperlink"/>
            <w:i/>
          </w:rPr>
          <w:t xml:space="preserve">Department of State Development v Pisoni </w:t>
        </w:r>
        <w:r w:rsidRPr="00CF7142">
          <w:rPr>
            <w:rStyle w:val="Hyperlink"/>
          </w:rPr>
          <w:t>[2017] SADC 34</w:t>
        </w:r>
      </w:hyperlink>
      <w:r w:rsidR="00CF7142">
        <w:t>,</w:t>
      </w:r>
      <w:r w:rsidRPr="00D519A3">
        <w:t xml:space="preserve"> [9]. </w:t>
      </w:r>
    </w:p>
  </w:footnote>
  <w:footnote w:id="225">
    <w:p w14:paraId="79063874" w14:textId="4FB572A5" w:rsidR="009D49EB" w:rsidRPr="00D519A3" w:rsidRDefault="009D49EB" w:rsidP="007B6AFB">
      <w:pPr>
        <w:pStyle w:val="FootnoteText"/>
      </w:pPr>
      <w:r w:rsidRPr="00D519A3">
        <w:rPr>
          <w:rStyle w:val="FootnoteReference"/>
        </w:rPr>
        <w:footnoteRef/>
      </w:r>
      <w:r w:rsidRPr="00D519A3">
        <w:t xml:space="preserve"> </w:t>
      </w:r>
      <w:hyperlink r:id="rId251" w:history="1">
        <w:r w:rsidRPr="00D519A3">
          <w:rPr>
            <w:rStyle w:val="Hyperlink"/>
            <w:i/>
          </w:rPr>
          <w:t>Alistair Coe and ACT Health Directorate</w:t>
        </w:r>
        <w:r w:rsidRPr="00D519A3">
          <w:rPr>
            <w:rStyle w:val="Hyperlink"/>
          </w:rPr>
          <w:t xml:space="preserve"> [2018] ACTOFOI 4 </w:t>
        </w:r>
        <w:r w:rsidR="00587513" w:rsidRPr="00D519A3">
          <w:rPr>
            <w:rStyle w:val="Hyperlink"/>
          </w:rPr>
          <w:t>(5 September 2018)</w:t>
        </w:r>
      </w:hyperlink>
      <w:r w:rsidR="00266B30">
        <w:t xml:space="preserve">, </w:t>
      </w:r>
      <w:r w:rsidRPr="00D519A3">
        <w:t xml:space="preserve">[43]. </w:t>
      </w:r>
    </w:p>
  </w:footnote>
  <w:footnote w:id="226">
    <w:p w14:paraId="1B446B65" w14:textId="6FCE5A09" w:rsidR="009D49EB" w:rsidRPr="00D519A3" w:rsidRDefault="009D49EB" w:rsidP="00146B33">
      <w:pPr>
        <w:autoSpaceDE w:val="0"/>
        <w:autoSpaceDN w:val="0"/>
        <w:adjustRightInd w:val="0"/>
        <w:spacing w:after="0"/>
        <w:ind w:left="142" w:right="-164" w:hanging="142"/>
      </w:pPr>
      <w:r w:rsidRPr="007A795B">
        <w:rPr>
          <w:rStyle w:val="FootnoteReference"/>
        </w:rPr>
        <w:footnoteRef/>
      </w:r>
      <w:r w:rsidRPr="007A795B">
        <w:t xml:space="preserve"> </w:t>
      </w:r>
      <w:hyperlink r:id="rId252" w:history="1">
        <w:r w:rsidR="007A795B" w:rsidRPr="007A795B">
          <w:rPr>
            <w:rStyle w:val="Hyperlink"/>
            <w:i/>
            <w:iCs/>
            <w:sz w:val="20"/>
            <w:szCs w:val="20"/>
          </w:rPr>
          <w:t>Information Privacy Act 2014</w:t>
        </w:r>
        <w:r w:rsidR="007A795B" w:rsidRPr="007A795B">
          <w:rPr>
            <w:rStyle w:val="Hyperlink"/>
            <w:sz w:val="20"/>
            <w:szCs w:val="20"/>
          </w:rPr>
          <w:t xml:space="preserve"> (ACT)</w:t>
        </w:r>
      </w:hyperlink>
      <w:r w:rsidR="007A795B" w:rsidRPr="007A795B">
        <w:rPr>
          <w:sz w:val="20"/>
          <w:szCs w:val="20"/>
        </w:rPr>
        <w:t xml:space="preserve">. </w:t>
      </w:r>
      <w:r w:rsidRPr="007A795B">
        <w:rPr>
          <w:sz w:val="20"/>
          <w:szCs w:val="20"/>
        </w:rPr>
        <w:t>The exceptions in TPP 6.2 and 6.3 include where disclosure is for a directly related purpose (in the case of sensitive information) or related purpose (for personal information); where it is required or authorised by or under law or a court or tribunal order; where a ‘permitted general situation’ exists (</w:t>
      </w:r>
      <w:r w:rsidR="00587513" w:rsidRPr="007A795B">
        <w:rPr>
          <w:sz w:val="20"/>
          <w:szCs w:val="20"/>
        </w:rPr>
        <w:t>IP Act s 19</w:t>
      </w:r>
      <w:r w:rsidRPr="007A795B">
        <w:rPr>
          <w:sz w:val="20"/>
          <w:szCs w:val="20"/>
        </w:rPr>
        <w:t xml:space="preserve">); or where the </w:t>
      </w:r>
      <w:r w:rsidRPr="007A795B">
        <w:rPr>
          <w:rFonts w:eastAsiaTheme="minorHAnsi" w:cs="TimesNewRomanPSMT"/>
          <w:sz w:val="20"/>
          <w:szCs w:val="20"/>
        </w:rPr>
        <w:t>information is reasonably necessary for 1 or more enforcement-related activities conducted by, or on behalf of, an enforcement body.</w:t>
      </w:r>
    </w:p>
  </w:footnote>
  <w:footnote w:id="227">
    <w:p w14:paraId="36FC7DEE" w14:textId="66740256" w:rsidR="009D49EB" w:rsidRPr="00D519A3" w:rsidRDefault="009D49EB" w:rsidP="00DE4DD6">
      <w:pPr>
        <w:pStyle w:val="FootnoteText"/>
      </w:pPr>
      <w:r w:rsidRPr="00D519A3">
        <w:rPr>
          <w:rStyle w:val="FootnoteReference"/>
        </w:rPr>
        <w:footnoteRef/>
      </w:r>
      <w:r w:rsidRPr="00D519A3">
        <w:t xml:space="preserve"> </w:t>
      </w:r>
      <w:r w:rsidR="007E272C" w:rsidRPr="00D519A3">
        <w:rPr>
          <w:i/>
        </w:rPr>
        <w:t>Legislation Act</w:t>
      </w:r>
      <w:r w:rsidR="007E272C" w:rsidRPr="006F5CD6">
        <w:t xml:space="preserve"> </w:t>
      </w:r>
      <w:r w:rsidR="007E272C" w:rsidRPr="00D519A3">
        <w:t xml:space="preserve">Dictionary pt 1 (definition of </w:t>
      </w:r>
      <w:r w:rsidRPr="00D519A3">
        <w:t>‘individual’</w:t>
      </w:r>
      <w:r w:rsidR="007E272C" w:rsidRPr="00D519A3">
        <w:t xml:space="preserve">). </w:t>
      </w:r>
    </w:p>
  </w:footnote>
  <w:footnote w:id="228">
    <w:p w14:paraId="0F77F34C" w14:textId="395AA3A3" w:rsidR="009D49EB" w:rsidRPr="00D519A3" w:rsidRDefault="009D49EB" w:rsidP="00DE4DD6">
      <w:pPr>
        <w:pStyle w:val="FootnoteText"/>
      </w:pPr>
      <w:r w:rsidRPr="00D519A3">
        <w:rPr>
          <w:rStyle w:val="FootnoteReference"/>
        </w:rPr>
        <w:footnoteRef/>
      </w:r>
      <w:r w:rsidRPr="00D519A3">
        <w:t xml:space="preserve"> </w:t>
      </w:r>
      <w:r w:rsidR="00934054">
        <w:t>S</w:t>
      </w:r>
      <w:r w:rsidRPr="00D519A3">
        <w:t>ee</w:t>
      </w:r>
      <w:r w:rsidR="000C2CDE" w:rsidRPr="00D519A3">
        <w:t xml:space="preserve"> </w:t>
      </w:r>
      <w:hyperlink r:id="rId253" w:history="1">
        <w:r w:rsidR="00934054" w:rsidRPr="00934054">
          <w:rPr>
            <w:rStyle w:val="Hyperlink"/>
          </w:rPr>
          <w:t>FOI Guidelines Vol 3 – Dealing with access applications</w:t>
        </w:r>
      </w:hyperlink>
      <w:r w:rsidR="00934054">
        <w:t xml:space="preserve">. </w:t>
      </w:r>
    </w:p>
  </w:footnote>
  <w:footnote w:id="229">
    <w:p w14:paraId="560021FB" w14:textId="283F277B" w:rsidR="009D49EB" w:rsidRPr="00D519A3" w:rsidRDefault="009D49EB" w:rsidP="00DE4DD6">
      <w:pPr>
        <w:pStyle w:val="FootnoteText"/>
      </w:pPr>
      <w:r w:rsidRPr="00D519A3">
        <w:rPr>
          <w:rStyle w:val="FootnoteReference"/>
        </w:rPr>
        <w:footnoteRef/>
      </w:r>
      <w:r w:rsidRPr="00D519A3">
        <w:t xml:space="preserve"> </w:t>
      </w:r>
      <w:hyperlink r:id="rId254" w:history="1">
        <w:r w:rsidRPr="00D519A3">
          <w:rPr>
            <w:rStyle w:val="Hyperlink"/>
          </w:rPr>
          <w:t xml:space="preserve">[2018] ACTOFOI 4 </w:t>
        </w:r>
        <w:r w:rsidR="00587513" w:rsidRPr="00D519A3">
          <w:rPr>
            <w:rStyle w:val="Hyperlink"/>
          </w:rPr>
          <w:t>(5 September 2018)</w:t>
        </w:r>
      </w:hyperlink>
      <w:r w:rsidR="00676691">
        <w:rPr>
          <w:rStyle w:val="Hyperlink"/>
        </w:rPr>
        <w:t>,</w:t>
      </w:r>
      <w:r w:rsidRPr="00D519A3">
        <w:t xml:space="preserve"> [44]. </w:t>
      </w:r>
    </w:p>
  </w:footnote>
  <w:footnote w:id="230">
    <w:p w14:paraId="5E246C3B" w14:textId="03CDC415" w:rsidR="009D49EB" w:rsidRPr="00D519A3" w:rsidRDefault="009D49EB" w:rsidP="00DE4DD6">
      <w:pPr>
        <w:pStyle w:val="FootnoteText"/>
      </w:pPr>
      <w:r w:rsidRPr="00D519A3">
        <w:rPr>
          <w:rStyle w:val="FootnoteReference"/>
        </w:rPr>
        <w:footnoteRef/>
      </w:r>
      <w:r w:rsidRPr="00D519A3">
        <w:t xml:space="preserve"> </w:t>
      </w:r>
      <w:hyperlink r:id="rId255" w:history="1">
        <w:r w:rsidRPr="00D519A3">
          <w:rPr>
            <w:rStyle w:val="Hyperlink"/>
          </w:rPr>
          <w:t>[2018] ACTOFOI 6 (2 November 2018)</w:t>
        </w:r>
      </w:hyperlink>
      <w:r w:rsidR="00676691">
        <w:rPr>
          <w:rStyle w:val="Hyperlink"/>
        </w:rPr>
        <w:t>,</w:t>
      </w:r>
      <w:r w:rsidRPr="00D519A3">
        <w:t xml:space="preserve"> [42].</w:t>
      </w:r>
    </w:p>
  </w:footnote>
  <w:footnote w:id="231">
    <w:p w14:paraId="411E8C46" w14:textId="77D12205" w:rsidR="009D49EB" w:rsidRPr="00D519A3" w:rsidRDefault="009D49EB" w:rsidP="005B7153">
      <w:pPr>
        <w:pStyle w:val="FootnoteText"/>
      </w:pPr>
      <w:r w:rsidRPr="00D519A3">
        <w:rPr>
          <w:rStyle w:val="FootnoteReference"/>
        </w:rPr>
        <w:footnoteRef/>
      </w:r>
      <w:r w:rsidRPr="00D519A3">
        <w:t xml:space="preserve"> </w:t>
      </w:r>
      <w:hyperlink r:id="rId256" w:history="1">
        <w:r w:rsidRPr="00950A8F">
          <w:rPr>
            <w:rStyle w:val="Hyperlink"/>
            <w:i/>
          </w:rPr>
          <w:t xml:space="preserve">‘FG’ and National Archives of Australia </w:t>
        </w:r>
        <w:r w:rsidRPr="00950A8F">
          <w:rPr>
            <w:rStyle w:val="Hyperlink"/>
          </w:rPr>
          <w:t>[2015] AICmr 26</w:t>
        </w:r>
      </w:hyperlink>
      <w:r w:rsidR="00676691">
        <w:t>,</w:t>
      </w:r>
      <w:r w:rsidRPr="00D519A3">
        <w:t xml:space="preserve"> [47]-[48]. </w:t>
      </w:r>
    </w:p>
  </w:footnote>
  <w:footnote w:id="232">
    <w:p w14:paraId="4BF8312C" w14:textId="03A7FC20" w:rsidR="009D49EB" w:rsidRPr="00D519A3" w:rsidRDefault="009D49EB" w:rsidP="005B7153">
      <w:pPr>
        <w:pStyle w:val="FootnoteText"/>
      </w:pPr>
      <w:r w:rsidRPr="00D519A3">
        <w:rPr>
          <w:rStyle w:val="FootnoteReference"/>
        </w:rPr>
        <w:footnoteRef/>
      </w:r>
      <w:r w:rsidRPr="00D519A3">
        <w:t xml:space="preserve"> </w:t>
      </w:r>
      <w:hyperlink r:id="rId257" w:history="1">
        <w:r w:rsidRPr="001461CF">
          <w:rPr>
            <w:rStyle w:val="Hyperlink"/>
            <w:i/>
          </w:rPr>
          <w:t xml:space="preserve">WL1T8P and Queensland Police Service </w:t>
        </w:r>
        <w:r w:rsidRPr="001461CF">
          <w:rPr>
            <w:rStyle w:val="Hyperlink"/>
          </w:rPr>
          <w:t>[2014] QICmr 40</w:t>
        </w:r>
      </w:hyperlink>
      <w:r w:rsidR="00676691">
        <w:t>,</w:t>
      </w:r>
      <w:r w:rsidRPr="00D519A3">
        <w:t xml:space="preserve"> [44]. </w:t>
      </w:r>
    </w:p>
  </w:footnote>
  <w:footnote w:id="233">
    <w:p w14:paraId="0B83335D" w14:textId="275240B4" w:rsidR="009D49EB" w:rsidRPr="00D519A3" w:rsidRDefault="009D49EB" w:rsidP="005B7153">
      <w:pPr>
        <w:pStyle w:val="FootnoteText"/>
      </w:pPr>
      <w:r w:rsidRPr="00D519A3">
        <w:rPr>
          <w:rStyle w:val="FootnoteReference"/>
        </w:rPr>
        <w:footnoteRef/>
      </w:r>
      <w:r w:rsidRPr="00D519A3">
        <w:t xml:space="preserve"> </w:t>
      </w:r>
      <w:hyperlink r:id="rId258" w:history="1">
        <w:r w:rsidRPr="00D519A3">
          <w:rPr>
            <w:rStyle w:val="Hyperlink"/>
            <w:i/>
          </w:rPr>
          <w:t>‘AD’ and Health Directorate</w:t>
        </w:r>
        <w:r w:rsidRPr="00D519A3">
          <w:rPr>
            <w:rStyle w:val="Hyperlink"/>
          </w:rPr>
          <w:t xml:space="preserve"> [2018] ACTOFOI 8 </w:t>
        </w:r>
        <w:r w:rsidR="000B48B8" w:rsidRPr="00D519A3">
          <w:rPr>
            <w:rStyle w:val="Hyperlink"/>
          </w:rPr>
          <w:t>(27 November 2018)</w:t>
        </w:r>
      </w:hyperlink>
      <w:r w:rsidR="00676691">
        <w:rPr>
          <w:rStyle w:val="Hyperlink"/>
        </w:rPr>
        <w:t>,</w:t>
      </w:r>
      <w:r w:rsidRPr="00D519A3">
        <w:t xml:space="preserve"> [48].</w:t>
      </w:r>
    </w:p>
  </w:footnote>
  <w:footnote w:id="234">
    <w:p w14:paraId="43562A1C" w14:textId="6569D8B2" w:rsidR="009D49EB" w:rsidRPr="00D519A3" w:rsidRDefault="009D49EB" w:rsidP="005B7153">
      <w:pPr>
        <w:pStyle w:val="FootnoteText"/>
      </w:pPr>
      <w:r w:rsidRPr="00D519A3">
        <w:rPr>
          <w:rStyle w:val="FootnoteReference"/>
        </w:rPr>
        <w:footnoteRef/>
      </w:r>
      <w:r w:rsidRPr="00D519A3">
        <w:t xml:space="preserve"> </w:t>
      </w:r>
      <w:r w:rsidR="0084063D" w:rsidRPr="00D519A3">
        <w:t>Ibid</w:t>
      </w:r>
      <w:r w:rsidRPr="00D519A3">
        <w:t xml:space="preserve">; </w:t>
      </w:r>
      <w:hyperlink r:id="rId259" w:history="1">
        <w:r w:rsidRPr="00D519A3">
          <w:rPr>
            <w:rStyle w:val="Hyperlink"/>
            <w:i/>
          </w:rPr>
          <w:t>‘AB’ and Chief Minister, Treasury and Economic Development Directorate</w:t>
        </w:r>
        <w:r w:rsidRPr="00D519A3">
          <w:rPr>
            <w:rStyle w:val="Hyperlink"/>
          </w:rPr>
          <w:t xml:space="preserve"> [2018] ACTOFOI 2 </w:t>
        </w:r>
        <w:r w:rsidR="000B48B8" w:rsidRPr="00D519A3">
          <w:rPr>
            <w:rStyle w:val="Hyperlink"/>
          </w:rPr>
          <w:t>(23 August 2018)</w:t>
        </w:r>
      </w:hyperlink>
      <w:r w:rsidRPr="00D519A3">
        <w:t xml:space="preserve"> [52]. See also </w:t>
      </w:r>
      <w:hyperlink r:id="rId260" w:history="1">
        <w:r w:rsidRPr="00D519A3">
          <w:rPr>
            <w:rStyle w:val="Hyperlink"/>
            <w:i/>
          </w:rPr>
          <w:t>Alistair Coe and ACT Health Directorate</w:t>
        </w:r>
        <w:r w:rsidRPr="00D519A3">
          <w:rPr>
            <w:rStyle w:val="Hyperlink"/>
          </w:rPr>
          <w:t xml:space="preserve"> [2018] ACTOFOI 4</w:t>
        </w:r>
        <w:r w:rsidR="000B48B8" w:rsidRPr="00D519A3">
          <w:rPr>
            <w:rStyle w:val="Hyperlink"/>
          </w:rPr>
          <w:t xml:space="preserve"> (5 September 2018)</w:t>
        </w:r>
      </w:hyperlink>
      <w:r w:rsidR="00676691">
        <w:rPr>
          <w:rStyle w:val="Hyperlink"/>
        </w:rPr>
        <w:t>,</w:t>
      </w:r>
      <w:r w:rsidR="000B48B8" w:rsidRPr="00D519A3">
        <w:t xml:space="preserve"> </w:t>
      </w:r>
      <w:r w:rsidRPr="00D519A3">
        <w:t>[45].</w:t>
      </w:r>
    </w:p>
  </w:footnote>
  <w:footnote w:id="235">
    <w:p w14:paraId="5B9A5E45" w14:textId="5E99B0BA" w:rsidR="009D49EB" w:rsidRPr="00D519A3" w:rsidRDefault="009D49EB" w:rsidP="00146B33">
      <w:pPr>
        <w:pStyle w:val="FootnoteText"/>
        <w:ind w:left="142" w:right="-589" w:hanging="142"/>
      </w:pPr>
      <w:r w:rsidRPr="00D519A3">
        <w:rPr>
          <w:rStyle w:val="FootnoteReference"/>
        </w:rPr>
        <w:footnoteRef/>
      </w:r>
      <w:r w:rsidRPr="00D519A3">
        <w:t xml:space="preserve"> </w:t>
      </w:r>
      <w:hyperlink r:id="rId261" w:history="1">
        <w:r w:rsidRPr="00D519A3">
          <w:rPr>
            <w:rStyle w:val="Hyperlink"/>
            <w:i/>
          </w:rPr>
          <w:t xml:space="preserve">Master Builders Association of the ACT and Chief Minister, Treasury and Economic Development Directorate </w:t>
        </w:r>
        <w:r w:rsidRPr="00D519A3">
          <w:rPr>
            <w:rStyle w:val="Hyperlink"/>
          </w:rPr>
          <w:t>[2018] ACTOFOI 6</w:t>
        </w:r>
        <w:r w:rsidR="000B48B8" w:rsidRPr="00D519A3">
          <w:rPr>
            <w:rStyle w:val="Hyperlink"/>
          </w:rPr>
          <w:t xml:space="preserve"> (2 November 2018)</w:t>
        </w:r>
      </w:hyperlink>
      <w:r w:rsidR="00676691">
        <w:rPr>
          <w:rStyle w:val="Hyperlink"/>
        </w:rPr>
        <w:t>,</w:t>
      </w:r>
      <w:r w:rsidRPr="00D519A3">
        <w:t xml:space="preserve"> [44]. See </w:t>
      </w:r>
      <w:r w:rsidR="00610D59">
        <w:t>Common terms and phrases above at [</w:t>
      </w:r>
      <w:hyperlink w:anchor="_Prejudice" w:history="1">
        <w:r w:rsidR="00610D59" w:rsidRPr="00610D59">
          <w:rPr>
            <w:rStyle w:val="Hyperlink"/>
          </w:rPr>
          <w:t>4.4</w:t>
        </w:r>
      </w:hyperlink>
      <w:r w:rsidR="00610D59">
        <w:t>]</w:t>
      </w:r>
      <w:r w:rsidRPr="00D519A3">
        <w:t xml:space="preserve"> in relation to the meaning of ‘prejudice’. </w:t>
      </w:r>
    </w:p>
  </w:footnote>
  <w:footnote w:id="236">
    <w:p w14:paraId="4C1F5EB3" w14:textId="3F719E0B" w:rsidR="009D49EB" w:rsidRPr="00D519A3" w:rsidRDefault="009D49EB" w:rsidP="005B7153">
      <w:pPr>
        <w:pStyle w:val="FootnoteText"/>
      </w:pPr>
      <w:r w:rsidRPr="00D519A3">
        <w:rPr>
          <w:rStyle w:val="FootnoteReference"/>
        </w:rPr>
        <w:footnoteRef/>
      </w:r>
      <w:r w:rsidR="003B7754" w:rsidRPr="00D519A3">
        <w:rPr>
          <w:i/>
        </w:rPr>
        <w:t xml:space="preserve"> </w:t>
      </w:r>
      <w:hyperlink r:id="rId262" w:history="1">
        <w:r w:rsidRPr="001461CF">
          <w:rPr>
            <w:rStyle w:val="Hyperlink"/>
            <w:i/>
          </w:rPr>
          <w:t xml:space="preserve">WL1T8P and Queensland Police Service </w:t>
        </w:r>
        <w:r w:rsidR="000B48B8" w:rsidRPr="001461CF">
          <w:rPr>
            <w:rStyle w:val="Hyperlink"/>
          </w:rPr>
          <w:t>[2014] QICmr 40</w:t>
        </w:r>
      </w:hyperlink>
      <w:r w:rsidR="00676691">
        <w:t>,</w:t>
      </w:r>
      <w:r w:rsidR="000B48B8" w:rsidRPr="00D519A3">
        <w:t xml:space="preserve"> </w:t>
      </w:r>
      <w:r w:rsidRPr="00D519A3">
        <w:t xml:space="preserve">[46]. </w:t>
      </w:r>
    </w:p>
  </w:footnote>
  <w:footnote w:id="237">
    <w:p w14:paraId="4F49BAB7" w14:textId="7C43848D" w:rsidR="009D49EB" w:rsidRPr="00D519A3" w:rsidRDefault="009D49EB" w:rsidP="007065C1">
      <w:pPr>
        <w:pStyle w:val="FootnoteText"/>
      </w:pPr>
      <w:r w:rsidRPr="00D519A3">
        <w:rPr>
          <w:rStyle w:val="FootnoteReference"/>
        </w:rPr>
        <w:footnoteRef/>
      </w:r>
      <w:r w:rsidRPr="00D519A3">
        <w:t xml:space="preserve"> </w:t>
      </w:r>
      <w:hyperlink r:id="rId263" w:history="1">
        <w:r w:rsidRPr="00D519A3">
          <w:rPr>
            <w:rStyle w:val="Hyperlink"/>
          </w:rPr>
          <w:t>‘</w:t>
        </w:r>
        <w:r w:rsidRPr="00D519A3">
          <w:rPr>
            <w:rStyle w:val="Hyperlink"/>
            <w:i/>
          </w:rPr>
          <w:t>AB’ and Chief Minister, Treasury and Economic Development Directorate</w:t>
        </w:r>
        <w:r w:rsidRPr="00D519A3">
          <w:rPr>
            <w:rStyle w:val="Hyperlink"/>
          </w:rPr>
          <w:t xml:space="preserve"> [2018] ACTOFOI 2 (23 August 2018)</w:t>
        </w:r>
      </w:hyperlink>
      <w:r w:rsidR="003B7754" w:rsidRPr="00D519A3">
        <w:t>.</w:t>
      </w:r>
    </w:p>
  </w:footnote>
  <w:footnote w:id="238">
    <w:p w14:paraId="1EEB943B" w14:textId="2F36126D" w:rsidR="009D49EB" w:rsidRPr="00D519A3" w:rsidRDefault="009D49EB">
      <w:pPr>
        <w:pStyle w:val="FootnoteText"/>
      </w:pPr>
      <w:r w:rsidRPr="00D519A3">
        <w:rPr>
          <w:rStyle w:val="FootnoteReference"/>
        </w:rPr>
        <w:footnoteRef/>
      </w:r>
      <w:r w:rsidRPr="00D519A3">
        <w:t xml:space="preserve"> </w:t>
      </w:r>
      <w:hyperlink r:id="rId264" w:history="1">
        <w:r w:rsidRPr="00D519A3">
          <w:rPr>
            <w:rStyle w:val="Hyperlink"/>
          </w:rPr>
          <w:t>‘</w:t>
        </w:r>
        <w:r w:rsidRPr="00D519A3">
          <w:rPr>
            <w:rStyle w:val="Hyperlink"/>
            <w:i/>
          </w:rPr>
          <w:t>AC’ and Justice and Community Safety Directorate</w:t>
        </w:r>
        <w:r w:rsidRPr="00D519A3">
          <w:rPr>
            <w:rStyle w:val="Hyperlink"/>
          </w:rPr>
          <w:t xml:space="preserve"> [2018] ACTOFOI 5 (10 October 2018)</w:t>
        </w:r>
      </w:hyperlink>
      <w:r w:rsidR="003B7754" w:rsidRPr="00D519A3">
        <w:t>.</w:t>
      </w:r>
    </w:p>
  </w:footnote>
  <w:footnote w:id="239">
    <w:p w14:paraId="0367A696" w14:textId="1B56FFBF" w:rsidR="009D49EB" w:rsidRPr="00D519A3" w:rsidRDefault="009D49EB">
      <w:pPr>
        <w:pStyle w:val="FootnoteText"/>
      </w:pPr>
      <w:r w:rsidRPr="00D519A3">
        <w:rPr>
          <w:rStyle w:val="FootnoteReference"/>
        </w:rPr>
        <w:footnoteRef/>
      </w:r>
      <w:r w:rsidRPr="00D519A3">
        <w:t xml:space="preserve"> </w:t>
      </w:r>
      <w:hyperlink r:id="rId265" w:history="1">
        <w:r w:rsidRPr="00D519A3">
          <w:rPr>
            <w:rStyle w:val="Hyperlink"/>
            <w:i/>
          </w:rPr>
          <w:t>‘AK’ and Education Directorate</w:t>
        </w:r>
        <w:r w:rsidRPr="00D519A3">
          <w:rPr>
            <w:rStyle w:val="Hyperlink"/>
          </w:rPr>
          <w:t xml:space="preserve"> [2019] ACTOFOI 4 (5 February 2019)</w:t>
        </w:r>
      </w:hyperlink>
      <w:r w:rsidR="003B7754" w:rsidRPr="00D519A3">
        <w:t>.</w:t>
      </w:r>
    </w:p>
  </w:footnote>
  <w:footnote w:id="240">
    <w:p w14:paraId="13F1B641" w14:textId="17BC051D" w:rsidR="009D49EB" w:rsidRPr="00D519A3" w:rsidRDefault="009D49EB" w:rsidP="007065C1">
      <w:pPr>
        <w:pStyle w:val="NoSpacing"/>
      </w:pPr>
      <w:r w:rsidRPr="00D519A3">
        <w:rPr>
          <w:rStyle w:val="FootnoteReference"/>
        </w:rPr>
        <w:footnoteRef/>
      </w:r>
      <w:r w:rsidRPr="00D519A3">
        <w:t xml:space="preserve"> </w:t>
      </w:r>
      <w:hyperlink r:id="rId266" w:history="1">
        <w:r w:rsidRPr="00D519A3">
          <w:rPr>
            <w:rStyle w:val="Hyperlink"/>
            <w:i/>
            <w:sz w:val="20"/>
          </w:rPr>
          <w:t>Alistair Coe and ACT Health Directorate</w:t>
        </w:r>
        <w:r w:rsidRPr="00D519A3">
          <w:rPr>
            <w:rStyle w:val="Hyperlink"/>
            <w:sz w:val="20"/>
          </w:rPr>
          <w:t xml:space="preserve"> [2018] ACTOFOI 4 (5 September 2018)</w:t>
        </w:r>
      </w:hyperlink>
      <w:r w:rsidR="003B7754" w:rsidRPr="00D519A3">
        <w:rPr>
          <w:sz w:val="20"/>
        </w:rPr>
        <w:t>.</w:t>
      </w:r>
    </w:p>
  </w:footnote>
  <w:footnote w:id="241">
    <w:p w14:paraId="3682277D" w14:textId="7F3BFD38" w:rsidR="009D49EB" w:rsidRPr="00D519A3" w:rsidRDefault="009D49EB" w:rsidP="007065C1">
      <w:pPr>
        <w:pStyle w:val="NoSpacing"/>
      </w:pPr>
      <w:r w:rsidRPr="00D519A3">
        <w:rPr>
          <w:rStyle w:val="FootnoteReference"/>
        </w:rPr>
        <w:footnoteRef/>
      </w:r>
      <w:r w:rsidRPr="00D519A3">
        <w:t xml:space="preserve"> </w:t>
      </w:r>
      <w:hyperlink r:id="rId267" w:history="1">
        <w:r w:rsidRPr="00D519A3">
          <w:rPr>
            <w:rStyle w:val="Hyperlink"/>
            <w:sz w:val="20"/>
          </w:rPr>
          <w:t>[2019] ACTOFOI 7 (24 April 2019)</w:t>
        </w:r>
      </w:hyperlink>
      <w:r w:rsidR="003B7754" w:rsidRPr="00D519A3">
        <w:rPr>
          <w:sz w:val="20"/>
        </w:rPr>
        <w:t>.</w:t>
      </w:r>
    </w:p>
  </w:footnote>
  <w:footnote w:id="242">
    <w:p w14:paraId="0D28600F" w14:textId="4D897888" w:rsidR="002E05F8" w:rsidRPr="00D519A3" w:rsidRDefault="002E05F8">
      <w:pPr>
        <w:pStyle w:val="FootnoteText"/>
      </w:pPr>
      <w:r w:rsidRPr="00D519A3">
        <w:rPr>
          <w:rStyle w:val="FootnoteReference"/>
        </w:rPr>
        <w:footnoteRef/>
      </w:r>
      <w:r w:rsidRPr="00D519A3">
        <w:t xml:space="preserve"> </w:t>
      </w:r>
      <w:hyperlink r:id="rId268" w:history="1">
        <w:r w:rsidRPr="00D519A3">
          <w:rPr>
            <w:rStyle w:val="Hyperlink"/>
          </w:rPr>
          <w:t>[2018] ACTOFOI 8</w:t>
        </w:r>
        <w:r w:rsidR="000B48B8" w:rsidRPr="00D519A3">
          <w:rPr>
            <w:rStyle w:val="Hyperlink"/>
          </w:rPr>
          <w:t xml:space="preserve"> (27 November 2018)</w:t>
        </w:r>
      </w:hyperlink>
      <w:r w:rsidRPr="00D519A3">
        <w:t>.</w:t>
      </w:r>
    </w:p>
  </w:footnote>
  <w:footnote w:id="243">
    <w:p w14:paraId="4D847B85" w14:textId="5FA00992" w:rsidR="009D49EB" w:rsidRPr="00D519A3" w:rsidRDefault="009D49EB" w:rsidP="007065C1">
      <w:pPr>
        <w:spacing w:after="0"/>
        <w:ind w:right="544"/>
      </w:pPr>
      <w:r w:rsidRPr="00D519A3">
        <w:rPr>
          <w:rStyle w:val="FootnoteReference"/>
        </w:rPr>
        <w:footnoteRef/>
      </w:r>
      <w:r w:rsidRPr="00D519A3">
        <w:t xml:space="preserve"> </w:t>
      </w:r>
      <w:r w:rsidR="0074046B" w:rsidRPr="00D519A3">
        <w:rPr>
          <w:sz w:val="20"/>
        </w:rPr>
        <w:t>Ibid</w:t>
      </w:r>
      <w:r w:rsidR="001461CF">
        <w:rPr>
          <w:sz w:val="20"/>
        </w:rPr>
        <w:t>,</w:t>
      </w:r>
      <w:r w:rsidR="000B48B8" w:rsidRPr="00D519A3">
        <w:rPr>
          <w:sz w:val="20"/>
        </w:rPr>
        <w:t xml:space="preserve"> [41].</w:t>
      </w:r>
    </w:p>
  </w:footnote>
  <w:footnote w:id="244">
    <w:p w14:paraId="33CD110C" w14:textId="01C067B0" w:rsidR="009D49EB" w:rsidRPr="00D519A3" w:rsidRDefault="009D49EB">
      <w:pPr>
        <w:pStyle w:val="FootnoteText"/>
      </w:pPr>
      <w:r w:rsidRPr="00D519A3">
        <w:rPr>
          <w:rStyle w:val="FootnoteReference"/>
        </w:rPr>
        <w:footnoteRef/>
      </w:r>
      <w:r w:rsidRPr="00D519A3">
        <w:t xml:space="preserve"> </w:t>
      </w:r>
      <w:hyperlink r:id="rId269" w:history="1">
        <w:r w:rsidRPr="00D519A3">
          <w:rPr>
            <w:rStyle w:val="Hyperlink"/>
          </w:rPr>
          <w:t>[2018] ACTOFOI 9 (27 November 2018)</w:t>
        </w:r>
      </w:hyperlink>
      <w:r w:rsidR="003B7754" w:rsidRPr="00D519A3">
        <w:t>.</w:t>
      </w:r>
    </w:p>
  </w:footnote>
  <w:footnote w:id="245">
    <w:p w14:paraId="07E9C0D8" w14:textId="04F5FCB3" w:rsidR="009D49EB" w:rsidRPr="00D519A3" w:rsidRDefault="009D49EB" w:rsidP="00E106E0">
      <w:pPr>
        <w:pStyle w:val="FootnoteText"/>
      </w:pPr>
      <w:r w:rsidRPr="00D519A3">
        <w:rPr>
          <w:rStyle w:val="FootnoteReference"/>
        </w:rPr>
        <w:footnoteRef/>
      </w:r>
      <w:r w:rsidRPr="00D519A3">
        <w:t xml:space="preserve"> </w:t>
      </w:r>
      <w:r w:rsidR="00F60A73" w:rsidRPr="00D519A3">
        <w:t>FOI Act</w:t>
      </w:r>
      <w:r w:rsidR="00CD7168" w:rsidRPr="00D519A3">
        <w:t xml:space="preserve"> </w:t>
      </w:r>
      <w:r w:rsidR="00F60A73" w:rsidRPr="00D519A3">
        <w:t>s</w:t>
      </w:r>
      <w:r w:rsidR="00A07293" w:rsidRPr="00D519A3">
        <w:t xml:space="preserve"> </w:t>
      </w:r>
      <w:r w:rsidR="00CD7168" w:rsidRPr="00D519A3">
        <w:t>9</w:t>
      </w:r>
      <w:r w:rsidRPr="00D519A3">
        <w:t xml:space="preserve">. </w:t>
      </w:r>
    </w:p>
  </w:footnote>
  <w:footnote w:id="246">
    <w:p w14:paraId="2D97E0EE" w14:textId="190660B4" w:rsidR="009D49EB" w:rsidRPr="00D519A3" w:rsidRDefault="009D49EB" w:rsidP="00146B33">
      <w:pPr>
        <w:pStyle w:val="FootnoteText"/>
        <w:ind w:left="142" w:hanging="142"/>
      </w:pPr>
      <w:r w:rsidRPr="00D519A3">
        <w:rPr>
          <w:rStyle w:val="FootnoteReference"/>
        </w:rPr>
        <w:footnoteRef/>
      </w:r>
      <w:r w:rsidRPr="00D519A3">
        <w:t xml:space="preserve"> </w:t>
      </w:r>
      <w:hyperlink r:id="rId270" w:history="1">
        <w:r w:rsidRPr="00D519A3">
          <w:rPr>
            <w:rStyle w:val="Hyperlink"/>
            <w:i/>
          </w:rPr>
          <w:t xml:space="preserve">‘FG’ and National Archives of Australia </w:t>
        </w:r>
        <w:r w:rsidRPr="00D519A3">
          <w:rPr>
            <w:rStyle w:val="Hyperlink"/>
          </w:rPr>
          <w:t>[2015] AICmr 26</w:t>
        </w:r>
      </w:hyperlink>
      <w:r w:rsidRPr="00D519A3">
        <w:t xml:space="preserve"> [47]-[48]; </w:t>
      </w:r>
      <w:hyperlink r:id="rId271" w:history="1">
        <w:r w:rsidRPr="00D519A3">
          <w:rPr>
            <w:rStyle w:val="Hyperlink"/>
            <w:i/>
          </w:rPr>
          <w:t xml:space="preserve">Marke v Department of Justice and Regulation </w:t>
        </w:r>
        <w:r w:rsidRPr="00D519A3">
          <w:rPr>
            <w:rStyle w:val="Hyperlink"/>
          </w:rPr>
          <w:t>[2019] VCAT 479</w:t>
        </w:r>
      </w:hyperlink>
      <w:r w:rsidRPr="00D519A3">
        <w:t xml:space="preserve"> [45]; </w:t>
      </w:r>
      <w:hyperlink r:id="rId272" w:history="1">
        <w:r w:rsidRPr="00D519A3">
          <w:rPr>
            <w:rStyle w:val="Hyperlink"/>
            <w:i/>
          </w:rPr>
          <w:t xml:space="preserve">Victoria Police v Marke </w:t>
        </w:r>
        <w:r w:rsidRPr="00D519A3">
          <w:rPr>
            <w:rStyle w:val="Hyperlink"/>
          </w:rPr>
          <w:t>(2008) 23 VR 223</w:t>
        </w:r>
      </w:hyperlink>
      <w:r w:rsidRPr="00D519A3">
        <w:t xml:space="preserve">.  </w:t>
      </w:r>
    </w:p>
  </w:footnote>
  <w:footnote w:id="247">
    <w:p w14:paraId="646213BB" w14:textId="275C8AA0" w:rsidR="00254F6E" w:rsidRPr="00D519A3" w:rsidRDefault="00254F6E">
      <w:pPr>
        <w:pStyle w:val="FootnoteText"/>
      </w:pPr>
      <w:r w:rsidRPr="00D519A3">
        <w:rPr>
          <w:rStyle w:val="FootnoteReference"/>
        </w:rPr>
        <w:footnoteRef/>
      </w:r>
      <w:r w:rsidRPr="00D519A3">
        <w:t xml:space="preserve"> </w:t>
      </w:r>
      <w:r w:rsidR="008744B9" w:rsidRPr="00D519A3">
        <w:t xml:space="preserve">FOI Act s 35(1)(e). </w:t>
      </w:r>
    </w:p>
  </w:footnote>
  <w:footnote w:id="248">
    <w:p w14:paraId="3BFB2DD8" w14:textId="53CA907E" w:rsidR="00254F6E" w:rsidRPr="00D519A3" w:rsidRDefault="00254F6E">
      <w:pPr>
        <w:pStyle w:val="FootnoteText"/>
      </w:pPr>
      <w:r w:rsidRPr="00D519A3">
        <w:rPr>
          <w:rStyle w:val="FootnoteReference"/>
        </w:rPr>
        <w:footnoteRef/>
      </w:r>
      <w:r w:rsidRPr="00D519A3">
        <w:t xml:space="preserve"> </w:t>
      </w:r>
      <w:r w:rsidR="00AB60AE" w:rsidRPr="00D519A3">
        <w:t xml:space="preserve">FOI Act s 35(1)(d); s 43(1)(c). </w:t>
      </w:r>
    </w:p>
  </w:footnote>
  <w:footnote w:id="249">
    <w:p w14:paraId="313F8040" w14:textId="49BFF09E" w:rsidR="0014770C" w:rsidRPr="00D519A3" w:rsidRDefault="0014770C">
      <w:pPr>
        <w:pStyle w:val="FootnoteText"/>
      </w:pPr>
      <w:r w:rsidRPr="00D519A3">
        <w:rPr>
          <w:rStyle w:val="FootnoteReference"/>
        </w:rPr>
        <w:footnoteRef/>
      </w:r>
      <w:r w:rsidRPr="00D519A3">
        <w:t xml:space="preserve"> </w:t>
      </w:r>
      <w:r w:rsidR="0032534A" w:rsidRPr="00D519A3">
        <w:t xml:space="preserve">FOI Act sch 1 s 1.1; s 1.3. </w:t>
      </w:r>
    </w:p>
  </w:footnote>
  <w:footnote w:id="250">
    <w:p w14:paraId="3849382E" w14:textId="6BE3766F" w:rsidR="003C0743" w:rsidRPr="00D519A3" w:rsidRDefault="003C0743" w:rsidP="003C0743">
      <w:pPr>
        <w:pStyle w:val="FootnoteText"/>
      </w:pPr>
      <w:r w:rsidRPr="00D519A3">
        <w:rPr>
          <w:rStyle w:val="FootnoteReference"/>
        </w:rPr>
        <w:footnoteRef/>
      </w:r>
      <w:r w:rsidRPr="00D519A3">
        <w:t xml:space="preserve"> Family Violence Act </w:t>
      </w:r>
      <w:r w:rsidR="0055781A">
        <w:t xml:space="preserve">2016 (ACT) </w:t>
      </w:r>
      <w:r w:rsidRPr="00D519A3">
        <w:t xml:space="preserve">s 6. </w:t>
      </w:r>
    </w:p>
  </w:footnote>
  <w:footnote w:id="251">
    <w:p w14:paraId="6BFCFE92" w14:textId="41726559" w:rsidR="003C0743" w:rsidRPr="00D519A3" w:rsidRDefault="003C0743" w:rsidP="003C0743">
      <w:pPr>
        <w:pStyle w:val="FootnoteText"/>
      </w:pPr>
      <w:r w:rsidRPr="00D519A3">
        <w:rPr>
          <w:rStyle w:val="FootnoteReference"/>
        </w:rPr>
        <w:footnoteRef/>
      </w:r>
      <w:r w:rsidRPr="00D519A3">
        <w:t xml:space="preserve"> </w:t>
      </w:r>
      <w:r w:rsidR="0055781A">
        <w:t>Ibid</w:t>
      </w:r>
      <w:r w:rsidRPr="00D519A3">
        <w:t xml:space="preserve"> s 8. </w:t>
      </w:r>
    </w:p>
  </w:footnote>
  <w:footnote w:id="252">
    <w:p w14:paraId="3D6CF80E" w14:textId="6850A567" w:rsidR="009D49EB" w:rsidRPr="00D519A3" w:rsidRDefault="009D49EB" w:rsidP="005B7153">
      <w:pPr>
        <w:pStyle w:val="FootnoteText"/>
      </w:pPr>
      <w:r w:rsidRPr="00D519A3">
        <w:rPr>
          <w:rStyle w:val="FootnoteReference"/>
        </w:rPr>
        <w:footnoteRef/>
      </w:r>
      <w:r w:rsidRPr="00D519A3">
        <w:t xml:space="preserve"> </w:t>
      </w:r>
      <w:hyperlink r:id="rId273" w:history="1">
        <w:r w:rsidRPr="00D519A3">
          <w:rPr>
            <w:rStyle w:val="Hyperlink"/>
            <w:i/>
          </w:rPr>
          <w:t>‘AE’ and Health Directorate</w:t>
        </w:r>
        <w:r w:rsidRPr="00D519A3">
          <w:rPr>
            <w:rStyle w:val="Hyperlink"/>
          </w:rPr>
          <w:t xml:space="preserve"> [2018] ACTOFOI 9 </w:t>
        </w:r>
        <w:r w:rsidR="00B3046A" w:rsidRPr="00D519A3">
          <w:rPr>
            <w:rStyle w:val="Hyperlink"/>
          </w:rPr>
          <w:t>(27 November 2019)</w:t>
        </w:r>
      </w:hyperlink>
      <w:r w:rsidR="00B3046A" w:rsidRPr="00D519A3">
        <w:t xml:space="preserve"> </w:t>
      </w:r>
      <w:r w:rsidRPr="00D519A3">
        <w:t xml:space="preserve">[49]-[51]; </w:t>
      </w:r>
      <w:r w:rsidRPr="00D519A3">
        <w:rPr>
          <w:i/>
        </w:rPr>
        <w:t>G8KPL2 and Department of Health</w:t>
      </w:r>
      <w:r w:rsidRPr="00D519A3">
        <w:t xml:space="preserve"> [2013] QICmr 15</w:t>
      </w:r>
      <w:r w:rsidR="00B3046A" w:rsidRPr="00D519A3">
        <w:t xml:space="preserve"> [30] and </w:t>
      </w:r>
      <w:hyperlink r:id="rId274" w:history="1">
        <w:r w:rsidRPr="00D519A3">
          <w:rPr>
            <w:rStyle w:val="Hyperlink"/>
            <w:i/>
          </w:rPr>
          <w:t xml:space="preserve">Dentsu X and Chief Minister, Treasury and Economic Development Directorate </w:t>
        </w:r>
        <w:r w:rsidRPr="00D519A3">
          <w:rPr>
            <w:rStyle w:val="Hyperlink"/>
          </w:rPr>
          <w:t xml:space="preserve">[2019] ACTOFOI 7 </w:t>
        </w:r>
        <w:r w:rsidR="00B3046A" w:rsidRPr="00D519A3">
          <w:rPr>
            <w:rStyle w:val="Hyperlink"/>
          </w:rPr>
          <w:t>(24 April 2019)</w:t>
        </w:r>
      </w:hyperlink>
      <w:r w:rsidR="00B3046A" w:rsidRPr="00D519A3">
        <w:t xml:space="preserve"> </w:t>
      </w:r>
      <w:r w:rsidRPr="00D519A3">
        <w:t xml:space="preserve">[38]. </w:t>
      </w:r>
    </w:p>
  </w:footnote>
  <w:footnote w:id="253">
    <w:p w14:paraId="187514F8" w14:textId="13EBBC33" w:rsidR="009D49EB" w:rsidRPr="00D519A3" w:rsidRDefault="009D49EB" w:rsidP="005B7153">
      <w:pPr>
        <w:pStyle w:val="FootnoteText"/>
      </w:pPr>
      <w:r w:rsidRPr="00D519A3">
        <w:rPr>
          <w:rStyle w:val="FootnoteReference"/>
        </w:rPr>
        <w:footnoteRef/>
      </w:r>
      <w:r w:rsidRPr="00D519A3">
        <w:t xml:space="preserve"> </w:t>
      </w:r>
      <w:hyperlink r:id="rId275" w:history="1">
        <w:r w:rsidRPr="00CD4D3E">
          <w:rPr>
            <w:rStyle w:val="Hyperlink"/>
            <w:i/>
          </w:rPr>
          <w:t>Hof and Rockhampton Regional Council</w:t>
        </w:r>
        <w:r w:rsidRPr="00CD4D3E">
          <w:rPr>
            <w:rStyle w:val="Hyperlink"/>
          </w:rPr>
          <w:t xml:space="preserve"> [2015] QICmr 8</w:t>
        </w:r>
      </w:hyperlink>
      <w:r w:rsidR="00CD4D3E">
        <w:t>,</w:t>
      </w:r>
      <w:r w:rsidRPr="00D519A3">
        <w:t xml:space="preserve"> [49]. </w:t>
      </w:r>
    </w:p>
  </w:footnote>
  <w:footnote w:id="254">
    <w:p w14:paraId="5EB22670" w14:textId="3C7C0314" w:rsidR="009D49EB" w:rsidRPr="00D519A3" w:rsidRDefault="009D49EB" w:rsidP="005B7153">
      <w:pPr>
        <w:pStyle w:val="FootnoteText"/>
      </w:pPr>
      <w:r w:rsidRPr="00D519A3">
        <w:rPr>
          <w:rStyle w:val="FootnoteReference"/>
        </w:rPr>
        <w:footnoteRef/>
      </w:r>
      <w:r w:rsidRPr="00D519A3">
        <w:t xml:space="preserve"> </w:t>
      </w:r>
      <w:r w:rsidRPr="00D519A3">
        <w:rPr>
          <w:i/>
        </w:rPr>
        <w:t>‘</w:t>
      </w:r>
      <w:hyperlink r:id="rId276" w:history="1">
        <w:r w:rsidRPr="00354777">
          <w:rPr>
            <w:rStyle w:val="Hyperlink"/>
            <w:i/>
          </w:rPr>
          <w:t xml:space="preserve">BA’ and Merit Protection Commissioner </w:t>
        </w:r>
        <w:r w:rsidRPr="00354777">
          <w:rPr>
            <w:rStyle w:val="Hyperlink"/>
          </w:rPr>
          <w:t>[2014] AICmr 9</w:t>
        </w:r>
      </w:hyperlink>
      <w:r w:rsidR="00CD4D3E">
        <w:t>,</w:t>
      </w:r>
      <w:r w:rsidRPr="00D519A3">
        <w:t xml:space="preserve"> [87]. </w:t>
      </w:r>
    </w:p>
  </w:footnote>
  <w:footnote w:id="255">
    <w:p w14:paraId="7379874D" w14:textId="21513FEB" w:rsidR="009D49EB" w:rsidRPr="00D519A3" w:rsidRDefault="009D49EB" w:rsidP="00146B33">
      <w:pPr>
        <w:spacing w:after="0" w:line="240" w:lineRule="auto"/>
        <w:ind w:left="142" w:right="-448" w:hanging="142"/>
        <w:rPr>
          <w:sz w:val="20"/>
        </w:rPr>
      </w:pPr>
      <w:r w:rsidRPr="00D519A3">
        <w:rPr>
          <w:rStyle w:val="FootnoteReference"/>
        </w:rPr>
        <w:footnoteRef/>
      </w:r>
      <w:r w:rsidRPr="00D519A3">
        <w:t xml:space="preserve"> </w:t>
      </w:r>
      <w:hyperlink r:id="rId277" w:history="1">
        <w:r w:rsidRPr="00354777">
          <w:rPr>
            <w:rStyle w:val="Hyperlink"/>
            <w:i/>
            <w:sz w:val="20"/>
          </w:rPr>
          <w:t>Queensland Newspapers Pty Ltd and Ipswich City Council; Third Party</w:t>
        </w:r>
        <w:r w:rsidRPr="00354777">
          <w:rPr>
            <w:rStyle w:val="Hyperlink"/>
            <w:sz w:val="20"/>
          </w:rPr>
          <w:t xml:space="preserve"> [2015] QICmr 12</w:t>
        </w:r>
      </w:hyperlink>
      <w:r w:rsidR="00354777">
        <w:rPr>
          <w:sz w:val="20"/>
        </w:rPr>
        <w:t>,</w:t>
      </w:r>
      <w:r w:rsidRPr="00D519A3">
        <w:rPr>
          <w:sz w:val="20"/>
        </w:rPr>
        <w:t xml:space="preserve"> [31]. In the ACT, agency staff may be permitted to make ‘reasonable personal use’ of agency ICT resources: see for example the </w:t>
      </w:r>
      <w:hyperlink r:id="rId278" w:history="1">
        <w:r w:rsidRPr="00D519A3">
          <w:rPr>
            <w:rStyle w:val="Hyperlink"/>
            <w:i/>
            <w:sz w:val="20"/>
          </w:rPr>
          <w:t>ACT Government Acceptable Use Policy</w:t>
        </w:r>
      </w:hyperlink>
      <w:r w:rsidR="00BB57B2" w:rsidRPr="00D519A3">
        <w:rPr>
          <w:sz w:val="20"/>
        </w:rPr>
        <w:t xml:space="preserve">. </w:t>
      </w:r>
    </w:p>
  </w:footnote>
  <w:footnote w:id="256">
    <w:p w14:paraId="214F6473" w14:textId="58FB466F" w:rsidR="009D49EB" w:rsidRPr="00D519A3" w:rsidRDefault="009D49EB" w:rsidP="00DE4DD6">
      <w:pPr>
        <w:pStyle w:val="NoSpacing"/>
        <w:rPr>
          <w:sz w:val="20"/>
        </w:rPr>
      </w:pPr>
      <w:r w:rsidRPr="00D519A3">
        <w:rPr>
          <w:rStyle w:val="FootnoteReference"/>
        </w:rPr>
        <w:footnoteRef/>
      </w:r>
      <w:r w:rsidRPr="00D519A3">
        <w:t xml:space="preserve"> </w:t>
      </w:r>
      <w:hyperlink r:id="rId279" w:history="1">
        <w:r w:rsidRPr="00D519A3">
          <w:rPr>
            <w:rStyle w:val="Hyperlink"/>
            <w:i/>
            <w:sz w:val="20"/>
          </w:rPr>
          <w:t>Daniella White and Canberra Health Services</w:t>
        </w:r>
        <w:r w:rsidRPr="00D519A3">
          <w:rPr>
            <w:rStyle w:val="Hyperlink"/>
            <w:sz w:val="20"/>
          </w:rPr>
          <w:t xml:space="preserve"> [2019] ACTOFOI 9 (5 June 2019)</w:t>
        </w:r>
      </w:hyperlink>
      <w:r w:rsidR="0075351E" w:rsidRPr="00D519A3">
        <w:rPr>
          <w:sz w:val="20"/>
        </w:rPr>
        <w:t>.</w:t>
      </w:r>
    </w:p>
  </w:footnote>
  <w:footnote w:id="257">
    <w:p w14:paraId="142B875B" w14:textId="6F7D71D3" w:rsidR="009D49EB" w:rsidRPr="00D519A3" w:rsidRDefault="009D49EB" w:rsidP="005B7153">
      <w:pPr>
        <w:pStyle w:val="FootnoteText"/>
      </w:pPr>
      <w:r w:rsidRPr="00D519A3">
        <w:rPr>
          <w:rStyle w:val="FootnoteReference"/>
        </w:rPr>
        <w:footnoteRef/>
      </w:r>
      <w:r w:rsidRPr="00D519A3">
        <w:t xml:space="preserve"> </w:t>
      </w:r>
      <w:hyperlink r:id="rId280" w:history="1">
        <w:r w:rsidR="00F60A73" w:rsidRPr="0096731A">
          <w:rPr>
            <w:rStyle w:val="Hyperlink"/>
          </w:rPr>
          <w:t>FOI Act</w:t>
        </w:r>
      </w:hyperlink>
      <w:r w:rsidR="00F60A73" w:rsidRPr="00D519A3">
        <w:t xml:space="preserve"> </w:t>
      </w:r>
      <w:r w:rsidR="00F63F69">
        <w:t>s</w:t>
      </w:r>
      <w:r w:rsidR="00BF3A5A" w:rsidRPr="00F63F69">
        <w:t>ch 2</w:t>
      </w:r>
      <w:r w:rsidR="00F63F69">
        <w:t xml:space="preserve"> s</w:t>
      </w:r>
      <w:r w:rsidR="00BF3A5A" w:rsidRPr="00F63F69">
        <w:t xml:space="preserve"> 2.2(a)(v)</w:t>
      </w:r>
      <w:r w:rsidR="00F63F69">
        <w:t>; s 2.2(a)</w:t>
      </w:r>
      <w:r w:rsidR="00BF3A5A" w:rsidRPr="00F63F69">
        <w:t>(xviii)</w:t>
      </w:r>
      <w:r w:rsidR="00BF3A5A" w:rsidRPr="00D519A3">
        <w:t>.</w:t>
      </w:r>
    </w:p>
  </w:footnote>
  <w:footnote w:id="258">
    <w:p w14:paraId="3D89C5B5" w14:textId="735A4FC1" w:rsidR="009D49EB" w:rsidRPr="00D519A3" w:rsidRDefault="009D49EB" w:rsidP="00F71E05">
      <w:pPr>
        <w:pStyle w:val="FootnoteText"/>
      </w:pPr>
      <w:r w:rsidRPr="00D519A3">
        <w:rPr>
          <w:rStyle w:val="FootnoteReference"/>
        </w:rPr>
        <w:footnoteRef/>
      </w:r>
      <w:r w:rsidRPr="00D519A3">
        <w:t xml:space="preserve"> </w:t>
      </w:r>
      <w:hyperlink r:id="rId281" w:history="1">
        <w:r w:rsidRPr="009A540E">
          <w:rPr>
            <w:rStyle w:val="Hyperlink"/>
            <w:i/>
          </w:rPr>
          <w:t xml:space="preserve">Queensland Newspapers Pty Ltd and Queensland Police Service; Third Parties </w:t>
        </w:r>
        <w:r w:rsidRPr="009A540E">
          <w:rPr>
            <w:rStyle w:val="Hyperlink"/>
          </w:rPr>
          <w:t>[2014] QICmr 27</w:t>
        </w:r>
      </w:hyperlink>
      <w:r w:rsidR="009A540E">
        <w:t>,</w:t>
      </w:r>
      <w:r w:rsidRPr="00D519A3">
        <w:t xml:space="preserve"> [100]. </w:t>
      </w:r>
    </w:p>
  </w:footnote>
  <w:footnote w:id="259">
    <w:p w14:paraId="6972844C" w14:textId="68796979" w:rsidR="009D49EB" w:rsidRPr="00D519A3" w:rsidRDefault="009D49EB" w:rsidP="00F71E05">
      <w:pPr>
        <w:pStyle w:val="FootnoteText"/>
      </w:pPr>
      <w:r w:rsidRPr="00D519A3">
        <w:rPr>
          <w:rStyle w:val="FootnoteReference"/>
        </w:rPr>
        <w:footnoteRef/>
      </w:r>
      <w:r w:rsidRPr="00D519A3">
        <w:t xml:space="preserve"> </w:t>
      </w:r>
      <w:hyperlink r:id="rId282" w:history="1">
        <w:r w:rsidR="008E5E37" w:rsidRPr="0096731A">
          <w:rPr>
            <w:rStyle w:val="Hyperlink"/>
            <w:i/>
          </w:rPr>
          <w:t>Legislation Act</w:t>
        </w:r>
      </w:hyperlink>
      <w:r w:rsidR="008E5E37" w:rsidRPr="00D519A3">
        <w:t xml:space="preserve"> Dictionary pt 1 (definition of </w:t>
      </w:r>
      <w:r w:rsidRPr="00D519A3">
        <w:t>‘law’</w:t>
      </w:r>
      <w:r w:rsidR="008E5E37" w:rsidRPr="00D519A3">
        <w:t xml:space="preserve">). </w:t>
      </w:r>
    </w:p>
  </w:footnote>
  <w:footnote w:id="260">
    <w:p w14:paraId="694A45C0" w14:textId="1AB2A6DC" w:rsidR="009D49EB" w:rsidRPr="00D519A3" w:rsidRDefault="009D49EB" w:rsidP="00146B33">
      <w:pPr>
        <w:pStyle w:val="FootnoteText"/>
        <w:ind w:left="142" w:hanging="142"/>
      </w:pPr>
      <w:r w:rsidRPr="00D519A3">
        <w:rPr>
          <w:rStyle w:val="FootnoteReference"/>
        </w:rPr>
        <w:footnoteRef/>
      </w:r>
      <w:r w:rsidRPr="00D519A3">
        <w:t xml:space="preserve"> </w:t>
      </w:r>
      <w:hyperlink r:id="rId283" w:history="1">
        <w:r w:rsidRPr="009A540E">
          <w:rPr>
            <w:rStyle w:val="Hyperlink"/>
            <w:i/>
          </w:rPr>
          <w:t>Re Gold and Australian Federal Police and National Crime Authority</w:t>
        </w:r>
        <w:r w:rsidRPr="009A540E">
          <w:rPr>
            <w:rStyle w:val="Hyperlink"/>
          </w:rPr>
          <w:t xml:space="preserve"> [1994] AATA 382</w:t>
        </w:r>
      </w:hyperlink>
      <w:r w:rsidRPr="00D519A3">
        <w:t xml:space="preserve">, citing Young CJ in </w:t>
      </w:r>
      <w:r w:rsidRPr="00D519A3">
        <w:rPr>
          <w:i/>
        </w:rPr>
        <w:t>Accident Compensation Commission v Croom</w:t>
      </w:r>
      <w:r w:rsidRPr="00D519A3">
        <w:t xml:space="preserve"> (1991) 2 VR 322 324.</w:t>
      </w:r>
    </w:p>
  </w:footnote>
  <w:footnote w:id="261">
    <w:p w14:paraId="3B7B3673" w14:textId="7AFE697C" w:rsidR="009D49EB" w:rsidRPr="00D519A3" w:rsidRDefault="009D49EB" w:rsidP="00DE4DD6">
      <w:pPr>
        <w:pStyle w:val="FootnoteText"/>
      </w:pPr>
      <w:r w:rsidRPr="00D519A3">
        <w:rPr>
          <w:rStyle w:val="FootnoteReference"/>
        </w:rPr>
        <w:footnoteRef/>
      </w:r>
      <w:r w:rsidRPr="00D519A3">
        <w:t xml:space="preserve"> </w:t>
      </w:r>
      <w:hyperlink r:id="rId284" w:history="1">
        <w:r w:rsidRPr="009A540E">
          <w:rPr>
            <w:rStyle w:val="Hyperlink"/>
            <w:i/>
          </w:rPr>
          <w:t>Callejo and Department of Immigration and Citizenship</w:t>
        </w:r>
        <w:r w:rsidRPr="009A540E">
          <w:rPr>
            <w:rStyle w:val="Hyperlink"/>
          </w:rPr>
          <w:t xml:space="preserve"> [2010] AATA 244</w:t>
        </w:r>
      </w:hyperlink>
      <w:r w:rsidR="009A540E">
        <w:t>,</w:t>
      </w:r>
      <w:r w:rsidRPr="00D519A3">
        <w:t xml:space="preserve"> [195].  </w:t>
      </w:r>
    </w:p>
  </w:footnote>
  <w:footnote w:id="262">
    <w:p w14:paraId="0A3F8423" w14:textId="2C09AAE3" w:rsidR="009D49EB" w:rsidRPr="00D519A3" w:rsidRDefault="009D49EB" w:rsidP="007B6AFB">
      <w:pPr>
        <w:pStyle w:val="FootnoteText"/>
      </w:pPr>
      <w:r w:rsidRPr="00D519A3">
        <w:rPr>
          <w:rStyle w:val="FootnoteReference"/>
        </w:rPr>
        <w:footnoteRef/>
      </w:r>
      <w:r w:rsidRPr="00D519A3">
        <w:t xml:space="preserve"> </w:t>
      </w:r>
      <w:hyperlink r:id="rId285" w:history="1">
        <w:r w:rsidRPr="00677840">
          <w:rPr>
            <w:rStyle w:val="Hyperlink"/>
            <w:i/>
          </w:rPr>
          <w:t xml:space="preserve">Luck and Department of Human Services </w:t>
        </w:r>
        <w:r w:rsidRPr="00677840">
          <w:rPr>
            <w:rStyle w:val="Hyperlink"/>
          </w:rPr>
          <w:t>[2010] AATA 6</w:t>
        </w:r>
      </w:hyperlink>
      <w:r w:rsidR="00677840">
        <w:t xml:space="preserve">, </w:t>
      </w:r>
      <w:r w:rsidRPr="00D519A3">
        <w:t xml:space="preserve">[38]. </w:t>
      </w:r>
    </w:p>
  </w:footnote>
  <w:footnote w:id="263">
    <w:p w14:paraId="4CF37840" w14:textId="0D7FD3E7" w:rsidR="004C3EDB" w:rsidRPr="00D519A3" w:rsidRDefault="004C3EDB" w:rsidP="004C3EDB">
      <w:pPr>
        <w:pStyle w:val="FootnoteText"/>
      </w:pPr>
      <w:r w:rsidRPr="00D519A3">
        <w:rPr>
          <w:rStyle w:val="FootnoteReference"/>
        </w:rPr>
        <w:footnoteRef/>
      </w:r>
      <w:r w:rsidRPr="00D519A3">
        <w:t xml:space="preserve"> </w:t>
      </w:r>
      <w:hyperlink r:id="rId286" w:history="1">
        <w:r w:rsidRPr="00677840">
          <w:rPr>
            <w:rStyle w:val="Hyperlink"/>
            <w:i/>
          </w:rPr>
          <w:t xml:space="preserve">Plaintiff S157/2002 v Commonwealth </w:t>
        </w:r>
        <w:r w:rsidRPr="00677840">
          <w:rPr>
            <w:rStyle w:val="Hyperlink"/>
          </w:rPr>
          <w:t>(2003) 211 CLR 476</w:t>
        </w:r>
      </w:hyperlink>
      <w:r w:rsidRPr="00D519A3">
        <w:t>; [2003] HCA 2</w:t>
      </w:r>
      <w:r w:rsidR="00677840">
        <w:t>,</w:t>
      </w:r>
      <w:r w:rsidRPr="00D519A3">
        <w:t xml:space="preserve"> [25]. </w:t>
      </w:r>
    </w:p>
  </w:footnote>
  <w:footnote w:id="264">
    <w:p w14:paraId="652507AC" w14:textId="52299511" w:rsidR="009D49EB" w:rsidRPr="00D519A3" w:rsidRDefault="009D49EB">
      <w:pPr>
        <w:pStyle w:val="FootnoteText"/>
      </w:pPr>
      <w:r w:rsidRPr="00D519A3">
        <w:rPr>
          <w:rStyle w:val="FootnoteReference"/>
        </w:rPr>
        <w:footnoteRef/>
      </w:r>
      <w:r w:rsidRPr="00D519A3">
        <w:t xml:space="preserve"> </w:t>
      </w:r>
      <w:hyperlink r:id="rId287" w:history="1">
        <w:r w:rsidRPr="00D519A3">
          <w:rPr>
            <w:rStyle w:val="Hyperlink"/>
            <w:i/>
          </w:rPr>
          <w:t>Daniella White and Canberra Health Services</w:t>
        </w:r>
        <w:r w:rsidRPr="00D519A3">
          <w:rPr>
            <w:rStyle w:val="Hyperlink"/>
          </w:rPr>
          <w:t xml:space="preserve"> [2019] ACTOFOI 9 (5 June 201</w:t>
        </w:r>
        <w:r w:rsidR="002C7EA4" w:rsidRPr="00D519A3">
          <w:rPr>
            <w:rStyle w:val="Hyperlink"/>
          </w:rPr>
          <w:t>9</w:t>
        </w:r>
        <w:r w:rsidRPr="00D519A3">
          <w:rPr>
            <w:rStyle w:val="Hyperlink"/>
          </w:rPr>
          <w:t>)</w:t>
        </w:r>
      </w:hyperlink>
      <w:r w:rsidR="00CB5D06" w:rsidRPr="00D519A3">
        <w:t>.</w:t>
      </w:r>
    </w:p>
  </w:footnote>
  <w:footnote w:id="265">
    <w:p w14:paraId="23EFEF96" w14:textId="58951463" w:rsidR="009D49EB" w:rsidRPr="00D519A3" w:rsidRDefault="009D49EB" w:rsidP="00F71E05">
      <w:pPr>
        <w:pStyle w:val="FootnoteText"/>
      </w:pPr>
      <w:r w:rsidRPr="00D519A3">
        <w:rPr>
          <w:rStyle w:val="FootnoteReference"/>
        </w:rPr>
        <w:footnoteRef/>
      </w:r>
      <w:r w:rsidRPr="00D519A3">
        <w:t xml:space="preserve"> </w:t>
      </w:r>
      <w:hyperlink r:id="rId288" w:history="1">
        <w:r w:rsidRPr="00E33D37">
          <w:rPr>
            <w:rStyle w:val="Hyperlink"/>
            <w:i/>
          </w:rPr>
          <w:t xml:space="preserve">Zacka and Fraser Coast Regional Council; BGM Projects Pty Ltd (Third Party) &amp; Ors </w:t>
        </w:r>
        <w:r w:rsidRPr="00E33D37">
          <w:rPr>
            <w:rStyle w:val="Hyperlink"/>
          </w:rPr>
          <w:t>[2019] QICmr 2</w:t>
        </w:r>
      </w:hyperlink>
      <w:r w:rsidR="00E33D37">
        <w:t>,</w:t>
      </w:r>
      <w:r w:rsidRPr="00D519A3">
        <w:t xml:space="preserve"> [39]. </w:t>
      </w:r>
    </w:p>
  </w:footnote>
  <w:footnote w:id="266">
    <w:p w14:paraId="46C70444" w14:textId="25D6EB62" w:rsidR="009D49EB" w:rsidRPr="00D519A3" w:rsidRDefault="009D49EB" w:rsidP="00F71E05">
      <w:pPr>
        <w:pStyle w:val="FootnoteText"/>
      </w:pPr>
      <w:r w:rsidRPr="00D519A3">
        <w:rPr>
          <w:rStyle w:val="FootnoteReference"/>
        </w:rPr>
        <w:footnoteRef/>
      </w:r>
      <w:r w:rsidRPr="00D519A3">
        <w:t xml:space="preserve"> </w:t>
      </w:r>
      <w:r w:rsidRPr="00D519A3">
        <w:rPr>
          <w:i/>
        </w:rPr>
        <w:t>‘</w:t>
      </w:r>
      <w:hyperlink r:id="rId289" w:history="1">
        <w:r w:rsidRPr="00E33D37">
          <w:rPr>
            <w:rStyle w:val="Hyperlink"/>
            <w:i/>
          </w:rPr>
          <w:t xml:space="preserve">LJ’ and Department of Immigration and Border Protection </w:t>
        </w:r>
        <w:r w:rsidR="00CB5D06" w:rsidRPr="00E33D37">
          <w:rPr>
            <w:rStyle w:val="Hyperlink"/>
          </w:rPr>
          <w:t>[2017] AICmr 46</w:t>
        </w:r>
      </w:hyperlink>
      <w:r w:rsidR="00E33D37">
        <w:t xml:space="preserve">, </w:t>
      </w:r>
      <w:r w:rsidR="00CB5D06" w:rsidRPr="00D519A3">
        <w:t>[91]-[92]</w:t>
      </w:r>
      <w:r w:rsidR="00E33D37">
        <w:t>;</w:t>
      </w:r>
      <w:r w:rsidRPr="00D519A3">
        <w:t xml:space="preserve"> [114]-[115]. </w:t>
      </w:r>
    </w:p>
  </w:footnote>
  <w:footnote w:id="267">
    <w:p w14:paraId="58ED9AC8" w14:textId="627F34E4" w:rsidR="009D49EB" w:rsidRPr="00D519A3" w:rsidRDefault="009D49EB" w:rsidP="00F71E05">
      <w:pPr>
        <w:pStyle w:val="FootnoteText"/>
      </w:pPr>
      <w:r w:rsidRPr="00D519A3">
        <w:rPr>
          <w:rStyle w:val="FootnoteReference"/>
        </w:rPr>
        <w:footnoteRef/>
      </w:r>
      <w:r w:rsidRPr="00D519A3">
        <w:t xml:space="preserve"> </w:t>
      </w:r>
      <w:r w:rsidRPr="00D519A3">
        <w:rPr>
          <w:i/>
        </w:rPr>
        <w:t>‘</w:t>
      </w:r>
      <w:hyperlink r:id="rId290" w:history="1">
        <w:r w:rsidRPr="00E33D37">
          <w:rPr>
            <w:rStyle w:val="Hyperlink"/>
            <w:i/>
          </w:rPr>
          <w:t xml:space="preserve">AC’ and Department of Health and Aging </w:t>
        </w:r>
        <w:r w:rsidRPr="00E33D37">
          <w:rPr>
            <w:rStyle w:val="Hyperlink"/>
          </w:rPr>
          <w:t>[2013] AICmr 50</w:t>
        </w:r>
      </w:hyperlink>
      <w:r w:rsidR="00E33D37">
        <w:t>,</w:t>
      </w:r>
      <w:r w:rsidRPr="00D519A3">
        <w:t xml:space="preserve"> [74]. </w:t>
      </w:r>
    </w:p>
  </w:footnote>
  <w:footnote w:id="268">
    <w:p w14:paraId="60E528A2" w14:textId="59637C0D" w:rsidR="009D49EB" w:rsidRPr="00D519A3" w:rsidRDefault="009D49EB">
      <w:pPr>
        <w:pStyle w:val="FootnoteText"/>
      </w:pPr>
      <w:r w:rsidRPr="00D519A3">
        <w:rPr>
          <w:rStyle w:val="FootnoteReference"/>
        </w:rPr>
        <w:footnoteRef/>
      </w:r>
      <w:r w:rsidRPr="00D519A3">
        <w:t xml:space="preserve"> </w:t>
      </w:r>
      <w:hyperlink r:id="rId291" w:history="1">
        <w:r w:rsidRPr="007B0E0B">
          <w:rPr>
            <w:rStyle w:val="Hyperlink"/>
            <w:i/>
          </w:rPr>
          <w:t>Beale and the Department of Community Safety</w:t>
        </w:r>
        <w:r w:rsidR="007313C0" w:rsidRPr="007B0E0B">
          <w:rPr>
            <w:rStyle w:val="Hyperlink"/>
          </w:rPr>
          <w:t xml:space="preserve"> (Unreported, </w:t>
        </w:r>
        <w:r w:rsidRPr="007B0E0B">
          <w:rPr>
            <w:rStyle w:val="Hyperlink"/>
          </w:rPr>
          <w:t>QLD Information Commissioner, 11 May 2012</w:t>
        </w:r>
        <w:r w:rsidR="007313C0" w:rsidRPr="007B0E0B">
          <w:rPr>
            <w:rStyle w:val="Hyperlink"/>
          </w:rPr>
          <w:t>).</w:t>
        </w:r>
      </w:hyperlink>
    </w:p>
  </w:footnote>
  <w:footnote w:id="269">
    <w:p w14:paraId="7C85FECE" w14:textId="52F8E705" w:rsidR="009D49EB" w:rsidRPr="00D519A3" w:rsidRDefault="009D49EB">
      <w:pPr>
        <w:pStyle w:val="FootnoteText"/>
      </w:pPr>
      <w:r w:rsidRPr="00D519A3">
        <w:rPr>
          <w:rStyle w:val="FootnoteReference"/>
        </w:rPr>
        <w:footnoteRef/>
      </w:r>
      <w:r w:rsidR="00F504CD" w:rsidRPr="00D519A3">
        <w:t xml:space="preserve"> </w:t>
      </w:r>
      <w:hyperlink r:id="rId292" w:history="1">
        <w:r w:rsidRPr="007B0E0B">
          <w:rPr>
            <w:rStyle w:val="Hyperlink"/>
            <w:i/>
          </w:rPr>
          <w:t xml:space="preserve">Q20RYB and Department of Justice and Attorney-General </w:t>
        </w:r>
        <w:r w:rsidRPr="007B0E0B">
          <w:rPr>
            <w:rStyle w:val="Hyperlink"/>
          </w:rPr>
          <w:t>[2014] QICmr 2</w:t>
        </w:r>
      </w:hyperlink>
      <w:r w:rsidRPr="00D519A3">
        <w:t>.</w:t>
      </w:r>
    </w:p>
  </w:footnote>
  <w:footnote w:id="270">
    <w:p w14:paraId="69B763C2" w14:textId="56F56EC5" w:rsidR="009D49EB" w:rsidRPr="00D519A3" w:rsidRDefault="009D49EB" w:rsidP="004C1BCA">
      <w:pPr>
        <w:pStyle w:val="FootnoteText"/>
      </w:pPr>
      <w:r w:rsidRPr="00D519A3">
        <w:rPr>
          <w:rStyle w:val="FootnoteReference"/>
        </w:rPr>
        <w:footnoteRef/>
      </w:r>
      <w:r w:rsidRPr="00D519A3">
        <w:t xml:space="preserve"> </w:t>
      </w:r>
      <w:hyperlink r:id="rId293" w:history="1">
        <w:r w:rsidR="00DE2A39" w:rsidRPr="00D519A3">
          <w:rPr>
            <w:rStyle w:val="Hyperlink"/>
            <w:bCs/>
            <w:iCs/>
          </w:rPr>
          <w:t>[2018] ACTOFOI 12</w:t>
        </w:r>
      </w:hyperlink>
      <w:r w:rsidRPr="00D519A3">
        <w:t>.</w:t>
      </w:r>
    </w:p>
  </w:footnote>
  <w:footnote w:id="271">
    <w:p w14:paraId="2E57C95E" w14:textId="2AD0D8EB" w:rsidR="009D49EB" w:rsidRPr="00D519A3" w:rsidRDefault="009D49EB" w:rsidP="00F71E05">
      <w:pPr>
        <w:pStyle w:val="FootnoteText"/>
      </w:pPr>
      <w:r w:rsidRPr="00D519A3">
        <w:rPr>
          <w:rStyle w:val="FootnoteReference"/>
        </w:rPr>
        <w:footnoteRef/>
      </w:r>
      <w:r w:rsidRPr="00D519A3">
        <w:t xml:space="preserve"> </w:t>
      </w:r>
      <w:r w:rsidR="00D72195">
        <w:t xml:space="preserve">Chief Minister, Treasury and Economic Development Directorate </w:t>
      </w:r>
      <w:r w:rsidR="007B6018" w:rsidRPr="00D519A3">
        <w:t>‘</w:t>
      </w:r>
      <w:hyperlink r:id="rId294" w:history="1">
        <w:r w:rsidR="007B6018" w:rsidRPr="00D72195">
          <w:rPr>
            <w:rStyle w:val="Hyperlink"/>
          </w:rPr>
          <w:t>Economic Indicators for the ACT</w:t>
        </w:r>
      </w:hyperlink>
      <w:r w:rsidR="007B6018" w:rsidRPr="00D519A3">
        <w:t>’ (</w:t>
      </w:r>
      <w:r w:rsidR="007B6018" w:rsidRPr="00D72195">
        <w:t>Webpage</w:t>
      </w:r>
      <w:r w:rsidR="00B12028" w:rsidRPr="00D519A3">
        <w:t>, 21 October 2019).</w:t>
      </w:r>
    </w:p>
  </w:footnote>
  <w:footnote w:id="272">
    <w:p w14:paraId="78D4E566" w14:textId="1ED54405" w:rsidR="009D49EB" w:rsidRPr="00D519A3" w:rsidRDefault="009D49EB" w:rsidP="00146B33">
      <w:pPr>
        <w:pStyle w:val="FootnoteText"/>
        <w:ind w:left="142" w:hanging="142"/>
      </w:pPr>
      <w:r w:rsidRPr="00D519A3">
        <w:rPr>
          <w:rStyle w:val="FootnoteReference"/>
        </w:rPr>
        <w:footnoteRef/>
      </w:r>
      <w:r w:rsidRPr="00D519A3">
        <w:t xml:space="preserve"> </w:t>
      </w:r>
      <w:hyperlink r:id="rId295" w:history="1">
        <w:r w:rsidRPr="00C45C8A">
          <w:rPr>
            <w:rStyle w:val="Hyperlink"/>
            <w:i/>
          </w:rPr>
          <w:t xml:space="preserve">Northern Queensland Conservation Inc and Queensland Territory </w:t>
        </w:r>
        <w:r w:rsidR="008B560D" w:rsidRPr="00C45C8A">
          <w:rPr>
            <w:rStyle w:val="Hyperlink"/>
          </w:rPr>
          <w:t>[2016] QICmr 21</w:t>
        </w:r>
      </w:hyperlink>
      <w:r w:rsidR="00D72195">
        <w:t>,</w:t>
      </w:r>
      <w:r w:rsidRPr="00D519A3">
        <w:t xml:space="preserve"> [60]-[61]; </w:t>
      </w:r>
      <w:hyperlink r:id="rId296" w:history="1">
        <w:r w:rsidRPr="00C45C8A">
          <w:rPr>
            <w:rStyle w:val="Hyperlink"/>
            <w:i/>
          </w:rPr>
          <w:t xml:space="preserve">Murphy v Broken Hill City Council </w:t>
        </w:r>
        <w:r w:rsidR="008B560D" w:rsidRPr="00C45C8A">
          <w:rPr>
            <w:rStyle w:val="Hyperlink"/>
          </w:rPr>
          <w:t>[2015] NSWCATAD 135</w:t>
        </w:r>
      </w:hyperlink>
      <w:r w:rsidR="007D1D71">
        <w:t>,</w:t>
      </w:r>
      <w:r w:rsidR="008B560D" w:rsidRPr="00D519A3">
        <w:t xml:space="preserve"> </w:t>
      </w:r>
      <w:r w:rsidRPr="00D519A3">
        <w:t xml:space="preserve">[61]. </w:t>
      </w:r>
    </w:p>
  </w:footnote>
  <w:footnote w:id="273">
    <w:p w14:paraId="1A717A7C" w14:textId="769F2A10" w:rsidR="009D49EB" w:rsidRPr="00D519A3" w:rsidRDefault="009D49EB" w:rsidP="00F71E05">
      <w:pPr>
        <w:pStyle w:val="FootnoteText"/>
      </w:pPr>
      <w:r w:rsidRPr="00D519A3">
        <w:rPr>
          <w:rStyle w:val="FootnoteReference"/>
        </w:rPr>
        <w:footnoteRef/>
      </w:r>
      <w:r w:rsidRPr="00D519A3">
        <w:t xml:space="preserve"> </w:t>
      </w:r>
      <w:r w:rsidR="008B560D" w:rsidRPr="00D519A3">
        <w:t>Ibid [59]</w:t>
      </w:r>
      <w:r w:rsidR="00D72195">
        <w:t>;</w:t>
      </w:r>
      <w:r w:rsidR="008B560D" w:rsidRPr="00D519A3">
        <w:t xml:space="preserve"> </w:t>
      </w:r>
      <w:r w:rsidRPr="00D519A3">
        <w:t xml:space="preserve">[61]. </w:t>
      </w:r>
    </w:p>
  </w:footnote>
  <w:footnote w:id="274">
    <w:p w14:paraId="0E74A76A" w14:textId="7B781A78" w:rsidR="009D49EB" w:rsidRPr="00D519A3" w:rsidRDefault="009D49EB" w:rsidP="00F71E05">
      <w:pPr>
        <w:pStyle w:val="FootnoteText"/>
      </w:pPr>
      <w:r w:rsidRPr="00D519A3">
        <w:rPr>
          <w:rStyle w:val="FootnoteReference"/>
        </w:rPr>
        <w:footnoteRef/>
      </w:r>
      <w:r w:rsidRPr="00D519A3">
        <w:t xml:space="preserve"> </w:t>
      </w:r>
      <w:hyperlink r:id="rId297" w:history="1">
        <w:r w:rsidRPr="00C45C8A">
          <w:rPr>
            <w:rStyle w:val="Hyperlink"/>
            <w:i/>
          </w:rPr>
          <w:t xml:space="preserve">Washington and Australian Prudential Regulation Authority </w:t>
        </w:r>
        <w:r w:rsidR="00A3199F" w:rsidRPr="00C45C8A">
          <w:rPr>
            <w:rStyle w:val="Hyperlink"/>
          </w:rPr>
          <w:t>[2011] AICmr 11</w:t>
        </w:r>
      </w:hyperlink>
      <w:r w:rsidR="00D72195">
        <w:t>,</w:t>
      </w:r>
      <w:r w:rsidR="00A3199F" w:rsidRPr="00D519A3">
        <w:t xml:space="preserve"> </w:t>
      </w:r>
      <w:r w:rsidRPr="00D519A3">
        <w:t xml:space="preserve">[15]-[17]. </w:t>
      </w:r>
    </w:p>
  </w:footnote>
  <w:footnote w:id="275">
    <w:p w14:paraId="0741198E" w14:textId="0FDEB945" w:rsidR="009D49EB" w:rsidRPr="00D519A3" w:rsidRDefault="009D49EB" w:rsidP="00872A65">
      <w:pPr>
        <w:pStyle w:val="FootnoteText"/>
      </w:pPr>
      <w:r w:rsidRPr="00D519A3">
        <w:rPr>
          <w:rStyle w:val="FootnoteReference"/>
        </w:rPr>
        <w:footnoteRef/>
      </w:r>
      <w:r w:rsidRPr="00D519A3">
        <w:t xml:space="preserve"> </w:t>
      </w:r>
      <w:hyperlink r:id="rId298" w:history="1">
        <w:r w:rsidR="00DE2A39" w:rsidRPr="00D519A3">
          <w:rPr>
            <w:rStyle w:val="Hyperlink"/>
            <w:bCs/>
            <w:iCs/>
          </w:rPr>
          <w:t>[2019] ACTOFOI 13 (25 July 2019</w:t>
        </w:r>
        <w:r w:rsidR="00880ABC" w:rsidRPr="00D519A3">
          <w:rPr>
            <w:rStyle w:val="Hyperlink"/>
            <w:bCs/>
            <w:iCs/>
          </w:rPr>
          <w:t>)</w:t>
        </w:r>
      </w:hyperlink>
      <w:r w:rsidR="00880ABC" w:rsidRPr="00D519A3">
        <w:rPr>
          <w:bCs/>
          <w:iCs/>
        </w:rPr>
        <w:t>.</w:t>
      </w:r>
      <w:r w:rsidRPr="00D519A3">
        <w:t xml:space="preserve"> </w:t>
      </w:r>
    </w:p>
  </w:footnote>
  <w:footnote w:id="276">
    <w:p w14:paraId="0D672914" w14:textId="5F313261" w:rsidR="009D49EB" w:rsidRPr="00D519A3" w:rsidRDefault="009D49EB" w:rsidP="00146B33">
      <w:pPr>
        <w:pStyle w:val="FootnoteText"/>
        <w:ind w:left="142" w:hanging="142"/>
      </w:pPr>
      <w:r w:rsidRPr="00D519A3">
        <w:rPr>
          <w:rStyle w:val="FootnoteReference"/>
        </w:rPr>
        <w:footnoteRef/>
      </w:r>
      <w:r w:rsidRPr="00D519A3">
        <w:t xml:space="preserve"> </w:t>
      </w:r>
      <w:hyperlink r:id="rId299" w:history="1">
        <w:r w:rsidRPr="001E75D2">
          <w:rPr>
            <w:rStyle w:val="Hyperlink"/>
            <w:i/>
          </w:rPr>
          <w:t xml:space="preserve">Marshall and the Department of Police </w:t>
        </w:r>
        <w:r w:rsidRPr="001E75D2">
          <w:rPr>
            <w:rStyle w:val="Hyperlink"/>
          </w:rPr>
          <w:t>[2011] QICmr 4</w:t>
        </w:r>
      </w:hyperlink>
      <w:r w:rsidRPr="001E75D2">
        <w:rPr>
          <w:rStyle w:val="Hyperlink"/>
          <w:color w:val="auto"/>
          <w:u w:val="none"/>
        </w:rPr>
        <w:t>.</w:t>
      </w:r>
      <w:r w:rsidRPr="001E75D2">
        <w:t xml:space="preserve"> </w:t>
      </w:r>
      <w:r w:rsidRPr="00D519A3">
        <w:t xml:space="preserve">Note however that where a person has a mandatory obligation to provide the relevant information to the agency, it cannot be said that disclosure could reasonably be expected to prejudice the flow of information to any significant extent: see </w:t>
      </w:r>
      <w:hyperlink r:id="rId300" w:history="1">
        <w:r w:rsidRPr="00F10E98">
          <w:rPr>
            <w:rStyle w:val="Hyperlink"/>
            <w:i/>
          </w:rPr>
          <w:t>Australian Workers’ Union and Queensland Treasury; Ardent Leisure Limited (Third Party)</w:t>
        </w:r>
        <w:r w:rsidRPr="00F10E98">
          <w:rPr>
            <w:rStyle w:val="Hyperlink"/>
          </w:rPr>
          <w:t xml:space="preserve"> [2016] QICmr 28</w:t>
        </w:r>
      </w:hyperlink>
      <w:r w:rsidR="00F10E98">
        <w:t>,</w:t>
      </w:r>
      <w:r w:rsidR="006311C2" w:rsidRPr="00D519A3">
        <w:t xml:space="preserve"> </w:t>
      </w:r>
      <w:r w:rsidRPr="00D519A3">
        <w:t xml:space="preserve">[58].  </w:t>
      </w:r>
    </w:p>
  </w:footnote>
  <w:footnote w:id="277">
    <w:p w14:paraId="126D3B08" w14:textId="2DCB2CBC" w:rsidR="006D0465" w:rsidRPr="00D519A3" w:rsidRDefault="006D0465" w:rsidP="00146B33">
      <w:pPr>
        <w:pStyle w:val="FootnoteText"/>
        <w:ind w:left="142" w:hanging="142"/>
      </w:pPr>
      <w:r w:rsidRPr="00D519A3">
        <w:rPr>
          <w:rStyle w:val="FootnoteReference"/>
        </w:rPr>
        <w:footnoteRef/>
      </w:r>
      <w:r w:rsidRPr="00D519A3">
        <w:t xml:space="preserve"> </w:t>
      </w:r>
      <w:hyperlink r:id="rId301" w:history="1">
        <w:r w:rsidR="00957F57" w:rsidRPr="00317231">
          <w:rPr>
            <w:rStyle w:val="Hyperlink"/>
            <w:i/>
          </w:rPr>
          <w:t xml:space="preserve">P6Y4SX and Department of Police </w:t>
        </w:r>
        <w:r w:rsidR="00957F57" w:rsidRPr="00317231">
          <w:rPr>
            <w:rStyle w:val="Hyperlink"/>
          </w:rPr>
          <w:t>(Unreported, Queensland Information Commissioner, 31 January 2012).</w:t>
        </w:r>
      </w:hyperlink>
    </w:p>
  </w:footnote>
  <w:footnote w:id="278">
    <w:p w14:paraId="33302D5D" w14:textId="2B92F5BB" w:rsidR="009D49EB" w:rsidRPr="00D519A3" w:rsidRDefault="009D49EB" w:rsidP="00146B33">
      <w:pPr>
        <w:pStyle w:val="FootnoteText"/>
        <w:ind w:left="142" w:hanging="142"/>
      </w:pPr>
      <w:r w:rsidRPr="00D519A3">
        <w:rPr>
          <w:rStyle w:val="FootnoteReference"/>
        </w:rPr>
        <w:footnoteRef/>
      </w:r>
      <w:r w:rsidRPr="00D519A3">
        <w:t xml:space="preserve"> </w:t>
      </w:r>
      <w:hyperlink r:id="rId302" w:history="1">
        <w:r w:rsidRPr="00317231">
          <w:rPr>
            <w:rStyle w:val="Hyperlink"/>
            <w:i/>
            <w:iCs/>
          </w:rPr>
          <w:t xml:space="preserve">WL1T8P and Queensland Police Service </w:t>
        </w:r>
        <w:r w:rsidRPr="00317231">
          <w:rPr>
            <w:rStyle w:val="Hyperlink"/>
            <w:iCs/>
          </w:rPr>
          <w:t>[2014] QICmr 40 (16 October 2014)</w:t>
        </w:r>
        <w:r w:rsidR="006D0465" w:rsidRPr="00317231">
          <w:rPr>
            <w:rStyle w:val="Hyperlink"/>
            <w:iCs/>
          </w:rPr>
          <w:t>.</w:t>
        </w:r>
      </w:hyperlink>
    </w:p>
  </w:footnote>
  <w:footnote w:id="279">
    <w:p w14:paraId="67BF2E87" w14:textId="4B5A0EA8" w:rsidR="009D49EB" w:rsidRPr="00D519A3" w:rsidRDefault="009D49EB" w:rsidP="00146B33">
      <w:pPr>
        <w:pStyle w:val="FootnoteText"/>
        <w:ind w:left="142" w:hanging="142"/>
      </w:pPr>
      <w:r w:rsidRPr="00D519A3">
        <w:rPr>
          <w:rStyle w:val="FootnoteReference"/>
        </w:rPr>
        <w:footnoteRef/>
      </w:r>
      <w:r w:rsidRPr="00D519A3">
        <w:t xml:space="preserve"> </w:t>
      </w:r>
      <w:hyperlink r:id="rId303" w:history="1">
        <w:r w:rsidRPr="00317231">
          <w:rPr>
            <w:rStyle w:val="Hyperlink"/>
            <w:i/>
          </w:rPr>
          <w:t>Alsop and Redland City Counci</w:t>
        </w:r>
        <w:r w:rsidRPr="00317231">
          <w:rPr>
            <w:rStyle w:val="Hyperlink"/>
          </w:rPr>
          <w:t>l [2017] QICmr 27</w:t>
        </w:r>
      </w:hyperlink>
      <w:r w:rsidR="00317231">
        <w:t>,</w:t>
      </w:r>
      <w:r w:rsidRPr="00D519A3">
        <w:t xml:space="preserve"> [34]. </w:t>
      </w:r>
    </w:p>
  </w:footnote>
  <w:footnote w:id="280">
    <w:p w14:paraId="20EB4DBC" w14:textId="63A8A16A" w:rsidR="009D49EB" w:rsidRPr="00D519A3" w:rsidRDefault="009D49EB" w:rsidP="00C74ABC">
      <w:pPr>
        <w:pStyle w:val="FootnoteText"/>
      </w:pPr>
      <w:r w:rsidRPr="00D519A3">
        <w:rPr>
          <w:rStyle w:val="FootnoteReference"/>
        </w:rPr>
        <w:footnoteRef/>
      </w:r>
      <w:r w:rsidRPr="00D519A3">
        <w:t xml:space="preserve"> </w:t>
      </w:r>
      <w:hyperlink r:id="rId304" w:history="1">
        <w:r w:rsidRPr="00D519A3">
          <w:rPr>
            <w:rStyle w:val="Hyperlink"/>
          </w:rPr>
          <w:t>[2019] ACTOFOI 8 (5 June 2019)</w:t>
        </w:r>
      </w:hyperlink>
      <w:r w:rsidR="006D0465" w:rsidRPr="00D519A3">
        <w:t>.</w:t>
      </w:r>
    </w:p>
  </w:footnote>
  <w:footnote w:id="281">
    <w:p w14:paraId="223DEB56" w14:textId="313E03F5" w:rsidR="009D49EB" w:rsidRPr="00D519A3" w:rsidRDefault="009D49EB" w:rsidP="00146B33">
      <w:pPr>
        <w:pStyle w:val="FootnoteText"/>
        <w:ind w:left="142" w:hanging="142"/>
      </w:pPr>
      <w:r w:rsidRPr="00D519A3">
        <w:rPr>
          <w:rStyle w:val="FootnoteReference"/>
        </w:rPr>
        <w:footnoteRef/>
      </w:r>
      <w:r w:rsidRPr="00D519A3">
        <w:t xml:space="preserve"> </w:t>
      </w:r>
      <w:hyperlink r:id="rId305" w:history="1">
        <w:r w:rsidRPr="00317231">
          <w:rPr>
            <w:rStyle w:val="Hyperlink"/>
            <w:i/>
          </w:rPr>
          <w:t>Greenpeace Australia Pacific and Queensland Treasury; Northern Australia Infrastructure Facility (Third Party)</w:t>
        </w:r>
        <w:r w:rsidRPr="00317231">
          <w:rPr>
            <w:rStyle w:val="Hyperlink"/>
          </w:rPr>
          <w:t xml:space="preserve"> [2018] QICmr 9</w:t>
        </w:r>
      </w:hyperlink>
      <w:r w:rsidR="00317231">
        <w:t>,</w:t>
      </w:r>
      <w:r w:rsidRPr="00D519A3">
        <w:t xml:space="preserve"> [48].  </w:t>
      </w:r>
    </w:p>
  </w:footnote>
  <w:footnote w:id="282">
    <w:p w14:paraId="77DC872A" w14:textId="4357CF4D" w:rsidR="009D49EB" w:rsidRPr="00D519A3" w:rsidRDefault="009D49EB" w:rsidP="00872A65">
      <w:pPr>
        <w:pStyle w:val="FootnoteText"/>
      </w:pPr>
      <w:r w:rsidRPr="00D519A3">
        <w:rPr>
          <w:rStyle w:val="FootnoteReference"/>
        </w:rPr>
        <w:footnoteRef/>
      </w:r>
      <w:r w:rsidRPr="00D519A3">
        <w:t xml:space="preserve"> </w:t>
      </w:r>
      <w:hyperlink r:id="rId306" w:history="1">
        <w:r w:rsidRPr="00205566">
          <w:rPr>
            <w:rStyle w:val="Hyperlink"/>
            <w:i/>
          </w:rPr>
          <w:t xml:space="preserve">Arnold (on behalf of Australians for Animals) v Queensland </w:t>
        </w:r>
        <w:r w:rsidRPr="00205566">
          <w:rPr>
            <w:rStyle w:val="Hyperlink"/>
          </w:rPr>
          <w:t>(1987) 73 ALR 607</w:t>
        </w:r>
      </w:hyperlink>
      <w:r w:rsidR="00205566">
        <w:t>,</w:t>
      </w:r>
      <w:r w:rsidRPr="00D519A3">
        <w:t xml:space="preserve"> </w:t>
      </w:r>
      <w:r w:rsidR="00507FF8" w:rsidRPr="00D519A3">
        <w:t>[</w:t>
      </w:r>
      <w:r w:rsidRPr="00D519A3">
        <w:t>616</w:t>
      </w:r>
      <w:r w:rsidR="00507FF8" w:rsidRPr="00D519A3">
        <w:t>]</w:t>
      </w:r>
      <w:r w:rsidRPr="00D519A3">
        <w:t>.</w:t>
      </w:r>
    </w:p>
  </w:footnote>
  <w:footnote w:id="283">
    <w:p w14:paraId="1549378E" w14:textId="7B008358" w:rsidR="009515A9" w:rsidRPr="00D519A3" w:rsidRDefault="009515A9">
      <w:pPr>
        <w:pStyle w:val="FootnoteText"/>
      </w:pPr>
      <w:r w:rsidRPr="00D519A3">
        <w:rPr>
          <w:rStyle w:val="FootnoteReference"/>
        </w:rPr>
        <w:footnoteRef/>
      </w:r>
      <w:r w:rsidRPr="00D519A3">
        <w:t xml:space="preserve"> </w:t>
      </w:r>
      <w:hyperlink r:id="rId307" w:history="1">
        <w:r w:rsidR="00DE2A39" w:rsidRPr="0096731A">
          <w:rPr>
            <w:rStyle w:val="Hyperlink"/>
          </w:rPr>
          <w:t>FOI Act</w:t>
        </w:r>
      </w:hyperlink>
      <w:r w:rsidR="00DE2A39" w:rsidRPr="00D519A3">
        <w:t xml:space="preserve"> </w:t>
      </w:r>
      <w:r w:rsidR="00DE2A39" w:rsidRPr="00A559D4">
        <w:t>s</w:t>
      </w:r>
      <w:r w:rsidRPr="00A559D4">
        <w:t xml:space="preserve"> 38</w:t>
      </w:r>
      <w:r w:rsidRPr="00D519A3">
        <w:t>.</w:t>
      </w:r>
    </w:p>
  </w:footnote>
  <w:footnote w:id="284">
    <w:p w14:paraId="32EB4FF2" w14:textId="65957857" w:rsidR="009D49EB" w:rsidRPr="00D519A3" w:rsidRDefault="009D49EB" w:rsidP="00872A65">
      <w:pPr>
        <w:pStyle w:val="FootnoteText"/>
      </w:pPr>
      <w:r w:rsidRPr="00D519A3">
        <w:rPr>
          <w:rStyle w:val="FootnoteReference"/>
        </w:rPr>
        <w:footnoteRef/>
      </w:r>
      <w:r w:rsidRPr="00D519A3">
        <w:t xml:space="preserve"> </w:t>
      </w:r>
      <w:r w:rsidRPr="00D519A3">
        <w:rPr>
          <w:i/>
        </w:rPr>
        <w:t xml:space="preserve">Arnold (on behalf of Australians for Animals) v Queensland </w:t>
      </w:r>
      <w:r w:rsidR="00507FF8" w:rsidRPr="00D519A3">
        <w:t>(1987) 73 ALR 607</w:t>
      </w:r>
      <w:r w:rsidR="00205566">
        <w:t>,</w:t>
      </w:r>
      <w:r w:rsidR="00507FF8" w:rsidRPr="00D519A3">
        <w:t xml:space="preserve"> [</w:t>
      </w:r>
      <w:r w:rsidRPr="00D519A3">
        <w:t>616</w:t>
      </w:r>
      <w:r w:rsidR="00507FF8" w:rsidRPr="00D519A3">
        <w:t>]</w:t>
      </w:r>
      <w:r w:rsidRPr="00D519A3">
        <w:t xml:space="preserve">. </w:t>
      </w:r>
    </w:p>
  </w:footnote>
  <w:footnote w:id="285">
    <w:p w14:paraId="0866B795" w14:textId="77777777" w:rsidR="009D49EB" w:rsidRPr="00D519A3" w:rsidRDefault="009D49EB" w:rsidP="00872A65">
      <w:pPr>
        <w:pStyle w:val="FootnoteText"/>
      </w:pPr>
      <w:r w:rsidRPr="00D519A3">
        <w:rPr>
          <w:rStyle w:val="FootnoteReference"/>
        </w:rPr>
        <w:footnoteRef/>
      </w:r>
      <w:r w:rsidRPr="00D519A3">
        <w:t xml:space="preserve"> Ibid.</w:t>
      </w:r>
    </w:p>
  </w:footnote>
  <w:footnote w:id="286">
    <w:p w14:paraId="679D793D" w14:textId="4D589F6B" w:rsidR="009D49EB" w:rsidRPr="00D519A3" w:rsidRDefault="009D49EB" w:rsidP="00146B33">
      <w:pPr>
        <w:pStyle w:val="FootnoteText"/>
        <w:ind w:left="142" w:hanging="142"/>
      </w:pPr>
      <w:r w:rsidRPr="00D519A3">
        <w:rPr>
          <w:rStyle w:val="FootnoteReference"/>
        </w:rPr>
        <w:footnoteRef/>
      </w:r>
      <w:r w:rsidRPr="00D519A3">
        <w:t xml:space="preserve"> For guidance on the circumstances on which information is provided on a ‘confidential’ basis, see</w:t>
      </w:r>
      <w:r w:rsidR="00292E3D" w:rsidRPr="00D519A3">
        <w:t xml:space="preserve"> </w:t>
      </w:r>
      <w:r w:rsidR="00292E3D" w:rsidRPr="005B7733">
        <w:t>discussion a</w:t>
      </w:r>
      <w:r w:rsidR="00B12028" w:rsidRPr="005B7733">
        <w:t xml:space="preserve">t </w:t>
      </w:r>
      <w:r w:rsidR="005B7733">
        <w:t>[</w:t>
      </w:r>
      <w:hyperlink w:anchor="_Identify_confidential_source" w:history="1">
        <w:r w:rsidR="005B7733" w:rsidRPr="005B7733">
          <w:rPr>
            <w:rStyle w:val="Hyperlink"/>
          </w:rPr>
          <w:t>5.17</w:t>
        </w:r>
      </w:hyperlink>
      <w:r w:rsidR="005B7733">
        <w:t>] - i</w:t>
      </w:r>
      <w:r w:rsidR="00292E3D" w:rsidRPr="005B7733">
        <w:t>dentify a confidential source</w:t>
      </w:r>
      <w:r w:rsidR="00292E3D" w:rsidRPr="00D519A3">
        <w:t>.</w:t>
      </w:r>
      <w:r w:rsidRPr="00D519A3">
        <w:t xml:space="preserve"> </w:t>
      </w:r>
    </w:p>
  </w:footnote>
  <w:footnote w:id="287">
    <w:p w14:paraId="1F40F626" w14:textId="161332FE" w:rsidR="009D49EB" w:rsidRPr="00D519A3" w:rsidRDefault="009D49EB" w:rsidP="00146B33">
      <w:pPr>
        <w:pStyle w:val="FootnoteText"/>
        <w:ind w:left="142" w:right="-731" w:hanging="142"/>
      </w:pPr>
      <w:r w:rsidRPr="00D519A3">
        <w:rPr>
          <w:rStyle w:val="FootnoteReference"/>
        </w:rPr>
        <w:footnoteRef/>
      </w:r>
      <w:r w:rsidRPr="00D519A3">
        <w:t xml:space="preserve"> </w:t>
      </w:r>
      <w:hyperlink r:id="rId308" w:history="1">
        <w:r w:rsidR="007D3F33" w:rsidRPr="007D1D71">
          <w:rPr>
            <w:rStyle w:val="Hyperlink"/>
            <w:i/>
            <w:iCs/>
          </w:rPr>
          <w:t>Alistair Coe and Chief Minister, Treasury and Economic Development Directorate</w:t>
        </w:r>
        <w:r w:rsidR="007D3F33" w:rsidRPr="00D519A3">
          <w:rPr>
            <w:rStyle w:val="Hyperlink"/>
          </w:rPr>
          <w:t xml:space="preserve"> [2018] ACTOFOI 3 (28 August 2018)</w:t>
        </w:r>
      </w:hyperlink>
      <w:r w:rsidR="00A559D4">
        <w:rPr>
          <w:rStyle w:val="Hyperlink"/>
        </w:rPr>
        <w:t>,</w:t>
      </w:r>
      <w:r w:rsidRPr="00D519A3">
        <w:t xml:space="preserve"> [32]. </w:t>
      </w:r>
    </w:p>
  </w:footnote>
  <w:footnote w:id="288">
    <w:p w14:paraId="1A2FD33E" w14:textId="2F38DC41" w:rsidR="009D49EB" w:rsidRPr="00D519A3" w:rsidRDefault="009D49EB" w:rsidP="00146B33">
      <w:pPr>
        <w:pStyle w:val="FootnoteText"/>
        <w:ind w:left="142" w:hanging="142"/>
      </w:pPr>
      <w:r w:rsidRPr="00D519A3">
        <w:rPr>
          <w:rStyle w:val="FootnoteReference"/>
        </w:rPr>
        <w:footnoteRef/>
      </w:r>
      <w:r w:rsidRPr="00D519A3">
        <w:t xml:space="preserve"> Ibid</w:t>
      </w:r>
      <w:r w:rsidR="00A559D4">
        <w:t>,</w:t>
      </w:r>
      <w:r w:rsidRPr="00D519A3">
        <w:t xml:space="preserve"> [31].</w:t>
      </w:r>
    </w:p>
  </w:footnote>
  <w:footnote w:id="289">
    <w:p w14:paraId="37C7B748" w14:textId="33666BC7" w:rsidR="009D49EB" w:rsidRPr="00D519A3" w:rsidRDefault="009D49EB" w:rsidP="00146B33">
      <w:pPr>
        <w:pStyle w:val="FootnoteText"/>
        <w:ind w:left="142" w:right="-164" w:hanging="142"/>
      </w:pPr>
      <w:r w:rsidRPr="00D519A3">
        <w:rPr>
          <w:rStyle w:val="FootnoteReference"/>
        </w:rPr>
        <w:footnoteRef/>
      </w:r>
      <w:r w:rsidRPr="00D519A3">
        <w:t xml:space="preserve"> Ibid</w:t>
      </w:r>
      <w:r w:rsidR="00A559D4">
        <w:t>,</w:t>
      </w:r>
      <w:r w:rsidRPr="00D519A3">
        <w:t xml:space="preserve"> [31]. In this decision, the ACT Ombudsman considered that professional public servants from the ACT and Commonwealth governments would not lose trust in each other, or cease co-operation, as all public servants undertake their work in the knowledge that government held information may be sought and disclosed through FOI processes.  </w:t>
      </w:r>
    </w:p>
  </w:footnote>
  <w:footnote w:id="290">
    <w:p w14:paraId="474880ED" w14:textId="145680C3" w:rsidR="009D49EB" w:rsidRPr="00D519A3" w:rsidRDefault="009D49EB" w:rsidP="00146B33">
      <w:pPr>
        <w:pStyle w:val="FootnoteText"/>
        <w:ind w:left="142" w:hanging="142"/>
      </w:pPr>
      <w:r w:rsidRPr="00D519A3">
        <w:rPr>
          <w:rStyle w:val="FootnoteReference"/>
        </w:rPr>
        <w:footnoteRef/>
      </w:r>
      <w:r w:rsidRPr="00D519A3">
        <w:t xml:space="preserve"> </w:t>
      </w:r>
      <w:hyperlink r:id="rId309" w:history="1">
        <w:r w:rsidRPr="00D519A3">
          <w:rPr>
            <w:rStyle w:val="Hyperlink"/>
          </w:rPr>
          <w:t>[2019] ACTOFOI 3 (29 January 2019)</w:t>
        </w:r>
      </w:hyperlink>
      <w:r w:rsidR="00642BB9" w:rsidRPr="00D519A3">
        <w:t>.</w:t>
      </w:r>
    </w:p>
  </w:footnote>
  <w:footnote w:id="291">
    <w:p w14:paraId="4965E21C" w14:textId="0005107F" w:rsidR="009D49EB" w:rsidRPr="00D519A3" w:rsidRDefault="009D49EB" w:rsidP="00146B33">
      <w:pPr>
        <w:pStyle w:val="FootnoteText"/>
        <w:ind w:left="142" w:hanging="142"/>
      </w:pPr>
      <w:r w:rsidRPr="00D519A3">
        <w:rPr>
          <w:rStyle w:val="FootnoteReference"/>
        </w:rPr>
        <w:footnoteRef/>
      </w:r>
      <w:r w:rsidRPr="00D519A3">
        <w:t xml:space="preserve"> </w:t>
      </w:r>
      <w:hyperlink r:id="rId310" w:history="1">
        <w:r w:rsidRPr="00D519A3">
          <w:rPr>
            <w:rStyle w:val="Hyperlink"/>
          </w:rPr>
          <w:t>[2019] ACTOFOI 11 (17 June 2019)</w:t>
        </w:r>
      </w:hyperlink>
      <w:r w:rsidR="00507FF8" w:rsidRPr="00D519A3">
        <w:t>.</w:t>
      </w:r>
    </w:p>
  </w:footnote>
  <w:footnote w:id="292">
    <w:p w14:paraId="4117C9CE" w14:textId="7FF19409" w:rsidR="009D49EB" w:rsidRPr="00D519A3" w:rsidRDefault="009D49EB" w:rsidP="00146B33">
      <w:pPr>
        <w:pStyle w:val="FootnoteText"/>
        <w:ind w:left="142" w:hanging="142"/>
      </w:pPr>
      <w:r w:rsidRPr="00D519A3">
        <w:rPr>
          <w:rStyle w:val="FootnoteReference"/>
        </w:rPr>
        <w:footnoteRef/>
      </w:r>
      <w:r w:rsidRPr="00D519A3">
        <w:t xml:space="preserve"> </w:t>
      </w:r>
      <w:hyperlink r:id="rId311" w:history="1">
        <w:r w:rsidRPr="003D4804">
          <w:rPr>
            <w:rStyle w:val="Hyperlink"/>
            <w:i/>
          </w:rPr>
          <w:t>Re Kimberley Diamond Company NL and Department for Resources Development and Anor</w:t>
        </w:r>
        <w:r w:rsidRPr="003D4804">
          <w:rPr>
            <w:rStyle w:val="Hyperlink"/>
          </w:rPr>
          <w:t xml:space="preserve"> [2000] WAICmr 51</w:t>
        </w:r>
      </w:hyperlink>
      <w:r w:rsidR="003D4804">
        <w:t>,</w:t>
      </w:r>
      <w:r w:rsidRPr="00D519A3">
        <w:t xml:space="preserve"> [93].</w:t>
      </w:r>
    </w:p>
  </w:footnote>
  <w:footnote w:id="293">
    <w:p w14:paraId="34CCC05C" w14:textId="3C930886" w:rsidR="009D49EB" w:rsidRPr="00D519A3" w:rsidRDefault="009D49EB" w:rsidP="00146B33">
      <w:pPr>
        <w:pStyle w:val="FootnoteText"/>
        <w:ind w:left="142" w:hanging="142"/>
      </w:pPr>
      <w:r w:rsidRPr="00D519A3">
        <w:rPr>
          <w:rStyle w:val="FootnoteReference"/>
        </w:rPr>
        <w:footnoteRef/>
      </w:r>
      <w:r w:rsidRPr="00D519A3">
        <w:t xml:space="preserve"> </w:t>
      </w:r>
      <w:hyperlink r:id="rId312" w:history="1">
        <w:r w:rsidRPr="0096731A">
          <w:rPr>
            <w:rStyle w:val="Hyperlink"/>
          </w:rPr>
          <w:t>Legislation Act</w:t>
        </w:r>
      </w:hyperlink>
      <w:r w:rsidRPr="00D519A3">
        <w:rPr>
          <w:i/>
        </w:rPr>
        <w:t xml:space="preserve"> </w:t>
      </w:r>
      <w:r w:rsidRPr="00D519A3">
        <w:t xml:space="preserve">s 160(1). </w:t>
      </w:r>
    </w:p>
  </w:footnote>
  <w:footnote w:id="294">
    <w:p w14:paraId="06CAB2BA" w14:textId="531F9A4B" w:rsidR="00642BB9" w:rsidRPr="00D519A3" w:rsidRDefault="00642BB9" w:rsidP="00146B33">
      <w:pPr>
        <w:pStyle w:val="FootnoteText"/>
        <w:ind w:left="142" w:hanging="142"/>
      </w:pPr>
      <w:r w:rsidRPr="00D519A3">
        <w:rPr>
          <w:rStyle w:val="FootnoteReference"/>
        </w:rPr>
        <w:footnoteRef/>
      </w:r>
      <w:r w:rsidRPr="00D519A3">
        <w:t xml:space="preserve"> </w:t>
      </w:r>
      <w:hyperlink r:id="rId313" w:history="1">
        <w:r w:rsidR="00DE2A39" w:rsidRPr="0096731A">
          <w:rPr>
            <w:rStyle w:val="Hyperlink"/>
          </w:rPr>
          <w:t>FOI Act</w:t>
        </w:r>
      </w:hyperlink>
      <w:r w:rsidR="003D4804">
        <w:t xml:space="preserve"> </w:t>
      </w:r>
      <w:r w:rsidR="00DE2A39" w:rsidRPr="00D519A3">
        <w:t>s</w:t>
      </w:r>
      <w:r w:rsidRPr="00D519A3">
        <w:t xml:space="preserve"> 38.</w:t>
      </w:r>
    </w:p>
  </w:footnote>
  <w:footnote w:id="295">
    <w:p w14:paraId="2F4338F5" w14:textId="595940C8" w:rsidR="009D49EB" w:rsidRPr="00D519A3" w:rsidRDefault="009D49EB" w:rsidP="00146B33">
      <w:pPr>
        <w:pStyle w:val="FootnoteText"/>
        <w:ind w:left="142" w:hanging="142"/>
      </w:pPr>
      <w:r w:rsidRPr="00D519A3">
        <w:rPr>
          <w:rStyle w:val="FootnoteReference"/>
        </w:rPr>
        <w:footnoteRef/>
      </w:r>
      <w:r w:rsidRPr="00D519A3">
        <w:t xml:space="preserve"> </w:t>
      </w:r>
      <w:hyperlink r:id="rId314" w:history="1">
        <w:r w:rsidRPr="003D4804">
          <w:rPr>
            <w:rStyle w:val="Hyperlink"/>
            <w:i/>
          </w:rPr>
          <w:t xml:space="preserve">CH32GI and Department of Justice and Attorney-General </w:t>
        </w:r>
        <w:r w:rsidRPr="003D4804">
          <w:rPr>
            <w:rStyle w:val="Hyperlink"/>
          </w:rPr>
          <w:t>[2012] QICmr 60</w:t>
        </w:r>
      </w:hyperlink>
      <w:r w:rsidR="003D4804">
        <w:t>,</w:t>
      </w:r>
      <w:r w:rsidRPr="00D519A3">
        <w:t xml:space="preserve"> [67]. </w:t>
      </w:r>
    </w:p>
  </w:footnote>
  <w:footnote w:id="296">
    <w:p w14:paraId="5B9F18C9" w14:textId="1421854C" w:rsidR="009D49EB" w:rsidRPr="00D519A3" w:rsidRDefault="009D49EB" w:rsidP="00146B33">
      <w:pPr>
        <w:pStyle w:val="FootnoteText"/>
        <w:ind w:left="142" w:hanging="142"/>
      </w:pPr>
      <w:r w:rsidRPr="00D519A3">
        <w:rPr>
          <w:rStyle w:val="FootnoteReference"/>
        </w:rPr>
        <w:footnoteRef/>
      </w:r>
      <w:r w:rsidRPr="00D519A3">
        <w:t xml:space="preserve"> </w:t>
      </w:r>
      <w:hyperlink r:id="rId315" w:history="1">
        <w:r w:rsidRPr="00715109">
          <w:rPr>
            <w:rStyle w:val="Hyperlink"/>
            <w:i/>
          </w:rPr>
          <w:t>TerraCom Limited and Department of Environment and Science; Lock the Gate Alliance Limited (Third Party) (No 2)</w:t>
        </w:r>
        <w:r w:rsidRPr="00715109">
          <w:rPr>
            <w:rStyle w:val="Hyperlink"/>
          </w:rPr>
          <w:t xml:space="preserve"> [2018] QICmr 53</w:t>
        </w:r>
      </w:hyperlink>
      <w:r w:rsidR="003D4804">
        <w:t xml:space="preserve">, </w:t>
      </w:r>
      <w:r w:rsidRPr="00D519A3">
        <w:t>[73].</w:t>
      </w:r>
    </w:p>
  </w:footnote>
  <w:footnote w:id="297">
    <w:p w14:paraId="31EAB356" w14:textId="49531235" w:rsidR="009D49EB" w:rsidRPr="00D519A3" w:rsidRDefault="009D49EB" w:rsidP="00146B33">
      <w:pPr>
        <w:pStyle w:val="FootnoteText"/>
        <w:ind w:left="142" w:hanging="142"/>
      </w:pPr>
      <w:r w:rsidRPr="00D519A3">
        <w:rPr>
          <w:rStyle w:val="FootnoteReference"/>
        </w:rPr>
        <w:footnoteRef/>
      </w:r>
      <w:r w:rsidRPr="00D519A3">
        <w:t xml:space="preserve"> </w:t>
      </w:r>
      <w:hyperlink r:id="rId316" w:history="1">
        <w:r w:rsidRPr="00D519A3">
          <w:rPr>
            <w:rStyle w:val="Hyperlink"/>
            <w:i/>
          </w:rPr>
          <w:t>'AF' and Community Services Directorate</w:t>
        </w:r>
        <w:r w:rsidRPr="00D519A3">
          <w:rPr>
            <w:rStyle w:val="Hyperlink"/>
          </w:rPr>
          <w:t xml:space="preserve"> [2018] ACTOFOI 11</w:t>
        </w:r>
        <w:r w:rsidR="00060299" w:rsidRPr="00D519A3">
          <w:rPr>
            <w:rStyle w:val="Hyperlink"/>
          </w:rPr>
          <w:t xml:space="preserve"> </w:t>
        </w:r>
        <w:r w:rsidR="00E15F93" w:rsidRPr="00D519A3">
          <w:rPr>
            <w:rStyle w:val="Hyperlink"/>
          </w:rPr>
          <w:t>(17 December 2018)</w:t>
        </w:r>
      </w:hyperlink>
      <w:r w:rsidR="00214445">
        <w:rPr>
          <w:rStyle w:val="Hyperlink"/>
        </w:rPr>
        <w:t>,</w:t>
      </w:r>
      <w:r w:rsidR="00E15F93" w:rsidRPr="00D519A3">
        <w:t xml:space="preserve"> </w:t>
      </w:r>
      <w:r w:rsidRPr="00D519A3">
        <w:t>[57]</w:t>
      </w:r>
      <w:r w:rsidR="00060299" w:rsidRPr="00D519A3">
        <w:t>.</w:t>
      </w:r>
    </w:p>
  </w:footnote>
  <w:footnote w:id="298">
    <w:p w14:paraId="77E995C8" w14:textId="751947A5" w:rsidR="009D49EB" w:rsidRPr="00D519A3" w:rsidRDefault="009D49EB" w:rsidP="00146B33">
      <w:pPr>
        <w:pStyle w:val="FootnoteText"/>
        <w:ind w:left="142" w:hanging="142"/>
      </w:pPr>
      <w:r w:rsidRPr="00D519A3">
        <w:rPr>
          <w:rStyle w:val="FootnoteReference"/>
        </w:rPr>
        <w:footnoteRef/>
      </w:r>
      <w:r w:rsidRPr="00D519A3">
        <w:t xml:space="preserve"> </w:t>
      </w:r>
      <w:hyperlink r:id="rId317" w:history="1">
        <w:r w:rsidR="00E76A72" w:rsidRPr="00D519A3">
          <w:rPr>
            <w:rStyle w:val="Hyperlink"/>
            <w:i/>
          </w:rPr>
          <w:t>Alistair Coe and Suburban Land Agency</w:t>
        </w:r>
        <w:r w:rsidR="00E76A72" w:rsidRPr="00D519A3">
          <w:rPr>
            <w:rStyle w:val="Hyperlink"/>
          </w:rPr>
          <w:t xml:space="preserve"> [2019] ACTOFOI 5 (25 February 2019)</w:t>
        </w:r>
      </w:hyperlink>
      <w:r w:rsidR="00214445">
        <w:rPr>
          <w:rStyle w:val="Hyperlink"/>
        </w:rPr>
        <w:t>,</w:t>
      </w:r>
      <w:r w:rsidR="00060299" w:rsidRPr="00D519A3">
        <w:t xml:space="preserve"> </w:t>
      </w:r>
      <w:r w:rsidRPr="00D519A3">
        <w:t>[50]</w:t>
      </w:r>
      <w:r w:rsidR="00060299" w:rsidRPr="00D519A3">
        <w:t>.</w:t>
      </w:r>
    </w:p>
  </w:footnote>
  <w:footnote w:id="299">
    <w:p w14:paraId="0186C505" w14:textId="6D280D42" w:rsidR="009D49EB" w:rsidRPr="00D519A3" w:rsidRDefault="009D49EB" w:rsidP="00146B33">
      <w:pPr>
        <w:pStyle w:val="FootnoteText"/>
        <w:ind w:left="142" w:hanging="142"/>
      </w:pPr>
      <w:r w:rsidRPr="00D519A3">
        <w:rPr>
          <w:rStyle w:val="FootnoteReference"/>
        </w:rPr>
        <w:footnoteRef/>
      </w:r>
      <w:r w:rsidRPr="00D519A3">
        <w:t xml:space="preserve"> </w:t>
      </w:r>
      <w:hyperlink r:id="rId318" w:history="1">
        <w:r w:rsidRPr="00D519A3">
          <w:rPr>
            <w:rStyle w:val="Hyperlink"/>
            <w:i/>
          </w:rPr>
          <w:t>Alistair Coe and ACT Health Directorate</w:t>
        </w:r>
        <w:r w:rsidRPr="00D519A3">
          <w:rPr>
            <w:rStyle w:val="Hyperlink"/>
          </w:rPr>
          <w:t xml:space="preserve"> [2018] ACTOFOI 4</w:t>
        </w:r>
        <w:r w:rsidR="00E76A72" w:rsidRPr="00D519A3">
          <w:rPr>
            <w:rStyle w:val="Hyperlink"/>
          </w:rPr>
          <w:t xml:space="preserve"> (5 September 2018)</w:t>
        </w:r>
      </w:hyperlink>
      <w:r w:rsidR="00214445">
        <w:rPr>
          <w:rStyle w:val="Hyperlink"/>
        </w:rPr>
        <w:t>,</w:t>
      </w:r>
      <w:r w:rsidRPr="00D519A3">
        <w:t xml:space="preserve"> [48]. </w:t>
      </w:r>
    </w:p>
  </w:footnote>
  <w:footnote w:id="300">
    <w:p w14:paraId="2A40F6CF" w14:textId="5305CE70" w:rsidR="009D49EB" w:rsidRPr="00D519A3" w:rsidRDefault="009D49EB" w:rsidP="00146B33">
      <w:pPr>
        <w:pStyle w:val="FootnoteText"/>
        <w:ind w:left="142" w:hanging="142"/>
      </w:pPr>
      <w:r w:rsidRPr="00D519A3">
        <w:rPr>
          <w:rStyle w:val="FootnoteReference"/>
        </w:rPr>
        <w:footnoteRef/>
      </w:r>
      <w:r w:rsidRPr="00D519A3">
        <w:t xml:space="preserve"> </w:t>
      </w:r>
      <w:hyperlink r:id="rId319" w:history="1">
        <w:r w:rsidRPr="00715109">
          <w:rPr>
            <w:rStyle w:val="Hyperlink"/>
            <w:i/>
          </w:rPr>
          <w:t>N31ZEO and Department of Justice and Attorney-General; Queensland Newspapers Pty Ltd (Third Party)</w:t>
        </w:r>
        <w:r w:rsidR="00060299" w:rsidRPr="00715109">
          <w:rPr>
            <w:rStyle w:val="Hyperlink"/>
          </w:rPr>
          <w:t xml:space="preserve"> [2013] QICmr 36</w:t>
        </w:r>
      </w:hyperlink>
      <w:r w:rsidR="00214445">
        <w:t>,</w:t>
      </w:r>
      <w:r w:rsidR="00060299" w:rsidRPr="00D519A3">
        <w:t xml:space="preserve"> </w:t>
      </w:r>
      <w:r w:rsidRPr="00D519A3">
        <w:t xml:space="preserve">[54]. </w:t>
      </w:r>
    </w:p>
  </w:footnote>
  <w:footnote w:id="301">
    <w:p w14:paraId="19491A33" w14:textId="7860433A" w:rsidR="009D49EB" w:rsidRPr="00D519A3" w:rsidRDefault="009D49EB" w:rsidP="00146B33">
      <w:pPr>
        <w:pStyle w:val="FootnoteText"/>
        <w:ind w:left="142" w:hanging="142"/>
      </w:pPr>
      <w:r w:rsidRPr="00D519A3">
        <w:rPr>
          <w:rStyle w:val="FootnoteReference"/>
        </w:rPr>
        <w:footnoteRef/>
      </w:r>
      <w:r w:rsidRPr="00D519A3">
        <w:t xml:space="preserve"> </w:t>
      </w:r>
      <w:hyperlink r:id="rId320" w:history="1">
        <w:r w:rsidRPr="00D519A3">
          <w:rPr>
            <w:rStyle w:val="Hyperlink"/>
            <w:i/>
          </w:rPr>
          <w:t>Alistair Coe and ACT Health Directorate</w:t>
        </w:r>
        <w:r w:rsidR="00060299" w:rsidRPr="00D519A3">
          <w:rPr>
            <w:rStyle w:val="Hyperlink"/>
          </w:rPr>
          <w:t xml:space="preserve"> [2018] ACTOFOI 4</w:t>
        </w:r>
        <w:r w:rsidRPr="00D519A3">
          <w:rPr>
            <w:rStyle w:val="Hyperlink"/>
          </w:rPr>
          <w:t xml:space="preserve"> </w:t>
        </w:r>
        <w:r w:rsidR="00E76A72" w:rsidRPr="00D519A3">
          <w:rPr>
            <w:rStyle w:val="Hyperlink"/>
          </w:rPr>
          <w:t>(5 September 2018)</w:t>
        </w:r>
      </w:hyperlink>
      <w:r w:rsidR="00214445">
        <w:t xml:space="preserve">, </w:t>
      </w:r>
      <w:r w:rsidRPr="00D519A3">
        <w:t xml:space="preserve">[49]. </w:t>
      </w:r>
    </w:p>
  </w:footnote>
  <w:footnote w:id="302">
    <w:p w14:paraId="247EE1F2" w14:textId="278B0897" w:rsidR="009D49EB" w:rsidRPr="00D519A3" w:rsidRDefault="009D49EB" w:rsidP="00146B33">
      <w:pPr>
        <w:pStyle w:val="FootnoteText"/>
        <w:ind w:left="142" w:hanging="142"/>
      </w:pPr>
      <w:r w:rsidRPr="00D519A3">
        <w:rPr>
          <w:rStyle w:val="FootnoteReference"/>
        </w:rPr>
        <w:footnoteRef/>
      </w:r>
      <w:r w:rsidRPr="00D519A3">
        <w:t xml:space="preserve"> </w:t>
      </w:r>
      <w:hyperlink r:id="rId321" w:history="1">
        <w:r w:rsidRPr="00715109">
          <w:rPr>
            <w:rStyle w:val="Hyperlink"/>
            <w:i/>
          </w:rPr>
          <w:t xml:space="preserve">CH32GI and Department of Justice and Attorney-General </w:t>
        </w:r>
        <w:r w:rsidR="00060299" w:rsidRPr="00715109">
          <w:rPr>
            <w:rStyle w:val="Hyperlink"/>
          </w:rPr>
          <w:t>[2012] QICmr 60</w:t>
        </w:r>
      </w:hyperlink>
      <w:r w:rsidR="00715109">
        <w:t>,</w:t>
      </w:r>
      <w:r w:rsidR="00060299" w:rsidRPr="00D519A3">
        <w:t xml:space="preserve"> </w:t>
      </w:r>
      <w:r w:rsidRPr="00D519A3">
        <w:t>[50]</w:t>
      </w:r>
      <w:r w:rsidR="00715109">
        <w:t xml:space="preserve"> </w:t>
      </w:r>
      <w:r w:rsidRPr="00D519A3">
        <w:t xml:space="preserve">cited in </w:t>
      </w:r>
      <w:hyperlink r:id="rId322" w:history="1">
        <w:r w:rsidRPr="00D519A3">
          <w:rPr>
            <w:rStyle w:val="Hyperlink"/>
            <w:i/>
          </w:rPr>
          <w:t xml:space="preserve">Dentsu X and Chief Minister, Treasury and Economic Development Directorate </w:t>
        </w:r>
        <w:r w:rsidR="00060299" w:rsidRPr="00D519A3">
          <w:rPr>
            <w:rStyle w:val="Hyperlink"/>
          </w:rPr>
          <w:t>[2019] ACTOFOI 7</w:t>
        </w:r>
        <w:r w:rsidR="00E76A72" w:rsidRPr="00D519A3">
          <w:rPr>
            <w:rStyle w:val="Hyperlink"/>
          </w:rPr>
          <w:t xml:space="preserve"> (24 April 2019)</w:t>
        </w:r>
      </w:hyperlink>
      <w:r w:rsidR="00214445">
        <w:rPr>
          <w:rStyle w:val="Hyperlink"/>
        </w:rPr>
        <w:t>,</w:t>
      </w:r>
      <w:r w:rsidR="00060299" w:rsidRPr="00D519A3">
        <w:t xml:space="preserve"> </w:t>
      </w:r>
      <w:r w:rsidRPr="00D519A3">
        <w:t>[43]</w:t>
      </w:r>
      <w:r w:rsidR="00715109">
        <w:t xml:space="preserve">; </w:t>
      </w:r>
      <w:hyperlink r:id="rId323" w:history="1">
        <w:r w:rsidR="00E76A72" w:rsidRPr="00D519A3">
          <w:rPr>
            <w:rStyle w:val="Hyperlink"/>
            <w:i/>
          </w:rPr>
          <w:t>Alistair Coe and Suburban Land Agency</w:t>
        </w:r>
        <w:r w:rsidR="00E76A72" w:rsidRPr="00D519A3">
          <w:rPr>
            <w:rStyle w:val="Hyperlink"/>
          </w:rPr>
          <w:t xml:space="preserve"> [2019] ACTOFOI 5 (25 February 2019)</w:t>
        </w:r>
      </w:hyperlink>
      <w:r w:rsidR="00214445">
        <w:rPr>
          <w:rStyle w:val="Hyperlink"/>
        </w:rPr>
        <w:t>,</w:t>
      </w:r>
      <w:r w:rsidR="00060299" w:rsidRPr="00D519A3">
        <w:t xml:space="preserve"> </w:t>
      </w:r>
      <w:r w:rsidRPr="00D519A3">
        <w:t>[50].</w:t>
      </w:r>
    </w:p>
  </w:footnote>
  <w:footnote w:id="303">
    <w:p w14:paraId="32AEC0B7" w14:textId="11288550" w:rsidR="009D49EB" w:rsidRPr="00D519A3" w:rsidRDefault="009D49EB" w:rsidP="00146B33">
      <w:pPr>
        <w:pStyle w:val="FootnoteText"/>
        <w:ind w:left="142" w:hanging="142"/>
      </w:pPr>
      <w:r w:rsidRPr="00D519A3">
        <w:rPr>
          <w:rStyle w:val="FootnoteReference"/>
        </w:rPr>
        <w:footnoteRef/>
      </w:r>
      <w:r w:rsidRPr="00D519A3">
        <w:t xml:space="preserve"> </w:t>
      </w:r>
      <w:hyperlink r:id="rId324" w:history="1">
        <w:r w:rsidRPr="002E5878">
          <w:rPr>
            <w:rStyle w:val="Hyperlink"/>
            <w:i/>
          </w:rPr>
          <w:t>Bright v Eurobodalla Shire Council</w:t>
        </w:r>
        <w:r w:rsidRPr="002E5878">
          <w:rPr>
            <w:rStyle w:val="Hyperlink"/>
          </w:rPr>
          <w:t xml:space="preserve"> [2</w:t>
        </w:r>
        <w:r w:rsidR="00060299" w:rsidRPr="002E5878">
          <w:rPr>
            <w:rStyle w:val="Hyperlink"/>
          </w:rPr>
          <w:t>018] NSWCATAD 287</w:t>
        </w:r>
      </w:hyperlink>
      <w:r w:rsidR="00214445">
        <w:t>,</w:t>
      </w:r>
      <w:r w:rsidRPr="00D519A3">
        <w:t xml:space="preserve"> [74]. </w:t>
      </w:r>
    </w:p>
  </w:footnote>
  <w:footnote w:id="304">
    <w:p w14:paraId="75240CB9" w14:textId="2799B962" w:rsidR="009D49EB" w:rsidRPr="00D519A3" w:rsidRDefault="009D49EB" w:rsidP="00146B33">
      <w:pPr>
        <w:pStyle w:val="FootnoteText"/>
        <w:ind w:left="142" w:hanging="142"/>
      </w:pPr>
      <w:r w:rsidRPr="00D519A3">
        <w:rPr>
          <w:rStyle w:val="FootnoteReference"/>
        </w:rPr>
        <w:footnoteRef/>
      </w:r>
      <w:r w:rsidRPr="00D519A3">
        <w:t xml:space="preserve"> </w:t>
      </w:r>
      <w:hyperlink r:id="rId325" w:history="1">
        <w:r w:rsidRPr="002E5878">
          <w:rPr>
            <w:rStyle w:val="Hyperlink"/>
            <w:i/>
          </w:rPr>
          <w:t xml:space="preserve">Abbot and Marohasy and Central Queensland University </w:t>
        </w:r>
        <w:r w:rsidR="00041E2C" w:rsidRPr="002E5878">
          <w:rPr>
            <w:rStyle w:val="Hyperlink"/>
          </w:rPr>
          <w:t>[2017] QICmr 54</w:t>
        </w:r>
      </w:hyperlink>
      <w:r w:rsidR="00214445">
        <w:t>,</w:t>
      </w:r>
      <w:r w:rsidR="00041E2C" w:rsidRPr="00D519A3">
        <w:t xml:space="preserve"> </w:t>
      </w:r>
      <w:r w:rsidRPr="00D519A3">
        <w:t xml:space="preserve">[82]. </w:t>
      </w:r>
    </w:p>
  </w:footnote>
  <w:footnote w:id="305">
    <w:p w14:paraId="03090E68" w14:textId="0D9D4C59" w:rsidR="009D49EB" w:rsidRPr="00D519A3" w:rsidRDefault="009D49EB" w:rsidP="00146B33">
      <w:pPr>
        <w:pStyle w:val="FootnoteText"/>
        <w:ind w:left="142" w:hanging="142"/>
      </w:pPr>
      <w:r w:rsidRPr="00D519A3">
        <w:rPr>
          <w:rStyle w:val="FootnoteReference"/>
        </w:rPr>
        <w:footnoteRef/>
      </w:r>
      <w:r w:rsidRPr="00D519A3">
        <w:t xml:space="preserve"> </w:t>
      </w:r>
      <w:hyperlink r:id="rId326" w:history="1">
        <w:r w:rsidRPr="002E5878">
          <w:rPr>
            <w:rStyle w:val="Hyperlink"/>
            <w:i/>
          </w:rPr>
          <w:t>Bright v Eurobodalla Shire Council</w:t>
        </w:r>
        <w:r w:rsidRPr="002E5878">
          <w:rPr>
            <w:rStyle w:val="Hyperlink"/>
          </w:rPr>
          <w:t xml:space="preserve"> [2018] NSWCATAD 287</w:t>
        </w:r>
      </w:hyperlink>
      <w:r w:rsidR="00214445">
        <w:t>,</w:t>
      </w:r>
      <w:r w:rsidRPr="00D519A3">
        <w:t xml:space="preserve"> [74].</w:t>
      </w:r>
    </w:p>
  </w:footnote>
  <w:footnote w:id="306">
    <w:p w14:paraId="4DC94901" w14:textId="7E29552F" w:rsidR="009D49EB" w:rsidRPr="00D519A3" w:rsidRDefault="009D49EB" w:rsidP="00146B33">
      <w:pPr>
        <w:pStyle w:val="FootnoteText"/>
        <w:ind w:left="142" w:hanging="142"/>
      </w:pPr>
      <w:r w:rsidRPr="00D519A3">
        <w:rPr>
          <w:rStyle w:val="FootnoteReference"/>
        </w:rPr>
        <w:footnoteRef/>
      </w:r>
      <w:r w:rsidRPr="00D519A3">
        <w:t xml:space="preserve"> </w:t>
      </w:r>
      <w:hyperlink r:id="rId327" w:history="1">
        <w:r w:rsidRPr="00D519A3">
          <w:rPr>
            <w:rStyle w:val="Hyperlink"/>
            <w:i/>
          </w:rPr>
          <w:t>Daniella White and Canberra Health Services</w:t>
        </w:r>
        <w:r w:rsidRPr="00D519A3">
          <w:rPr>
            <w:rStyle w:val="Hyperlink"/>
          </w:rPr>
          <w:t xml:space="preserve"> [2019] ACTOFOI 9 (5 June 2019)</w:t>
        </w:r>
      </w:hyperlink>
      <w:r w:rsidR="00E76A72" w:rsidRPr="00D519A3">
        <w:t>.</w:t>
      </w:r>
    </w:p>
  </w:footnote>
  <w:footnote w:id="307">
    <w:p w14:paraId="3E02782A" w14:textId="08DF8E5F" w:rsidR="009D49EB" w:rsidRPr="00D519A3" w:rsidRDefault="009D49EB" w:rsidP="00146B33">
      <w:pPr>
        <w:pStyle w:val="NoSpacing"/>
        <w:ind w:left="142" w:hanging="142"/>
      </w:pPr>
      <w:r w:rsidRPr="00D519A3">
        <w:rPr>
          <w:rStyle w:val="FootnoteReference"/>
          <w:sz w:val="20"/>
          <w:szCs w:val="20"/>
        </w:rPr>
        <w:footnoteRef/>
      </w:r>
      <w:r w:rsidR="00041E2C" w:rsidRPr="00D519A3">
        <w:rPr>
          <w:sz w:val="20"/>
          <w:szCs w:val="20"/>
        </w:rPr>
        <w:t xml:space="preserve"> </w:t>
      </w:r>
      <w:hyperlink r:id="rId328" w:history="1">
        <w:r w:rsidR="00E76A72" w:rsidRPr="00D519A3">
          <w:rPr>
            <w:rStyle w:val="Hyperlink"/>
            <w:i/>
            <w:sz w:val="20"/>
            <w:szCs w:val="20"/>
          </w:rPr>
          <w:t>Dentsu X and Chief Minister, Treasury and Economic Development Directorate</w:t>
        </w:r>
        <w:r w:rsidR="00E76A72" w:rsidRPr="00D519A3">
          <w:rPr>
            <w:rStyle w:val="Hyperlink"/>
            <w:sz w:val="20"/>
            <w:szCs w:val="20"/>
          </w:rPr>
          <w:t xml:space="preserve"> [2019] ACTOFOI 7 (24 April 2019)</w:t>
        </w:r>
      </w:hyperlink>
      <w:r w:rsidRPr="00D519A3">
        <w:rPr>
          <w:sz w:val="20"/>
          <w:szCs w:val="20"/>
        </w:rPr>
        <w:t xml:space="preserve"> </w:t>
      </w:r>
      <w:r w:rsidR="00F114B4">
        <w:rPr>
          <w:sz w:val="20"/>
          <w:szCs w:val="20"/>
        </w:rPr>
        <w:t xml:space="preserve">, </w:t>
      </w:r>
      <w:r w:rsidRPr="00D519A3">
        <w:rPr>
          <w:sz w:val="20"/>
          <w:szCs w:val="20"/>
        </w:rPr>
        <w:t>[46]</w:t>
      </w:r>
      <w:r w:rsidR="00041E2C" w:rsidRPr="00D519A3">
        <w:rPr>
          <w:sz w:val="20"/>
          <w:szCs w:val="20"/>
        </w:rPr>
        <w:t xml:space="preserve">. </w:t>
      </w:r>
      <w:r w:rsidRPr="00D519A3">
        <w:rPr>
          <w:sz w:val="20"/>
          <w:szCs w:val="20"/>
        </w:rPr>
        <w:t xml:space="preserve">Release of costing related information was also discussed in detail in </w:t>
      </w:r>
      <w:hyperlink r:id="rId329" w:history="1">
        <w:r w:rsidRPr="00D519A3">
          <w:rPr>
            <w:rStyle w:val="Hyperlink"/>
            <w:i/>
            <w:sz w:val="20"/>
            <w:szCs w:val="20"/>
          </w:rPr>
          <w:t>Alistair Coe and ACT Health Directorate</w:t>
        </w:r>
        <w:r w:rsidR="00041E2C" w:rsidRPr="00D519A3">
          <w:rPr>
            <w:rStyle w:val="Hyperlink"/>
            <w:sz w:val="20"/>
            <w:szCs w:val="20"/>
          </w:rPr>
          <w:t xml:space="preserve"> [2018] ACTOFOI 4</w:t>
        </w:r>
        <w:r w:rsidR="00E76A72" w:rsidRPr="00D519A3">
          <w:rPr>
            <w:rStyle w:val="Hyperlink"/>
            <w:sz w:val="20"/>
            <w:szCs w:val="20"/>
          </w:rPr>
          <w:t xml:space="preserve"> (5 September 2018)</w:t>
        </w:r>
      </w:hyperlink>
      <w:r w:rsidR="00041E2C" w:rsidRPr="00D519A3">
        <w:rPr>
          <w:sz w:val="20"/>
          <w:szCs w:val="20"/>
        </w:rPr>
        <w:t>.</w:t>
      </w:r>
    </w:p>
  </w:footnote>
  <w:footnote w:id="308">
    <w:p w14:paraId="7FC8C410" w14:textId="0E1C0F4B" w:rsidR="009D49EB" w:rsidRPr="00D519A3" w:rsidRDefault="009D49EB" w:rsidP="00146B33">
      <w:pPr>
        <w:pStyle w:val="FootnoteText"/>
        <w:ind w:left="142" w:hanging="142"/>
      </w:pPr>
      <w:r w:rsidRPr="00D519A3">
        <w:rPr>
          <w:rStyle w:val="FootnoteReference"/>
        </w:rPr>
        <w:footnoteRef/>
      </w:r>
      <w:r w:rsidRPr="00D519A3">
        <w:t xml:space="preserve"> </w:t>
      </w:r>
      <w:hyperlink r:id="rId330" w:history="1">
        <w:r w:rsidRPr="00D519A3">
          <w:rPr>
            <w:rStyle w:val="Hyperlink"/>
            <w:i/>
          </w:rPr>
          <w:t>Google Australia Pty Ltd and Wing Aviation Pty Ltd and Environment, Planning and Sustainable Development Directorate</w:t>
        </w:r>
        <w:r w:rsidRPr="00D519A3">
          <w:rPr>
            <w:rStyle w:val="Hyperlink"/>
          </w:rPr>
          <w:t xml:space="preserve"> [2019] ACTOFOI 13</w:t>
        </w:r>
        <w:r w:rsidR="003D6C02" w:rsidRPr="00D519A3">
          <w:rPr>
            <w:rStyle w:val="Hyperlink"/>
          </w:rPr>
          <w:t xml:space="preserve"> (24 August 2019)</w:t>
        </w:r>
      </w:hyperlink>
      <w:r w:rsidR="0061434F" w:rsidRPr="00D519A3">
        <w:t>.</w:t>
      </w:r>
    </w:p>
  </w:footnote>
  <w:footnote w:id="309">
    <w:p w14:paraId="63F8622F" w14:textId="7C555224" w:rsidR="00041E2C" w:rsidRPr="00D519A3" w:rsidRDefault="00041E2C" w:rsidP="00146B33">
      <w:pPr>
        <w:pStyle w:val="FootnoteText"/>
        <w:ind w:left="142" w:hanging="142"/>
      </w:pPr>
      <w:r w:rsidRPr="00D519A3">
        <w:rPr>
          <w:rStyle w:val="FootnoteReference"/>
        </w:rPr>
        <w:footnoteRef/>
      </w:r>
      <w:r w:rsidRPr="00D519A3">
        <w:t xml:space="preserve"> </w:t>
      </w:r>
      <w:hyperlink r:id="rId331" w:history="1">
        <w:r w:rsidR="00DE2A39" w:rsidRPr="0096731A">
          <w:rPr>
            <w:rStyle w:val="Hyperlink"/>
          </w:rPr>
          <w:t>FOI Act</w:t>
        </w:r>
      </w:hyperlink>
      <w:r w:rsidR="00DE2A39" w:rsidRPr="00D519A3">
        <w:t xml:space="preserve"> s</w:t>
      </w:r>
      <w:r w:rsidRPr="00D519A3">
        <w:t xml:space="preserve"> </w:t>
      </w:r>
      <w:r w:rsidRPr="00F114B4">
        <w:t>72</w:t>
      </w:r>
      <w:r w:rsidRPr="00D519A3">
        <w:t>.</w:t>
      </w:r>
    </w:p>
  </w:footnote>
  <w:footnote w:id="310">
    <w:p w14:paraId="07BD704F" w14:textId="7989E9F4" w:rsidR="009D49EB" w:rsidRPr="00D519A3" w:rsidRDefault="009D49EB" w:rsidP="00872A65">
      <w:pPr>
        <w:pStyle w:val="FootnoteText"/>
      </w:pPr>
      <w:r w:rsidRPr="00D519A3">
        <w:rPr>
          <w:rStyle w:val="FootnoteReference"/>
        </w:rPr>
        <w:footnoteRef/>
      </w:r>
      <w:r w:rsidR="0061434F" w:rsidRPr="00D519A3">
        <w:t xml:space="preserve"> </w:t>
      </w:r>
      <w:hyperlink r:id="rId332" w:history="1">
        <w:r w:rsidRPr="00D519A3">
          <w:rPr>
            <w:rStyle w:val="Hyperlink"/>
            <w:i/>
          </w:rPr>
          <w:t>Alistair Coe and Suburban Land Agency</w:t>
        </w:r>
        <w:r w:rsidRPr="00D519A3">
          <w:rPr>
            <w:rStyle w:val="Hyperlink"/>
          </w:rPr>
          <w:t xml:space="preserve"> [2019] ACTOFOI </w:t>
        </w:r>
        <w:r w:rsidR="0061434F" w:rsidRPr="00D519A3">
          <w:rPr>
            <w:rStyle w:val="Hyperlink"/>
          </w:rPr>
          <w:t>5</w:t>
        </w:r>
        <w:r w:rsidR="003D6C02" w:rsidRPr="00D519A3">
          <w:rPr>
            <w:rStyle w:val="Hyperlink"/>
          </w:rPr>
          <w:t xml:space="preserve"> (25 February 2019)</w:t>
        </w:r>
      </w:hyperlink>
      <w:r w:rsidR="0061434F" w:rsidRPr="00D519A3">
        <w:t>.</w:t>
      </w:r>
    </w:p>
  </w:footnote>
  <w:footnote w:id="311">
    <w:p w14:paraId="6EB60F12" w14:textId="608BF625" w:rsidR="003B71A1" w:rsidRPr="00D519A3" w:rsidRDefault="003B71A1">
      <w:pPr>
        <w:pStyle w:val="FootnoteText"/>
      </w:pPr>
      <w:r w:rsidRPr="00D519A3">
        <w:rPr>
          <w:rStyle w:val="FootnoteReference"/>
        </w:rPr>
        <w:footnoteRef/>
      </w:r>
      <w:r w:rsidRPr="00D519A3">
        <w:t xml:space="preserve"> </w:t>
      </w:r>
      <w:hyperlink r:id="rId333" w:history="1">
        <w:r w:rsidR="00DE2A39" w:rsidRPr="0096731A">
          <w:rPr>
            <w:rStyle w:val="Hyperlink"/>
          </w:rPr>
          <w:t>FOI Act</w:t>
        </w:r>
      </w:hyperlink>
      <w:r w:rsidR="00F114B4">
        <w:t xml:space="preserve"> </w:t>
      </w:r>
      <w:r w:rsidR="00DE2A39" w:rsidRPr="00D519A3">
        <w:t>s</w:t>
      </w:r>
      <w:r w:rsidRPr="00D519A3">
        <w:t xml:space="preserve"> </w:t>
      </w:r>
      <w:r w:rsidRPr="00F114B4">
        <w:t>72</w:t>
      </w:r>
      <w:r w:rsidRPr="00D519A3">
        <w:t>.</w:t>
      </w:r>
    </w:p>
  </w:footnote>
  <w:footnote w:id="312">
    <w:p w14:paraId="5263AFA4" w14:textId="58AF91A2" w:rsidR="009D49EB" w:rsidRPr="00D519A3" w:rsidRDefault="009D49EB" w:rsidP="00F71E05">
      <w:pPr>
        <w:pStyle w:val="FootnoteText"/>
      </w:pPr>
      <w:r w:rsidRPr="00D519A3">
        <w:rPr>
          <w:rStyle w:val="FootnoteReference"/>
        </w:rPr>
        <w:footnoteRef/>
      </w:r>
      <w:r w:rsidRPr="00D519A3">
        <w:t xml:space="preserve"> </w:t>
      </w:r>
      <w:hyperlink r:id="rId334" w:history="1">
        <w:r w:rsidRPr="00CA2D35">
          <w:rPr>
            <w:rStyle w:val="Hyperlink"/>
            <w:i/>
          </w:rPr>
          <w:t xml:space="preserve">Francis and Australian Sports Anti-Doping Authority (Freedom of Information) </w:t>
        </w:r>
        <w:r w:rsidRPr="00CA2D35">
          <w:rPr>
            <w:rStyle w:val="Hyperlink"/>
          </w:rPr>
          <w:t>[2019] AATA 12</w:t>
        </w:r>
      </w:hyperlink>
      <w:r w:rsidR="00CA2D35">
        <w:t>,</w:t>
      </w:r>
      <w:r w:rsidR="00273175" w:rsidRPr="00D519A3">
        <w:t xml:space="preserve"> [104].</w:t>
      </w:r>
    </w:p>
  </w:footnote>
  <w:footnote w:id="313">
    <w:p w14:paraId="5555FFD1" w14:textId="757B0457" w:rsidR="009D49EB" w:rsidRPr="00D519A3" w:rsidRDefault="009D49EB" w:rsidP="00146B33">
      <w:pPr>
        <w:pStyle w:val="FootnoteText"/>
        <w:ind w:left="142" w:hanging="142"/>
      </w:pPr>
      <w:r w:rsidRPr="00D519A3">
        <w:rPr>
          <w:rStyle w:val="FootnoteReference"/>
        </w:rPr>
        <w:footnoteRef/>
      </w:r>
      <w:r w:rsidRPr="00D519A3">
        <w:t xml:space="preserve"> </w:t>
      </w:r>
      <w:hyperlink r:id="rId335" w:history="1">
        <w:r w:rsidRPr="00E6483C">
          <w:rPr>
            <w:rStyle w:val="Hyperlink"/>
            <w:i/>
          </w:rPr>
          <w:t xml:space="preserve">Glascott v Victoria Police (Review and Regulation) </w:t>
        </w:r>
        <w:r w:rsidR="00273175" w:rsidRPr="00E6483C">
          <w:rPr>
            <w:rStyle w:val="Hyperlink"/>
          </w:rPr>
          <w:t>[2014] VCAT 615</w:t>
        </w:r>
      </w:hyperlink>
      <w:r w:rsidR="00E6483C">
        <w:rPr>
          <w:i/>
        </w:rPr>
        <w:t>,</w:t>
      </w:r>
      <w:r w:rsidRPr="00D519A3">
        <w:t xml:space="preserve"> [51] citing </w:t>
      </w:r>
      <w:r w:rsidRPr="00D519A3">
        <w:rPr>
          <w:i/>
        </w:rPr>
        <w:t xml:space="preserve">Re Barnes and Commissioner for Corporate </w:t>
      </w:r>
      <w:r w:rsidR="00273175" w:rsidRPr="00D519A3">
        <w:t>(1985) 1 VAR 16</w:t>
      </w:r>
      <w:r w:rsidR="00E6483C">
        <w:t>,</w:t>
      </w:r>
      <w:r w:rsidR="00273175" w:rsidRPr="00D519A3">
        <w:t xml:space="preserve"> [</w:t>
      </w:r>
      <w:r w:rsidRPr="00D519A3">
        <w:t>18</w:t>
      </w:r>
      <w:r w:rsidR="00273175" w:rsidRPr="00D519A3">
        <w:t>]</w:t>
      </w:r>
      <w:r w:rsidRPr="00D519A3">
        <w:t xml:space="preserve">. </w:t>
      </w:r>
    </w:p>
  </w:footnote>
  <w:footnote w:id="314">
    <w:p w14:paraId="5F43DB93" w14:textId="69A746D9" w:rsidR="009D49EB" w:rsidRPr="00D519A3" w:rsidRDefault="009D49EB" w:rsidP="00F71E05">
      <w:pPr>
        <w:pStyle w:val="FootnoteText"/>
      </w:pPr>
      <w:r w:rsidRPr="00D519A3">
        <w:rPr>
          <w:rStyle w:val="FootnoteReference"/>
        </w:rPr>
        <w:footnoteRef/>
      </w:r>
      <w:r w:rsidRPr="00D519A3">
        <w:t xml:space="preserve"> </w:t>
      </w:r>
      <w:hyperlink r:id="rId336" w:history="1">
        <w:r w:rsidRPr="00E6483C">
          <w:rPr>
            <w:rStyle w:val="Hyperlink"/>
            <w:i/>
          </w:rPr>
          <w:t xml:space="preserve">Re Maher and Attorney-General's Department </w:t>
        </w:r>
        <w:r w:rsidRPr="00E6483C">
          <w:rPr>
            <w:rStyle w:val="Hyperlink"/>
          </w:rPr>
          <w:t>[1985] AATA 180.</w:t>
        </w:r>
      </w:hyperlink>
      <w:r w:rsidRPr="00D519A3">
        <w:t xml:space="preserve"> </w:t>
      </w:r>
    </w:p>
  </w:footnote>
  <w:footnote w:id="315">
    <w:p w14:paraId="4E135BD3" w14:textId="7C3C2E75" w:rsidR="009D49EB" w:rsidRPr="00D519A3" w:rsidRDefault="009D49EB" w:rsidP="007065C1">
      <w:pPr>
        <w:pStyle w:val="FootnoteText"/>
        <w:ind w:right="-589"/>
      </w:pPr>
      <w:r w:rsidRPr="00D519A3">
        <w:rPr>
          <w:rStyle w:val="FootnoteReference"/>
        </w:rPr>
        <w:footnoteRef/>
      </w:r>
      <w:r w:rsidR="00273175" w:rsidRPr="00D519A3">
        <w:t xml:space="preserve"> </w:t>
      </w:r>
      <w:hyperlink r:id="rId337" w:history="1">
        <w:r w:rsidRPr="00E6483C">
          <w:rPr>
            <w:rStyle w:val="Hyperlink"/>
            <w:i/>
          </w:rPr>
          <w:t>Australian Workers’ Union and Queensland Treasury; Ardent Leisure Limited (Third Party)</w:t>
        </w:r>
        <w:r w:rsidR="00273175" w:rsidRPr="00E6483C">
          <w:rPr>
            <w:rStyle w:val="Hyperlink"/>
          </w:rPr>
          <w:t xml:space="preserve"> [2016] QICmr 28</w:t>
        </w:r>
      </w:hyperlink>
      <w:r w:rsidR="00E6483C">
        <w:rPr>
          <w:i/>
        </w:rPr>
        <w:t>,</w:t>
      </w:r>
      <w:r w:rsidR="00273175" w:rsidRPr="00D519A3">
        <w:t xml:space="preserve"> </w:t>
      </w:r>
      <w:r w:rsidRPr="00D519A3">
        <w:t>[58]</w:t>
      </w:r>
    </w:p>
  </w:footnote>
  <w:footnote w:id="316">
    <w:p w14:paraId="224FEDF3" w14:textId="09A31CC9" w:rsidR="009D49EB" w:rsidRPr="00D519A3" w:rsidRDefault="009D49EB" w:rsidP="00146B33">
      <w:pPr>
        <w:pStyle w:val="FootnoteText"/>
        <w:ind w:left="142" w:right="686" w:hanging="142"/>
      </w:pPr>
      <w:r w:rsidRPr="00D519A3">
        <w:rPr>
          <w:rStyle w:val="FootnoteReference"/>
        </w:rPr>
        <w:footnoteRef/>
      </w:r>
      <w:r w:rsidRPr="00D519A3">
        <w:t xml:space="preserve"> </w:t>
      </w:r>
      <w:hyperlink r:id="rId338" w:history="1">
        <w:r w:rsidRPr="00E6483C">
          <w:rPr>
            <w:rStyle w:val="Hyperlink"/>
            <w:i/>
          </w:rPr>
          <w:t>Rindos and The University of Western Australia</w:t>
        </w:r>
        <w:r w:rsidRPr="00E6483C">
          <w:rPr>
            <w:rStyle w:val="Hyperlink"/>
          </w:rPr>
          <w:t xml:space="preserve"> (unreported, Office of the Information </w:t>
        </w:r>
        <w:r w:rsidR="00273175" w:rsidRPr="00E6483C">
          <w:rPr>
            <w:rStyle w:val="Hyperlink"/>
          </w:rPr>
          <w:t>Commissioner WA, 10 July 1995)</w:t>
        </w:r>
      </w:hyperlink>
      <w:r w:rsidR="00E6483C">
        <w:rPr>
          <w:rStyle w:val="Hyperlink"/>
          <w:color w:val="000000" w:themeColor="text1"/>
          <w:u w:val="none"/>
        </w:rPr>
        <w:t xml:space="preserve">, </w:t>
      </w:r>
      <w:r w:rsidRPr="00D519A3">
        <w:rPr>
          <w:rStyle w:val="Hyperlink"/>
          <w:color w:val="000000" w:themeColor="text1"/>
          <w:u w:val="none"/>
        </w:rPr>
        <w:t>[30].</w:t>
      </w:r>
    </w:p>
  </w:footnote>
  <w:footnote w:id="317">
    <w:p w14:paraId="180BA58C" w14:textId="5D90C1E8" w:rsidR="000B069B" w:rsidRPr="00D519A3" w:rsidRDefault="000B069B" w:rsidP="00146B33">
      <w:pPr>
        <w:pStyle w:val="FootnoteText"/>
        <w:ind w:left="142" w:right="-164" w:hanging="142"/>
      </w:pPr>
      <w:r w:rsidRPr="00D519A3">
        <w:rPr>
          <w:rStyle w:val="FootnoteReference"/>
        </w:rPr>
        <w:footnoteRef/>
      </w:r>
      <w:r w:rsidRPr="00D519A3">
        <w:t xml:space="preserve"> See</w:t>
      </w:r>
      <w:r w:rsidR="00E8508B">
        <w:t xml:space="preserve"> </w:t>
      </w:r>
      <w:hyperlink r:id="rId339" w:history="1">
        <w:r w:rsidRPr="00E8508B">
          <w:rPr>
            <w:rStyle w:val="Hyperlink"/>
            <w:i/>
          </w:rPr>
          <w:t>Greenpeace Australia Pacific and Queensland Treasury; Northern Australia Infrastructure Facility (Third Party)</w:t>
        </w:r>
        <w:r w:rsidRPr="00E8508B">
          <w:rPr>
            <w:rStyle w:val="Hyperlink"/>
          </w:rPr>
          <w:t xml:space="preserve"> [2018] QICmr 9</w:t>
        </w:r>
      </w:hyperlink>
      <w:r w:rsidRPr="00D519A3">
        <w:t xml:space="preserve"> in which the </w:t>
      </w:r>
      <w:r w:rsidR="009C6B3D" w:rsidRPr="00D519A3">
        <w:t xml:space="preserve">Queensland Information Commissioner relied on the equivalent provision of the </w:t>
      </w:r>
      <w:hyperlink r:id="rId340" w:history="1">
        <w:r w:rsidR="009C6B3D" w:rsidRPr="00D519A3">
          <w:rPr>
            <w:rStyle w:val="Hyperlink"/>
            <w:i/>
          </w:rPr>
          <w:t>Right to Information Act 2009</w:t>
        </w:r>
      </w:hyperlink>
      <w:r w:rsidR="00E8508B" w:rsidRPr="006F5CD6">
        <w:rPr>
          <w:rStyle w:val="Hyperlink"/>
          <w:i/>
        </w:rPr>
        <w:t xml:space="preserve"> </w:t>
      </w:r>
      <w:r w:rsidR="00E8508B">
        <w:rPr>
          <w:rStyle w:val="Hyperlink"/>
          <w:i/>
        </w:rPr>
        <w:t>(Qld)</w:t>
      </w:r>
      <w:r w:rsidR="009C6B3D" w:rsidRPr="00D519A3">
        <w:t xml:space="preserve"> to find that disclosure of information from EFIC and NAIF to Queensland Treasury (QT) in circumstances where it was communicated subject to a mutual understanding of confidence “could also reasonably be expected to prejudice QT’s ability to obtain confidential information in the future, by undermining confidence in QT’s ability to observe agreements as to confidentiality” (at [49]), and went on to say: “It is, … in my view reasonable to expect that QT’s ability to obtain confidential information – from sources generally – may be impaired or prejudiced, were it to disclose the information in issue … .”</w:t>
      </w:r>
    </w:p>
  </w:footnote>
  <w:footnote w:id="318">
    <w:p w14:paraId="696124C8" w14:textId="727F92E4" w:rsidR="009D49EB" w:rsidRPr="00D519A3" w:rsidRDefault="009D49EB" w:rsidP="00146B33">
      <w:pPr>
        <w:pStyle w:val="NoSpacing"/>
        <w:ind w:left="142" w:hanging="142"/>
      </w:pPr>
      <w:r w:rsidRPr="00D519A3">
        <w:rPr>
          <w:rStyle w:val="FootnoteReference"/>
        </w:rPr>
        <w:footnoteRef/>
      </w:r>
      <w:r w:rsidRPr="00D519A3">
        <w:t xml:space="preserve"> </w:t>
      </w:r>
      <w:hyperlink r:id="rId341" w:history="1">
        <w:r w:rsidRPr="00D519A3">
          <w:rPr>
            <w:rStyle w:val="Hyperlink"/>
            <w:i/>
            <w:sz w:val="20"/>
          </w:rPr>
          <w:t>‘AK’ and Education Directorate</w:t>
        </w:r>
        <w:r w:rsidR="006A16F6" w:rsidRPr="00D519A3">
          <w:rPr>
            <w:rStyle w:val="Hyperlink"/>
            <w:sz w:val="20"/>
          </w:rPr>
          <w:t xml:space="preserve"> [2019] ACTOFOI 4</w:t>
        </w:r>
        <w:r w:rsidR="00294F5C" w:rsidRPr="00D519A3">
          <w:rPr>
            <w:rStyle w:val="Hyperlink"/>
            <w:sz w:val="20"/>
          </w:rPr>
          <w:t xml:space="preserve"> (5 February 2019)</w:t>
        </w:r>
      </w:hyperlink>
      <w:r w:rsidR="006A16F6" w:rsidRPr="00D519A3">
        <w:rPr>
          <w:sz w:val="20"/>
        </w:rPr>
        <w:t>;</w:t>
      </w:r>
      <w:r w:rsidRPr="00D519A3">
        <w:rPr>
          <w:sz w:val="20"/>
        </w:rPr>
        <w:t xml:space="preserve"> </w:t>
      </w:r>
      <w:r w:rsidRPr="00D519A3">
        <w:rPr>
          <w:i/>
          <w:sz w:val="20"/>
        </w:rPr>
        <w:t>'</w:t>
      </w:r>
      <w:hyperlink r:id="rId342" w:history="1">
        <w:r w:rsidRPr="00D519A3">
          <w:rPr>
            <w:rStyle w:val="Hyperlink"/>
            <w:i/>
            <w:sz w:val="20"/>
          </w:rPr>
          <w:t>AD' and Health Directorate</w:t>
        </w:r>
        <w:r w:rsidRPr="00D519A3">
          <w:rPr>
            <w:rStyle w:val="Hyperlink"/>
            <w:sz w:val="20"/>
          </w:rPr>
          <w:t xml:space="preserve"> [2018] ACTOFOI </w:t>
        </w:r>
        <w:r w:rsidR="00294F5C" w:rsidRPr="00D519A3">
          <w:rPr>
            <w:rStyle w:val="Hyperlink"/>
            <w:sz w:val="20"/>
          </w:rPr>
          <w:t>8 (27 November 2018)</w:t>
        </w:r>
      </w:hyperlink>
      <w:r w:rsidR="00294F5C" w:rsidRPr="00D519A3">
        <w:rPr>
          <w:sz w:val="20"/>
        </w:rPr>
        <w:t xml:space="preserve"> </w:t>
      </w:r>
      <w:r w:rsidRPr="00D519A3">
        <w:rPr>
          <w:sz w:val="20"/>
        </w:rPr>
        <w:t xml:space="preserve">and </w:t>
      </w:r>
      <w:hyperlink r:id="rId343" w:history="1">
        <w:r w:rsidRPr="00D519A3">
          <w:rPr>
            <w:rStyle w:val="Hyperlink"/>
            <w:i/>
            <w:sz w:val="20"/>
          </w:rPr>
          <w:t>‘AE’ and Health Directorate</w:t>
        </w:r>
        <w:r w:rsidR="006A16F6" w:rsidRPr="00D519A3">
          <w:rPr>
            <w:rStyle w:val="Hyperlink"/>
            <w:sz w:val="20"/>
          </w:rPr>
          <w:t xml:space="preserve"> [2018] ACTOFOI 9</w:t>
        </w:r>
        <w:r w:rsidR="00294F5C" w:rsidRPr="00D519A3">
          <w:rPr>
            <w:rStyle w:val="Hyperlink"/>
            <w:sz w:val="20"/>
          </w:rPr>
          <w:t xml:space="preserve"> (27 November 2018)</w:t>
        </w:r>
      </w:hyperlink>
      <w:r w:rsidR="006A16F6" w:rsidRPr="00D519A3">
        <w:rPr>
          <w:sz w:val="20"/>
        </w:rPr>
        <w:t>.</w:t>
      </w:r>
    </w:p>
  </w:footnote>
  <w:footnote w:id="319">
    <w:p w14:paraId="494B90C3" w14:textId="49D85814" w:rsidR="009D49EB" w:rsidRPr="00D519A3" w:rsidRDefault="009D49EB" w:rsidP="00146B33">
      <w:pPr>
        <w:pStyle w:val="FootnoteText"/>
        <w:ind w:left="142" w:right="-22" w:hanging="142"/>
      </w:pPr>
      <w:r w:rsidRPr="00D519A3">
        <w:rPr>
          <w:rStyle w:val="FootnoteReference"/>
        </w:rPr>
        <w:footnoteRef/>
      </w:r>
      <w:r w:rsidR="007E3CCB" w:rsidRPr="00D519A3">
        <w:t xml:space="preserve"> </w:t>
      </w:r>
      <w:hyperlink r:id="rId344" w:history="1">
        <w:r w:rsidRPr="00CD0320">
          <w:rPr>
            <w:rStyle w:val="Hyperlink"/>
            <w:i/>
          </w:rPr>
          <w:t>Seven Network (Operations) Limited and the Board of Trustees of the State Public Sector Superannuation Scheme</w:t>
        </w:r>
        <w:r w:rsidRPr="00CD0320">
          <w:rPr>
            <w:rStyle w:val="Hyperlink"/>
          </w:rPr>
          <w:t xml:space="preserve"> [2015] QICmr 33</w:t>
        </w:r>
      </w:hyperlink>
      <w:r w:rsidRPr="00D519A3">
        <w:t xml:space="preserve">. </w:t>
      </w:r>
    </w:p>
  </w:footnote>
  <w:footnote w:id="320">
    <w:p w14:paraId="72FD5411" w14:textId="6737274B" w:rsidR="009D49EB" w:rsidRPr="00D519A3" w:rsidRDefault="009D49EB" w:rsidP="00146B33">
      <w:pPr>
        <w:pStyle w:val="FootnoteText"/>
        <w:ind w:left="142" w:hanging="142"/>
      </w:pPr>
      <w:r w:rsidRPr="00D519A3">
        <w:rPr>
          <w:rStyle w:val="FootnoteReference"/>
        </w:rPr>
        <w:footnoteRef/>
      </w:r>
      <w:r w:rsidRPr="00D519A3">
        <w:t xml:space="preserve"> </w:t>
      </w:r>
      <w:r w:rsidRPr="00D519A3">
        <w:rPr>
          <w:i/>
        </w:rPr>
        <w:t>Australian Broadcasting Corporation and Townsville City Council; Adani Mining Pty Ltd (Third Party) &amp; Ors</w:t>
      </w:r>
      <w:r w:rsidRPr="00D519A3">
        <w:t xml:space="preserve"> [2019] QICmr 7</w:t>
      </w:r>
      <w:r w:rsidR="00CD0320">
        <w:t>,</w:t>
      </w:r>
      <w:r w:rsidRPr="00D519A3">
        <w:t xml:space="preserve"> [88]; </w:t>
      </w:r>
      <w:hyperlink r:id="rId345" w:history="1">
        <w:r w:rsidRPr="00CD0320">
          <w:rPr>
            <w:rStyle w:val="Hyperlink"/>
            <w:i/>
          </w:rPr>
          <w:t>Mineralogy and North Queensland Bulk Ports Corporation Limited</w:t>
        </w:r>
        <w:r w:rsidRPr="00CD0320">
          <w:rPr>
            <w:rStyle w:val="Hyperlink"/>
          </w:rPr>
          <w:t xml:space="preserve"> [2012] QICmr 49</w:t>
        </w:r>
      </w:hyperlink>
      <w:r w:rsidRPr="00D519A3">
        <w:t xml:space="preserve">. </w:t>
      </w:r>
    </w:p>
  </w:footnote>
  <w:footnote w:id="321">
    <w:p w14:paraId="7B8EF819" w14:textId="19636F28" w:rsidR="009D49EB" w:rsidRPr="00D519A3" w:rsidRDefault="009D49EB" w:rsidP="00146B33">
      <w:pPr>
        <w:pStyle w:val="FootnoteText"/>
        <w:ind w:left="142" w:right="-164" w:hanging="142"/>
      </w:pPr>
      <w:r w:rsidRPr="00D519A3">
        <w:rPr>
          <w:rStyle w:val="FootnoteReference"/>
        </w:rPr>
        <w:footnoteRef/>
      </w:r>
      <w:r w:rsidR="007E3CCB" w:rsidRPr="00D519A3">
        <w:t xml:space="preserve"> </w:t>
      </w:r>
      <w:hyperlink r:id="rId346" w:history="1">
        <w:r w:rsidRPr="00CD0320">
          <w:rPr>
            <w:rStyle w:val="Hyperlink"/>
            <w:i/>
          </w:rPr>
          <w:t>Redlands2030 Inc and Redland City Council; RIC Toondah Pty Ltd (Third Party); Minister for Economic Development Queensland (Fourth Party); Walker Group Holdings Pty Ltd (Fifth Party); Walker Toondah Harbour Pty Ltd (Sixth Party)</w:t>
        </w:r>
        <w:r w:rsidRPr="00CD0320">
          <w:rPr>
            <w:rStyle w:val="Hyperlink"/>
          </w:rPr>
          <w:t xml:space="preserve"> [2018] QICmr 46</w:t>
        </w:r>
      </w:hyperlink>
      <w:r w:rsidR="00CD0320">
        <w:t>,</w:t>
      </w:r>
      <w:r w:rsidRPr="00D519A3">
        <w:t xml:space="preserve"> [108]. </w:t>
      </w:r>
    </w:p>
  </w:footnote>
  <w:footnote w:id="322">
    <w:p w14:paraId="0483E169" w14:textId="5ACBD024" w:rsidR="009D49EB" w:rsidRPr="00D519A3" w:rsidRDefault="009D49EB" w:rsidP="00146B33">
      <w:pPr>
        <w:pStyle w:val="FootnoteText"/>
        <w:ind w:left="142" w:hanging="142"/>
      </w:pPr>
      <w:r w:rsidRPr="00D519A3">
        <w:rPr>
          <w:rStyle w:val="FootnoteReference"/>
        </w:rPr>
        <w:footnoteRef/>
      </w:r>
      <w:r w:rsidRPr="00D519A3">
        <w:t xml:space="preserve"> </w:t>
      </w:r>
      <w:hyperlink r:id="rId347" w:history="1">
        <w:r w:rsidRPr="00FE3A45">
          <w:rPr>
            <w:rStyle w:val="Hyperlink"/>
            <w:i/>
          </w:rPr>
          <w:t xml:space="preserve">Q Squash Ltd and Department of Local Government, Planning and Recreation; Fraser </w:t>
        </w:r>
        <w:r w:rsidRPr="00FE3A45">
          <w:rPr>
            <w:rStyle w:val="Hyperlink"/>
          </w:rPr>
          <w:t>[2008] QICmr 15</w:t>
        </w:r>
      </w:hyperlink>
      <w:r w:rsidRPr="00D519A3">
        <w:t xml:space="preserve">.  </w:t>
      </w:r>
    </w:p>
  </w:footnote>
  <w:footnote w:id="323">
    <w:p w14:paraId="526B1D8F" w14:textId="62E36C4D" w:rsidR="009D49EB" w:rsidRPr="00D519A3" w:rsidRDefault="009D49EB" w:rsidP="00146B33">
      <w:pPr>
        <w:pStyle w:val="FootnoteText"/>
        <w:ind w:left="142" w:hanging="142"/>
      </w:pPr>
      <w:r w:rsidRPr="00D519A3">
        <w:rPr>
          <w:rStyle w:val="FootnoteReference"/>
        </w:rPr>
        <w:footnoteRef/>
      </w:r>
      <w:r w:rsidRPr="00D519A3">
        <w:t xml:space="preserve"> </w:t>
      </w:r>
      <w:hyperlink r:id="rId348" w:history="1">
        <w:r w:rsidRPr="003E1DE5">
          <w:rPr>
            <w:rStyle w:val="Hyperlink"/>
            <w:i/>
          </w:rPr>
          <w:t xml:space="preserve">Paul Kaszyckyj and Australian Taxation Office (No 2) </w:t>
        </w:r>
        <w:r w:rsidRPr="003E1DE5">
          <w:rPr>
            <w:rStyle w:val="Hyperlink"/>
          </w:rPr>
          <w:t>[2017] AICmr 110</w:t>
        </w:r>
      </w:hyperlink>
      <w:r w:rsidRPr="00D519A3">
        <w:t xml:space="preserve">; </w:t>
      </w:r>
      <w:hyperlink r:id="rId349" w:history="1">
        <w:r w:rsidRPr="003E1DE5">
          <w:rPr>
            <w:rStyle w:val="Hyperlink"/>
            <w:i/>
          </w:rPr>
          <w:t>'OB' and Australian Building and Construction Commission</w:t>
        </w:r>
        <w:r w:rsidRPr="003E1DE5">
          <w:rPr>
            <w:rStyle w:val="Hyperlink"/>
          </w:rPr>
          <w:t xml:space="preserve"> [2018] AICmr 25</w:t>
        </w:r>
      </w:hyperlink>
      <w:r w:rsidRPr="00D519A3">
        <w:t xml:space="preserve">; </w:t>
      </w:r>
      <w:r w:rsidRPr="00D519A3">
        <w:rPr>
          <w:i/>
        </w:rPr>
        <w:t>Paul Cleary and Special Broadcasting Service</w:t>
      </w:r>
      <w:r w:rsidRPr="00D519A3">
        <w:t xml:space="preserve"> [2016] AICmr 2. </w:t>
      </w:r>
    </w:p>
  </w:footnote>
  <w:footnote w:id="324">
    <w:p w14:paraId="7259DB6D" w14:textId="090BD460" w:rsidR="009D49EB" w:rsidRPr="00D519A3" w:rsidRDefault="009D49EB" w:rsidP="00146B33">
      <w:pPr>
        <w:pStyle w:val="FootnoteText"/>
        <w:ind w:left="142" w:right="-306" w:hanging="142"/>
      </w:pPr>
      <w:r w:rsidRPr="00D519A3">
        <w:rPr>
          <w:rStyle w:val="FootnoteReference"/>
        </w:rPr>
        <w:footnoteRef/>
      </w:r>
      <w:r w:rsidRPr="00D519A3">
        <w:rPr>
          <w:i/>
        </w:rPr>
        <w:t xml:space="preserve"> </w:t>
      </w:r>
      <w:hyperlink r:id="rId350" w:history="1">
        <w:r w:rsidRPr="00D519A3">
          <w:rPr>
            <w:rStyle w:val="Hyperlink"/>
            <w:i/>
          </w:rPr>
          <w:t xml:space="preserve">‘AE’ and Health Directorate </w:t>
        </w:r>
        <w:r w:rsidRPr="00D519A3">
          <w:rPr>
            <w:rStyle w:val="Hyperlink"/>
          </w:rPr>
          <w:t xml:space="preserve">[2018] ACTOFOI 9 </w:t>
        </w:r>
        <w:r w:rsidR="00485698" w:rsidRPr="00D519A3">
          <w:rPr>
            <w:rStyle w:val="Hyperlink"/>
          </w:rPr>
          <w:t>(27 November 2018)</w:t>
        </w:r>
      </w:hyperlink>
      <w:r w:rsidR="00485698" w:rsidRPr="00D519A3">
        <w:t xml:space="preserve"> </w:t>
      </w:r>
      <w:r w:rsidRPr="00D519A3">
        <w:t xml:space="preserve">[56]-[58]; </w:t>
      </w:r>
      <w:hyperlink r:id="rId351" w:history="1">
        <w:r w:rsidRPr="00D519A3">
          <w:rPr>
            <w:rStyle w:val="Hyperlink"/>
            <w:i/>
          </w:rPr>
          <w:t>‘AD’ and Health Directorate</w:t>
        </w:r>
        <w:r w:rsidRPr="00D519A3">
          <w:rPr>
            <w:rStyle w:val="Hyperlink"/>
          </w:rPr>
          <w:t xml:space="preserve"> [2018] ACTOFOI 8 </w:t>
        </w:r>
        <w:r w:rsidR="00485698" w:rsidRPr="00D519A3">
          <w:rPr>
            <w:rStyle w:val="Hyperlink"/>
          </w:rPr>
          <w:t>(27 November 2018)</w:t>
        </w:r>
      </w:hyperlink>
      <w:r w:rsidR="00485698" w:rsidRPr="00D519A3">
        <w:t xml:space="preserve"> </w:t>
      </w:r>
      <w:r w:rsidRPr="00D519A3">
        <w:t xml:space="preserve">[52]-[54]; </w:t>
      </w:r>
      <w:hyperlink r:id="rId352" w:history="1">
        <w:r w:rsidRPr="00D519A3">
          <w:rPr>
            <w:rStyle w:val="Hyperlink"/>
            <w:i/>
          </w:rPr>
          <w:t xml:space="preserve">‘AK’ and Education Directorate </w:t>
        </w:r>
        <w:r w:rsidRPr="00D519A3">
          <w:rPr>
            <w:rStyle w:val="Hyperlink"/>
          </w:rPr>
          <w:t xml:space="preserve">[2019] ACTOFOI 4 </w:t>
        </w:r>
        <w:r w:rsidR="00485698" w:rsidRPr="00D519A3">
          <w:rPr>
            <w:rStyle w:val="Hyperlink"/>
          </w:rPr>
          <w:t>(5 February 2019)</w:t>
        </w:r>
      </w:hyperlink>
      <w:r w:rsidR="00485698" w:rsidRPr="00D519A3">
        <w:t xml:space="preserve"> </w:t>
      </w:r>
      <w:r w:rsidRPr="00D519A3">
        <w:t xml:space="preserve">[47]-[49]; </w:t>
      </w:r>
      <w:hyperlink r:id="rId353" w:history="1">
        <w:r w:rsidRPr="00BE5D77">
          <w:rPr>
            <w:rStyle w:val="Hyperlink"/>
            <w:i/>
          </w:rPr>
          <w:t xml:space="preserve">Taggart and Queensland Police Service </w:t>
        </w:r>
        <w:r w:rsidRPr="00BE5D77">
          <w:rPr>
            <w:rStyle w:val="Hyperlink"/>
          </w:rPr>
          <w:t>[2015] QICmr 16</w:t>
        </w:r>
      </w:hyperlink>
      <w:r w:rsidR="00BE5D77">
        <w:rPr>
          <w:i/>
        </w:rPr>
        <w:t>,</w:t>
      </w:r>
      <w:r w:rsidRPr="00D519A3">
        <w:t xml:space="preserve"> [21</w:t>
      </w:r>
      <w:hyperlink r:id="rId354" w:history="1">
        <w:r w:rsidRPr="00BE5D77">
          <w:rPr>
            <w:rStyle w:val="Hyperlink"/>
          </w:rPr>
          <w:t xml:space="preserve">]; </w:t>
        </w:r>
        <w:r w:rsidRPr="00BE5D77">
          <w:rPr>
            <w:rStyle w:val="Hyperlink"/>
            <w:i/>
          </w:rPr>
          <w:t>De Tarle and Australian Securities and Investments Commission (Freedom of information)</w:t>
        </w:r>
        <w:r w:rsidRPr="00BE5D77">
          <w:rPr>
            <w:rStyle w:val="Hyperlink"/>
          </w:rPr>
          <w:t xml:space="preserve"> [2016] AATA 230</w:t>
        </w:r>
      </w:hyperlink>
      <w:r w:rsidR="00BE5D77">
        <w:t>,</w:t>
      </w:r>
      <w:r w:rsidR="00BB5474" w:rsidRPr="00D519A3">
        <w:t xml:space="preserve"> [</w:t>
      </w:r>
      <w:r w:rsidRPr="00D519A3">
        <w:t xml:space="preserve">42]. </w:t>
      </w:r>
    </w:p>
  </w:footnote>
  <w:footnote w:id="325">
    <w:p w14:paraId="7C43D4B0" w14:textId="44468918" w:rsidR="009D49EB" w:rsidRPr="00D519A3" w:rsidRDefault="009D49EB" w:rsidP="00146B33">
      <w:pPr>
        <w:pStyle w:val="FootnoteText"/>
        <w:ind w:left="142" w:hanging="142"/>
      </w:pPr>
      <w:r w:rsidRPr="00D519A3">
        <w:rPr>
          <w:rStyle w:val="FootnoteReference"/>
        </w:rPr>
        <w:footnoteRef/>
      </w:r>
      <w:r w:rsidRPr="00D519A3">
        <w:t xml:space="preserve"> </w:t>
      </w:r>
      <w:hyperlink r:id="rId355" w:history="1">
        <w:r w:rsidRPr="0096731A">
          <w:rPr>
            <w:rStyle w:val="Hyperlink"/>
            <w:i/>
          </w:rPr>
          <w:t>‘C’ and Department of Agriculture, Fisheries and Forestry</w:t>
        </w:r>
        <w:r w:rsidRPr="0096731A">
          <w:rPr>
            <w:rStyle w:val="Hyperlink"/>
          </w:rPr>
          <w:t xml:space="preserve"> [2013] AlCmr 8</w:t>
        </w:r>
      </w:hyperlink>
      <w:r w:rsidRPr="00D519A3">
        <w:t xml:space="preserve">. </w:t>
      </w:r>
    </w:p>
  </w:footnote>
  <w:footnote w:id="326">
    <w:p w14:paraId="514359F3" w14:textId="19A9F7A4" w:rsidR="009D49EB" w:rsidRPr="00D519A3" w:rsidRDefault="009D49EB" w:rsidP="00146B33">
      <w:pPr>
        <w:pStyle w:val="FootnoteText"/>
        <w:ind w:left="142" w:hanging="142"/>
      </w:pPr>
      <w:r w:rsidRPr="00D519A3">
        <w:rPr>
          <w:rStyle w:val="FootnoteReference"/>
        </w:rPr>
        <w:footnoteRef/>
      </w:r>
      <w:r w:rsidRPr="00D519A3">
        <w:t xml:space="preserve"> </w:t>
      </w:r>
      <w:hyperlink r:id="rId356" w:history="1">
        <w:r w:rsidRPr="00BE5D77">
          <w:rPr>
            <w:rStyle w:val="Hyperlink"/>
            <w:i/>
          </w:rPr>
          <w:t>Australian Broadcasting Corporation and Department of Child Safety, Youth and Women</w:t>
        </w:r>
        <w:r w:rsidRPr="00BE5D77">
          <w:rPr>
            <w:rStyle w:val="Hyperlink"/>
          </w:rPr>
          <w:t xml:space="preserve"> [2018] QICmr 47</w:t>
        </w:r>
      </w:hyperlink>
      <w:r w:rsidR="00BE5D77">
        <w:rPr>
          <w:i/>
        </w:rPr>
        <w:t>,</w:t>
      </w:r>
      <w:r w:rsidRPr="00D519A3">
        <w:t xml:space="preserve"> [119]. </w:t>
      </w:r>
    </w:p>
  </w:footnote>
  <w:footnote w:id="327">
    <w:p w14:paraId="2FD652A0" w14:textId="4927C41C" w:rsidR="009D49EB" w:rsidRPr="00D519A3" w:rsidRDefault="009D49EB" w:rsidP="00146B33">
      <w:pPr>
        <w:pStyle w:val="FootnoteText"/>
        <w:ind w:left="142" w:hanging="142"/>
      </w:pPr>
      <w:r w:rsidRPr="00D519A3">
        <w:rPr>
          <w:rStyle w:val="FootnoteReference"/>
        </w:rPr>
        <w:footnoteRef/>
      </w:r>
      <w:r w:rsidRPr="00D519A3">
        <w:t xml:space="preserve"> </w:t>
      </w:r>
      <w:hyperlink r:id="rId357" w:history="1">
        <w:r w:rsidRPr="00BE5D77">
          <w:rPr>
            <w:rStyle w:val="Hyperlink"/>
            <w:i/>
          </w:rPr>
          <w:t>North Queensland Conservation Council Inc and Queensland Treasury</w:t>
        </w:r>
        <w:r w:rsidRPr="00BE5D77">
          <w:rPr>
            <w:rStyle w:val="Hyperlink"/>
          </w:rPr>
          <w:t xml:space="preserve"> [2016] </w:t>
        </w:r>
        <w:r w:rsidR="00BB5474" w:rsidRPr="00BE5D77">
          <w:rPr>
            <w:rStyle w:val="Hyperlink"/>
          </w:rPr>
          <w:t>QICmr 21</w:t>
        </w:r>
      </w:hyperlink>
      <w:r w:rsidR="00BE5D77">
        <w:t>,</w:t>
      </w:r>
      <w:r w:rsidR="00BB5474" w:rsidRPr="00D519A3">
        <w:t xml:space="preserve"> </w:t>
      </w:r>
      <w:r w:rsidRPr="00D519A3">
        <w:t xml:space="preserve">[73]. </w:t>
      </w:r>
    </w:p>
  </w:footnote>
  <w:footnote w:id="328">
    <w:p w14:paraId="4C2CA18F" w14:textId="04C782F1" w:rsidR="009D49EB" w:rsidRPr="00D519A3" w:rsidRDefault="009D49EB" w:rsidP="00146B33">
      <w:pPr>
        <w:pStyle w:val="FootnoteText"/>
        <w:ind w:left="142" w:right="-472" w:hanging="142"/>
      </w:pPr>
      <w:r w:rsidRPr="00D519A3">
        <w:rPr>
          <w:rStyle w:val="FootnoteReference"/>
        </w:rPr>
        <w:footnoteRef/>
      </w:r>
      <w:r w:rsidR="00BB5474" w:rsidRPr="00D519A3">
        <w:t xml:space="preserve"> </w:t>
      </w:r>
      <w:hyperlink r:id="rId358" w:history="1">
        <w:r w:rsidRPr="00BE5D77">
          <w:rPr>
            <w:rStyle w:val="Hyperlink"/>
            <w:i/>
          </w:rPr>
          <w:t>Wood; Secretary, Department of Prime Minister and Cabinet and (Freedom of Information)</w:t>
        </w:r>
        <w:r w:rsidRPr="00BE5D77">
          <w:rPr>
            <w:rStyle w:val="Hyperlink"/>
          </w:rPr>
          <w:t xml:space="preserve"> [2015] AATA 945</w:t>
        </w:r>
      </w:hyperlink>
      <w:r w:rsidR="00BE5D77">
        <w:rPr>
          <w:i/>
        </w:rPr>
        <w:t>,</w:t>
      </w:r>
      <w:r w:rsidR="00BB5474" w:rsidRPr="00D519A3">
        <w:t xml:space="preserve"> [</w:t>
      </w:r>
      <w:r w:rsidRPr="00D519A3">
        <w:t xml:space="preserve">69]. </w:t>
      </w:r>
    </w:p>
  </w:footnote>
  <w:footnote w:id="329">
    <w:p w14:paraId="7A221E9D" w14:textId="2CC28374" w:rsidR="009D49EB" w:rsidRPr="00D519A3" w:rsidRDefault="009D49EB" w:rsidP="00146B33">
      <w:pPr>
        <w:pStyle w:val="FootnoteText"/>
        <w:ind w:left="142" w:right="-448" w:hanging="142"/>
      </w:pPr>
      <w:r w:rsidRPr="00D519A3">
        <w:rPr>
          <w:rStyle w:val="FootnoteReference"/>
        </w:rPr>
        <w:footnoteRef/>
      </w:r>
      <w:r w:rsidRPr="00D519A3">
        <w:t xml:space="preserve"> </w:t>
      </w:r>
      <w:hyperlink r:id="rId359" w:history="1">
        <w:r w:rsidRPr="00BE5D77">
          <w:rPr>
            <w:rStyle w:val="Hyperlink"/>
          </w:rPr>
          <w:t>Eccleston and Department of Family Services and Aboriginal and Islander Affairs</w:t>
        </w:r>
        <w:r w:rsidR="00FC3529" w:rsidRPr="00BE5D77">
          <w:rPr>
            <w:rStyle w:val="Hyperlink"/>
          </w:rPr>
          <w:t xml:space="preserve"> (1993) 1 QAR 60</w:t>
        </w:r>
      </w:hyperlink>
      <w:r w:rsidR="00BE5D77">
        <w:t>,</w:t>
      </w:r>
      <w:r w:rsidRPr="00D519A3">
        <w:t xml:space="preserve"> [28]-[30], ci</w:t>
      </w:r>
      <w:r w:rsidR="00FC3529" w:rsidRPr="00D519A3">
        <w:t xml:space="preserve">ted </w:t>
      </w:r>
      <w:r w:rsidRPr="00D519A3">
        <w:t xml:space="preserve">in </w:t>
      </w:r>
      <w:hyperlink r:id="rId360" w:history="1">
        <w:r w:rsidRPr="00D519A3">
          <w:rPr>
            <w:rStyle w:val="Hyperlink"/>
            <w:i/>
          </w:rPr>
          <w:t xml:space="preserve">Alistair Coe and Chief Minister, Treasury and Economic Development Directorate </w:t>
        </w:r>
        <w:r w:rsidRPr="00D519A3">
          <w:rPr>
            <w:rStyle w:val="Hyperlink"/>
          </w:rPr>
          <w:t>[2019] ACTOFOI 3</w:t>
        </w:r>
        <w:r w:rsidR="000C7A0B" w:rsidRPr="00D519A3">
          <w:rPr>
            <w:rStyle w:val="Hyperlink"/>
          </w:rPr>
          <w:t xml:space="preserve"> (29 January 2019)</w:t>
        </w:r>
      </w:hyperlink>
      <w:r w:rsidRPr="00D519A3">
        <w:t xml:space="preserve"> [38].</w:t>
      </w:r>
    </w:p>
  </w:footnote>
  <w:footnote w:id="330">
    <w:p w14:paraId="09FD721D" w14:textId="5C0B3857" w:rsidR="009D49EB" w:rsidRPr="00D519A3" w:rsidRDefault="009D49EB" w:rsidP="00146B33">
      <w:pPr>
        <w:pStyle w:val="FootnoteText"/>
        <w:ind w:left="142" w:hanging="142"/>
        <w:rPr>
          <w:i/>
        </w:rPr>
      </w:pPr>
      <w:r w:rsidRPr="00D519A3">
        <w:rPr>
          <w:rStyle w:val="FootnoteReference"/>
        </w:rPr>
        <w:footnoteRef/>
      </w:r>
      <w:r w:rsidRPr="00D519A3">
        <w:t xml:space="preserve"> See discussion of the meaning of ‘deliberative matter’ in </w:t>
      </w:r>
      <w:hyperlink r:id="rId361" w:history="1">
        <w:r w:rsidRPr="00BE5D77">
          <w:rPr>
            <w:rStyle w:val="Hyperlink"/>
            <w:i/>
          </w:rPr>
          <w:t>MacTiernan and Secretary, Department of Infrastructure and Regional Development</w:t>
        </w:r>
        <w:r w:rsidRPr="00BE5D77">
          <w:rPr>
            <w:rStyle w:val="Hyperlink"/>
          </w:rPr>
          <w:t xml:space="preserve"> [2016] AATA 506</w:t>
        </w:r>
      </w:hyperlink>
      <w:r w:rsidR="00BE5D77">
        <w:t>,</w:t>
      </w:r>
      <w:r w:rsidRPr="00D519A3">
        <w:t xml:space="preserve"> [93]</w:t>
      </w:r>
      <w:r w:rsidR="00BE5D77">
        <w:t xml:space="preserve">; </w:t>
      </w:r>
      <w:r w:rsidRPr="00D519A3">
        <w:t xml:space="preserve">‘deliberative processes’ in </w:t>
      </w:r>
      <w:hyperlink r:id="rId362" w:history="1">
        <w:r w:rsidRPr="00BE5D77">
          <w:rPr>
            <w:rStyle w:val="Hyperlink"/>
            <w:i/>
          </w:rPr>
          <w:t xml:space="preserve">Re JE Waterford and Department of Treasury (No 2) </w:t>
        </w:r>
        <w:r w:rsidR="00FC3529" w:rsidRPr="00BE5D77">
          <w:rPr>
            <w:rStyle w:val="Hyperlink"/>
          </w:rPr>
          <w:t>[1984] AATA 67</w:t>
        </w:r>
      </w:hyperlink>
      <w:r w:rsidR="00BE5D77">
        <w:t>,</w:t>
      </w:r>
      <w:r w:rsidR="00FC3529" w:rsidRPr="00D519A3">
        <w:t xml:space="preserve"> </w:t>
      </w:r>
      <w:r w:rsidRPr="00D519A3">
        <w:t>[58].</w:t>
      </w:r>
    </w:p>
  </w:footnote>
  <w:footnote w:id="331">
    <w:p w14:paraId="2D5C35C4" w14:textId="65F32DD9" w:rsidR="009D49EB" w:rsidRPr="00D519A3" w:rsidRDefault="009D49EB" w:rsidP="00146B33">
      <w:pPr>
        <w:pStyle w:val="FootnoteText"/>
        <w:ind w:left="142" w:hanging="142"/>
      </w:pPr>
      <w:r w:rsidRPr="00D519A3">
        <w:rPr>
          <w:rStyle w:val="FootnoteReference"/>
        </w:rPr>
        <w:footnoteRef/>
      </w:r>
      <w:r w:rsidRPr="00D519A3">
        <w:t xml:space="preserve"> </w:t>
      </w:r>
      <w:hyperlink r:id="rId363" w:history="1">
        <w:r w:rsidRPr="00BE5D77">
          <w:rPr>
            <w:rStyle w:val="Hyperlink"/>
            <w:i/>
          </w:rPr>
          <w:t>Dreyfus and Secretary Attorney-General’s Department (Freedom of information)</w:t>
        </w:r>
        <w:r w:rsidRPr="00BE5D77">
          <w:rPr>
            <w:rStyle w:val="Hyperlink"/>
          </w:rPr>
          <w:t xml:space="preserve"> [2015] AATA 962</w:t>
        </w:r>
      </w:hyperlink>
      <w:r w:rsidR="00BE5D77">
        <w:rPr>
          <w:i/>
        </w:rPr>
        <w:t>,</w:t>
      </w:r>
      <w:r w:rsidRPr="00D519A3">
        <w:t xml:space="preserve"> [18].</w:t>
      </w:r>
    </w:p>
  </w:footnote>
  <w:footnote w:id="332">
    <w:p w14:paraId="5B0F666D" w14:textId="1AB6F88B" w:rsidR="009D49EB" w:rsidRPr="00D519A3" w:rsidRDefault="009D49EB" w:rsidP="00146B33">
      <w:pPr>
        <w:pStyle w:val="FootnoteText"/>
        <w:ind w:left="142" w:hanging="142"/>
      </w:pPr>
      <w:r w:rsidRPr="00D519A3">
        <w:rPr>
          <w:rStyle w:val="FootnoteReference"/>
        </w:rPr>
        <w:footnoteRef/>
      </w:r>
      <w:r w:rsidRPr="00D519A3">
        <w:t xml:space="preserve"> </w:t>
      </w:r>
      <w:hyperlink r:id="rId364" w:history="1">
        <w:r w:rsidRPr="000B650F">
          <w:rPr>
            <w:rStyle w:val="Hyperlink"/>
            <w:i/>
          </w:rPr>
          <w:t xml:space="preserve">Re JE Waterford and Department of Treasury (No 2) </w:t>
        </w:r>
        <w:r w:rsidRPr="000B650F">
          <w:rPr>
            <w:rStyle w:val="Hyperlink"/>
          </w:rPr>
          <w:t>[1984] AATA 67</w:t>
        </w:r>
      </w:hyperlink>
      <w:r w:rsidR="000B650F">
        <w:t>,</w:t>
      </w:r>
      <w:r w:rsidRPr="00D519A3">
        <w:t xml:space="preserve"> [59].</w:t>
      </w:r>
    </w:p>
  </w:footnote>
  <w:footnote w:id="333">
    <w:p w14:paraId="78D93DA9" w14:textId="1AEFA08E" w:rsidR="009D49EB" w:rsidRPr="00D519A3" w:rsidRDefault="009D49EB" w:rsidP="00146B33">
      <w:pPr>
        <w:pStyle w:val="FootnoteText"/>
        <w:ind w:left="142" w:hanging="142"/>
      </w:pPr>
      <w:r w:rsidRPr="00D519A3">
        <w:rPr>
          <w:rStyle w:val="FootnoteReference"/>
        </w:rPr>
        <w:footnoteRef/>
      </w:r>
      <w:r w:rsidRPr="00D519A3">
        <w:t xml:space="preserve"> Unless the level of disruption would be so significant as to require reallocation of resources to deal with the disruption where the resources would otherwise be involved in finalising the deliberative process: see </w:t>
      </w:r>
      <w:hyperlink r:id="rId365" w:history="1">
        <w:r w:rsidRPr="000B650F">
          <w:rPr>
            <w:rStyle w:val="Hyperlink"/>
            <w:i/>
          </w:rPr>
          <w:t>Queensland Newspapers Pty Ltd and Queensland Public Service</w:t>
        </w:r>
        <w:r w:rsidRPr="000B650F">
          <w:rPr>
            <w:rStyle w:val="Hyperlink"/>
          </w:rPr>
          <w:t xml:space="preserve"> [2014] QICmr 5</w:t>
        </w:r>
      </w:hyperlink>
      <w:r w:rsidR="000B650F">
        <w:t xml:space="preserve">, </w:t>
      </w:r>
      <w:r w:rsidRPr="00D519A3">
        <w:t xml:space="preserve">[29]. </w:t>
      </w:r>
    </w:p>
  </w:footnote>
  <w:footnote w:id="334">
    <w:p w14:paraId="411F62F9" w14:textId="5B8BC868" w:rsidR="009D49EB" w:rsidRPr="00D519A3" w:rsidRDefault="009D49EB" w:rsidP="00146B33">
      <w:pPr>
        <w:pStyle w:val="FootnoteText"/>
        <w:ind w:left="142" w:hanging="142"/>
      </w:pPr>
      <w:r w:rsidRPr="00D519A3">
        <w:rPr>
          <w:rStyle w:val="FootnoteReference"/>
        </w:rPr>
        <w:footnoteRef/>
      </w:r>
      <w:r w:rsidR="000C412A" w:rsidRPr="00D519A3">
        <w:t xml:space="preserve"> </w:t>
      </w:r>
      <w:hyperlink r:id="rId366" w:history="1">
        <w:r w:rsidRPr="000B650F">
          <w:rPr>
            <w:rStyle w:val="Hyperlink"/>
            <w:i/>
          </w:rPr>
          <w:t>Queensland Newspapers Pty Ltd and Queensland Public Service</w:t>
        </w:r>
        <w:r w:rsidRPr="000B650F">
          <w:rPr>
            <w:rStyle w:val="Hyperlink"/>
          </w:rPr>
          <w:t xml:space="preserve"> [2014] QICmr 5</w:t>
        </w:r>
      </w:hyperlink>
      <w:r w:rsidRPr="00D519A3">
        <w:t>.</w:t>
      </w:r>
    </w:p>
  </w:footnote>
  <w:footnote w:id="335">
    <w:p w14:paraId="6C24B78E" w14:textId="19892F0B" w:rsidR="009D49EB" w:rsidRPr="00D519A3" w:rsidRDefault="009D49EB" w:rsidP="00146B33">
      <w:pPr>
        <w:pStyle w:val="FootnoteText"/>
        <w:ind w:left="142" w:right="-589" w:hanging="142"/>
      </w:pPr>
      <w:r w:rsidRPr="00D519A3">
        <w:rPr>
          <w:rStyle w:val="FootnoteReference"/>
        </w:rPr>
        <w:footnoteRef/>
      </w:r>
      <w:r w:rsidR="000C412A" w:rsidRPr="00D519A3">
        <w:t xml:space="preserve"> </w:t>
      </w:r>
      <w:hyperlink r:id="rId367" w:history="1">
        <w:r w:rsidRPr="00D519A3">
          <w:rPr>
            <w:rStyle w:val="Hyperlink"/>
            <w:i/>
          </w:rPr>
          <w:t>Alistair Coe and Chief Minister, Treasury and Economic Development Directorate</w:t>
        </w:r>
        <w:r w:rsidRPr="00D519A3">
          <w:rPr>
            <w:rStyle w:val="Hyperlink"/>
          </w:rPr>
          <w:t xml:space="preserve"> [2019] ACTOFOI 3</w:t>
        </w:r>
        <w:r w:rsidR="008B39F4" w:rsidRPr="00D519A3">
          <w:rPr>
            <w:rStyle w:val="Hyperlink"/>
          </w:rPr>
          <w:t xml:space="preserve"> (23 January 2019)</w:t>
        </w:r>
      </w:hyperlink>
      <w:r w:rsidRPr="00D519A3">
        <w:t xml:space="preserve"> </w:t>
      </w:r>
      <w:r w:rsidR="008B39F4" w:rsidRPr="00D519A3">
        <w:t>[43]</w:t>
      </w:r>
      <w:r w:rsidRPr="00D519A3">
        <w:t>.</w:t>
      </w:r>
    </w:p>
  </w:footnote>
  <w:footnote w:id="336">
    <w:p w14:paraId="57A2BF44" w14:textId="683DAEBE" w:rsidR="009D49EB" w:rsidRPr="00D519A3" w:rsidRDefault="009D49EB" w:rsidP="00146B33">
      <w:pPr>
        <w:pStyle w:val="FootnoteText"/>
        <w:ind w:left="142" w:hanging="142"/>
      </w:pPr>
      <w:r w:rsidRPr="00D519A3">
        <w:rPr>
          <w:rStyle w:val="FootnoteReference"/>
        </w:rPr>
        <w:footnoteRef/>
      </w:r>
      <w:r w:rsidR="000B2747" w:rsidRPr="00D519A3">
        <w:t xml:space="preserve"> </w:t>
      </w:r>
      <w:hyperlink r:id="rId368" w:history="1">
        <w:r w:rsidRPr="006F5CD6">
          <w:rPr>
            <w:rStyle w:val="Hyperlink"/>
          </w:rPr>
          <w:t>Pallara Action Group Inc and Brisbane City Council</w:t>
        </w:r>
        <w:r w:rsidRPr="000B650F">
          <w:rPr>
            <w:rStyle w:val="Hyperlink"/>
            <w:i/>
          </w:rPr>
          <w:t xml:space="preserve"> </w:t>
        </w:r>
        <w:r w:rsidR="000B2747" w:rsidRPr="000B650F">
          <w:rPr>
            <w:rStyle w:val="Hyperlink"/>
          </w:rPr>
          <w:t>(</w:t>
        </w:r>
        <w:r w:rsidR="000C412A" w:rsidRPr="000B650F">
          <w:rPr>
            <w:rStyle w:val="Hyperlink"/>
          </w:rPr>
          <w:t>U</w:t>
        </w:r>
        <w:r w:rsidRPr="000B650F">
          <w:rPr>
            <w:rStyle w:val="Hyperlink"/>
          </w:rPr>
          <w:t>nreported, Queensland Information Commissioner, 21</w:t>
        </w:r>
        <w:r w:rsidR="003B3115" w:rsidRPr="000B650F">
          <w:rPr>
            <w:rStyle w:val="Hyperlink"/>
          </w:rPr>
          <w:t> </w:t>
        </w:r>
        <w:r w:rsidRPr="000B650F">
          <w:rPr>
            <w:rStyle w:val="Hyperlink"/>
          </w:rPr>
          <w:t>September 2012)</w:t>
        </w:r>
        <w:r w:rsidR="000B650F" w:rsidRPr="000B650F">
          <w:rPr>
            <w:rStyle w:val="Hyperlink"/>
          </w:rPr>
          <w:t>,</w:t>
        </w:r>
      </w:hyperlink>
      <w:r w:rsidR="000B650F">
        <w:t xml:space="preserve"> </w:t>
      </w:r>
      <w:r w:rsidR="000C412A" w:rsidRPr="00D519A3">
        <w:t>[</w:t>
      </w:r>
      <w:r w:rsidRPr="00D519A3">
        <w:t>43</w:t>
      </w:r>
      <w:r w:rsidR="000B2747" w:rsidRPr="00D519A3">
        <w:t>].</w:t>
      </w:r>
      <w:r w:rsidRPr="00D519A3">
        <w:t xml:space="preserve"> </w:t>
      </w:r>
    </w:p>
  </w:footnote>
  <w:footnote w:id="337">
    <w:p w14:paraId="19907723" w14:textId="7F131683" w:rsidR="009D49EB" w:rsidRPr="00D519A3" w:rsidRDefault="009D49EB" w:rsidP="00146B33">
      <w:pPr>
        <w:pStyle w:val="FootnoteText"/>
        <w:ind w:left="142" w:hanging="142"/>
      </w:pPr>
      <w:r w:rsidRPr="00D519A3">
        <w:rPr>
          <w:rStyle w:val="FootnoteReference"/>
        </w:rPr>
        <w:footnoteRef/>
      </w:r>
      <w:r w:rsidR="00B76C70" w:rsidRPr="00D519A3">
        <w:t xml:space="preserve"> </w:t>
      </w:r>
      <w:hyperlink r:id="rId369" w:history="1">
        <w:r w:rsidRPr="000B650F">
          <w:rPr>
            <w:rStyle w:val="Hyperlink"/>
            <w:i/>
          </w:rPr>
          <w:t>North Queensland Conservation Council Inc and Queensland Treasury</w:t>
        </w:r>
        <w:r w:rsidRPr="000B650F">
          <w:rPr>
            <w:rStyle w:val="Hyperlink"/>
          </w:rPr>
          <w:t xml:space="preserve"> [2016] QICmr 21</w:t>
        </w:r>
      </w:hyperlink>
      <w:r w:rsidR="000B650F">
        <w:t>,</w:t>
      </w:r>
      <w:r w:rsidRPr="00D519A3">
        <w:t xml:space="preserve"> [76]. </w:t>
      </w:r>
    </w:p>
  </w:footnote>
  <w:footnote w:id="338">
    <w:p w14:paraId="56372E9D" w14:textId="4D5A5CF0" w:rsidR="009D49EB" w:rsidRPr="00D519A3" w:rsidRDefault="009D49EB" w:rsidP="00146B33">
      <w:pPr>
        <w:pStyle w:val="FootnoteText"/>
        <w:ind w:left="142" w:hanging="142"/>
      </w:pPr>
      <w:r w:rsidRPr="00D519A3">
        <w:rPr>
          <w:rStyle w:val="FootnoteReference"/>
        </w:rPr>
        <w:footnoteRef/>
      </w:r>
      <w:r w:rsidRPr="00D519A3">
        <w:t xml:space="preserve"> </w:t>
      </w:r>
      <w:r w:rsidR="00B76C70" w:rsidRPr="00D519A3">
        <w:t>Ibid</w:t>
      </w:r>
      <w:r w:rsidR="000B650F">
        <w:t xml:space="preserve">, </w:t>
      </w:r>
      <w:r w:rsidRPr="00D519A3">
        <w:t>[78]</w:t>
      </w:r>
      <w:r w:rsidR="00B76C70" w:rsidRPr="00D519A3">
        <w:t>.</w:t>
      </w:r>
    </w:p>
  </w:footnote>
  <w:footnote w:id="339">
    <w:p w14:paraId="1E042005" w14:textId="0B42CF85" w:rsidR="009D49EB" w:rsidRPr="00D519A3" w:rsidRDefault="009D49EB" w:rsidP="00146B33">
      <w:pPr>
        <w:pStyle w:val="FootnoteText"/>
        <w:ind w:left="142" w:hanging="142"/>
      </w:pPr>
      <w:r w:rsidRPr="00D519A3">
        <w:rPr>
          <w:rStyle w:val="FootnoteReference"/>
        </w:rPr>
        <w:footnoteRef/>
      </w:r>
      <w:r w:rsidRPr="00D519A3">
        <w:t xml:space="preserve"> </w:t>
      </w:r>
      <w:hyperlink r:id="rId370" w:history="1">
        <w:r w:rsidRPr="000B650F">
          <w:rPr>
            <w:rStyle w:val="Hyperlink"/>
            <w:rFonts w:cstheme="minorHAnsi"/>
            <w:i/>
          </w:rPr>
          <w:t xml:space="preserve">Barling and Brisbane City Council </w:t>
        </w:r>
        <w:r w:rsidRPr="000B650F">
          <w:rPr>
            <w:rStyle w:val="Hyperlink"/>
            <w:rFonts w:cstheme="minorHAnsi"/>
          </w:rPr>
          <w:t>[2017] QICmr 47</w:t>
        </w:r>
      </w:hyperlink>
      <w:r w:rsidR="000B650F">
        <w:rPr>
          <w:rFonts w:cstheme="minorHAnsi"/>
        </w:rPr>
        <w:t>,</w:t>
      </w:r>
      <w:r w:rsidRPr="00D519A3">
        <w:rPr>
          <w:rFonts w:cstheme="minorHAnsi"/>
        </w:rPr>
        <w:t xml:space="preserve"> [32]</w:t>
      </w:r>
      <w:r w:rsidR="00B76C70" w:rsidRPr="00D519A3">
        <w:rPr>
          <w:rFonts w:cstheme="minorHAnsi"/>
        </w:rPr>
        <w:t>.</w:t>
      </w:r>
    </w:p>
  </w:footnote>
  <w:footnote w:id="340">
    <w:p w14:paraId="6A9C5968" w14:textId="47BE7D30" w:rsidR="009D49EB" w:rsidRPr="00D519A3" w:rsidRDefault="009D49EB" w:rsidP="00F71E05">
      <w:pPr>
        <w:pStyle w:val="FootnoteText"/>
      </w:pPr>
      <w:r w:rsidRPr="00D519A3">
        <w:rPr>
          <w:rStyle w:val="FootnoteReference"/>
        </w:rPr>
        <w:footnoteRef/>
      </w:r>
      <w:r w:rsidRPr="00D519A3">
        <w:t xml:space="preserve"> </w:t>
      </w:r>
      <w:hyperlink r:id="rId371" w:history="1">
        <w:r w:rsidRPr="000B650F">
          <w:rPr>
            <w:rStyle w:val="Hyperlink"/>
            <w:i/>
          </w:rPr>
          <w:t xml:space="preserve">HI and Civil Aviation Safety Authority </w:t>
        </w:r>
        <w:r w:rsidRPr="000B650F">
          <w:rPr>
            <w:rStyle w:val="Hyperlink"/>
          </w:rPr>
          <w:t>[2015] AICmr 69</w:t>
        </w:r>
      </w:hyperlink>
      <w:r w:rsidRPr="00D519A3">
        <w:t xml:space="preserve">. </w:t>
      </w:r>
    </w:p>
  </w:footnote>
  <w:footnote w:id="341">
    <w:p w14:paraId="0B1EE6B7" w14:textId="49A1E242" w:rsidR="009D49EB" w:rsidRPr="00D519A3" w:rsidRDefault="009D49EB" w:rsidP="00146B33">
      <w:pPr>
        <w:pStyle w:val="FootnoteText"/>
        <w:ind w:left="142" w:hanging="142"/>
      </w:pPr>
      <w:r w:rsidRPr="00D519A3">
        <w:rPr>
          <w:rStyle w:val="FootnoteReference"/>
        </w:rPr>
        <w:footnoteRef/>
      </w:r>
      <w:r w:rsidRPr="00D519A3">
        <w:t xml:space="preserve"> </w:t>
      </w:r>
      <w:hyperlink r:id="rId372" w:history="1">
        <w:r w:rsidRPr="000B650F">
          <w:rPr>
            <w:rStyle w:val="Hyperlink"/>
            <w:i/>
          </w:rPr>
          <w:t>Re Crawley and Centrelink</w:t>
        </w:r>
        <w:r w:rsidRPr="000B650F">
          <w:rPr>
            <w:rStyle w:val="Hyperlink"/>
          </w:rPr>
          <w:t xml:space="preserve"> [2006] AATA 572</w:t>
        </w:r>
      </w:hyperlink>
      <w:r w:rsidRPr="00D519A3">
        <w:t xml:space="preserve">; </w:t>
      </w:r>
      <w:hyperlink r:id="rId373" w:history="1">
        <w:r w:rsidRPr="000B650F">
          <w:rPr>
            <w:rStyle w:val="Hyperlink"/>
            <w:i/>
          </w:rPr>
          <w:t xml:space="preserve">Spillane v Department of Family and Community Services (NSW) </w:t>
        </w:r>
        <w:r w:rsidRPr="000B650F">
          <w:rPr>
            <w:rStyle w:val="Hyperlink"/>
          </w:rPr>
          <w:t>[2014] NSWCATAD 169</w:t>
        </w:r>
      </w:hyperlink>
      <w:r w:rsidR="000B650F">
        <w:t>,</w:t>
      </w:r>
      <w:r w:rsidRPr="00D519A3">
        <w:t xml:space="preserve"> [44]-[46]. </w:t>
      </w:r>
    </w:p>
  </w:footnote>
  <w:footnote w:id="342">
    <w:p w14:paraId="3B85BE97" w14:textId="6372060A" w:rsidR="009D49EB" w:rsidRPr="00D519A3" w:rsidRDefault="009D49EB" w:rsidP="00F71E05">
      <w:pPr>
        <w:pStyle w:val="FootnoteText"/>
      </w:pPr>
      <w:r w:rsidRPr="00D519A3">
        <w:rPr>
          <w:rStyle w:val="FootnoteReference"/>
        </w:rPr>
        <w:footnoteRef/>
      </w:r>
      <w:r w:rsidRPr="00D519A3">
        <w:t xml:space="preserve"> </w:t>
      </w:r>
      <w:r w:rsidR="000B650F">
        <w:t>‘</w:t>
      </w:r>
      <w:hyperlink r:id="rId374" w:history="1">
        <w:r w:rsidRPr="000B650F">
          <w:rPr>
            <w:rStyle w:val="Hyperlink"/>
            <w:i/>
          </w:rPr>
          <w:t>JA</w:t>
        </w:r>
        <w:r w:rsidR="000B650F" w:rsidRPr="000B650F">
          <w:rPr>
            <w:rStyle w:val="Hyperlink"/>
            <w:i/>
          </w:rPr>
          <w:t>’</w:t>
        </w:r>
        <w:r w:rsidRPr="000B650F">
          <w:rPr>
            <w:rStyle w:val="Hyperlink"/>
            <w:i/>
          </w:rPr>
          <w:t xml:space="preserve"> and Office of the Gene Technology Regulator </w:t>
        </w:r>
        <w:r w:rsidRPr="000B650F">
          <w:rPr>
            <w:rStyle w:val="Hyperlink"/>
          </w:rPr>
          <w:t>[2016] AICmr 45</w:t>
        </w:r>
      </w:hyperlink>
      <w:r w:rsidRPr="00D519A3">
        <w:t>.</w:t>
      </w:r>
    </w:p>
  </w:footnote>
  <w:footnote w:id="343">
    <w:p w14:paraId="14ED84F8" w14:textId="3003183C" w:rsidR="009D49EB" w:rsidRPr="00D519A3" w:rsidRDefault="009D49EB" w:rsidP="00F71E05">
      <w:pPr>
        <w:pStyle w:val="FootnoteText"/>
      </w:pPr>
      <w:r w:rsidRPr="00D519A3">
        <w:rPr>
          <w:rStyle w:val="FootnoteReference"/>
        </w:rPr>
        <w:footnoteRef/>
      </w:r>
      <w:r w:rsidRPr="00D519A3">
        <w:t xml:space="preserve"> </w:t>
      </w:r>
      <w:hyperlink r:id="rId375" w:history="1">
        <w:r w:rsidRPr="000B650F">
          <w:rPr>
            <w:rStyle w:val="Hyperlink"/>
            <w:i/>
          </w:rPr>
          <w:t>Francis and Australian Sports Anti-Doping Authority (Freedom of information)</w:t>
        </w:r>
        <w:r w:rsidRPr="000B650F">
          <w:rPr>
            <w:rStyle w:val="Hyperlink"/>
          </w:rPr>
          <w:t xml:space="preserve"> [2019] AATA 12</w:t>
        </w:r>
      </w:hyperlink>
      <w:r w:rsidR="000B650F">
        <w:t>,</w:t>
      </w:r>
      <w:r w:rsidRPr="00D519A3">
        <w:t xml:space="preserve"> [177]-[178]. </w:t>
      </w:r>
    </w:p>
  </w:footnote>
  <w:footnote w:id="344">
    <w:p w14:paraId="7712D6F6" w14:textId="756A5C6A" w:rsidR="009D49EB" w:rsidRPr="00D519A3" w:rsidRDefault="009D49EB" w:rsidP="00F71E05">
      <w:pPr>
        <w:pStyle w:val="FootnoteText"/>
      </w:pPr>
      <w:r w:rsidRPr="00D519A3">
        <w:rPr>
          <w:rStyle w:val="FootnoteReference"/>
        </w:rPr>
        <w:footnoteRef/>
      </w:r>
      <w:r w:rsidRPr="00D519A3">
        <w:t xml:space="preserve"> </w:t>
      </w:r>
      <w:hyperlink r:id="rId376" w:history="1">
        <w:r w:rsidRPr="000B650F">
          <w:rPr>
            <w:rStyle w:val="Hyperlink"/>
            <w:i/>
          </w:rPr>
          <w:t>Besser and Department of Infrastructure and Transport</w:t>
        </w:r>
        <w:r w:rsidRPr="000B650F">
          <w:rPr>
            <w:rStyle w:val="Hyperlink"/>
          </w:rPr>
          <w:t xml:space="preserve"> [2013] AICmr 19</w:t>
        </w:r>
      </w:hyperlink>
      <w:r w:rsidRPr="00D519A3">
        <w:t xml:space="preserve">. </w:t>
      </w:r>
    </w:p>
  </w:footnote>
  <w:footnote w:id="345">
    <w:p w14:paraId="28CD9667" w14:textId="4289F59B" w:rsidR="009D49EB" w:rsidRPr="006F5CD6" w:rsidRDefault="009D49EB" w:rsidP="00146B33">
      <w:pPr>
        <w:pStyle w:val="FootnoteText"/>
        <w:ind w:left="142" w:hanging="142"/>
        <w:rPr>
          <w:highlight w:val="yellow"/>
        </w:rPr>
      </w:pPr>
      <w:r w:rsidRPr="00DD30BA">
        <w:rPr>
          <w:rStyle w:val="FootnoteReference"/>
        </w:rPr>
        <w:footnoteRef/>
      </w:r>
      <w:r w:rsidRPr="00DD30BA">
        <w:t xml:space="preserve"> </w:t>
      </w:r>
      <w:hyperlink r:id="rId377" w:history="1">
        <w:r w:rsidR="008A6AFB" w:rsidRPr="0096731A">
          <w:rPr>
            <w:rStyle w:val="Hyperlink"/>
            <w:iCs/>
          </w:rPr>
          <w:t>Heritage Act</w:t>
        </w:r>
      </w:hyperlink>
      <w:r w:rsidR="008A6AFB" w:rsidRPr="00DD30BA">
        <w:rPr>
          <w:i/>
        </w:rPr>
        <w:t xml:space="preserve"> </w:t>
      </w:r>
      <w:r w:rsidR="008A6AFB" w:rsidRPr="00DD30BA">
        <w:t>s 8</w:t>
      </w:r>
      <w:r w:rsidRPr="00DD30BA">
        <w:t xml:space="preserve"> defines ‘object’ as ‘a natural or manufactured object, but does not include a building or any other man-made structure’ and defines ‘place’ to include ‘a site, precinct or parcel of land; a building or structure, or part of a building or structure; the curtilage, or setting, of a building or structure, or part of a building or structure; and an object or feature historically associated with, and located at, the place’. </w:t>
      </w:r>
    </w:p>
  </w:footnote>
  <w:footnote w:id="346">
    <w:p w14:paraId="720FAAC8" w14:textId="7C051D59" w:rsidR="009D49EB" w:rsidRPr="006F5CD6" w:rsidRDefault="009D49EB" w:rsidP="00146B33">
      <w:pPr>
        <w:pStyle w:val="FootnoteText"/>
        <w:ind w:left="142" w:hanging="142"/>
        <w:rPr>
          <w:highlight w:val="yellow"/>
        </w:rPr>
      </w:pPr>
      <w:r w:rsidRPr="00DD30BA">
        <w:rPr>
          <w:rStyle w:val="FootnoteReference"/>
        </w:rPr>
        <w:footnoteRef/>
      </w:r>
      <w:r w:rsidRPr="00DD30BA">
        <w:t xml:space="preserve"> </w:t>
      </w:r>
      <w:hyperlink r:id="rId378" w:history="1">
        <w:r w:rsidR="0096731A" w:rsidRPr="0096731A">
          <w:rPr>
            <w:rStyle w:val="Hyperlink"/>
            <w:iCs/>
          </w:rPr>
          <w:t>Heritage Act</w:t>
        </w:r>
      </w:hyperlink>
      <w:r w:rsidRPr="00DD30BA">
        <w:t xml:space="preserve"> Dictionary</w:t>
      </w:r>
      <w:r w:rsidR="00E824FF" w:rsidRPr="00DD30BA">
        <w:t xml:space="preserve"> (</w:t>
      </w:r>
      <w:r w:rsidRPr="00DD30BA">
        <w:t>definition of ‘conservation’</w:t>
      </w:r>
      <w:r w:rsidR="00E824FF" w:rsidRPr="00DD30BA">
        <w:t>)</w:t>
      </w:r>
      <w:r w:rsidRPr="00DD30BA">
        <w:t xml:space="preserve">. </w:t>
      </w:r>
    </w:p>
  </w:footnote>
  <w:footnote w:id="347">
    <w:p w14:paraId="5E17B1CA" w14:textId="04FE6AAA" w:rsidR="009D49EB" w:rsidRPr="00DD30BA" w:rsidRDefault="009D49EB" w:rsidP="00146B33">
      <w:pPr>
        <w:pStyle w:val="FootnoteText"/>
        <w:ind w:left="142" w:hanging="142"/>
      </w:pPr>
      <w:r w:rsidRPr="00DD30BA">
        <w:rPr>
          <w:rStyle w:val="FootnoteReference"/>
        </w:rPr>
        <w:footnoteRef/>
      </w:r>
      <w:r w:rsidRPr="00DD30BA">
        <w:t xml:space="preserve"> </w:t>
      </w:r>
      <w:hyperlink r:id="rId379" w:history="1">
        <w:r w:rsidR="0096731A" w:rsidRPr="0096731A">
          <w:rPr>
            <w:rStyle w:val="Hyperlink"/>
            <w:iCs/>
          </w:rPr>
          <w:t>Heritage Act</w:t>
        </w:r>
      </w:hyperlink>
      <w:r w:rsidRPr="00DD30BA">
        <w:rPr>
          <w:i/>
        </w:rPr>
        <w:t xml:space="preserve"> </w:t>
      </w:r>
      <w:r w:rsidRPr="00DD30BA">
        <w:t xml:space="preserve">s 10A. See </w:t>
      </w:r>
      <w:r w:rsidRPr="00DD30BA">
        <w:rPr>
          <w:iCs/>
        </w:rPr>
        <w:t>Nature Conservation Act</w:t>
      </w:r>
      <w:r w:rsidRPr="00DD30BA">
        <w:rPr>
          <w:i/>
        </w:rPr>
        <w:t xml:space="preserve"> </w:t>
      </w:r>
      <w:r w:rsidR="005572CE" w:rsidRPr="00DD30BA">
        <w:t xml:space="preserve">s </w:t>
      </w:r>
      <w:r w:rsidR="004A64F1" w:rsidRPr="00DD30BA">
        <w:t xml:space="preserve">9 (definition of </w:t>
      </w:r>
      <w:r w:rsidR="002553DA" w:rsidRPr="00DD30BA">
        <w:t xml:space="preserve">‘nature’). </w:t>
      </w:r>
    </w:p>
  </w:footnote>
  <w:footnote w:id="348">
    <w:p w14:paraId="4E0C8B64" w14:textId="4D22A2F2" w:rsidR="009D49EB" w:rsidRPr="00DD30BA" w:rsidRDefault="009D49EB" w:rsidP="00146B33">
      <w:pPr>
        <w:pStyle w:val="FootnoteText"/>
        <w:ind w:left="142" w:hanging="142"/>
      </w:pPr>
      <w:r w:rsidRPr="00DD30BA">
        <w:rPr>
          <w:rStyle w:val="FootnoteReference"/>
        </w:rPr>
        <w:footnoteRef/>
      </w:r>
      <w:r w:rsidRPr="00DD30BA">
        <w:t xml:space="preserve"> </w:t>
      </w:r>
      <w:hyperlink r:id="rId380" w:history="1">
        <w:r w:rsidR="0096731A" w:rsidRPr="0096731A">
          <w:rPr>
            <w:rStyle w:val="Hyperlink"/>
            <w:iCs/>
          </w:rPr>
          <w:t>Heritage Act</w:t>
        </w:r>
      </w:hyperlink>
      <w:r w:rsidRPr="00DD30BA">
        <w:t xml:space="preserve">s 10B. </w:t>
      </w:r>
    </w:p>
  </w:footnote>
  <w:footnote w:id="349">
    <w:p w14:paraId="524C6294" w14:textId="72D334AD" w:rsidR="009D49EB" w:rsidRPr="00D519A3" w:rsidRDefault="009D49EB" w:rsidP="00146B33">
      <w:pPr>
        <w:pStyle w:val="FootnoteText"/>
        <w:ind w:left="142" w:hanging="142"/>
      </w:pPr>
      <w:r w:rsidRPr="00DD30BA">
        <w:rPr>
          <w:rStyle w:val="FootnoteReference"/>
        </w:rPr>
        <w:footnoteRef/>
      </w:r>
      <w:r w:rsidRPr="00DD30BA">
        <w:t xml:space="preserve"> </w:t>
      </w:r>
      <w:hyperlink r:id="rId381" w:history="1">
        <w:r w:rsidR="0096731A" w:rsidRPr="0096731A">
          <w:rPr>
            <w:rStyle w:val="Hyperlink"/>
            <w:iCs/>
          </w:rPr>
          <w:t>Heritage Act</w:t>
        </w:r>
      </w:hyperlink>
      <w:r w:rsidRPr="00DD30BA">
        <w:t>s 10.</w:t>
      </w:r>
      <w:r w:rsidRPr="00D519A3">
        <w:t xml:space="preserve"> </w:t>
      </w:r>
    </w:p>
  </w:footnote>
  <w:footnote w:id="350">
    <w:p w14:paraId="21923A0C" w14:textId="7B7BE433" w:rsidR="00DC6CDA" w:rsidRPr="00D519A3" w:rsidRDefault="00DC6CDA">
      <w:pPr>
        <w:pStyle w:val="FootnoteText"/>
      </w:pPr>
      <w:r w:rsidRPr="00D519A3">
        <w:rPr>
          <w:rStyle w:val="FootnoteReference"/>
        </w:rPr>
        <w:footnoteRef/>
      </w:r>
      <w:r w:rsidRPr="00D519A3">
        <w:t xml:space="preserve"> </w:t>
      </w:r>
      <w:hyperlink r:id="rId382" w:history="1">
        <w:r w:rsidRPr="0096731A">
          <w:rPr>
            <w:rStyle w:val="Hyperlink"/>
          </w:rPr>
          <w:t>CYP Act</w:t>
        </w:r>
      </w:hyperlink>
      <w:r w:rsidR="00E32059" w:rsidRPr="00D519A3">
        <w:t xml:space="preserve"> </w:t>
      </w:r>
      <w:r w:rsidRPr="00D519A3">
        <w:t>s 9.</w:t>
      </w:r>
    </w:p>
  </w:footnote>
  <w:footnote w:id="351">
    <w:p w14:paraId="576EAD24" w14:textId="650D64F1" w:rsidR="009D49EB" w:rsidRPr="00D519A3" w:rsidRDefault="009D49EB" w:rsidP="00F71E05">
      <w:pPr>
        <w:pStyle w:val="FootnoteText"/>
      </w:pPr>
      <w:r w:rsidRPr="00D519A3">
        <w:rPr>
          <w:rStyle w:val="FootnoteReference"/>
        </w:rPr>
        <w:footnoteRef/>
      </w:r>
      <w:r w:rsidRPr="00D519A3">
        <w:t xml:space="preserve"> </w:t>
      </w:r>
      <w:hyperlink r:id="rId383" w:history="1">
        <w:r w:rsidRPr="00D519A3">
          <w:rPr>
            <w:rStyle w:val="Hyperlink"/>
            <w:rFonts w:cstheme="minorHAnsi"/>
            <w:i/>
          </w:rPr>
          <w:t xml:space="preserve">AZ4Z4W and the Department of Communities, Child Safety and Disability Services </w:t>
        </w:r>
        <w:r w:rsidRPr="00D519A3">
          <w:rPr>
            <w:rStyle w:val="Hyperlink"/>
            <w:rFonts w:cstheme="minorHAnsi"/>
          </w:rPr>
          <w:t>[2014] QICmr 26</w:t>
        </w:r>
      </w:hyperlink>
      <w:r w:rsidRPr="00D519A3">
        <w:rPr>
          <w:rFonts w:cstheme="minorHAnsi"/>
          <w:color w:val="333333"/>
        </w:rPr>
        <w:t xml:space="preserve">. </w:t>
      </w:r>
    </w:p>
  </w:footnote>
  <w:footnote w:id="352">
    <w:p w14:paraId="65853255" w14:textId="056982C5" w:rsidR="009D49EB" w:rsidRPr="00D519A3" w:rsidRDefault="009D49EB">
      <w:pPr>
        <w:pStyle w:val="FootnoteText"/>
      </w:pPr>
      <w:r w:rsidRPr="00D519A3">
        <w:rPr>
          <w:rStyle w:val="FootnoteReference"/>
        </w:rPr>
        <w:footnoteRef/>
      </w:r>
      <w:r w:rsidR="00E52DC6" w:rsidRPr="00D519A3">
        <w:t xml:space="preserve"> </w:t>
      </w:r>
      <w:hyperlink r:id="rId384" w:history="1">
        <w:r w:rsidRPr="006F0441">
          <w:rPr>
            <w:rStyle w:val="Hyperlink"/>
            <w:i/>
          </w:rPr>
          <w:t>Troiani and Queensland Police Service</w:t>
        </w:r>
        <w:r w:rsidRPr="006F0441">
          <w:rPr>
            <w:rStyle w:val="Hyperlink"/>
          </w:rPr>
          <w:t xml:space="preserve"> </w:t>
        </w:r>
        <w:r w:rsidR="00E52DC6" w:rsidRPr="006F0441">
          <w:rPr>
            <w:rStyle w:val="Hyperlink"/>
          </w:rPr>
          <w:t>(Unreported, Queensland Information Commissioner, 21 August 2012).</w:t>
        </w:r>
      </w:hyperlink>
      <w:r w:rsidR="00E52DC6" w:rsidRPr="00D519A3">
        <w:t xml:space="preserve"> </w:t>
      </w:r>
    </w:p>
  </w:footnote>
  <w:footnote w:id="353">
    <w:p w14:paraId="308A1C71" w14:textId="3B524E31" w:rsidR="009D49EB" w:rsidRPr="00D519A3" w:rsidRDefault="009D49EB" w:rsidP="00DD7414">
      <w:pPr>
        <w:pStyle w:val="FootnoteText"/>
        <w:ind w:right="-22"/>
      </w:pPr>
      <w:r w:rsidRPr="00D519A3">
        <w:rPr>
          <w:rStyle w:val="FootnoteReference"/>
        </w:rPr>
        <w:footnoteRef/>
      </w:r>
      <w:r w:rsidRPr="00D519A3">
        <w:t xml:space="preserve"> </w:t>
      </w:r>
      <w:hyperlink r:id="rId385" w:history="1">
        <w:r w:rsidRPr="006F0441">
          <w:rPr>
            <w:rStyle w:val="Hyperlink"/>
            <w:i/>
          </w:rPr>
          <w:t>N31ZEO and Department of Justice and Attorney-General; Queensland Newspapers Pty Ltd</w:t>
        </w:r>
        <w:r w:rsidRPr="006F0441">
          <w:rPr>
            <w:rStyle w:val="Hyperlink"/>
          </w:rPr>
          <w:t xml:space="preserve"> (100101) 8 November 2013</w:t>
        </w:r>
        <w:r w:rsidR="00850893" w:rsidRPr="006F0441">
          <w:rPr>
            <w:rStyle w:val="Hyperlink"/>
          </w:rPr>
          <w:t>.</w:t>
        </w:r>
      </w:hyperlink>
    </w:p>
  </w:footnote>
  <w:footnote w:id="354">
    <w:p w14:paraId="210548C8" w14:textId="45237914" w:rsidR="00850893" w:rsidRPr="00D519A3" w:rsidRDefault="00850893" w:rsidP="00850893">
      <w:pPr>
        <w:pStyle w:val="FootnoteText"/>
      </w:pPr>
      <w:r w:rsidRPr="00D519A3">
        <w:rPr>
          <w:rStyle w:val="FootnoteReference"/>
        </w:rPr>
        <w:footnoteRef/>
      </w:r>
      <w:r w:rsidRPr="00D519A3">
        <w:t xml:space="preserve"> </w:t>
      </w:r>
      <w:hyperlink r:id="rId386" w:history="1">
        <w:r w:rsidRPr="00D519A3">
          <w:rPr>
            <w:rStyle w:val="Hyperlink"/>
            <w:i/>
          </w:rPr>
          <w:t>Troiani and Queensland Police Service</w:t>
        </w:r>
        <w:r w:rsidR="00DE39B5" w:rsidRPr="00D519A3">
          <w:rPr>
            <w:rStyle w:val="Hyperlink"/>
            <w:i/>
          </w:rPr>
          <w:t xml:space="preserve"> </w:t>
        </w:r>
        <w:r w:rsidR="00D05CFD" w:rsidRPr="00D519A3">
          <w:rPr>
            <w:rStyle w:val="Hyperlink"/>
            <w:iCs/>
          </w:rPr>
          <w:t xml:space="preserve">[2012] </w:t>
        </w:r>
        <w:r w:rsidR="00DE39B5" w:rsidRPr="00D519A3">
          <w:rPr>
            <w:rStyle w:val="Hyperlink"/>
            <w:iCs/>
          </w:rPr>
          <w:t>QIC</w:t>
        </w:r>
        <w:r w:rsidR="008666D2" w:rsidRPr="00D519A3">
          <w:rPr>
            <w:rStyle w:val="Hyperlink"/>
            <w:iCs/>
          </w:rPr>
          <w:t xml:space="preserve">mr </w:t>
        </w:r>
        <w:r w:rsidR="00D05CFD" w:rsidRPr="00D519A3">
          <w:rPr>
            <w:rStyle w:val="Hyperlink"/>
          </w:rPr>
          <w:t xml:space="preserve">42 </w:t>
        </w:r>
        <w:r w:rsidRPr="00D519A3">
          <w:rPr>
            <w:rStyle w:val="Hyperlink"/>
          </w:rPr>
          <w:t>(21 August 2012)</w:t>
        </w:r>
      </w:hyperlink>
      <w:r w:rsidRPr="00D519A3">
        <w:t>.</w:t>
      </w:r>
    </w:p>
  </w:footnote>
  <w:footnote w:id="355">
    <w:p w14:paraId="62C5E690" w14:textId="0E20D6D9" w:rsidR="00850893" w:rsidRPr="00D519A3" w:rsidRDefault="00850893" w:rsidP="00DD7414">
      <w:pPr>
        <w:pStyle w:val="FootnoteText"/>
        <w:ind w:right="-22"/>
      </w:pPr>
      <w:r w:rsidRPr="00D519A3">
        <w:rPr>
          <w:rStyle w:val="FootnoteReference"/>
        </w:rPr>
        <w:footnoteRef/>
      </w:r>
      <w:r w:rsidRPr="00D519A3">
        <w:t xml:space="preserve"> </w:t>
      </w:r>
      <w:hyperlink r:id="rId387" w:history="1">
        <w:r w:rsidRPr="00D519A3">
          <w:rPr>
            <w:rStyle w:val="Hyperlink"/>
            <w:i/>
          </w:rPr>
          <w:t>N31ZEO and Department of Justice and Attorney-General; Queensland Newspapers Pty Ltd</w:t>
        </w:r>
        <w:r w:rsidRPr="00D519A3">
          <w:rPr>
            <w:rStyle w:val="Hyperlink"/>
          </w:rPr>
          <w:t xml:space="preserve"> </w:t>
        </w:r>
        <w:r w:rsidR="00D90E3C" w:rsidRPr="00D519A3">
          <w:rPr>
            <w:rStyle w:val="Hyperlink"/>
          </w:rPr>
          <w:t>(</w:t>
        </w:r>
        <w:r w:rsidR="00D90E3C" w:rsidRPr="00D519A3">
          <w:rPr>
            <w:rStyle w:val="Hyperlink"/>
            <w:i/>
            <w:iCs/>
          </w:rPr>
          <w:t>Third Party)</w:t>
        </w:r>
        <w:r w:rsidRPr="00D519A3">
          <w:rPr>
            <w:rStyle w:val="Hyperlink"/>
          </w:rPr>
          <w:t xml:space="preserve"> </w:t>
        </w:r>
        <w:r w:rsidR="00D90E3C" w:rsidRPr="00D519A3">
          <w:rPr>
            <w:rStyle w:val="Hyperlink"/>
          </w:rPr>
          <w:t>[2013] QICmr 36 (</w:t>
        </w:r>
        <w:r w:rsidRPr="00D519A3">
          <w:rPr>
            <w:rStyle w:val="Hyperlink"/>
          </w:rPr>
          <w:t>8 November 2013</w:t>
        </w:r>
        <w:r w:rsidR="00D90E3C" w:rsidRPr="00D519A3">
          <w:rPr>
            <w:rStyle w:val="Hyperlink"/>
          </w:rPr>
          <w:t>)</w:t>
        </w:r>
      </w:hyperlink>
      <w:r w:rsidRPr="00D519A3">
        <w:t xml:space="preserve">. </w:t>
      </w:r>
    </w:p>
  </w:footnote>
  <w:footnote w:id="356">
    <w:p w14:paraId="05FC40AE" w14:textId="2C3A838A" w:rsidR="008F49DD" w:rsidRPr="00D519A3" w:rsidRDefault="008F49DD" w:rsidP="008F49DD">
      <w:pPr>
        <w:pStyle w:val="FootnoteText"/>
      </w:pPr>
      <w:r w:rsidRPr="00D519A3">
        <w:rPr>
          <w:rStyle w:val="FootnoteReference"/>
        </w:rPr>
        <w:footnoteRef/>
      </w:r>
      <w:r w:rsidRPr="00D519A3">
        <w:t xml:space="preserve"> </w:t>
      </w:r>
      <w:hyperlink r:id="rId388" w:history="1">
        <w:r w:rsidR="00C07868" w:rsidRPr="0096731A">
          <w:rPr>
            <w:rStyle w:val="Hyperlink"/>
          </w:rPr>
          <w:t>Explanatory Statement, Freedom of Information Bill 2016</w:t>
        </w:r>
      </w:hyperlink>
      <w:r w:rsidR="00C07868" w:rsidRPr="00D519A3">
        <w:t xml:space="preserve"> (ACT) 13. </w:t>
      </w:r>
    </w:p>
  </w:footnote>
  <w:footnote w:id="357">
    <w:p w14:paraId="394A0BDC" w14:textId="1FC45CA6" w:rsidR="008F49DD" w:rsidRPr="00D519A3" w:rsidRDefault="008F49DD" w:rsidP="008F49DD">
      <w:pPr>
        <w:pStyle w:val="FootnoteText"/>
      </w:pPr>
      <w:r w:rsidRPr="00D519A3">
        <w:rPr>
          <w:rStyle w:val="FootnoteReference"/>
        </w:rPr>
        <w:footnoteRef/>
      </w:r>
      <w:r w:rsidRPr="00D519A3">
        <w:t xml:space="preserve"> </w:t>
      </w:r>
      <w:hyperlink r:id="rId389" w:history="1">
        <w:r w:rsidRPr="0096731A">
          <w:rPr>
            <w:rStyle w:val="Hyperlink"/>
          </w:rPr>
          <w:t>FOI Act</w:t>
        </w:r>
      </w:hyperlink>
      <w:r w:rsidRPr="00D519A3">
        <w:t xml:space="preserve"> s 9.</w:t>
      </w:r>
    </w:p>
  </w:footnote>
  <w:footnote w:id="358">
    <w:p w14:paraId="68B5B6AF" w14:textId="31918ED9" w:rsidR="008F49DD" w:rsidRPr="00D519A3" w:rsidRDefault="008F49DD" w:rsidP="008F49DD">
      <w:pPr>
        <w:pStyle w:val="FootnoteText"/>
      </w:pPr>
      <w:r w:rsidRPr="00D519A3">
        <w:rPr>
          <w:rStyle w:val="FootnoteReference"/>
        </w:rPr>
        <w:footnoteRef/>
      </w:r>
      <w:r w:rsidRPr="00D519A3">
        <w:t xml:space="preserve"> </w:t>
      </w:r>
      <w:hyperlink r:id="rId390" w:history="1">
        <w:r w:rsidR="00C07868" w:rsidRPr="0096731A">
          <w:rPr>
            <w:rStyle w:val="Hyperlink"/>
          </w:rPr>
          <w:t>Explanatory Statement, Freedom of Information Bill 2016</w:t>
        </w:r>
      </w:hyperlink>
      <w:r w:rsidR="00C07868" w:rsidRPr="00D519A3">
        <w:t xml:space="preserve"> (ACT) 13.</w:t>
      </w:r>
    </w:p>
  </w:footnote>
  <w:footnote w:id="359">
    <w:p w14:paraId="1E2E4785" w14:textId="43EC902C" w:rsidR="008F49DD" w:rsidRPr="00D519A3" w:rsidRDefault="008F49DD" w:rsidP="008F49DD">
      <w:pPr>
        <w:pStyle w:val="FootnoteText"/>
        <w:ind w:left="142" w:hanging="142"/>
      </w:pPr>
      <w:r w:rsidRPr="00D519A3">
        <w:rPr>
          <w:rStyle w:val="FootnoteReference"/>
        </w:rPr>
        <w:footnoteRef/>
      </w:r>
      <w:r w:rsidRPr="00D519A3">
        <w:t xml:space="preserve"> In </w:t>
      </w:r>
      <w:hyperlink r:id="rId391" w:history="1">
        <w:r w:rsidRPr="00D519A3">
          <w:rPr>
            <w:rStyle w:val="Hyperlink"/>
            <w:i/>
          </w:rPr>
          <w:t>McKinnon v Secretary, Department of Trea</w:t>
        </w:r>
        <w:r w:rsidRPr="00D519A3">
          <w:rPr>
            <w:rStyle w:val="Hyperlink"/>
          </w:rPr>
          <w:t>sury [2006] HCA 45</w:t>
        </w:r>
      </w:hyperlink>
      <w:r w:rsidRPr="00D519A3">
        <w:t>; (2006) 228 CLR 423</w:t>
      </w:r>
      <w:r w:rsidR="00E12BFB" w:rsidRPr="00D519A3">
        <w:t>,</w:t>
      </w:r>
      <w:r w:rsidRPr="00D519A3">
        <w:t xml:space="preserve"> [19] Gleeson CJ and Kirby J in considering the Commonwealth FOI Act said the balancing must be undertaken in the context of the objects of the FOI Act and ‘the matter of disclosure or nondisclosure is not approached on the basis that there are empty scales in equilibrium, waiting for arguments to be put on one side or the other...’.</w:t>
      </w:r>
    </w:p>
  </w:footnote>
  <w:footnote w:id="360">
    <w:p w14:paraId="707A7B07" w14:textId="18DED1F5" w:rsidR="008F49DD" w:rsidRPr="00D519A3" w:rsidRDefault="008F49DD" w:rsidP="008F49DD">
      <w:pPr>
        <w:pStyle w:val="FootnoteText"/>
      </w:pPr>
      <w:r w:rsidRPr="00D519A3">
        <w:rPr>
          <w:rStyle w:val="FootnoteReference"/>
        </w:rPr>
        <w:footnoteRef/>
      </w:r>
      <w:r w:rsidRPr="00D519A3">
        <w:t xml:space="preserve"> </w:t>
      </w:r>
      <w:hyperlink r:id="rId392" w:history="1">
        <w:r w:rsidRPr="0096731A">
          <w:rPr>
            <w:rStyle w:val="Hyperlink"/>
          </w:rPr>
          <w:t>Explanatory Statement, Freedom of Information Bill 2016</w:t>
        </w:r>
      </w:hyperlink>
      <w:r w:rsidRPr="00D519A3">
        <w:t xml:space="preserve"> (ACT) 13.</w:t>
      </w:r>
    </w:p>
  </w:footnote>
  <w:footnote w:id="361">
    <w:p w14:paraId="25CEA0D9" w14:textId="7660CD56" w:rsidR="008F49DD" w:rsidRDefault="008F49DD" w:rsidP="008F49DD">
      <w:pPr>
        <w:pStyle w:val="FootnoteText"/>
      </w:pPr>
      <w:r w:rsidRPr="00D519A3">
        <w:rPr>
          <w:rStyle w:val="FootnoteReference"/>
        </w:rPr>
        <w:footnoteRef/>
      </w:r>
      <w:r w:rsidRPr="00D519A3">
        <w:t xml:space="preserve"> </w:t>
      </w:r>
      <w:hyperlink r:id="rId393" w:history="1">
        <w:r w:rsidRPr="0096731A">
          <w:rPr>
            <w:rStyle w:val="Hyperlink"/>
          </w:rPr>
          <w:t>FOI Act</w:t>
        </w:r>
      </w:hyperlink>
      <w:r w:rsidRPr="00D519A3">
        <w:t xml:space="preserve"> </w:t>
      </w:r>
      <w:r w:rsidR="0003660D" w:rsidRPr="00D519A3">
        <w:t>s</w:t>
      </w:r>
      <w:r w:rsidRPr="00D519A3">
        <w:t xml:space="preserve"> </w:t>
      </w:r>
      <w:r w:rsidR="008778EA" w:rsidRPr="00D519A3">
        <w:t>9</w:t>
      </w:r>
      <w:r w:rsidR="000779EA" w:rsidRPr="00D519A3">
        <w:t>;</w:t>
      </w:r>
      <w:r w:rsidR="00D22B6D" w:rsidRPr="00D519A3">
        <w:t xml:space="preserve"> </w:t>
      </w:r>
      <w:hyperlink r:id="rId394" w:history="1">
        <w:r w:rsidR="00A942AC" w:rsidRPr="0096731A">
          <w:rPr>
            <w:rStyle w:val="Hyperlink"/>
          </w:rPr>
          <w:t>Explanatory Statement</w:t>
        </w:r>
        <w:r w:rsidRPr="0096731A">
          <w:rPr>
            <w:rStyle w:val="Hyperlink"/>
          </w:rPr>
          <w:t xml:space="preserve">, </w:t>
        </w:r>
        <w:r w:rsidRPr="0096731A">
          <w:rPr>
            <w:rStyle w:val="Hyperlink"/>
            <w:iCs/>
          </w:rPr>
          <w:t>Freedom of Information Bill 2016</w:t>
        </w:r>
      </w:hyperlink>
      <w:r w:rsidRPr="00D519A3">
        <w:t xml:space="preserve"> (ACT)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4BE" w14:textId="77777777" w:rsidR="00B862DC" w:rsidRDefault="00B86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3FFF" w14:textId="7E156883" w:rsidR="00DF324C" w:rsidRPr="003A1D21" w:rsidRDefault="0081773D" w:rsidP="003A1D21">
    <w:pPr>
      <w:pStyle w:val="Header"/>
      <w:tabs>
        <w:tab w:val="clear" w:pos="9026"/>
        <w:tab w:val="right" w:pos="10490"/>
      </w:tabs>
      <w:spacing w:after="840"/>
      <w:rPr>
        <w:b/>
        <w:sz w:val="20"/>
      </w:rPr>
    </w:pPr>
    <w:r w:rsidRPr="00B83F01">
      <w:rPr>
        <w:noProof/>
        <w:lang w:eastAsia="en-AU"/>
      </w:rPr>
      <mc:AlternateContent>
        <mc:Choice Requires="wps">
          <w:drawing>
            <wp:anchor distT="0" distB="0" distL="114300" distR="114300" simplePos="0" relativeHeight="251659264" behindDoc="0" locked="0" layoutInCell="1" allowOverlap="1" wp14:anchorId="1265DF1E" wp14:editId="2EA22F55">
              <wp:simplePos x="0" y="0"/>
              <wp:positionH relativeFrom="page">
                <wp:align>center</wp:align>
              </wp:positionH>
              <wp:positionV relativeFrom="paragraph">
                <wp:posOffset>340360</wp:posOffset>
              </wp:positionV>
              <wp:extent cx="734377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7343775" cy="0"/>
                      </a:xfrm>
                      <a:prstGeom prst="line">
                        <a:avLst/>
                      </a:prstGeom>
                      <a:ln w="3175">
                        <a:solidFill>
                          <a:schemeClr val="accent4">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68F6B" id="Straight Connector 21" o:spid="_x0000_s1026" style="position:absolute;z-index:251659264;visibility:visible;mso-wrap-style:square;mso-wrap-distance-left:9pt;mso-wrap-distance-top:0;mso-wrap-distance-right:9pt;mso-wrap-distance-bottom:0;mso-position-horizontal:center;mso-position-horizontal-relative:page;mso-position-vertical:absolute;mso-position-vertical-relative:text" from="0,26.8pt" to="578.2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" strokecolor="#ffd966 [1943]" strokeweight=".25pt">
              <v:stroke dashstyle="3 1" joinstyle="miter"/>
              <w10:wrap anchorx="page"/>
            </v:line>
          </w:pict>
        </mc:Fallback>
      </mc:AlternateContent>
    </w:r>
    <w:r>
      <w:rPr>
        <w:b/>
        <w:sz w:val="20"/>
      </w:rPr>
      <w:t>Freedom of Information (Volume 4 – Considering the public interest) Guidelines 2023</w:t>
    </w:r>
    <w:r w:rsidR="00E90941">
      <w:rPr>
        <w:b/>
        <w:sz w:val="20"/>
      </w:rPr>
      <w:t xml:space="preserve"> </w:t>
    </w:r>
    <w:r w:rsidR="00E90941">
      <w:rPr>
        <w:b/>
        <w:sz w:val="20"/>
      </w:rPr>
      <w:b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78D0" w14:textId="77777777" w:rsidR="00B862DC" w:rsidRDefault="00B86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3A1"/>
    <w:multiLevelType w:val="hybridMultilevel"/>
    <w:tmpl w:val="B1B272F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4239BA"/>
    <w:multiLevelType w:val="hybridMultilevel"/>
    <w:tmpl w:val="847E7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307CD6"/>
    <w:multiLevelType w:val="hybridMultilevel"/>
    <w:tmpl w:val="FBD24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312DA9"/>
    <w:multiLevelType w:val="hybridMultilevel"/>
    <w:tmpl w:val="EE76D8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531575C"/>
    <w:multiLevelType w:val="hybridMultilevel"/>
    <w:tmpl w:val="76A61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717917"/>
    <w:multiLevelType w:val="hybridMultilevel"/>
    <w:tmpl w:val="E03866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5D02A70"/>
    <w:multiLevelType w:val="hybridMultilevel"/>
    <w:tmpl w:val="A680F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3F43C6"/>
    <w:multiLevelType w:val="hybridMultilevel"/>
    <w:tmpl w:val="69625A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6633832"/>
    <w:multiLevelType w:val="hybridMultilevel"/>
    <w:tmpl w:val="2752CB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069E0F16"/>
    <w:multiLevelType w:val="hybridMultilevel"/>
    <w:tmpl w:val="F814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6CB3F1C"/>
    <w:multiLevelType w:val="hybridMultilevel"/>
    <w:tmpl w:val="C68A4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0E7CDF"/>
    <w:multiLevelType w:val="hybridMultilevel"/>
    <w:tmpl w:val="A2AE63B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BCE0199"/>
    <w:multiLevelType w:val="hybridMultilevel"/>
    <w:tmpl w:val="02249A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0C6B66"/>
    <w:multiLevelType w:val="hybridMultilevel"/>
    <w:tmpl w:val="CDD04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152A80"/>
    <w:multiLevelType w:val="hybridMultilevel"/>
    <w:tmpl w:val="346A4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D436779"/>
    <w:multiLevelType w:val="hybridMultilevel"/>
    <w:tmpl w:val="B0924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D6337A3"/>
    <w:multiLevelType w:val="hybridMultilevel"/>
    <w:tmpl w:val="64A6A0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D8A13CE"/>
    <w:multiLevelType w:val="hybridMultilevel"/>
    <w:tmpl w:val="EEA4B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E6E3BA1"/>
    <w:multiLevelType w:val="hybridMultilevel"/>
    <w:tmpl w:val="C054DB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03449EB"/>
    <w:multiLevelType w:val="hybridMultilevel"/>
    <w:tmpl w:val="6BD2F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08036E0"/>
    <w:multiLevelType w:val="hybridMultilevel"/>
    <w:tmpl w:val="CF50AAA0"/>
    <w:lvl w:ilvl="0" w:tplc="8A52FBAE">
      <w:start w:val="1"/>
      <w:numFmt w:val="decimal"/>
      <w:pStyle w:val="MinuteParagraph"/>
      <w:lvlText w:val="%1."/>
      <w:lvlJc w:val="left"/>
      <w:pPr>
        <w:ind w:left="720" w:hanging="360"/>
      </w:pPr>
    </w:lvl>
    <w:lvl w:ilvl="1" w:tplc="693202AA">
      <w:numFmt w:val="bullet"/>
      <w:lvlText w:val="•"/>
      <w:lvlJc w:val="left"/>
      <w:pPr>
        <w:ind w:left="1440" w:hanging="360"/>
      </w:pPr>
      <w:rPr>
        <w:rFonts w:ascii="Calibri" w:eastAsia="Times New Roman"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0EF507D"/>
    <w:multiLevelType w:val="hybridMultilevel"/>
    <w:tmpl w:val="435EE6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139A2ED3"/>
    <w:multiLevelType w:val="hybridMultilevel"/>
    <w:tmpl w:val="3454F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43445AE"/>
    <w:multiLevelType w:val="hybridMultilevel"/>
    <w:tmpl w:val="6B2259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6963B0C"/>
    <w:multiLevelType w:val="hybridMultilevel"/>
    <w:tmpl w:val="FF46D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788605A"/>
    <w:multiLevelType w:val="hybridMultilevel"/>
    <w:tmpl w:val="FCECB556"/>
    <w:lvl w:ilvl="0" w:tplc="D6A4D244">
      <w:start w:val="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8147481"/>
    <w:multiLevelType w:val="hybridMultilevel"/>
    <w:tmpl w:val="700E2B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81922EE"/>
    <w:multiLevelType w:val="hybridMultilevel"/>
    <w:tmpl w:val="B6102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8494E7D"/>
    <w:multiLevelType w:val="hybridMultilevel"/>
    <w:tmpl w:val="C0400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87D384F"/>
    <w:multiLevelType w:val="hybridMultilevel"/>
    <w:tmpl w:val="F4B673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A113712"/>
    <w:multiLevelType w:val="hybridMultilevel"/>
    <w:tmpl w:val="DD12BB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A1C5B6E"/>
    <w:multiLevelType w:val="hybridMultilevel"/>
    <w:tmpl w:val="A950F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C837AB2"/>
    <w:multiLevelType w:val="hybridMultilevel"/>
    <w:tmpl w:val="96FE1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C86708E"/>
    <w:multiLevelType w:val="hybridMultilevel"/>
    <w:tmpl w:val="97261A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D52178E"/>
    <w:multiLevelType w:val="hybridMultilevel"/>
    <w:tmpl w:val="24645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1DEE714A"/>
    <w:multiLevelType w:val="hybridMultilevel"/>
    <w:tmpl w:val="EFC05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1E7240B5"/>
    <w:multiLevelType w:val="hybridMultilevel"/>
    <w:tmpl w:val="9CBC44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1E7C394C"/>
    <w:multiLevelType w:val="hybridMultilevel"/>
    <w:tmpl w:val="D6062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1EC76C17"/>
    <w:multiLevelType w:val="hybridMultilevel"/>
    <w:tmpl w:val="F01E7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1F0703DB"/>
    <w:multiLevelType w:val="hybridMultilevel"/>
    <w:tmpl w:val="3E047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1F4834A1"/>
    <w:multiLevelType w:val="hybridMultilevel"/>
    <w:tmpl w:val="937A2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1F5D5E18"/>
    <w:multiLevelType w:val="hybridMultilevel"/>
    <w:tmpl w:val="12546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1F716A29"/>
    <w:multiLevelType w:val="hybridMultilevel"/>
    <w:tmpl w:val="F0AEC91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3" w15:restartNumberingAfterBreak="0">
    <w:nsid w:val="2035396C"/>
    <w:multiLevelType w:val="hybridMultilevel"/>
    <w:tmpl w:val="5A1E8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0D540B8"/>
    <w:multiLevelType w:val="hybridMultilevel"/>
    <w:tmpl w:val="556C7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24C670B"/>
    <w:multiLevelType w:val="hybridMultilevel"/>
    <w:tmpl w:val="9A46D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2EC7345"/>
    <w:multiLevelType w:val="hybridMultilevel"/>
    <w:tmpl w:val="C5D2BB96"/>
    <w:lvl w:ilvl="0" w:tplc="AF94332E">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3221359"/>
    <w:multiLevelType w:val="hybridMultilevel"/>
    <w:tmpl w:val="05C23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3664384"/>
    <w:multiLevelType w:val="hybridMultilevel"/>
    <w:tmpl w:val="C57A51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9" w15:restartNumberingAfterBreak="0">
    <w:nsid w:val="23F818F2"/>
    <w:multiLevelType w:val="hybridMultilevel"/>
    <w:tmpl w:val="5288C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24731B8C"/>
    <w:multiLevelType w:val="hybridMultilevel"/>
    <w:tmpl w:val="1C5EC6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5E33E1E"/>
    <w:multiLevelType w:val="hybridMultilevel"/>
    <w:tmpl w:val="8E0CD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63A4B15"/>
    <w:multiLevelType w:val="hybridMultilevel"/>
    <w:tmpl w:val="B28AE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26CD441E"/>
    <w:multiLevelType w:val="hybridMultilevel"/>
    <w:tmpl w:val="F5F68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28B71D34"/>
    <w:multiLevelType w:val="hybridMultilevel"/>
    <w:tmpl w:val="1910DA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2A083887"/>
    <w:multiLevelType w:val="hybridMultilevel"/>
    <w:tmpl w:val="8AEC0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2A34464B"/>
    <w:multiLevelType w:val="hybridMultilevel"/>
    <w:tmpl w:val="C78CD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2BB61165"/>
    <w:multiLevelType w:val="hybridMultilevel"/>
    <w:tmpl w:val="0D5838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2C352132"/>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C8C361D"/>
    <w:multiLevelType w:val="hybridMultilevel"/>
    <w:tmpl w:val="68CCCB6E"/>
    <w:lvl w:ilvl="0" w:tplc="0C090001">
      <w:start w:val="1"/>
      <w:numFmt w:val="bullet"/>
      <w:lvlText w:val=""/>
      <w:lvlJc w:val="left"/>
      <w:pPr>
        <w:ind w:left="483" w:hanging="360"/>
      </w:pPr>
      <w:rPr>
        <w:rFonts w:ascii="Symbol" w:hAnsi="Symbol" w:hint="default"/>
      </w:rPr>
    </w:lvl>
    <w:lvl w:ilvl="1" w:tplc="0C090003">
      <w:start w:val="1"/>
      <w:numFmt w:val="bullet"/>
      <w:lvlText w:val="o"/>
      <w:lvlJc w:val="left"/>
      <w:pPr>
        <w:ind w:left="1203" w:hanging="360"/>
      </w:pPr>
      <w:rPr>
        <w:rFonts w:ascii="Courier New" w:hAnsi="Courier New" w:cs="Courier New" w:hint="default"/>
      </w:rPr>
    </w:lvl>
    <w:lvl w:ilvl="2" w:tplc="0C090005" w:tentative="1">
      <w:start w:val="1"/>
      <w:numFmt w:val="bullet"/>
      <w:lvlText w:val=""/>
      <w:lvlJc w:val="left"/>
      <w:pPr>
        <w:ind w:left="1923" w:hanging="360"/>
      </w:pPr>
      <w:rPr>
        <w:rFonts w:ascii="Wingdings" w:hAnsi="Wingdings" w:hint="default"/>
      </w:rPr>
    </w:lvl>
    <w:lvl w:ilvl="3" w:tplc="0C090001" w:tentative="1">
      <w:start w:val="1"/>
      <w:numFmt w:val="bullet"/>
      <w:lvlText w:val=""/>
      <w:lvlJc w:val="left"/>
      <w:pPr>
        <w:ind w:left="2643" w:hanging="360"/>
      </w:pPr>
      <w:rPr>
        <w:rFonts w:ascii="Symbol" w:hAnsi="Symbol" w:hint="default"/>
      </w:rPr>
    </w:lvl>
    <w:lvl w:ilvl="4" w:tplc="0C090003" w:tentative="1">
      <w:start w:val="1"/>
      <w:numFmt w:val="bullet"/>
      <w:lvlText w:val="o"/>
      <w:lvlJc w:val="left"/>
      <w:pPr>
        <w:ind w:left="3363" w:hanging="360"/>
      </w:pPr>
      <w:rPr>
        <w:rFonts w:ascii="Courier New" w:hAnsi="Courier New" w:cs="Courier New" w:hint="default"/>
      </w:rPr>
    </w:lvl>
    <w:lvl w:ilvl="5" w:tplc="0C090005" w:tentative="1">
      <w:start w:val="1"/>
      <w:numFmt w:val="bullet"/>
      <w:lvlText w:val=""/>
      <w:lvlJc w:val="left"/>
      <w:pPr>
        <w:ind w:left="4083" w:hanging="360"/>
      </w:pPr>
      <w:rPr>
        <w:rFonts w:ascii="Wingdings" w:hAnsi="Wingdings" w:hint="default"/>
      </w:rPr>
    </w:lvl>
    <w:lvl w:ilvl="6" w:tplc="0C090001" w:tentative="1">
      <w:start w:val="1"/>
      <w:numFmt w:val="bullet"/>
      <w:lvlText w:val=""/>
      <w:lvlJc w:val="left"/>
      <w:pPr>
        <w:ind w:left="4803" w:hanging="360"/>
      </w:pPr>
      <w:rPr>
        <w:rFonts w:ascii="Symbol" w:hAnsi="Symbol" w:hint="default"/>
      </w:rPr>
    </w:lvl>
    <w:lvl w:ilvl="7" w:tplc="0C090003" w:tentative="1">
      <w:start w:val="1"/>
      <w:numFmt w:val="bullet"/>
      <w:lvlText w:val="o"/>
      <w:lvlJc w:val="left"/>
      <w:pPr>
        <w:ind w:left="5523" w:hanging="360"/>
      </w:pPr>
      <w:rPr>
        <w:rFonts w:ascii="Courier New" w:hAnsi="Courier New" w:cs="Courier New" w:hint="default"/>
      </w:rPr>
    </w:lvl>
    <w:lvl w:ilvl="8" w:tplc="0C090005" w:tentative="1">
      <w:start w:val="1"/>
      <w:numFmt w:val="bullet"/>
      <w:lvlText w:val=""/>
      <w:lvlJc w:val="left"/>
      <w:pPr>
        <w:ind w:left="6243" w:hanging="360"/>
      </w:pPr>
      <w:rPr>
        <w:rFonts w:ascii="Wingdings" w:hAnsi="Wingdings" w:hint="default"/>
      </w:rPr>
    </w:lvl>
  </w:abstractNum>
  <w:abstractNum w:abstractNumId="60" w15:restartNumberingAfterBreak="0">
    <w:nsid w:val="2CB733A7"/>
    <w:multiLevelType w:val="hybridMultilevel"/>
    <w:tmpl w:val="9F60C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2D125962"/>
    <w:multiLevelType w:val="hybridMultilevel"/>
    <w:tmpl w:val="7FC2A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2F191FDF"/>
    <w:multiLevelType w:val="hybridMultilevel"/>
    <w:tmpl w:val="EF762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2F3669EB"/>
    <w:multiLevelType w:val="hybridMultilevel"/>
    <w:tmpl w:val="6D70D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2F8F3CB6"/>
    <w:multiLevelType w:val="hybridMultilevel"/>
    <w:tmpl w:val="9EDA9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2FB90192"/>
    <w:multiLevelType w:val="hybridMultilevel"/>
    <w:tmpl w:val="D42ADF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0334EF1"/>
    <w:multiLevelType w:val="hybridMultilevel"/>
    <w:tmpl w:val="F4C8322A"/>
    <w:lvl w:ilvl="0" w:tplc="FF1211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349E4979"/>
    <w:multiLevelType w:val="hybridMultilevel"/>
    <w:tmpl w:val="D6061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3731192C"/>
    <w:multiLevelType w:val="hybridMultilevel"/>
    <w:tmpl w:val="B36EF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376C5D02"/>
    <w:multiLevelType w:val="hybridMultilevel"/>
    <w:tmpl w:val="99920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3888713B"/>
    <w:multiLevelType w:val="hybridMultilevel"/>
    <w:tmpl w:val="65166D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39844317"/>
    <w:multiLevelType w:val="hybridMultilevel"/>
    <w:tmpl w:val="6D6E70A0"/>
    <w:lvl w:ilvl="0" w:tplc="DD8831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AF744EC"/>
    <w:multiLevelType w:val="hybridMultilevel"/>
    <w:tmpl w:val="A9EC3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3B310369"/>
    <w:multiLevelType w:val="hybridMultilevel"/>
    <w:tmpl w:val="1C761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3B9D2DB6"/>
    <w:multiLevelType w:val="hybridMultilevel"/>
    <w:tmpl w:val="AB0451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3BF67BCC"/>
    <w:multiLevelType w:val="hybridMultilevel"/>
    <w:tmpl w:val="12BE6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3C610645"/>
    <w:multiLevelType w:val="hybridMultilevel"/>
    <w:tmpl w:val="7A347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414072FA"/>
    <w:multiLevelType w:val="hybridMultilevel"/>
    <w:tmpl w:val="587E73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1BE5A5F"/>
    <w:multiLevelType w:val="hybridMultilevel"/>
    <w:tmpl w:val="5E7A0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21260F7"/>
    <w:multiLevelType w:val="hybridMultilevel"/>
    <w:tmpl w:val="41C2F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46F2673"/>
    <w:multiLevelType w:val="hybridMultilevel"/>
    <w:tmpl w:val="6B10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4A072BD"/>
    <w:multiLevelType w:val="hybridMultilevel"/>
    <w:tmpl w:val="1D0EE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45F92438"/>
    <w:multiLevelType w:val="hybridMultilevel"/>
    <w:tmpl w:val="55AAB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46D9450E"/>
    <w:multiLevelType w:val="hybridMultilevel"/>
    <w:tmpl w:val="F9F28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9340E97"/>
    <w:multiLevelType w:val="hybridMultilevel"/>
    <w:tmpl w:val="EC86853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4ABC6405"/>
    <w:multiLevelType w:val="hybridMultilevel"/>
    <w:tmpl w:val="9AAAD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4AF9758E"/>
    <w:multiLevelType w:val="hybridMultilevel"/>
    <w:tmpl w:val="31444C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7" w15:restartNumberingAfterBreak="0">
    <w:nsid w:val="4B0079F2"/>
    <w:multiLevelType w:val="hybridMultilevel"/>
    <w:tmpl w:val="3D929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4B071733"/>
    <w:multiLevelType w:val="hybridMultilevel"/>
    <w:tmpl w:val="8F7CF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 w15:restartNumberingAfterBreak="0">
    <w:nsid w:val="4B72095D"/>
    <w:multiLevelType w:val="hybridMultilevel"/>
    <w:tmpl w:val="EA00B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4C495E19"/>
    <w:multiLevelType w:val="hybridMultilevel"/>
    <w:tmpl w:val="5630F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4D197171"/>
    <w:multiLevelType w:val="hybridMultilevel"/>
    <w:tmpl w:val="9D649A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4E490C6B"/>
    <w:multiLevelType w:val="hybridMultilevel"/>
    <w:tmpl w:val="1ADE04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3" w15:restartNumberingAfterBreak="0">
    <w:nsid w:val="50587802"/>
    <w:multiLevelType w:val="hybridMultilevel"/>
    <w:tmpl w:val="CE3A25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4" w15:restartNumberingAfterBreak="0">
    <w:nsid w:val="50A80C98"/>
    <w:multiLevelType w:val="hybridMultilevel"/>
    <w:tmpl w:val="B32884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512841D2"/>
    <w:multiLevelType w:val="hybridMultilevel"/>
    <w:tmpl w:val="AF98E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517C5686"/>
    <w:multiLevelType w:val="hybridMultilevel"/>
    <w:tmpl w:val="1696CF3E"/>
    <w:lvl w:ilvl="0" w:tplc="0C090001">
      <w:start w:val="1"/>
      <w:numFmt w:val="bullet"/>
      <w:lvlText w:val=""/>
      <w:lvlJc w:val="left"/>
      <w:pPr>
        <w:ind w:left="354" w:hanging="360"/>
      </w:pPr>
      <w:rPr>
        <w:rFonts w:ascii="Symbol" w:hAnsi="Symbol" w:hint="default"/>
      </w:rPr>
    </w:lvl>
    <w:lvl w:ilvl="1" w:tplc="0C090003">
      <w:start w:val="1"/>
      <w:numFmt w:val="bullet"/>
      <w:lvlText w:val="o"/>
      <w:lvlJc w:val="left"/>
      <w:pPr>
        <w:ind w:left="1074" w:hanging="360"/>
      </w:pPr>
      <w:rPr>
        <w:rFonts w:ascii="Courier New" w:hAnsi="Courier New" w:cs="Courier New" w:hint="default"/>
      </w:rPr>
    </w:lvl>
    <w:lvl w:ilvl="2" w:tplc="0C090005">
      <w:start w:val="1"/>
      <w:numFmt w:val="bullet"/>
      <w:lvlText w:val=""/>
      <w:lvlJc w:val="left"/>
      <w:pPr>
        <w:ind w:left="1794" w:hanging="360"/>
      </w:pPr>
      <w:rPr>
        <w:rFonts w:ascii="Wingdings" w:hAnsi="Wingdings" w:hint="default"/>
      </w:rPr>
    </w:lvl>
    <w:lvl w:ilvl="3" w:tplc="0C090001" w:tentative="1">
      <w:start w:val="1"/>
      <w:numFmt w:val="bullet"/>
      <w:lvlText w:val=""/>
      <w:lvlJc w:val="left"/>
      <w:pPr>
        <w:ind w:left="2514" w:hanging="360"/>
      </w:pPr>
      <w:rPr>
        <w:rFonts w:ascii="Symbol" w:hAnsi="Symbol" w:hint="default"/>
      </w:rPr>
    </w:lvl>
    <w:lvl w:ilvl="4" w:tplc="0C090003" w:tentative="1">
      <w:start w:val="1"/>
      <w:numFmt w:val="bullet"/>
      <w:lvlText w:val="o"/>
      <w:lvlJc w:val="left"/>
      <w:pPr>
        <w:ind w:left="3234" w:hanging="360"/>
      </w:pPr>
      <w:rPr>
        <w:rFonts w:ascii="Courier New" w:hAnsi="Courier New" w:cs="Courier New" w:hint="default"/>
      </w:rPr>
    </w:lvl>
    <w:lvl w:ilvl="5" w:tplc="0C090005" w:tentative="1">
      <w:start w:val="1"/>
      <w:numFmt w:val="bullet"/>
      <w:lvlText w:val=""/>
      <w:lvlJc w:val="left"/>
      <w:pPr>
        <w:ind w:left="3954" w:hanging="360"/>
      </w:pPr>
      <w:rPr>
        <w:rFonts w:ascii="Wingdings" w:hAnsi="Wingdings" w:hint="default"/>
      </w:rPr>
    </w:lvl>
    <w:lvl w:ilvl="6" w:tplc="0C090001" w:tentative="1">
      <w:start w:val="1"/>
      <w:numFmt w:val="bullet"/>
      <w:lvlText w:val=""/>
      <w:lvlJc w:val="left"/>
      <w:pPr>
        <w:ind w:left="4674" w:hanging="360"/>
      </w:pPr>
      <w:rPr>
        <w:rFonts w:ascii="Symbol" w:hAnsi="Symbol" w:hint="default"/>
      </w:rPr>
    </w:lvl>
    <w:lvl w:ilvl="7" w:tplc="0C090003" w:tentative="1">
      <w:start w:val="1"/>
      <w:numFmt w:val="bullet"/>
      <w:lvlText w:val="o"/>
      <w:lvlJc w:val="left"/>
      <w:pPr>
        <w:ind w:left="5394" w:hanging="360"/>
      </w:pPr>
      <w:rPr>
        <w:rFonts w:ascii="Courier New" w:hAnsi="Courier New" w:cs="Courier New" w:hint="default"/>
      </w:rPr>
    </w:lvl>
    <w:lvl w:ilvl="8" w:tplc="0C090005" w:tentative="1">
      <w:start w:val="1"/>
      <w:numFmt w:val="bullet"/>
      <w:lvlText w:val=""/>
      <w:lvlJc w:val="left"/>
      <w:pPr>
        <w:ind w:left="6114" w:hanging="360"/>
      </w:pPr>
      <w:rPr>
        <w:rFonts w:ascii="Wingdings" w:hAnsi="Wingdings" w:hint="default"/>
      </w:rPr>
    </w:lvl>
  </w:abstractNum>
  <w:abstractNum w:abstractNumId="97" w15:restartNumberingAfterBreak="0">
    <w:nsid w:val="53A52E36"/>
    <w:multiLevelType w:val="hybridMultilevel"/>
    <w:tmpl w:val="28A824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53E841A7"/>
    <w:multiLevelType w:val="hybridMultilevel"/>
    <w:tmpl w:val="B26C6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5317B68"/>
    <w:multiLevelType w:val="hybridMultilevel"/>
    <w:tmpl w:val="B3FC5682"/>
    <w:lvl w:ilvl="0" w:tplc="2B58577A">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55BB339A"/>
    <w:multiLevelType w:val="hybridMultilevel"/>
    <w:tmpl w:val="90F81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566F26D3"/>
    <w:multiLevelType w:val="hybridMultilevel"/>
    <w:tmpl w:val="5AB8C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56BF3064"/>
    <w:multiLevelType w:val="hybridMultilevel"/>
    <w:tmpl w:val="33E2B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581F55AC"/>
    <w:multiLevelType w:val="hybridMultilevel"/>
    <w:tmpl w:val="B44A1A1C"/>
    <w:lvl w:ilvl="0" w:tplc="F2C04B0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8DC2ADA"/>
    <w:multiLevelType w:val="hybridMultilevel"/>
    <w:tmpl w:val="69729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8DF2660"/>
    <w:multiLevelType w:val="hybridMultilevel"/>
    <w:tmpl w:val="C4382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58ED4D2C"/>
    <w:multiLevelType w:val="hybridMultilevel"/>
    <w:tmpl w:val="B19E83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7" w15:restartNumberingAfterBreak="0">
    <w:nsid w:val="59F60D9E"/>
    <w:multiLevelType w:val="hybridMultilevel"/>
    <w:tmpl w:val="36D03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5AF3705F"/>
    <w:multiLevelType w:val="hybridMultilevel"/>
    <w:tmpl w:val="6930D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B2C5FC9"/>
    <w:multiLevelType w:val="hybridMultilevel"/>
    <w:tmpl w:val="D0E45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5B2D1211"/>
    <w:multiLevelType w:val="hybridMultilevel"/>
    <w:tmpl w:val="8B50F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5E1B7175"/>
    <w:multiLevelType w:val="hybridMultilevel"/>
    <w:tmpl w:val="DB04D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5E257BEE"/>
    <w:multiLevelType w:val="hybridMultilevel"/>
    <w:tmpl w:val="45623D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5F2B45DF"/>
    <w:multiLevelType w:val="hybridMultilevel"/>
    <w:tmpl w:val="99C0D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5F307557"/>
    <w:multiLevelType w:val="hybridMultilevel"/>
    <w:tmpl w:val="D1DA1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5F8664FA"/>
    <w:multiLevelType w:val="hybridMultilevel"/>
    <w:tmpl w:val="14A66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5FD252B1"/>
    <w:multiLevelType w:val="hybridMultilevel"/>
    <w:tmpl w:val="80604520"/>
    <w:lvl w:ilvl="0" w:tplc="587E750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2C737D2"/>
    <w:multiLevelType w:val="hybridMultilevel"/>
    <w:tmpl w:val="87B843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8106AF9"/>
    <w:multiLevelType w:val="hybridMultilevel"/>
    <w:tmpl w:val="288AB7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8986088"/>
    <w:multiLevelType w:val="hybridMultilevel"/>
    <w:tmpl w:val="0BEA8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6A8F43D0"/>
    <w:multiLevelType w:val="hybridMultilevel"/>
    <w:tmpl w:val="99524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B34030F"/>
    <w:multiLevelType w:val="hybridMultilevel"/>
    <w:tmpl w:val="0FD23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15:restartNumberingAfterBreak="0">
    <w:nsid w:val="6BB36DC5"/>
    <w:multiLevelType w:val="hybridMultilevel"/>
    <w:tmpl w:val="E47CF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C041532"/>
    <w:multiLevelType w:val="hybridMultilevel"/>
    <w:tmpl w:val="B3F2B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6CA962A6"/>
    <w:multiLevelType w:val="hybridMultilevel"/>
    <w:tmpl w:val="51661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6CD50753"/>
    <w:multiLevelType w:val="hybridMultilevel"/>
    <w:tmpl w:val="6E9CD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6" w15:restartNumberingAfterBreak="0">
    <w:nsid w:val="6D3E2FAD"/>
    <w:multiLevelType w:val="hybridMultilevel"/>
    <w:tmpl w:val="4692B806"/>
    <w:lvl w:ilvl="0" w:tplc="679C67C4">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6DC86AE0"/>
    <w:multiLevelType w:val="hybridMultilevel"/>
    <w:tmpl w:val="B862FE0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8" w15:restartNumberingAfterBreak="0">
    <w:nsid w:val="6E452DA2"/>
    <w:multiLevelType w:val="hybridMultilevel"/>
    <w:tmpl w:val="A7C261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9" w15:restartNumberingAfterBreak="0">
    <w:nsid w:val="6EA508B7"/>
    <w:multiLevelType w:val="hybridMultilevel"/>
    <w:tmpl w:val="0F72D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15:restartNumberingAfterBreak="0">
    <w:nsid w:val="6F141412"/>
    <w:multiLevelType w:val="hybridMultilevel"/>
    <w:tmpl w:val="5FA49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6FAA0CBB"/>
    <w:multiLevelType w:val="hybridMultilevel"/>
    <w:tmpl w:val="459A9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70E12A0B"/>
    <w:multiLevelType w:val="hybridMultilevel"/>
    <w:tmpl w:val="6FF0EB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3" w15:restartNumberingAfterBreak="0">
    <w:nsid w:val="70E148F3"/>
    <w:multiLevelType w:val="hybridMultilevel"/>
    <w:tmpl w:val="B5480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1423883"/>
    <w:multiLevelType w:val="hybridMultilevel"/>
    <w:tmpl w:val="4C20E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5" w15:restartNumberingAfterBreak="0">
    <w:nsid w:val="72450565"/>
    <w:multiLevelType w:val="hybridMultilevel"/>
    <w:tmpl w:val="35929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6" w15:restartNumberingAfterBreak="0">
    <w:nsid w:val="72D51CD6"/>
    <w:multiLevelType w:val="hybridMultilevel"/>
    <w:tmpl w:val="DF740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73096923"/>
    <w:multiLevelType w:val="hybridMultilevel"/>
    <w:tmpl w:val="6B4CC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8" w15:restartNumberingAfterBreak="0">
    <w:nsid w:val="73315DB3"/>
    <w:multiLevelType w:val="hybridMultilevel"/>
    <w:tmpl w:val="CD1AE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9" w15:restartNumberingAfterBreak="0">
    <w:nsid w:val="75227714"/>
    <w:multiLevelType w:val="hybridMultilevel"/>
    <w:tmpl w:val="F33CD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760B65D9"/>
    <w:multiLevelType w:val="hybridMultilevel"/>
    <w:tmpl w:val="98103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77EE3B56"/>
    <w:multiLevelType w:val="hybridMultilevel"/>
    <w:tmpl w:val="28548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2" w15:restartNumberingAfterBreak="0">
    <w:nsid w:val="78ED5EA2"/>
    <w:multiLevelType w:val="hybridMultilevel"/>
    <w:tmpl w:val="5E7E9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15:restartNumberingAfterBreak="0">
    <w:nsid w:val="79307232"/>
    <w:multiLevelType w:val="hybridMultilevel"/>
    <w:tmpl w:val="5F326B7C"/>
    <w:lvl w:ilvl="0" w:tplc="0C090019">
      <w:start w:val="1"/>
      <w:numFmt w:val="lowerLetter"/>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4" w15:restartNumberingAfterBreak="0">
    <w:nsid w:val="79C14333"/>
    <w:multiLevelType w:val="hybridMultilevel"/>
    <w:tmpl w:val="6616D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15:restartNumberingAfterBreak="0">
    <w:nsid w:val="79D247E7"/>
    <w:multiLevelType w:val="hybridMultilevel"/>
    <w:tmpl w:val="5CE89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6" w15:restartNumberingAfterBreak="0">
    <w:nsid w:val="7A8F23E0"/>
    <w:multiLevelType w:val="hybridMultilevel"/>
    <w:tmpl w:val="FC3C2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7" w15:restartNumberingAfterBreak="0">
    <w:nsid w:val="7C9B2134"/>
    <w:multiLevelType w:val="hybridMultilevel"/>
    <w:tmpl w:val="E5023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8" w15:restartNumberingAfterBreak="0">
    <w:nsid w:val="7DFA2DE8"/>
    <w:multiLevelType w:val="hybridMultilevel"/>
    <w:tmpl w:val="8F843E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9" w15:restartNumberingAfterBreak="0">
    <w:nsid w:val="7E8C0555"/>
    <w:multiLevelType w:val="hybridMultilevel"/>
    <w:tmpl w:val="63DA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7F396F0F"/>
    <w:multiLevelType w:val="hybridMultilevel"/>
    <w:tmpl w:val="D3C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7FDF6F4C"/>
    <w:multiLevelType w:val="hybridMultilevel"/>
    <w:tmpl w:val="260625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047031590">
    <w:abstractNumId w:val="5"/>
  </w:num>
  <w:num w:numId="2" w16cid:durableId="2019849229">
    <w:abstractNumId w:val="69"/>
  </w:num>
  <w:num w:numId="3" w16cid:durableId="1087776389">
    <w:abstractNumId w:val="45"/>
  </w:num>
  <w:num w:numId="4" w16cid:durableId="1514228371">
    <w:abstractNumId w:val="44"/>
  </w:num>
  <w:num w:numId="5" w16cid:durableId="1334869509">
    <w:abstractNumId w:val="59"/>
  </w:num>
  <w:num w:numId="6" w16cid:durableId="526793375">
    <w:abstractNumId w:val="12"/>
  </w:num>
  <w:num w:numId="7" w16cid:durableId="147022211">
    <w:abstractNumId w:val="47"/>
  </w:num>
  <w:num w:numId="8" w16cid:durableId="2116513055">
    <w:abstractNumId w:val="40"/>
  </w:num>
  <w:num w:numId="9" w16cid:durableId="366413805">
    <w:abstractNumId w:val="94"/>
  </w:num>
  <w:num w:numId="10" w16cid:durableId="826171085">
    <w:abstractNumId w:val="61"/>
  </w:num>
  <w:num w:numId="11" w16cid:durableId="2065062529">
    <w:abstractNumId w:val="39"/>
  </w:num>
  <w:num w:numId="12" w16cid:durableId="715085153">
    <w:abstractNumId w:val="27"/>
  </w:num>
  <w:num w:numId="13" w16cid:durableId="859464405">
    <w:abstractNumId w:val="115"/>
  </w:num>
  <w:num w:numId="14" w16cid:durableId="103890720">
    <w:abstractNumId w:val="62"/>
  </w:num>
  <w:num w:numId="15" w16cid:durableId="1603804601">
    <w:abstractNumId w:val="111"/>
  </w:num>
  <w:num w:numId="16" w16cid:durableId="627510077">
    <w:abstractNumId w:val="22"/>
  </w:num>
  <w:num w:numId="17" w16cid:durableId="472603368">
    <w:abstractNumId w:val="139"/>
  </w:num>
  <w:num w:numId="18" w16cid:durableId="109711811">
    <w:abstractNumId w:val="19"/>
  </w:num>
  <w:num w:numId="19" w16cid:durableId="948195840">
    <w:abstractNumId w:val="96"/>
  </w:num>
  <w:num w:numId="20" w16cid:durableId="1125582751">
    <w:abstractNumId w:val="97"/>
  </w:num>
  <w:num w:numId="21" w16cid:durableId="1721173878">
    <w:abstractNumId w:val="105"/>
  </w:num>
  <w:num w:numId="22" w16cid:durableId="575750088">
    <w:abstractNumId w:val="140"/>
  </w:num>
  <w:num w:numId="23" w16cid:durableId="1396973525">
    <w:abstractNumId w:val="79"/>
  </w:num>
  <w:num w:numId="24" w16cid:durableId="1842042107">
    <w:abstractNumId w:val="109"/>
  </w:num>
  <w:num w:numId="25" w16cid:durableId="436490656">
    <w:abstractNumId w:val="29"/>
  </w:num>
  <w:num w:numId="26" w16cid:durableId="773553464">
    <w:abstractNumId w:val="32"/>
  </w:num>
  <w:num w:numId="27" w16cid:durableId="374160689">
    <w:abstractNumId w:val="87"/>
  </w:num>
  <w:num w:numId="28" w16cid:durableId="816647235">
    <w:abstractNumId w:val="64"/>
  </w:num>
  <w:num w:numId="29" w16cid:durableId="1715277264">
    <w:abstractNumId w:val="34"/>
  </w:num>
  <w:num w:numId="30" w16cid:durableId="739256009">
    <w:abstractNumId w:val="113"/>
  </w:num>
  <w:num w:numId="31" w16cid:durableId="1617130017">
    <w:abstractNumId w:val="48"/>
  </w:num>
  <w:num w:numId="32" w16cid:durableId="2112166736">
    <w:abstractNumId w:val="93"/>
  </w:num>
  <w:num w:numId="33" w16cid:durableId="182404548">
    <w:abstractNumId w:val="68"/>
  </w:num>
  <w:num w:numId="34" w16cid:durableId="862941600">
    <w:abstractNumId w:val="8"/>
  </w:num>
  <w:num w:numId="35" w16cid:durableId="1737312660">
    <w:abstractNumId w:val="21"/>
  </w:num>
  <w:num w:numId="36" w16cid:durableId="917255727">
    <w:abstractNumId w:val="151"/>
  </w:num>
  <w:num w:numId="37" w16cid:durableId="283266781">
    <w:abstractNumId w:val="16"/>
  </w:num>
  <w:num w:numId="38" w16cid:durableId="513571965">
    <w:abstractNumId w:val="77"/>
  </w:num>
  <w:num w:numId="39" w16cid:durableId="1027099556">
    <w:abstractNumId w:val="86"/>
  </w:num>
  <w:num w:numId="40" w16cid:durableId="704477236">
    <w:abstractNumId w:val="3"/>
  </w:num>
  <w:num w:numId="41" w16cid:durableId="1836412726">
    <w:abstractNumId w:val="70"/>
  </w:num>
  <w:num w:numId="42" w16cid:durableId="1117916992">
    <w:abstractNumId w:val="114"/>
  </w:num>
  <w:num w:numId="43" w16cid:durableId="795683823">
    <w:abstractNumId w:val="81"/>
  </w:num>
  <w:num w:numId="44" w16cid:durableId="1770858040">
    <w:abstractNumId w:val="92"/>
  </w:num>
  <w:num w:numId="45" w16cid:durableId="1184246635">
    <w:abstractNumId w:val="106"/>
  </w:num>
  <w:num w:numId="46" w16cid:durableId="1742829212">
    <w:abstractNumId w:val="88"/>
  </w:num>
  <w:num w:numId="47" w16cid:durableId="1377894505">
    <w:abstractNumId w:val="131"/>
  </w:num>
  <w:num w:numId="48" w16cid:durableId="258221910">
    <w:abstractNumId w:val="124"/>
  </w:num>
  <w:num w:numId="49" w16cid:durableId="1210646561">
    <w:abstractNumId w:val="91"/>
  </w:num>
  <w:num w:numId="50" w16cid:durableId="1864900129">
    <w:abstractNumId w:val="49"/>
  </w:num>
  <w:num w:numId="51" w16cid:durableId="888805803">
    <w:abstractNumId w:val="142"/>
  </w:num>
  <w:num w:numId="52" w16cid:durableId="622424383">
    <w:abstractNumId w:val="132"/>
  </w:num>
  <w:num w:numId="53" w16cid:durableId="1957250272">
    <w:abstractNumId w:val="112"/>
  </w:num>
  <w:num w:numId="54" w16cid:durableId="1960254867">
    <w:abstractNumId w:val="58"/>
  </w:num>
  <w:num w:numId="55" w16cid:durableId="36855548">
    <w:abstractNumId w:val="84"/>
  </w:num>
  <w:num w:numId="56" w16cid:durableId="791051643">
    <w:abstractNumId w:val="7"/>
  </w:num>
  <w:num w:numId="57" w16cid:durableId="537546126">
    <w:abstractNumId w:val="41"/>
  </w:num>
  <w:num w:numId="58" w16cid:durableId="531915251">
    <w:abstractNumId w:val="63"/>
  </w:num>
  <w:num w:numId="59" w16cid:durableId="903639623">
    <w:abstractNumId w:val="65"/>
  </w:num>
  <w:num w:numId="60" w16cid:durableId="1358042205">
    <w:abstractNumId w:val="54"/>
  </w:num>
  <w:num w:numId="61" w16cid:durableId="1096631300">
    <w:abstractNumId w:val="50"/>
  </w:num>
  <w:num w:numId="62" w16cid:durableId="1983846035">
    <w:abstractNumId w:val="74"/>
  </w:num>
  <w:num w:numId="63" w16cid:durableId="296958615">
    <w:abstractNumId w:val="78"/>
  </w:num>
  <w:num w:numId="64" w16cid:durableId="1620603965">
    <w:abstractNumId w:val="122"/>
  </w:num>
  <w:num w:numId="65" w16cid:durableId="1049841974">
    <w:abstractNumId w:val="24"/>
  </w:num>
  <w:num w:numId="66" w16cid:durableId="1294866212">
    <w:abstractNumId w:val="102"/>
  </w:num>
  <w:num w:numId="67" w16cid:durableId="1002709244">
    <w:abstractNumId w:val="108"/>
  </w:num>
  <w:num w:numId="68" w16cid:durableId="100073677">
    <w:abstractNumId w:val="83"/>
  </w:num>
  <w:num w:numId="69" w16cid:durableId="483279666">
    <w:abstractNumId w:val="128"/>
  </w:num>
  <w:num w:numId="70" w16cid:durableId="116485776">
    <w:abstractNumId w:val="31"/>
  </w:num>
  <w:num w:numId="71" w16cid:durableId="1879731766">
    <w:abstractNumId w:val="23"/>
  </w:num>
  <w:num w:numId="72" w16cid:durableId="767965427">
    <w:abstractNumId w:val="38"/>
  </w:num>
  <w:num w:numId="73" w16cid:durableId="499278892">
    <w:abstractNumId w:val="101"/>
  </w:num>
  <w:num w:numId="74" w16cid:durableId="1474567838">
    <w:abstractNumId w:val="95"/>
  </w:num>
  <w:num w:numId="75" w16cid:durableId="763067740">
    <w:abstractNumId w:val="141"/>
  </w:num>
  <w:num w:numId="76" w16cid:durableId="578559602">
    <w:abstractNumId w:val="146"/>
  </w:num>
  <w:num w:numId="77" w16cid:durableId="1280407016">
    <w:abstractNumId w:val="15"/>
  </w:num>
  <w:num w:numId="78" w16cid:durableId="1863088435">
    <w:abstractNumId w:val="0"/>
  </w:num>
  <w:num w:numId="79" w16cid:durableId="1114204356">
    <w:abstractNumId w:val="127"/>
  </w:num>
  <w:num w:numId="80" w16cid:durableId="319308784">
    <w:abstractNumId w:val="85"/>
  </w:num>
  <w:num w:numId="81" w16cid:durableId="292711151">
    <w:abstractNumId w:val="73"/>
  </w:num>
  <w:num w:numId="82" w16cid:durableId="591549259">
    <w:abstractNumId w:val="1"/>
  </w:num>
  <w:num w:numId="83" w16cid:durableId="462699929">
    <w:abstractNumId w:val="55"/>
  </w:num>
  <w:num w:numId="84" w16cid:durableId="965352814">
    <w:abstractNumId w:val="110"/>
  </w:num>
  <w:num w:numId="85" w16cid:durableId="149837297">
    <w:abstractNumId w:val="10"/>
  </w:num>
  <w:num w:numId="86" w16cid:durableId="1177428071">
    <w:abstractNumId w:val="123"/>
  </w:num>
  <w:num w:numId="87" w16cid:durableId="1217739460">
    <w:abstractNumId w:val="129"/>
  </w:num>
  <w:num w:numId="88" w16cid:durableId="1165516092">
    <w:abstractNumId w:val="53"/>
  </w:num>
  <w:num w:numId="89" w16cid:durableId="122891447">
    <w:abstractNumId w:val="11"/>
  </w:num>
  <w:num w:numId="90" w16cid:durableId="1985041452">
    <w:abstractNumId w:val="9"/>
  </w:num>
  <w:num w:numId="91" w16cid:durableId="47849590">
    <w:abstractNumId w:val="67"/>
  </w:num>
  <w:num w:numId="92" w16cid:durableId="2025158606">
    <w:abstractNumId w:val="135"/>
  </w:num>
  <w:num w:numId="93" w16cid:durableId="1782147515">
    <w:abstractNumId w:val="51"/>
  </w:num>
  <w:num w:numId="94" w16cid:durableId="508761486">
    <w:abstractNumId w:val="99"/>
  </w:num>
  <w:num w:numId="95" w16cid:durableId="1089545642">
    <w:abstractNumId w:val="26"/>
  </w:num>
  <w:num w:numId="96" w16cid:durableId="1486120485">
    <w:abstractNumId w:val="33"/>
  </w:num>
  <w:num w:numId="97" w16cid:durableId="1049495073">
    <w:abstractNumId w:val="37"/>
  </w:num>
  <w:num w:numId="98" w16cid:durableId="1682731841">
    <w:abstractNumId w:val="35"/>
  </w:num>
  <w:num w:numId="99" w16cid:durableId="468981597">
    <w:abstractNumId w:val="136"/>
  </w:num>
  <w:num w:numId="100" w16cid:durableId="789326651">
    <w:abstractNumId w:val="76"/>
  </w:num>
  <w:num w:numId="101" w16cid:durableId="1126042697">
    <w:abstractNumId w:val="42"/>
  </w:num>
  <w:num w:numId="102" w16cid:durableId="359890926">
    <w:abstractNumId w:val="66"/>
  </w:num>
  <w:num w:numId="103" w16cid:durableId="2068146636">
    <w:abstractNumId w:val="145"/>
  </w:num>
  <w:num w:numId="104" w16cid:durableId="1484007671">
    <w:abstractNumId w:val="57"/>
  </w:num>
  <w:num w:numId="105" w16cid:durableId="527984339">
    <w:abstractNumId w:val="13"/>
  </w:num>
  <w:num w:numId="106" w16cid:durableId="701631265">
    <w:abstractNumId w:val="133"/>
  </w:num>
  <w:num w:numId="107" w16cid:durableId="134179866">
    <w:abstractNumId w:val="130"/>
  </w:num>
  <w:num w:numId="108" w16cid:durableId="1517189675">
    <w:abstractNumId w:val="60"/>
  </w:num>
  <w:num w:numId="109" w16cid:durableId="278876206">
    <w:abstractNumId w:val="75"/>
  </w:num>
  <w:num w:numId="110" w16cid:durableId="648024569">
    <w:abstractNumId w:val="17"/>
  </w:num>
  <w:num w:numId="111" w16cid:durableId="1807771702">
    <w:abstractNumId w:val="52"/>
  </w:num>
  <w:num w:numId="112" w16cid:durableId="1366250202">
    <w:abstractNumId w:val="82"/>
  </w:num>
  <w:num w:numId="113" w16cid:durableId="266810378">
    <w:abstractNumId w:val="134"/>
  </w:num>
  <w:num w:numId="114" w16cid:durableId="70660793">
    <w:abstractNumId w:val="36"/>
  </w:num>
  <w:num w:numId="115" w16cid:durableId="138378965">
    <w:abstractNumId w:val="120"/>
  </w:num>
  <w:num w:numId="116" w16cid:durableId="343636331">
    <w:abstractNumId w:val="121"/>
  </w:num>
  <w:num w:numId="117" w16cid:durableId="717363078">
    <w:abstractNumId w:val="100"/>
  </w:num>
  <w:num w:numId="118" w16cid:durableId="885527056">
    <w:abstractNumId w:val="90"/>
  </w:num>
  <w:num w:numId="119" w16cid:durableId="545020909">
    <w:abstractNumId w:val="104"/>
  </w:num>
  <w:num w:numId="120" w16cid:durableId="80029681">
    <w:abstractNumId w:val="138"/>
  </w:num>
  <w:num w:numId="121" w16cid:durableId="1548834217">
    <w:abstractNumId w:val="14"/>
  </w:num>
  <w:num w:numId="122" w16cid:durableId="1360667714">
    <w:abstractNumId w:val="56"/>
  </w:num>
  <w:num w:numId="123" w16cid:durableId="769665747">
    <w:abstractNumId w:val="30"/>
  </w:num>
  <w:num w:numId="124" w16cid:durableId="1673289278">
    <w:abstractNumId w:val="119"/>
  </w:num>
  <w:num w:numId="125" w16cid:durableId="655109040">
    <w:abstractNumId w:val="107"/>
  </w:num>
  <w:num w:numId="126" w16cid:durableId="1957517533">
    <w:abstractNumId w:val="4"/>
  </w:num>
  <w:num w:numId="127" w16cid:durableId="1909144086">
    <w:abstractNumId w:val="72"/>
  </w:num>
  <w:num w:numId="128" w16cid:durableId="582960288">
    <w:abstractNumId w:val="147"/>
  </w:num>
  <w:num w:numId="129" w16cid:durableId="415707832">
    <w:abstractNumId w:val="28"/>
  </w:num>
  <w:num w:numId="130" w16cid:durableId="1213466879">
    <w:abstractNumId w:val="137"/>
  </w:num>
  <w:num w:numId="131" w16cid:durableId="711227712">
    <w:abstractNumId w:val="148"/>
  </w:num>
  <w:num w:numId="132" w16cid:durableId="1758483262">
    <w:abstractNumId w:val="144"/>
  </w:num>
  <w:num w:numId="133" w16cid:durableId="54276966">
    <w:abstractNumId w:val="89"/>
  </w:num>
  <w:num w:numId="134" w16cid:durableId="2002846575">
    <w:abstractNumId w:val="98"/>
  </w:num>
  <w:num w:numId="135" w16cid:durableId="257179983">
    <w:abstractNumId w:val="43"/>
  </w:num>
  <w:num w:numId="136" w16cid:durableId="1864855726">
    <w:abstractNumId w:val="80"/>
  </w:num>
  <w:num w:numId="137" w16cid:durableId="854882586">
    <w:abstractNumId w:val="150"/>
  </w:num>
  <w:num w:numId="138" w16cid:durableId="1922522362">
    <w:abstractNumId w:val="125"/>
  </w:num>
  <w:num w:numId="139" w16cid:durableId="248781813">
    <w:abstractNumId w:val="126"/>
  </w:num>
  <w:num w:numId="140" w16cid:durableId="277836753">
    <w:abstractNumId w:val="18"/>
  </w:num>
  <w:num w:numId="141" w16cid:durableId="2048721076">
    <w:abstractNumId w:val="84"/>
  </w:num>
  <w:num w:numId="142" w16cid:durableId="1772166058">
    <w:abstractNumId w:val="2"/>
  </w:num>
  <w:num w:numId="143" w16cid:durableId="331494389">
    <w:abstractNumId w:val="6"/>
  </w:num>
  <w:num w:numId="144" w16cid:durableId="1184628934">
    <w:abstractNumId w:val="117"/>
  </w:num>
  <w:num w:numId="145" w16cid:durableId="502554925">
    <w:abstractNumId w:val="46"/>
  </w:num>
  <w:num w:numId="146" w16cid:durableId="1925916720">
    <w:abstractNumId w:val="25"/>
  </w:num>
  <w:num w:numId="147" w16cid:durableId="2111004781">
    <w:abstractNumId w:val="71"/>
  </w:num>
  <w:num w:numId="148" w16cid:durableId="626546584">
    <w:abstractNumId w:val="20"/>
  </w:num>
  <w:num w:numId="149" w16cid:durableId="905804566">
    <w:abstractNumId w:val="143"/>
  </w:num>
  <w:num w:numId="150" w16cid:durableId="1473476221">
    <w:abstractNumId w:val="103"/>
  </w:num>
  <w:num w:numId="151" w16cid:durableId="734739595">
    <w:abstractNumId w:val="118"/>
  </w:num>
  <w:num w:numId="152" w16cid:durableId="535891834">
    <w:abstractNumId w:val="116"/>
  </w:num>
  <w:num w:numId="153" w16cid:durableId="409273066">
    <w:abstractNumId w:val="14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8"/>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82"/>
    <w:rsid w:val="0000089F"/>
    <w:rsid w:val="00000CED"/>
    <w:rsid w:val="00000E0F"/>
    <w:rsid w:val="00000F47"/>
    <w:rsid w:val="00002AC8"/>
    <w:rsid w:val="00003119"/>
    <w:rsid w:val="00003559"/>
    <w:rsid w:val="0000362A"/>
    <w:rsid w:val="00003D19"/>
    <w:rsid w:val="00003F4A"/>
    <w:rsid w:val="000045C3"/>
    <w:rsid w:val="000051BC"/>
    <w:rsid w:val="00005FC2"/>
    <w:rsid w:val="000062C9"/>
    <w:rsid w:val="0000684D"/>
    <w:rsid w:val="0000696F"/>
    <w:rsid w:val="00006B12"/>
    <w:rsid w:val="000070C4"/>
    <w:rsid w:val="00010115"/>
    <w:rsid w:val="000112BB"/>
    <w:rsid w:val="00011588"/>
    <w:rsid w:val="00011AC0"/>
    <w:rsid w:val="0001233D"/>
    <w:rsid w:val="00012597"/>
    <w:rsid w:val="00012965"/>
    <w:rsid w:val="00013591"/>
    <w:rsid w:val="00013874"/>
    <w:rsid w:val="000139CD"/>
    <w:rsid w:val="00013A4B"/>
    <w:rsid w:val="000141E5"/>
    <w:rsid w:val="00014BB3"/>
    <w:rsid w:val="00014E00"/>
    <w:rsid w:val="00020C2B"/>
    <w:rsid w:val="00021689"/>
    <w:rsid w:val="000220A3"/>
    <w:rsid w:val="000234C1"/>
    <w:rsid w:val="000236B6"/>
    <w:rsid w:val="00024E1F"/>
    <w:rsid w:val="0002538C"/>
    <w:rsid w:val="00025B50"/>
    <w:rsid w:val="00026D51"/>
    <w:rsid w:val="00026F7D"/>
    <w:rsid w:val="000271C4"/>
    <w:rsid w:val="00027D87"/>
    <w:rsid w:val="00027F8F"/>
    <w:rsid w:val="00030879"/>
    <w:rsid w:val="00030ADB"/>
    <w:rsid w:val="00030BAA"/>
    <w:rsid w:val="00030EEE"/>
    <w:rsid w:val="000310FE"/>
    <w:rsid w:val="000313CA"/>
    <w:rsid w:val="00031704"/>
    <w:rsid w:val="0003191F"/>
    <w:rsid w:val="00032CAC"/>
    <w:rsid w:val="00033BF7"/>
    <w:rsid w:val="00033CCC"/>
    <w:rsid w:val="00034324"/>
    <w:rsid w:val="0003453F"/>
    <w:rsid w:val="000351EB"/>
    <w:rsid w:val="00035D7A"/>
    <w:rsid w:val="00036140"/>
    <w:rsid w:val="0003660D"/>
    <w:rsid w:val="00036E7B"/>
    <w:rsid w:val="00036F61"/>
    <w:rsid w:val="000375E7"/>
    <w:rsid w:val="000407E9"/>
    <w:rsid w:val="000411BB"/>
    <w:rsid w:val="000412FC"/>
    <w:rsid w:val="00041304"/>
    <w:rsid w:val="00041E2C"/>
    <w:rsid w:val="000420D8"/>
    <w:rsid w:val="0004216C"/>
    <w:rsid w:val="00042398"/>
    <w:rsid w:val="00042EB2"/>
    <w:rsid w:val="00043AE4"/>
    <w:rsid w:val="00043FD7"/>
    <w:rsid w:val="00044C48"/>
    <w:rsid w:val="00044C6F"/>
    <w:rsid w:val="00045048"/>
    <w:rsid w:val="00045CD0"/>
    <w:rsid w:val="000469B8"/>
    <w:rsid w:val="000508ED"/>
    <w:rsid w:val="00051289"/>
    <w:rsid w:val="00051A27"/>
    <w:rsid w:val="00051EC4"/>
    <w:rsid w:val="0005316B"/>
    <w:rsid w:val="000531B4"/>
    <w:rsid w:val="000531E8"/>
    <w:rsid w:val="00053E27"/>
    <w:rsid w:val="00053E38"/>
    <w:rsid w:val="000543BF"/>
    <w:rsid w:val="00054E92"/>
    <w:rsid w:val="00055B01"/>
    <w:rsid w:val="00055F1C"/>
    <w:rsid w:val="000560A8"/>
    <w:rsid w:val="00057155"/>
    <w:rsid w:val="00057702"/>
    <w:rsid w:val="000601A4"/>
    <w:rsid w:val="00060299"/>
    <w:rsid w:val="0006049A"/>
    <w:rsid w:val="00061845"/>
    <w:rsid w:val="00061A12"/>
    <w:rsid w:val="00062D0D"/>
    <w:rsid w:val="000635AF"/>
    <w:rsid w:val="00063A11"/>
    <w:rsid w:val="00063C60"/>
    <w:rsid w:val="00064A77"/>
    <w:rsid w:val="000658F9"/>
    <w:rsid w:val="00065A28"/>
    <w:rsid w:val="00065A97"/>
    <w:rsid w:val="000660AE"/>
    <w:rsid w:val="000662FA"/>
    <w:rsid w:val="00066835"/>
    <w:rsid w:val="00066BD1"/>
    <w:rsid w:val="00067606"/>
    <w:rsid w:val="00070710"/>
    <w:rsid w:val="0007105A"/>
    <w:rsid w:val="00071381"/>
    <w:rsid w:val="00071647"/>
    <w:rsid w:val="000718F4"/>
    <w:rsid w:val="00072796"/>
    <w:rsid w:val="000742D1"/>
    <w:rsid w:val="00074C97"/>
    <w:rsid w:val="00075F3A"/>
    <w:rsid w:val="00076AB8"/>
    <w:rsid w:val="00076F42"/>
    <w:rsid w:val="00077180"/>
    <w:rsid w:val="00077389"/>
    <w:rsid w:val="0007780D"/>
    <w:rsid w:val="000779EA"/>
    <w:rsid w:val="0008010E"/>
    <w:rsid w:val="0008067C"/>
    <w:rsid w:val="0008076B"/>
    <w:rsid w:val="0008082D"/>
    <w:rsid w:val="00081626"/>
    <w:rsid w:val="00081642"/>
    <w:rsid w:val="0008165D"/>
    <w:rsid w:val="000817F2"/>
    <w:rsid w:val="00081AE2"/>
    <w:rsid w:val="00081F85"/>
    <w:rsid w:val="00082973"/>
    <w:rsid w:val="00083411"/>
    <w:rsid w:val="00083558"/>
    <w:rsid w:val="000836CC"/>
    <w:rsid w:val="00084781"/>
    <w:rsid w:val="0008532E"/>
    <w:rsid w:val="00085948"/>
    <w:rsid w:val="00085D03"/>
    <w:rsid w:val="000862F8"/>
    <w:rsid w:val="00086316"/>
    <w:rsid w:val="0008654C"/>
    <w:rsid w:val="00086A20"/>
    <w:rsid w:val="00086C6D"/>
    <w:rsid w:val="00086EB0"/>
    <w:rsid w:val="000874DE"/>
    <w:rsid w:val="000876FC"/>
    <w:rsid w:val="000878FA"/>
    <w:rsid w:val="00090306"/>
    <w:rsid w:val="0009060F"/>
    <w:rsid w:val="00090C0C"/>
    <w:rsid w:val="00090F5E"/>
    <w:rsid w:val="000911B2"/>
    <w:rsid w:val="000918BB"/>
    <w:rsid w:val="00091A81"/>
    <w:rsid w:val="00092942"/>
    <w:rsid w:val="00093CF9"/>
    <w:rsid w:val="000948B7"/>
    <w:rsid w:val="000954F7"/>
    <w:rsid w:val="00097DE7"/>
    <w:rsid w:val="000A0055"/>
    <w:rsid w:val="000A10E2"/>
    <w:rsid w:val="000A1344"/>
    <w:rsid w:val="000A1984"/>
    <w:rsid w:val="000A2513"/>
    <w:rsid w:val="000A3867"/>
    <w:rsid w:val="000A4848"/>
    <w:rsid w:val="000A56E9"/>
    <w:rsid w:val="000A573F"/>
    <w:rsid w:val="000A5933"/>
    <w:rsid w:val="000A714E"/>
    <w:rsid w:val="000A73C6"/>
    <w:rsid w:val="000A7994"/>
    <w:rsid w:val="000B0062"/>
    <w:rsid w:val="000B00D3"/>
    <w:rsid w:val="000B069B"/>
    <w:rsid w:val="000B084F"/>
    <w:rsid w:val="000B0B71"/>
    <w:rsid w:val="000B1162"/>
    <w:rsid w:val="000B11B6"/>
    <w:rsid w:val="000B150E"/>
    <w:rsid w:val="000B16D2"/>
    <w:rsid w:val="000B195B"/>
    <w:rsid w:val="000B1C1F"/>
    <w:rsid w:val="000B2080"/>
    <w:rsid w:val="000B26E1"/>
    <w:rsid w:val="000B2747"/>
    <w:rsid w:val="000B27D1"/>
    <w:rsid w:val="000B2BC1"/>
    <w:rsid w:val="000B345D"/>
    <w:rsid w:val="000B34FB"/>
    <w:rsid w:val="000B3CA8"/>
    <w:rsid w:val="000B3E84"/>
    <w:rsid w:val="000B4039"/>
    <w:rsid w:val="000B41E9"/>
    <w:rsid w:val="000B4731"/>
    <w:rsid w:val="000B48B8"/>
    <w:rsid w:val="000B491B"/>
    <w:rsid w:val="000B4FF8"/>
    <w:rsid w:val="000B5334"/>
    <w:rsid w:val="000B56E1"/>
    <w:rsid w:val="000B5E42"/>
    <w:rsid w:val="000B650F"/>
    <w:rsid w:val="000B66E4"/>
    <w:rsid w:val="000B6B95"/>
    <w:rsid w:val="000B7572"/>
    <w:rsid w:val="000B79F3"/>
    <w:rsid w:val="000B7DBA"/>
    <w:rsid w:val="000C0CF6"/>
    <w:rsid w:val="000C1663"/>
    <w:rsid w:val="000C2CDE"/>
    <w:rsid w:val="000C30B4"/>
    <w:rsid w:val="000C37E9"/>
    <w:rsid w:val="000C37EC"/>
    <w:rsid w:val="000C404B"/>
    <w:rsid w:val="000C412A"/>
    <w:rsid w:val="000C434A"/>
    <w:rsid w:val="000C52BB"/>
    <w:rsid w:val="000C5ADA"/>
    <w:rsid w:val="000C5FE6"/>
    <w:rsid w:val="000C653A"/>
    <w:rsid w:val="000C670F"/>
    <w:rsid w:val="000C6776"/>
    <w:rsid w:val="000C690D"/>
    <w:rsid w:val="000C6AAF"/>
    <w:rsid w:val="000C6D4D"/>
    <w:rsid w:val="000C6FD6"/>
    <w:rsid w:val="000C738E"/>
    <w:rsid w:val="000C7868"/>
    <w:rsid w:val="000C7A0B"/>
    <w:rsid w:val="000C7CAB"/>
    <w:rsid w:val="000D1323"/>
    <w:rsid w:val="000D172F"/>
    <w:rsid w:val="000D1D54"/>
    <w:rsid w:val="000D2101"/>
    <w:rsid w:val="000D21BB"/>
    <w:rsid w:val="000D25E3"/>
    <w:rsid w:val="000D260F"/>
    <w:rsid w:val="000D2C80"/>
    <w:rsid w:val="000D2E19"/>
    <w:rsid w:val="000D2E9D"/>
    <w:rsid w:val="000D358B"/>
    <w:rsid w:val="000D3ABB"/>
    <w:rsid w:val="000D3CEA"/>
    <w:rsid w:val="000D43DB"/>
    <w:rsid w:val="000D51D4"/>
    <w:rsid w:val="000D577B"/>
    <w:rsid w:val="000D582C"/>
    <w:rsid w:val="000D6008"/>
    <w:rsid w:val="000D61F6"/>
    <w:rsid w:val="000D6281"/>
    <w:rsid w:val="000D6E57"/>
    <w:rsid w:val="000D72CD"/>
    <w:rsid w:val="000D794C"/>
    <w:rsid w:val="000E0748"/>
    <w:rsid w:val="000E10E2"/>
    <w:rsid w:val="000E1240"/>
    <w:rsid w:val="000E297F"/>
    <w:rsid w:val="000E2DF8"/>
    <w:rsid w:val="000E4202"/>
    <w:rsid w:val="000E45DE"/>
    <w:rsid w:val="000E4AA7"/>
    <w:rsid w:val="000E4CB3"/>
    <w:rsid w:val="000E4F8A"/>
    <w:rsid w:val="000E5459"/>
    <w:rsid w:val="000E54AB"/>
    <w:rsid w:val="000E5EC4"/>
    <w:rsid w:val="000E61E5"/>
    <w:rsid w:val="000E6293"/>
    <w:rsid w:val="000E713B"/>
    <w:rsid w:val="000E79BA"/>
    <w:rsid w:val="000E7E37"/>
    <w:rsid w:val="000F01D5"/>
    <w:rsid w:val="000F0251"/>
    <w:rsid w:val="000F189D"/>
    <w:rsid w:val="000F1A76"/>
    <w:rsid w:val="000F3B2A"/>
    <w:rsid w:val="000F3BA8"/>
    <w:rsid w:val="000F4374"/>
    <w:rsid w:val="000F4663"/>
    <w:rsid w:val="000F484F"/>
    <w:rsid w:val="000F761A"/>
    <w:rsid w:val="000F7A7A"/>
    <w:rsid w:val="00100F34"/>
    <w:rsid w:val="0010115E"/>
    <w:rsid w:val="00101A73"/>
    <w:rsid w:val="001028E7"/>
    <w:rsid w:val="001031D7"/>
    <w:rsid w:val="001033B0"/>
    <w:rsid w:val="00103E64"/>
    <w:rsid w:val="00103F16"/>
    <w:rsid w:val="00104134"/>
    <w:rsid w:val="0010424B"/>
    <w:rsid w:val="00104448"/>
    <w:rsid w:val="001050B9"/>
    <w:rsid w:val="001054EA"/>
    <w:rsid w:val="00105634"/>
    <w:rsid w:val="00105701"/>
    <w:rsid w:val="00105924"/>
    <w:rsid w:val="001062B2"/>
    <w:rsid w:val="00107592"/>
    <w:rsid w:val="0010771F"/>
    <w:rsid w:val="001079EE"/>
    <w:rsid w:val="0011019F"/>
    <w:rsid w:val="00110813"/>
    <w:rsid w:val="00111221"/>
    <w:rsid w:val="001114FE"/>
    <w:rsid w:val="001118B9"/>
    <w:rsid w:val="00111946"/>
    <w:rsid w:val="00112839"/>
    <w:rsid w:val="00113229"/>
    <w:rsid w:val="00113917"/>
    <w:rsid w:val="00113CE8"/>
    <w:rsid w:val="00113DDF"/>
    <w:rsid w:val="00114033"/>
    <w:rsid w:val="00114074"/>
    <w:rsid w:val="0011470C"/>
    <w:rsid w:val="001148AA"/>
    <w:rsid w:val="00114C6F"/>
    <w:rsid w:val="00114E38"/>
    <w:rsid w:val="00115098"/>
    <w:rsid w:val="00115271"/>
    <w:rsid w:val="0011533A"/>
    <w:rsid w:val="0011667A"/>
    <w:rsid w:val="001167BC"/>
    <w:rsid w:val="00116E53"/>
    <w:rsid w:val="00117386"/>
    <w:rsid w:val="0011777E"/>
    <w:rsid w:val="00120A1E"/>
    <w:rsid w:val="00120EF1"/>
    <w:rsid w:val="0012106E"/>
    <w:rsid w:val="001210B3"/>
    <w:rsid w:val="0012113E"/>
    <w:rsid w:val="001218E9"/>
    <w:rsid w:val="00121E50"/>
    <w:rsid w:val="0012224E"/>
    <w:rsid w:val="00122FA2"/>
    <w:rsid w:val="001244A7"/>
    <w:rsid w:val="00124E5A"/>
    <w:rsid w:val="00124E6C"/>
    <w:rsid w:val="00124F20"/>
    <w:rsid w:val="00125A41"/>
    <w:rsid w:val="00125F9D"/>
    <w:rsid w:val="00125FC5"/>
    <w:rsid w:val="0012611C"/>
    <w:rsid w:val="00126809"/>
    <w:rsid w:val="001269CB"/>
    <w:rsid w:val="00126DFF"/>
    <w:rsid w:val="001301D6"/>
    <w:rsid w:val="001305C6"/>
    <w:rsid w:val="00130FE4"/>
    <w:rsid w:val="00131556"/>
    <w:rsid w:val="00131621"/>
    <w:rsid w:val="00131C08"/>
    <w:rsid w:val="00131CAC"/>
    <w:rsid w:val="00132134"/>
    <w:rsid w:val="0013236E"/>
    <w:rsid w:val="00132653"/>
    <w:rsid w:val="00132A29"/>
    <w:rsid w:val="00133764"/>
    <w:rsid w:val="00133C44"/>
    <w:rsid w:val="001351A7"/>
    <w:rsid w:val="001359E8"/>
    <w:rsid w:val="00136223"/>
    <w:rsid w:val="00136EAF"/>
    <w:rsid w:val="00137521"/>
    <w:rsid w:val="00140A83"/>
    <w:rsid w:val="00140EDF"/>
    <w:rsid w:val="0014172A"/>
    <w:rsid w:val="00141845"/>
    <w:rsid w:val="001428A4"/>
    <w:rsid w:val="00142B5B"/>
    <w:rsid w:val="0014393A"/>
    <w:rsid w:val="00143B02"/>
    <w:rsid w:val="00143B59"/>
    <w:rsid w:val="00143EF1"/>
    <w:rsid w:val="0014401B"/>
    <w:rsid w:val="00144292"/>
    <w:rsid w:val="0014455C"/>
    <w:rsid w:val="001449C6"/>
    <w:rsid w:val="00144E9C"/>
    <w:rsid w:val="00145191"/>
    <w:rsid w:val="00146106"/>
    <w:rsid w:val="001461CF"/>
    <w:rsid w:val="00146B33"/>
    <w:rsid w:val="0014770C"/>
    <w:rsid w:val="00150109"/>
    <w:rsid w:val="0015013F"/>
    <w:rsid w:val="001506E7"/>
    <w:rsid w:val="00150E3F"/>
    <w:rsid w:val="00151FE8"/>
    <w:rsid w:val="00152DD8"/>
    <w:rsid w:val="001533AE"/>
    <w:rsid w:val="00153A35"/>
    <w:rsid w:val="00154F7F"/>
    <w:rsid w:val="001554B1"/>
    <w:rsid w:val="00155FF1"/>
    <w:rsid w:val="00156EB3"/>
    <w:rsid w:val="00156FCF"/>
    <w:rsid w:val="0015711C"/>
    <w:rsid w:val="00157982"/>
    <w:rsid w:val="001607B0"/>
    <w:rsid w:val="00160971"/>
    <w:rsid w:val="00160CAD"/>
    <w:rsid w:val="00161498"/>
    <w:rsid w:val="00161F0A"/>
    <w:rsid w:val="00162A40"/>
    <w:rsid w:val="00162CB2"/>
    <w:rsid w:val="00162EE9"/>
    <w:rsid w:val="001632C4"/>
    <w:rsid w:val="00163A3D"/>
    <w:rsid w:val="00163B29"/>
    <w:rsid w:val="001644E3"/>
    <w:rsid w:val="00164C4B"/>
    <w:rsid w:val="001650B9"/>
    <w:rsid w:val="0016535A"/>
    <w:rsid w:val="00165FBB"/>
    <w:rsid w:val="0016615D"/>
    <w:rsid w:val="001664B6"/>
    <w:rsid w:val="00166BA7"/>
    <w:rsid w:val="0016798B"/>
    <w:rsid w:val="00167C4D"/>
    <w:rsid w:val="0017003D"/>
    <w:rsid w:val="0017018E"/>
    <w:rsid w:val="00170C44"/>
    <w:rsid w:val="00171381"/>
    <w:rsid w:val="001715C5"/>
    <w:rsid w:val="00171740"/>
    <w:rsid w:val="00171A16"/>
    <w:rsid w:val="0017248A"/>
    <w:rsid w:val="0017271B"/>
    <w:rsid w:val="00172753"/>
    <w:rsid w:val="00172947"/>
    <w:rsid w:val="00173396"/>
    <w:rsid w:val="001733F2"/>
    <w:rsid w:val="00174143"/>
    <w:rsid w:val="00174665"/>
    <w:rsid w:val="00174742"/>
    <w:rsid w:val="00174BBA"/>
    <w:rsid w:val="00174D0F"/>
    <w:rsid w:val="00175426"/>
    <w:rsid w:val="0017623C"/>
    <w:rsid w:val="0017669B"/>
    <w:rsid w:val="00176710"/>
    <w:rsid w:val="00177B89"/>
    <w:rsid w:val="00177C1F"/>
    <w:rsid w:val="00177FB7"/>
    <w:rsid w:val="001800EB"/>
    <w:rsid w:val="00181305"/>
    <w:rsid w:val="0018187C"/>
    <w:rsid w:val="001818F8"/>
    <w:rsid w:val="00181950"/>
    <w:rsid w:val="00181C6D"/>
    <w:rsid w:val="00181C78"/>
    <w:rsid w:val="00181DD9"/>
    <w:rsid w:val="00181ECA"/>
    <w:rsid w:val="00182146"/>
    <w:rsid w:val="001829A4"/>
    <w:rsid w:val="001829DB"/>
    <w:rsid w:val="00182BE1"/>
    <w:rsid w:val="00183A0C"/>
    <w:rsid w:val="00183EB8"/>
    <w:rsid w:val="001848DD"/>
    <w:rsid w:val="00184DFA"/>
    <w:rsid w:val="00185ACE"/>
    <w:rsid w:val="0018616B"/>
    <w:rsid w:val="00186CE3"/>
    <w:rsid w:val="00187082"/>
    <w:rsid w:val="00187908"/>
    <w:rsid w:val="0019062B"/>
    <w:rsid w:val="00190AF2"/>
    <w:rsid w:val="00190E5F"/>
    <w:rsid w:val="00191434"/>
    <w:rsid w:val="001914A4"/>
    <w:rsid w:val="001920C9"/>
    <w:rsid w:val="001921FF"/>
    <w:rsid w:val="0019223C"/>
    <w:rsid w:val="00193187"/>
    <w:rsid w:val="00193204"/>
    <w:rsid w:val="0019364C"/>
    <w:rsid w:val="00193B6B"/>
    <w:rsid w:val="00193E8A"/>
    <w:rsid w:val="001942D6"/>
    <w:rsid w:val="00194B93"/>
    <w:rsid w:val="00195014"/>
    <w:rsid w:val="001958A0"/>
    <w:rsid w:val="00195BDF"/>
    <w:rsid w:val="00195FBC"/>
    <w:rsid w:val="001962E9"/>
    <w:rsid w:val="001962EE"/>
    <w:rsid w:val="001964DB"/>
    <w:rsid w:val="0019670D"/>
    <w:rsid w:val="001969FB"/>
    <w:rsid w:val="0019701D"/>
    <w:rsid w:val="001A0188"/>
    <w:rsid w:val="001A055C"/>
    <w:rsid w:val="001A0720"/>
    <w:rsid w:val="001A3B11"/>
    <w:rsid w:val="001A3FBD"/>
    <w:rsid w:val="001A41F2"/>
    <w:rsid w:val="001A41FF"/>
    <w:rsid w:val="001A4480"/>
    <w:rsid w:val="001A4588"/>
    <w:rsid w:val="001A4EF2"/>
    <w:rsid w:val="001A57E0"/>
    <w:rsid w:val="001A59DE"/>
    <w:rsid w:val="001A5E4B"/>
    <w:rsid w:val="001A5F8E"/>
    <w:rsid w:val="001A62AE"/>
    <w:rsid w:val="001A7C9E"/>
    <w:rsid w:val="001A7D93"/>
    <w:rsid w:val="001A7DE7"/>
    <w:rsid w:val="001B0076"/>
    <w:rsid w:val="001B047F"/>
    <w:rsid w:val="001B07EC"/>
    <w:rsid w:val="001B0CC2"/>
    <w:rsid w:val="001B0E58"/>
    <w:rsid w:val="001B0FAD"/>
    <w:rsid w:val="001B1A52"/>
    <w:rsid w:val="001B1BBF"/>
    <w:rsid w:val="001B1CFC"/>
    <w:rsid w:val="001B1D1E"/>
    <w:rsid w:val="001B250A"/>
    <w:rsid w:val="001B40A6"/>
    <w:rsid w:val="001B45FF"/>
    <w:rsid w:val="001B5673"/>
    <w:rsid w:val="001B5861"/>
    <w:rsid w:val="001B6112"/>
    <w:rsid w:val="001B6398"/>
    <w:rsid w:val="001B67AF"/>
    <w:rsid w:val="001B6A19"/>
    <w:rsid w:val="001B7408"/>
    <w:rsid w:val="001B76A2"/>
    <w:rsid w:val="001C0717"/>
    <w:rsid w:val="001C07B9"/>
    <w:rsid w:val="001C100A"/>
    <w:rsid w:val="001C171E"/>
    <w:rsid w:val="001C1800"/>
    <w:rsid w:val="001C1EB5"/>
    <w:rsid w:val="001C217C"/>
    <w:rsid w:val="001C236B"/>
    <w:rsid w:val="001C395A"/>
    <w:rsid w:val="001C3C1C"/>
    <w:rsid w:val="001C3D24"/>
    <w:rsid w:val="001C4018"/>
    <w:rsid w:val="001C438D"/>
    <w:rsid w:val="001C44DB"/>
    <w:rsid w:val="001C4531"/>
    <w:rsid w:val="001C476A"/>
    <w:rsid w:val="001C4B0F"/>
    <w:rsid w:val="001C5BFC"/>
    <w:rsid w:val="001C6038"/>
    <w:rsid w:val="001C6838"/>
    <w:rsid w:val="001D01AF"/>
    <w:rsid w:val="001D030C"/>
    <w:rsid w:val="001D0AF8"/>
    <w:rsid w:val="001D0B98"/>
    <w:rsid w:val="001D1384"/>
    <w:rsid w:val="001D14CE"/>
    <w:rsid w:val="001D18B4"/>
    <w:rsid w:val="001D1D4A"/>
    <w:rsid w:val="001D22C3"/>
    <w:rsid w:val="001D26A6"/>
    <w:rsid w:val="001D31B2"/>
    <w:rsid w:val="001D31DE"/>
    <w:rsid w:val="001D352A"/>
    <w:rsid w:val="001D3D96"/>
    <w:rsid w:val="001D46A6"/>
    <w:rsid w:val="001D59A7"/>
    <w:rsid w:val="001D5D98"/>
    <w:rsid w:val="001D628F"/>
    <w:rsid w:val="001D6C74"/>
    <w:rsid w:val="001D70F9"/>
    <w:rsid w:val="001D7688"/>
    <w:rsid w:val="001D7896"/>
    <w:rsid w:val="001D797B"/>
    <w:rsid w:val="001E0074"/>
    <w:rsid w:val="001E07EE"/>
    <w:rsid w:val="001E149C"/>
    <w:rsid w:val="001E161B"/>
    <w:rsid w:val="001E2655"/>
    <w:rsid w:val="001E26B2"/>
    <w:rsid w:val="001E3002"/>
    <w:rsid w:val="001E31EB"/>
    <w:rsid w:val="001E36C3"/>
    <w:rsid w:val="001E3F10"/>
    <w:rsid w:val="001E3FAF"/>
    <w:rsid w:val="001E42ED"/>
    <w:rsid w:val="001E4C6F"/>
    <w:rsid w:val="001E5661"/>
    <w:rsid w:val="001E636C"/>
    <w:rsid w:val="001E7130"/>
    <w:rsid w:val="001E7414"/>
    <w:rsid w:val="001E75D2"/>
    <w:rsid w:val="001E7F7E"/>
    <w:rsid w:val="001F02B6"/>
    <w:rsid w:val="001F198A"/>
    <w:rsid w:val="001F2C93"/>
    <w:rsid w:val="001F3169"/>
    <w:rsid w:val="001F33DF"/>
    <w:rsid w:val="001F41EC"/>
    <w:rsid w:val="001F4549"/>
    <w:rsid w:val="001F53D4"/>
    <w:rsid w:val="001F62E8"/>
    <w:rsid w:val="001F64BD"/>
    <w:rsid w:val="001F6860"/>
    <w:rsid w:val="001F6A39"/>
    <w:rsid w:val="001F7035"/>
    <w:rsid w:val="002002EC"/>
    <w:rsid w:val="002003D0"/>
    <w:rsid w:val="0020073F"/>
    <w:rsid w:val="002011FD"/>
    <w:rsid w:val="00201A2E"/>
    <w:rsid w:val="0020206F"/>
    <w:rsid w:val="002023A4"/>
    <w:rsid w:val="00203690"/>
    <w:rsid w:val="00203CA6"/>
    <w:rsid w:val="00204A02"/>
    <w:rsid w:val="00204DFA"/>
    <w:rsid w:val="00204EF3"/>
    <w:rsid w:val="00205566"/>
    <w:rsid w:val="00205AED"/>
    <w:rsid w:val="002060E2"/>
    <w:rsid w:val="00206589"/>
    <w:rsid w:val="00207557"/>
    <w:rsid w:val="00207D91"/>
    <w:rsid w:val="00207F0D"/>
    <w:rsid w:val="002109A1"/>
    <w:rsid w:val="00210CEE"/>
    <w:rsid w:val="00210EBD"/>
    <w:rsid w:val="00210F28"/>
    <w:rsid w:val="00211B91"/>
    <w:rsid w:val="00212CDB"/>
    <w:rsid w:val="00213B15"/>
    <w:rsid w:val="00214445"/>
    <w:rsid w:val="00214489"/>
    <w:rsid w:val="00215999"/>
    <w:rsid w:val="00215A2C"/>
    <w:rsid w:val="00215DFC"/>
    <w:rsid w:val="00216325"/>
    <w:rsid w:val="00216385"/>
    <w:rsid w:val="00216460"/>
    <w:rsid w:val="0021647A"/>
    <w:rsid w:val="00216BAD"/>
    <w:rsid w:val="00216C81"/>
    <w:rsid w:val="00217AD9"/>
    <w:rsid w:val="00217C22"/>
    <w:rsid w:val="002207A6"/>
    <w:rsid w:val="00220B2A"/>
    <w:rsid w:val="00220F03"/>
    <w:rsid w:val="0022100B"/>
    <w:rsid w:val="00221123"/>
    <w:rsid w:val="0022167C"/>
    <w:rsid w:val="00221BDC"/>
    <w:rsid w:val="002236A0"/>
    <w:rsid w:val="00223784"/>
    <w:rsid w:val="00223863"/>
    <w:rsid w:val="00223EF0"/>
    <w:rsid w:val="0022426F"/>
    <w:rsid w:val="0022491B"/>
    <w:rsid w:val="00224AB0"/>
    <w:rsid w:val="00225681"/>
    <w:rsid w:val="0022568B"/>
    <w:rsid w:val="00225886"/>
    <w:rsid w:val="00225A8E"/>
    <w:rsid w:val="002266CB"/>
    <w:rsid w:val="0022690B"/>
    <w:rsid w:val="00226EE4"/>
    <w:rsid w:val="002270FB"/>
    <w:rsid w:val="002275C4"/>
    <w:rsid w:val="002278C1"/>
    <w:rsid w:val="00233350"/>
    <w:rsid w:val="0023408F"/>
    <w:rsid w:val="0023509B"/>
    <w:rsid w:val="0023516A"/>
    <w:rsid w:val="002352A3"/>
    <w:rsid w:val="00235D65"/>
    <w:rsid w:val="00236856"/>
    <w:rsid w:val="002378E7"/>
    <w:rsid w:val="00237C0B"/>
    <w:rsid w:val="0024007F"/>
    <w:rsid w:val="00240283"/>
    <w:rsid w:val="002409F2"/>
    <w:rsid w:val="00240B2D"/>
    <w:rsid w:val="00240D9C"/>
    <w:rsid w:val="00240DF4"/>
    <w:rsid w:val="0024138E"/>
    <w:rsid w:val="002413E9"/>
    <w:rsid w:val="00241849"/>
    <w:rsid w:val="00242FBE"/>
    <w:rsid w:val="00243CEA"/>
    <w:rsid w:val="00244B97"/>
    <w:rsid w:val="002450FB"/>
    <w:rsid w:val="00245358"/>
    <w:rsid w:val="0024546F"/>
    <w:rsid w:val="002469DC"/>
    <w:rsid w:val="00246DF3"/>
    <w:rsid w:val="00246FCD"/>
    <w:rsid w:val="002477DF"/>
    <w:rsid w:val="00247A2F"/>
    <w:rsid w:val="00250C79"/>
    <w:rsid w:val="00250D34"/>
    <w:rsid w:val="00251021"/>
    <w:rsid w:val="00251164"/>
    <w:rsid w:val="002514E5"/>
    <w:rsid w:val="0025150F"/>
    <w:rsid w:val="002520FF"/>
    <w:rsid w:val="00252B6D"/>
    <w:rsid w:val="002530AE"/>
    <w:rsid w:val="00253D21"/>
    <w:rsid w:val="00254AEC"/>
    <w:rsid w:val="00254E6F"/>
    <w:rsid w:val="00254EE9"/>
    <w:rsid w:val="00254F6E"/>
    <w:rsid w:val="00255289"/>
    <w:rsid w:val="002553DA"/>
    <w:rsid w:val="002559E7"/>
    <w:rsid w:val="00255BF3"/>
    <w:rsid w:val="0025644B"/>
    <w:rsid w:val="0026092E"/>
    <w:rsid w:val="00261212"/>
    <w:rsid w:val="00261789"/>
    <w:rsid w:val="00261DE1"/>
    <w:rsid w:val="002620DB"/>
    <w:rsid w:val="00263FD5"/>
    <w:rsid w:val="0026409C"/>
    <w:rsid w:val="0026451D"/>
    <w:rsid w:val="002647F9"/>
    <w:rsid w:val="00265219"/>
    <w:rsid w:val="00265325"/>
    <w:rsid w:val="0026599D"/>
    <w:rsid w:val="00265E3E"/>
    <w:rsid w:val="002660AB"/>
    <w:rsid w:val="002660E1"/>
    <w:rsid w:val="002662ED"/>
    <w:rsid w:val="00266AE3"/>
    <w:rsid w:val="00266B30"/>
    <w:rsid w:val="002671D1"/>
    <w:rsid w:val="002672B3"/>
    <w:rsid w:val="00267B76"/>
    <w:rsid w:val="00270FE9"/>
    <w:rsid w:val="00271B0F"/>
    <w:rsid w:val="00271B60"/>
    <w:rsid w:val="00271D72"/>
    <w:rsid w:val="002725C9"/>
    <w:rsid w:val="00273175"/>
    <w:rsid w:val="0027357D"/>
    <w:rsid w:val="00273DDE"/>
    <w:rsid w:val="0027463F"/>
    <w:rsid w:val="00274963"/>
    <w:rsid w:val="0027542E"/>
    <w:rsid w:val="00275590"/>
    <w:rsid w:val="002756F8"/>
    <w:rsid w:val="00275783"/>
    <w:rsid w:val="0027630E"/>
    <w:rsid w:val="002766F7"/>
    <w:rsid w:val="00276A61"/>
    <w:rsid w:val="00276A78"/>
    <w:rsid w:val="00276AF6"/>
    <w:rsid w:val="002774C4"/>
    <w:rsid w:val="00277600"/>
    <w:rsid w:val="00277A03"/>
    <w:rsid w:val="00280290"/>
    <w:rsid w:val="00280697"/>
    <w:rsid w:val="00280703"/>
    <w:rsid w:val="00280E8F"/>
    <w:rsid w:val="002814DD"/>
    <w:rsid w:val="0028203B"/>
    <w:rsid w:val="0028251C"/>
    <w:rsid w:val="00282AC7"/>
    <w:rsid w:val="00282CB2"/>
    <w:rsid w:val="00282DC2"/>
    <w:rsid w:val="002830DC"/>
    <w:rsid w:val="00283129"/>
    <w:rsid w:val="00283426"/>
    <w:rsid w:val="0028349D"/>
    <w:rsid w:val="0028475A"/>
    <w:rsid w:val="00284998"/>
    <w:rsid w:val="002849BB"/>
    <w:rsid w:val="002852BF"/>
    <w:rsid w:val="002853F5"/>
    <w:rsid w:val="00285533"/>
    <w:rsid w:val="00285549"/>
    <w:rsid w:val="00285B97"/>
    <w:rsid w:val="002865E9"/>
    <w:rsid w:val="002870B5"/>
    <w:rsid w:val="0028730D"/>
    <w:rsid w:val="00287C91"/>
    <w:rsid w:val="00287E8C"/>
    <w:rsid w:val="00290DB0"/>
    <w:rsid w:val="00290DC4"/>
    <w:rsid w:val="00291555"/>
    <w:rsid w:val="00291630"/>
    <w:rsid w:val="00291834"/>
    <w:rsid w:val="0029212E"/>
    <w:rsid w:val="002927F4"/>
    <w:rsid w:val="00292912"/>
    <w:rsid w:val="002929E5"/>
    <w:rsid w:val="00292E3D"/>
    <w:rsid w:val="002933C3"/>
    <w:rsid w:val="00293B74"/>
    <w:rsid w:val="00293DB6"/>
    <w:rsid w:val="0029404E"/>
    <w:rsid w:val="002947E1"/>
    <w:rsid w:val="00294896"/>
    <w:rsid w:val="00294C85"/>
    <w:rsid w:val="00294F5C"/>
    <w:rsid w:val="002956C8"/>
    <w:rsid w:val="00295D06"/>
    <w:rsid w:val="00295D2B"/>
    <w:rsid w:val="0029644C"/>
    <w:rsid w:val="0029733A"/>
    <w:rsid w:val="002A1CE3"/>
    <w:rsid w:val="002A2071"/>
    <w:rsid w:val="002A2C90"/>
    <w:rsid w:val="002A2DF0"/>
    <w:rsid w:val="002A2E87"/>
    <w:rsid w:val="002A32CA"/>
    <w:rsid w:val="002A333A"/>
    <w:rsid w:val="002A4A8E"/>
    <w:rsid w:val="002A4BB7"/>
    <w:rsid w:val="002A4DE2"/>
    <w:rsid w:val="002A4F3C"/>
    <w:rsid w:val="002A50C0"/>
    <w:rsid w:val="002A5D02"/>
    <w:rsid w:val="002A5E46"/>
    <w:rsid w:val="002A5EA4"/>
    <w:rsid w:val="002A63A3"/>
    <w:rsid w:val="002A63F1"/>
    <w:rsid w:val="002A79B7"/>
    <w:rsid w:val="002A7A70"/>
    <w:rsid w:val="002B02DB"/>
    <w:rsid w:val="002B13EB"/>
    <w:rsid w:val="002B146F"/>
    <w:rsid w:val="002B151A"/>
    <w:rsid w:val="002B26B9"/>
    <w:rsid w:val="002B2CA3"/>
    <w:rsid w:val="002B4341"/>
    <w:rsid w:val="002B51B8"/>
    <w:rsid w:val="002B5F08"/>
    <w:rsid w:val="002B65B0"/>
    <w:rsid w:val="002B6EC0"/>
    <w:rsid w:val="002C0C45"/>
    <w:rsid w:val="002C0D6E"/>
    <w:rsid w:val="002C1CB8"/>
    <w:rsid w:val="002C201A"/>
    <w:rsid w:val="002C20F3"/>
    <w:rsid w:val="002C2752"/>
    <w:rsid w:val="002C279E"/>
    <w:rsid w:val="002C540D"/>
    <w:rsid w:val="002C5731"/>
    <w:rsid w:val="002C5806"/>
    <w:rsid w:val="002C61D4"/>
    <w:rsid w:val="002C6B22"/>
    <w:rsid w:val="002C6D70"/>
    <w:rsid w:val="002C747B"/>
    <w:rsid w:val="002C7EA4"/>
    <w:rsid w:val="002C7F53"/>
    <w:rsid w:val="002D0609"/>
    <w:rsid w:val="002D07FC"/>
    <w:rsid w:val="002D0B25"/>
    <w:rsid w:val="002D0BF4"/>
    <w:rsid w:val="002D10D4"/>
    <w:rsid w:val="002D1F55"/>
    <w:rsid w:val="002D279E"/>
    <w:rsid w:val="002D2899"/>
    <w:rsid w:val="002D2AB8"/>
    <w:rsid w:val="002D416B"/>
    <w:rsid w:val="002D43FE"/>
    <w:rsid w:val="002D45FF"/>
    <w:rsid w:val="002D461F"/>
    <w:rsid w:val="002D4CB8"/>
    <w:rsid w:val="002D4D7B"/>
    <w:rsid w:val="002D54F2"/>
    <w:rsid w:val="002D552C"/>
    <w:rsid w:val="002D75FA"/>
    <w:rsid w:val="002D7BF3"/>
    <w:rsid w:val="002E05F8"/>
    <w:rsid w:val="002E15CE"/>
    <w:rsid w:val="002E1A43"/>
    <w:rsid w:val="002E1B36"/>
    <w:rsid w:val="002E2181"/>
    <w:rsid w:val="002E2293"/>
    <w:rsid w:val="002E2EF2"/>
    <w:rsid w:val="002E3615"/>
    <w:rsid w:val="002E3CFE"/>
    <w:rsid w:val="002E41C5"/>
    <w:rsid w:val="002E420F"/>
    <w:rsid w:val="002E4A9B"/>
    <w:rsid w:val="002E5195"/>
    <w:rsid w:val="002E51DF"/>
    <w:rsid w:val="002E5252"/>
    <w:rsid w:val="002E5851"/>
    <w:rsid w:val="002E5878"/>
    <w:rsid w:val="002E5A16"/>
    <w:rsid w:val="002E5AE6"/>
    <w:rsid w:val="002E5B99"/>
    <w:rsid w:val="002E5BB3"/>
    <w:rsid w:val="002E7535"/>
    <w:rsid w:val="002E79B3"/>
    <w:rsid w:val="002E7B4B"/>
    <w:rsid w:val="002F0486"/>
    <w:rsid w:val="002F1A3E"/>
    <w:rsid w:val="002F1D83"/>
    <w:rsid w:val="002F1E0E"/>
    <w:rsid w:val="002F2220"/>
    <w:rsid w:val="002F2E1C"/>
    <w:rsid w:val="002F2E86"/>
    <w:rsid w:val="002F34F9"/>
    <w:rsid w:val="002F430A"/>
    <w:rsid w:val="002F4C40"/>
    <w:rsid w:val="002F5024"/>
    <w:rsid w:val="002F505C"/>
    <w:rsid w:val="002F5503"/>
    <w:rsid w:val="002F55B2"/>
    <w:rsid w:val="002F5AE8"/>
    <w:rsid w:val="002F67EE"/>
    <w:rsid w:val="002F75D7"/>
    <w:rsid w:val="002F766D"/>
    <w:rsid w:val="00300ABE"/>
    <w:rsid w:val="00302182"/>
    <w:rsid w:val="00302C25"/>
    <w:rsid w:val="00303A48"/>
    <w:rsid w:val="00303C86"/>
    <w:rsid w:val="00304BAA"/>
    <w:rsid w:val="003055DD"/>
    <w:rsid w:val="003056EA"/>
    <w:rsid w:val="0030575F"/>
    <w:rsid w:val="0030590A"/>
    <w:rsid w:val="00305D58"/>
    <w:rsid w:val="00306BAA"/>
    <w:rsid w:val="00306E24"/>
    <w:rsid w:val="00306F89"/>
    <w:rsid w:val="003070A3"/>
    <w:rsid w:val="003100A2"/>
    <w:rsid w:val="00310435"/>
    <w:rsid w:val="003108AA"/>
    <w:rsid w:val="00310974"/>
    <w:rsid w:val="003109EF"/>
    <w:rsid w:val="0031126C"/>
    <w:rsid w:val="003117BB"/>
    <w:rsid w:val="003119FC"/>
    <w:rsid w:val="00312204"/>
    <w:rsid w:val="003124B2"/>
    <w:rsid w:val="00312775"/>
    <w:rsid w:val="003127EE"/>
    <w:rsid w:val="00312A6B"/>
    <w:rsid w:val="00312F2C"/>
    <w:rsid w:val="00313325"/>
    <w:rsid w:val="0031433C"/>
    <w:rsid w:val="0031519C"/>
    <w:rsid w:val="003151AB"/>
    <w:rsid w:val="00315817"/>
    <w:rsid w:val="00315EE8"/>
    <w:rsid w:val="00317231"/>
    <w:rsid w:val="00320FE0"/>
    <w:rsid w:val="00321183"/>
    <w:rsid w:val="0032320F"/>
    <w:rsid w:val="003232DF"/>
    <w:rsid w:val="0032337E"/>
    <w:rsid w:val="0032375A"/>
    <w:rsid w:val="00323988"/>
    <w:rsid w:val="0032399D"/>
    <w:rsid w:val="003239F1"/>
    <w:rsid w:val="00323CC6"/>
    <w:rsid w:val="00323DAC"/>
    <w:rsid w:val="00323EA2"/>
    <w:rsid w:val="0032455D"/>
    <w:rsid w:val="0032534A"/>
    <w:rsid w:val="00325AF5"/>
    <w:rsid w:val="00325E77"/>
    <w:rsid w:val="00325E9D"/>
    <w:rsid w:val="0032680B"/>
    <w:rsid w:val="00327386"/>
    <w:rsid w:val="00330199"/>
    <w:rsid w:val="003301FB"/>
    <w:rsid w:val="00330295"/>
    <w:rsid w:val="003313DC"/>
    <w:rsid w:val="0033176C"/>
    <w:rsid w:val="00331B1C"/>
    <w:rsid w:val="00331D77"/>
    <w:rsid w:val="00333E1D"/>
    <w:rsid w:val="003349DD"/>
    <w:rsid w:val="0033531C"/>
    <w:rsid w:val="00335370"/>
    <w:rsid w:val="00335499"/>
    <w:rsid w:val="00336A6F"/>
    <w:rsid w:val="00337270"/>
    <w:rsid w:val="00337988"/>
    <w:rsid w:val="003379E3"/>
    <w:rsid w:val="00337FA4"/>
    <w:rsid w:val="00340477"/>
    <w:rsid w:val="0034085F"/>
    <w:rsid w:val="0034088C"/>
    <w:rsid w:val="003408F8"/>
    <w:rsid w:val="00340FEC"/>
    <w:rsid w:val="00341D62"/>
    <w:rsid w:val="00342337"/>
    <w:rsid w:val="00342662"/>
    <w:rsid w:val="00342BB0"/>
    <w:rsid w:val="00343D6E"/>
    <w:rsid w:val="00343FB4"/>
    <w:rsid w:val="0034452F"/>
    <w:rsid w:val="003452B6"/>
    <w:rsid w:val="0034595E"/>
    <w:rsid w:val="003465A4"/>
    <w:rsid w:val="003468B0"/>
    <w:rsid w:val="00347E6B"/>
    <w:rsid w:val="003501DA"/>
    <w:rsid w:val="00350381"/>
    <w:rsid w:val="003517F8"/>
    <w:rsid w:val="003519B5"/>
    <w:rsid w:val="003519FD"/>
    <w:rsid w:val="00352452"/>
    <w:rsid w:val="00352DAA"/>
    <w:rsid w:val="003533C9"/>
    <w:rsid w:val="003534B6"/>
    <w:rsid w:val="0035367C"/>
    <w:rsid w:val="00353E90"/>
    <w:rsid w:val="003545DE"/>
    <w:rsid w:val="00354777"/>
    <w:rsid w:val="00354BC1"/>
    <w:rsid w:val="00354E57"/>
    <w:rsid w:val="003562F4"/>
    <w:rsid w:val="00356B40"/>
    <w:rsid w:val="00356FAD"/>
    <w:rsid w:val="00360002"/>
    <w:rsid w:val="003601D6"/>
    <w:rsid w:val="0036064B"/>
    <w:rsid w:val="00362839"/>
    <w:rsid w:val="00364A04"/>
    <w:rsid w:val="00365179"/>
    <w:rsid w:val="003656D8"/>
    <w:rsid w:val="00365A2B"/>
    <w:rsid w:val="003666BE"/>
    <w:rsid w:val="00366E7B"/>
    <w:rsid w:val="00366F83"/>
    <w:rsid w:val="003672C3"/>
    <w:rsid w:val="0036738F"/>
    <w:rsid w:val="003673B4"/>
    <w:rsid w:val="00367913"/>
    <w:rsid w:val="00367B83"/>
    <w:rsid w:val="00367C15"/>
    <w:rsid w:val="00370DC6"/>
    <w:rsid w:val="00370F33"/>
    <w:rsid w:val="00371998"/>
    <w:rsid w:val="00372399"/>
    <w:rsid w:val="00373009"/>
    <w:rsid w:val="00373288"/>
    <w:rsid w:val="003746B6"/>
    <w:rsid w:val="003747A3"/>
    <w:rsid w:val="00375588"/>
    <w:rsid w:val="00376B32"/>
    <w:rsid w:val="00376B4C"/>
    <w:rsid w:val="00377F61"/>
    <w:rsid w:val="0038069C"/>
    <w:rsid w:val="003808B0"/>
    <w:rsid w:val="00380CE7"/>
    <w:rsid w:val="00381DAE"/>
    <w:rsid w:val="003820BF"/>
    <w:rsid w:val="00382115"/>
    <w:rsid w:val="00382498"/>
    <w:rsid w:val="00383233"/>
    <w:rsid w:val="00383548"/>
    <w:rsid w:val="00384B53"/>
    <w:rsid w:val="003850C8"/>
    <w:rsid w:val="00385418"/>
    <w:rsid w:val="00385A1B"/>
    <w:rsid w:val="0038628A"/>
    <w:rsid w:val="00386910"/>
    <w:rsid w:val="00386E16"/>
    <w:rsid w:val="0038756F"/>
    <w:rsid w:val="00390682"/>
    <w:rsid w:val="003907E9"/>
    <w:rsid w:val="003923D4"/>
    <w:rsid w:val="00392484"/>
    <w:rsid w:val="0039389C"/>
    <w:rsid w:val="003947EB"/>
    <w:rsid w:val="00394911"/>
    <w:rsid w:val="0039594F"/>
    <w:rsid w:val="00395C65"/>
    <w:rsid w:val="00396DF5"/>
    <w:rsid w:val="00396DFA"/>
    <w:rsid w:val="003974A6"/>
    <w:rsid w:val="00397695"/>
    <w:rsid w:val="003A037B"/>
    <w:rsid w:val="003A0AC5"/>
    <w:rsid w:val="003A197F"/>
    <w:rsid w:val="003A1D21"/>
    <w:rsid w:val="003A1E87"/>
    <w:rsid w:val="003A2295"/>
    <w:rsid w:val="003A2643"/>
    <w:rsid w:val="003A2E24"/>
    <w:rsid w:val="003A3566"/>
    <w:rsid w:val="003A39B8"/>
    <w:rsid w:val="003A3C4D"/>
    <w:rsid w:val="003A569B"/>
    <w:rsid w:val="003A6735"/>
    <w:rsid w:val="003A6C45"/>
    <w:rsid w:val="003A6C6C"/>
    <w:rsid w:val="003A7CE4"/>
    <w:rsid w:val="003A7F40"/>
    <w:rsid w:val="003B00CE"/>
    <w:rsid w:val="003B0812"/>
    <w:rsid w:val="003B1F43"/>
    <w:rsid w:val="003B2379"/>
    <w:rsid w:val="003B309D"/>
    <w:rsid w:val="003B3115"/>
    <w:rsid w:val="003B37F9"/>
    <w:rsid w:val="003B3CB0"/>
    <w:rsid w:val="003B4C0F"/>
    <w:rsid w:val="003B4EFB"/>
    <w:rsid w:val="003B50A9"/>
    <w:rsid w:val="003B535D"/>
    <w:rsid w:val="003B6099"/>
    <w:rsid w:val="003B65C4"/>
    <w:rsid w:val="003B6789"/>
    <w:rsid w:val="003B6F15"/>
    <w:rsid w:val="003B714A"/>
    <w:rsid w:val="003B71A1"/>
    <w:rsid w:val="003B7754"/>
    <w:rsid w:val="003C0077"/>
    <w:rsid w:val="003C0520"/>
    <w:rsid w:val="003C0743"/>
    <w:rsid w:val="003C0F50"/>
    <w:rsid w:val="003C1580"/>
    <w:rsid w:val="003C2274"/>
    <w:rsid w:val="003C2592"/>
    <w:rsid w:val="003C260D"/>
    <w:rsid w:val="003C2BE7"/>
    <w:rsid w:val="003C3D89"/>
    <w:rsid w:val="003C4A7B"/>
    <w:rsid w:val="003C4BDB"/>
    <w:rsid w:val="003C56F9"/>
    <w:rsid w:val="003C65DB"/>
    <w:rsid w:val="003C71DA"/>
    <w:rsid w:val="003C7615"/>
    <w:rsid w:val="003D0224"/>
    <w:rsid w:val="003D2443"/>
    <w:rsid w:val="003D24C8"/>
    <w:rsid w:val="003D289D"/>
    <w:rsid w:val="003D2D78"/>
    <w:rsid w:val="003D3BB3"/>
    <w:rsid w:val="003D4804"/>
    <w:rsid w:val="003D4992"/>
    <w:rsid w:val="003D4AD1"/>
    <w:rsid w:val="003D5288"/>
    <w:rsid w:val="003D537E"/>
    <w:rsid w:val="003D57D7"/>
    <w:rsid w:val="003D5959"/>
    <w:rsid w:val="003D59B3"/>
    <w:rsid w:val="003D6C02"/>
    <w:rsid w:val="003D6FD0"/>
    <w:rsid w:val="003D725F"/>
    <w:rsid w:val="003D7402"/>
    <w:rsid w:val="003D7BDE"/>
    <w:rsid w:val="003D7D9F"/>
    <w:rsid w:val="003E1B1E"/>
    <w:rsid w:val="003E1BF4"/>
    <w:rsid w:val="003E1DE5"/>
    <w:rsid w:val="003E21D1"/>
    <w:rsid w:val="003E2733"/>
    <w:rsid w:val="003E327A"/>
    <w:rsid w:val="003E331F"/>
    <w:rsid w:val="003E33B7"/>
    <w:rsid w:val="003E3508"/>
    <w:rsid w:val="003E3940"/>
    <w:rsid w:val="003E3A78"/>
    <w:rsid w:val="003E3B5E"/>
    <w:rsid w:val="003E3D37"/>
    <w:rsid w:val="003E3D7C"/>
    <w:rsid w:val="003E401B"/>
    <w:rsid w:val="003E4FAD"/>
    <w:rsid w:val="003E5421"/>
    <w:rsid w:val="003E601D"/>
    <w:rsid w:val="003E60AB"/>
    <w:rsid w:val="003E6E92"/>
    <w:rsid w:val="003E71C9"/>
    <w:rsid w:val="003F02C2"/>
    <w:rsid w:val="003F1031"/>
    <w:rsid w:val="003F201F"/>
    <w:rsid w:val="003F20F2"/>
    <w:rsid w:val="003F2152"/>
    <w:rsid w:val="003F25C8"/>
    <w:rsid w:val="003F280B"/>
    <w:rsid w:val="003F2A35"/>
    <w:rsid w:val="003F3595"/>
    <w:rsid w:val="003F3ABF"/>
    <w:rsid w:val="003F590D"/>
    <w:rsid w:val="003F5EAF"/>
    <w:rsid w:val="003F6AAE"/>
    <w:rsid w:val="003F70E2"/>
    <w:rsid w:val="003F7236"/>
    <w:rsid w:val="003F7265"/>
    <w:rsid w:val="003F7D83"/>
    <w:rsid w:val="00400A04"/>
    <w:rsid w:val="00401857"/>
    <w:rsid w:val="00401EB6"/>
    <w:rsid w:val="004021A5"/>
    <w:rsid w:val="00402663"/>
    <w:rsid w:val="00402CE8"/>
    <w:rsid w:val="004036BF"/>
    <w:rsid w:val="00403977"/>
    <w:rsid w:val="00403A8A"/>
    <w:rsid w:val="00403BDB"/>
    <w:rsid w:val="00403C9F"/>
    <w:rsid w:val="00403F6D"/>
    <w:rsid w:val="00404C0D"/>
    <w:rsid w:val="00405AE8"/>
    <w:rsid w:val="00405D06"/>
    <w:rsid w:val="00406986"/>
    <w:rsid w:val="00410081"/>
    <w:rsid w:val="00410695"/>
    <w:rsid w:val="004112FD"/>
    <w:rsid w:val="004113C5"/>
    <w:rsid w:val="00412042"/>
    <w:rsid w:val="00412083"/>
    <w:rsid w:val="0041276D"/>
    <w:rsid w:val="0041287E"/>
    <w:rsid w:val="0041314A"/>
    <w:rsid w:val="004136C0"/>
    <w:rsid w:val="0041396E"/>
    <w:rsid w:val="00413C4B"/>
    <w:rsid w:val="0041472F"/>
    <w:rsid w:val="0041475E"/>
    <w:rsid w:val="004159DA"/>
    <w:rsid w:val="004161E1"/>
    <w:rsid w:val="0041676B"/>
    <w:rsid w:val="004169B4"/>
    <w:rsid w:val="00416ED8"/>
    <w:rsid w:val="004178A4"/>
    <w:rsid w:val="00420355"/>
    <w:rsid w:val="0042077E"/>
    <w:rsid w:val="00420AB6"/>
    <w:rsid w:val="00420D82"/>
    <w:rsid w:val="00421030"/>
    <w:rsid w:val="004216E0"/>
    <w:rsid w:val="00421EAF"/>
    <w:rsid w:val="00422E3F"/>
    <w:rsid w:val="004234A5"/>
    <w:rsid w:val="004243BD"/>
    <w:rsid w:val="004246CD"/>
    <w:rsid w:val="00424A01"/>
    <w:rsid w:val="00424F34"/>
    <w:rsid w:val="004250B0"/>
    <w:rsid w:val="004251B6"/>
    <w:rsid w:val="004253F2"/>
    <w:rsid w:val="00425548"/>
    <w:rsid w:val="00425B68"/>
    <w:rsid w:val="00426B67"/>
    <w:rsid w:val="004275D3"/>
    <w:rsid w:val="00427E0A"/>
    <w:rsid w:val="00430563"/>
    <w:rsid w:val="00431215"/>
    <w:rsid w:val="0043196D"/>
    <w:rsid w:val="00431E07"/>
    <w:rsid w:val="00432732"/>
    <w:rsid w:val="00432A5C"/>
    <w:rsid w:val="00432F0A"/>
    <w:rsid w:val="00432FEC"/>
    <w:rsid w:val="004338E4"/>
    <w:rsid w:val="00434A32"/>
    <w:rsid w:val="00434C45"/>
    <w:rsid w:val="00434E55"/>
    <w:rsid w:val="00436006"/>
    <w:rsid w:val="0043609D"/>
    <w:rsid w:val="00436571"/>
    <w:rsid w:val="0043670C"/>
    <w:rsid w:val="0043697C"/>
    <w:rsid w:val="004370E5"/>
    <w:rsid w:val="004375AE"/>
    <w:rsid w:val="0043780C"/>
    <w:rsid w:val="00437BD8"/>
    <w:rsid w:val="004407FF"/>
    <w:rsid w:val="00440858"/>
    <w:rsid w:val="00440E32"/>
    <w:rsid w:val="00441247"/>
    <w:rsid w:val="00441900"/>
    <w:rsid w:val="004420F0"/>
    <w:rsid w:val="0044249D"/>
    <w:rsid w:val="004425B5"/>
    <w:rsid w:val="004432E3"/>
    <w:rsid w:val="00444365"/>
    <w:rsid w:val="0044485A"/>
    <w:rsid w:val="0044498A"/>
    <w:rsid w:val="00444B5C"/>
    <w:rsid w:val="00444B5E"/>
    <w:rsid w:val="00444BE8"/>
    <w:rsid w:val="004454FE"/>
    <w:rsid w:val="0044568E"/>
    <w:rsid w:val="004456FB"/>
    <w:rsid w:val="00445C6F"/>
    <w:rsid w:val="0044619A"/>
    <w:rsid w:val="00446349"/>
    <w:rsid w:val="0045024A"/>
    <w:rsid w:val="00451498"/>
    <w:rsid w:val="00451556"/>
    <w:rsid w:val="004519FB"/>
    <w:rsid w:val="00452057"/>
    <w:rsid w:val="0045215A"/>
    <w:rsid w:val="00452805"/>
    <w:rsid w:val="004532E2"/>
    <w:rsid w:val="004539F4"/>
    <w:rsid w:val="0045408C"/>
    <w:rsid w:val="0045424C"/>
    <w:rsid w:val="00454E60"/>
    <w:rsid w:val="00455769"/>
    <w:rsid w:val="00455776"/>
    <w:rsid w:val="004557F8"/>
    <w:rsid w:val="004559A4"/>
    <w:rsid w:val="00455AF1"/>
    <w:rsid w:val="00455DF1"/>
    <w:rsid w:val="00455E2B"/>
    <w:rsid w:val="00455F63"/>
    <w:rsid w:val="00456333"/>
    <w:rsid w:val="004569EC"/>
    <w:rsid w:val="00456A99"/>
    <w:rsid w:val="00456CB5"/>
    <w:rsid w:val="004572DF"/>
    <w:rsid w:val="00457A5C"/>
    <w:rsid w:val="00457CAF"/>
    <w:rsid w:val="00460638"/>
    <w:rsid w:val="0046072F"/>
    <w:rsid w:val="00461A7F"/>
    <w:rsid w:val="00461AF8"/>
    <w:rsid w:val="004620CB"/>
    <w:rsid w:val="0046233D"/>
    <w:rsid w:val="0046267D"/>
    <w:rsid w:val="004631F4"/>
    <w:rsid w:val="00463464"/>
    <w:rsid w:val="00463FD2"/>
    <w:rsid w:val="00464240"/>
    <w:rsid w:val="004643B8"/>
    <w:rsid w:val="004647F6"/>
    <w:rsid w:val="004652C8"/>
    <w:rsid w:val="004654FE"/>
    <w:rsid w:val="004657BB"/>
    <w:rsid w:val="0046665C"/>
    <w:rsid w:val="00466920"/>
    <w:rsid w:val="00466D15"/>
    <w:rsid w:val="004673CC"/>
    <w:rsid w:val="004676E9"/>
    <w:rsid w:val="00467A82"/>
    <w:rsid w:val="00467E50"/>
    <w:rsid w:val="00470361"/>
    <w:rsid w:val="00470DBC"/>
    <w:rsid w:val="00470E95"/>
    <w:rsid w:val="00471370"/>
    <w:rsid w:val="00471928"/>
    <w:rsid w:val="00471A83"/>
    <w:rsid w:val="00471C71"/>
    <w:rsid w:val="004720E9"/>
    <w:rsid w:val="00473340"/>
    <w:rsid w:val="00473C99"/>
    <w:rsid w:val="0047437C"/>
    <w:rsid w:val="004752E8"/>
    <w:rsid w:val="00475C01"/>
    <w:rsid w:val="00475E56"/>
    <w:rsid w:val="00476223"/>
    <w:rsid w:val="00476424"/>
    <w:rsid w:val="00476C65"/>
    <w:rsid w:val="00480DD6"/>
    <w:rsid w:val="0048264F"/>
    <w:rsid w:val="004827DE"/>
    <w:rsid w:val="004836B3"/>
    <w:rsid w:val="0048447E"/>
    <w:rsid w:val="00485698"/>
    <w:rsid w:val="00486064"/>
    <w:rsid w:val="00487689"/>
    <w:rsid w:val="0049033F"/>
    <w:rsid w:val="0049072E"/>
    <w:rsid w:val="00491945"/>
    <w:rsid w:val="00491B5B"/>
    <w:rsid w:val="00491D6D"/>
    <w:rsid w:val="00494435"/>
    <w:rsid w:val="004962EB"/>
    <w:rsid w:val="0049657B"/>
    <w:rsid w:val="00496C01"/>
    <w:rsid w:val="00496DFF"/>
    <w:rsid w:val="00496F50"/>
    <w:rsid w:val="00497A1D"/>
    <w:rsid w:val="004A06D9"/>
    <w:rsid w:val="004A07DE"/>
    <w:rsid w:val="004A0B36"/>
    <w:rsid w:val="004A10F2"/>
    <w:rsid w:val="004A12D2"/>
    <w:rsid w:val="004A1AF1"/>
    <w:rsid w:val="004A21C1"/>
    <w:rsid w:val="004A2756"/>
    <w:rsid w:val="004A2D1F"/>
    <w:rsid w:val="004A2FF7"/>
    <w:rsid w:val="004A382F"/>
    <w:rsid w:val="004A38A3"/>
    <w:rsid w:val="004A3CD3"/>
    <w:rsid w:val="004A408E"/>
    <w:rsid w:val="004A4241"/>
    <w:rsid w:val="004A44A7"/>
    <w:rsid w:val="004A4897"/>
    <w:rsid w:val="004A4C41"/>
    <w:rsid w:val="004A5344"/>
    <w:rsid w:val="004A5E9A"/>
    <w:rsid w:val="004A64F1"/>
    <w:rsid w:val="004A6685"/>
    <w:rsid w:val="004A6D50"/>
    <w:rsid w:val="004B0DC4"/>
    <w:rsid w:val="004B10A0"/>
    <w:rsid w:val="004B2AD0"/>
    <w:rsid w:val="004B3254"/>
    <w:rsid w:val="004B36E5"/>
    <w:rsid w:val="004B3AE8"/>
    <w:rsid w:val="004B4EB9"/>
    <w:rsid w:val="004B551E"/>
    <w:rsid w:val="004B6687"/>
    <w:rsid w:val="004B733F"/>
    <w:rsid w:val="004B7C26"/>
    <w:rsid w:val="004B7D27"/>
    <w:rsid w:val="004B7D6E"/>
    <w:rsid w:val="004B7F37"/>
    <w:rsid w:val="004C172C"/>
    <w:rsid w:val="004C1BCA"/>
    <w:rsid w:val="004C1E37"/>
    <w:rsid w:val="004C220E"/>
    <w:rsid w:val="004C29A6"/>
    <w:rsid w:val="004C2BE9"/>
    <w:rsid w:val="004C2C17"/>
    <w:rsid w:val="004C2CDD"/>
    <w:rsid w:val="004C30A3"/>
    <w:rsid w:val="004C32A0"/>
    <w:rsid w:val="004C3EDB"/>
    <w:rsid w:val="004C477A"/>
    <w:rsid w:val="004C503D"/>
    <w:rsid w:val="004C53DB"/>
    <w:rsid w:val="004C5664"/>
    <w:rsid w:val="004C61F0"/>
    <w:rsid w:val="004C6805"/>
    <w:rsid w:val="004C6948"/>
    <w:rsid w:val="004C6A9A"/>
    <w:rsid w:val="004C6D79"/>
    <w:rsid w:val="004C71F5"/>
    <w:rsid w:val="004C72B7"/>
    <w:rsid w:val="004C767C"/>
    <w:rsid w:val="004D05BD"/>
    <w:rsid w:val="004D0ACB"/>
    <w:rsid w:val="004D0EA0"/>
    <w:rsid w:val="004D0EF4"/>
    <w:rsid w:val="004D1BCF"/>
    <w:rsid w:val="004D2020"/>
    <w:rsid w:val="004D2173"/>
    <w:rsid w:val="004D32BF"/>
    <w:rsid w:val="004D39B5"/>
    <w:rsid w:val="004D4A58"/>
    <w:rsid w:val="004D665E"/>
    <w:rsid w:val="004D67C4"/>
    <w:rsid w:val="004D6CF2"/>
    <w:rsid w:val="004D6F7E"/>
    <w:rsid w:val="004E0204"/>
    <w:rsid w:val="004E031E"/>
    <w:rsid w:val="004E1175"/>
    <w:rsid w:val="004E157E"/>
    <w:rsid w:val="004E1B40"/>
    <w:rsid w:val="004E1DA7"/>
    <w:rsid w:val="004E21E3"/>
    <w:rsid w:val="004E259B"/>
    <w:rsid w:val="004E2A89"/>
    <w:rsid w:val="004E3532"/>
    <w:rsid w:val="004E3817"/>
    <w:rsid w:val="004E4998"/>
    <w:rsid w:val="004E4E14"/>
    <w:rsid w:val="004E5155"/>
    <w:rsid w:val="004E5C9C"/>
    <w:rsid w:val="004E6601"/>
    <w:rsid w:val="004E7E03"/>
    <w:rsid w:val="004F0025"/>
    <w:rsid w:val="004F0178"/>
    <w:rsid w:val="004F0546"/>
    <w:rsid w:val="004F0B44"/>
    <w:rsid w:val="004F158A"/>
    <w:rsid w:val="004F2702"/>
    <w:rsid w:val="004F2A47"/>
    <w:rsid w:val="004F2D84"/>
    <w:rsid w:val="004F31FD"/>
    <w:rsid w:val="004F3834"/>
    <w:rsid w:val="004F3F27"/>
    <w:rsid w:val="004F43BF"/>
    <w:rsid w:val="004F4E84"/>
    <w:rsid w:val="004F52C9"/>
    <w:rsid w:val="004F56FA"/>
    <w:rsid w:val="004F56FF"/>
    <w:rsid w:val="004F5AF6"/>
    <w:rsid w:val="004F66D9"/>
    <w:rsid w:val="004F6869"/>
    <w:rsid w:val="004F7058"/>
    <w:rsid w:val="004F719F"/>
    <w:rsid w:val="004F79F8"/>
    <w:rsid w:val="004F7AB1"/>
    <w:rsid w:val="0050004D"/>
    <w:rsid w:val="00500273"/>
    <w:rsid w:val="00501055"/>
    <w:rsid w:val="00501A2A"/>
    <w:rsid w:val="00501BDC"/>
    <w:rsid w:val="00501D99"/>
    <w:rsid w:val="00502011"/>
    <w:rsid w:val="00502166"/>
    <w:rsid w:val="00502797"/>
    <w:rsid w:val="00502F03"/>
    <w:rsid w:val="005037A1"/>
    <w:rsid w:val="00503890"/>
    <w:rsid w:val="00503E8E"/>
    <w:rsid w:val="00503EA1"/>
    <w:rsid w:val="00504076"/>
    <w:rsid w:val="005046A5"/>
    <w:rsid w:val="00504BF8"/>
    <w:rsid w:val="00505204"/>
    <w:rsid w:val="00505342"/>
    <w:rsid w:val="0050674A"/>
    <w:rsid w:val="00506D48"/>
    <w:rsid w:val="005074C0"/>
    <w:rsid w:val="005074CD"/>
    <w:rsid w:val="0050755E"/>
    <w:rsid w:val="0050794A"/>
    <w:rsid w:val="00507FF8"/>
    <w:rsid w:val="005102FC"/>
    <w:rsid w:val="005108E2"/>
    <w:rsid w:val="00510BBB"/>
    <w:rsid w:val="005116F0"/>
    <w:rsid w:val="0051219A"/>
    <w:rsid w:val="00512338"/>
    <w:rsid w:val="00513618"/>
    <w:rsid w:val="00513A1D"/>
    <w:rsid w:val="00513A5A"/>
    <w:rsid w:val="00513F7D"/>
    <w:rsid w:val="005148ED"/>
    <w:rsid w:val="00515F59"/>
    <w:rsid w:val="005160C2"/>
    <w:rsid w:val="0051621F"/>
    <w:rsid w:val="00516B20"/>
    <w:rsid w:val="005171D7"/>
    <w:rsid w:val="0051721E"/>
    <w:rsid w:val="00517247"/>
    <w:rsid w:val="00517756"/>
    <w:rsid w:val="00517CAD"/>
    <w:rsid w:val="00520916"/>
    <w:rsid w:val="00520EE2"/>
    <w:rsid w:val="00521B35"/>
    <w:rsid w:val="00522124"/>
    <w:rsid w:val="00522441"/>
    <w:rsid w:val="00523225"/>
    <w:rsid w:val="00523386"/>
    <w:rsid w:val="005236A5"/>
    <w:rsid w:val="00523A4F"/>
    <w:rsid w:val="00523A7C"/>
    <w:rsid w:val="00523E37"/>
    <w:rsid w:val="00523E62"/>
    <w:rsid w:val="00524275"/>
    <w:rsid w:val="005246E8"/>
    <w:rsid w:val="00525537"/>
    <w:rsid w:val="00525843"/>
    <w:rsid w:val="005266F8"/>
    <w:rsid w:val="005269E8"/>
    <w:rsid w:val="005272C0"/>
    <w:rsid w:val="00527750"/>
    <w:rsid w:val="00527A2D"/>
    <w:rsid w:val="005302E7"/>
    <w:rsid w:val="00530CEF"/>
    <w:rsid w:val="005315CD"/>
    <w:rsid w:val="00531C1C"/>
    <w:rsid w:val="005325CE"/>
    <w:rsid w:val="00532958"/>
    <w:rsid w:val="0053301B"/>
    <w:rsid w:val="0053352E"/>
    <w:rsid w:val="00533EB9"/>
    <w:rsid w:val="0053459E"/>
    <w:rsid w:val="00534C5A"/>
    <w:rsid w:val="005354FE"/>
    <w:rsid w:val="0053578C"/>
    <w:rsid w:val="005359EF"/>
    <w:rsid w:val="005360BC"/>
    <w:rsid w:val="00536252"/>
    <w:rsid w:val="0053684A"/>
    <w:rsid w:val="00536864"/>
    <w:rsid w:val="00536CB2"/>
    <w:rsid w:val="00537D0D"/>
    <w:rsid w:val="00540836"/>
    <w:rsid w:val="0054083E"/>
    <w:rsid w:val="00541B5F"/>
    <w:rsid w:val="00541F63"/>
    <w:rsid w:val="005429B8"/>
    <w:rsid w:val="00542B11"/>
    <w:rsid w:val="005432B5"/>
    <w:rsid w:val="00543FEB"/>
    <w:rsid w:val="00544EBA"/>
    <w:rsid w:val="0054572C"/>
    <w:rsid w:val="00547C01"/>
    <w:rsid w:val="0055074A"/>
    <w:rsid w:val="00550F05"/>
    <w:rsid w:val="005511B2"/>
    <w:rsid w:val="00551459"/>
    <w:rsid w:val="0055282C"/>
    <w:rsid w:val="0055286B"/>
    <w:rsid w:val="0055293C"/>
    <w:rsid w:val="00552E40"/>
    <w:rsid w:val="005531F5"/>
    <w:rsid w:val="00553B28"/>
    <w:rsid w:val="00553DC8"/>
    <w:rsid w:val="00553FC7"/>
    <w:rsid w:val="00554C0F"/>
    <w:rsid w:val="0055572A"/>
    <w:rsid w:val="0055680E"/>
    <w:rsid w:val="00556E8A"/>
    <w:rsid w:val="0055728A"/>
    <w:rsid w:val="005572CE"/>
    <w:rsid w:val="0055734C"/>
    <w:rsid w:val="0055781A"/>
    <w:rsid w:val="0056061D"/>
    <w:rsid w:val="0056109B"/>
    <w:rsid w:val="0056137B"/>
    <w:rsid w:val="00561EA3"/>
    <w:rsid w:val="00561F2C"/>
    <w:rsid w:val="00562020"/>
    <w:rsid w:val="005629F8"/>
    <w:rsid w:val="00562AED"/>
    <w:rsid w:val="00562B8A"/>
    <w:rsid w:val="005631A4"/>
    <w:rsid w:val="0056338F"/>
    <w:rsid w:val="005639B6"/>
    <w:rsid w:val="00563A4A"/>
    <w:rsid w:val="00563C0A"/>
    <w:rsid w:val="00565C2B"/>
    <w:rsid w:val="00565F4A"/>
    <w:rsid w:val="00566013"/>
    <w:rsid w:val="00566166"/>
    <w:rsid w:val="00566182"/>
    <w:rsid w:val="0056637B"/>
    <w:rsid w:val="0056654A"/>
    <w:rsid w:val="005700B4"/>
    <w:rsid w:val="0057046B"/>
    <w:rsid w:val="00571253"/>
    <w:rsid w:val="005722F1"/>
    <w:rsid w:val="00572A96"/>
    <w:rsid w:val="00573E06"/>
    <w:rsid w:val="00573EDC"/>
    <w:rsid w:val="0057457D"/>
    <w:rsid w:val="00574D32"/>
    <w:rsid w:val="0057511D"/>
    <w:rsid w:val="005756A0"/>
    <w:rsid w:val="00575EBF"/>
    <w:rsid w:val="00575EF3"/>
    <w:rsid w:val="0057625F"/>
    <w:rsid w:val="00576696"/>
    <w:rsid w:val="00576861"/>
    <w:rsid w:val="00576B0F"/>
    <w:rsid w:val="00576C96"/>
    <w:rsid w:val="00576D16"/>
    <w:rsid w:val="00576DF7"/>
    <w:rsid w:val="005770C6"/>
    <w:rsid w:val="00577A70"/>
    <w:rsid w:val="0058026F"/>
    <w:rsid w:val="00581B61"/>
    <w:rsid w:val="00581DF4"/>
    <w:rsid w:val="00582109"/>
    <w:rsid w:val="00582821"/>
    <w:rsid w:val="00582B0C"/>
    <w:rsid w:val="0058312B"/>
    <w:rsid w:val="0058482E"/>
    <w:rsid w:val="00584930"/>
    <w:rsid w:val="00584D01"/>
    <w:rsid w:val="00584E69"/>
    <w:rsid w:val="00584F85"/>
    <w:rsid w:val="00585215"/>
    <w:rsid w:val="005857F1"/>
    <w:rsid w:val="00585C4D"/>
    <w:rsid w:val="00586187"/>
    <w:rsid w:val="00586EA4"/>
    <w:rsid w:val="00587513"/>
    <w:rsid w:val="00587AAC"/>
    <w:rsid w:val="005905E2"/>
    <w:rsid w:val="005906B9"/>
    <w:rsid w:val="00590D2F"/>
    <w:rsid w:val="00590E2A"/>
    <w:rsid w:val="005914E6"/>
    <w:rsid w:val="005918E9"/>
    <w:rsid w:val="00592FB3"/>
    <w:rsid w:val="00593152"/>
    <w:rsid w:val="0059349B"/>
    <w:rsid w:val="00593D92"/>
    <w:rsid w:val="00594A16"/>
    <w:rsid w:val="00594CA9"/>
    <w:rsid w:val="00594CBB"/>
    <w:rsid w:val="0059509D"/>
    <w:rsid w:val="00595F04"/>
    <w:rsid w:val="00596630"/>
    <w:rsid w:val="00596EA6"/>
    <w:rsid w:val="00597048"/>
    <w:rsid w:val="0059724F"/>
    <w:rsid w:val="00597D69"/>
    <w:rsid w:val="005A048B"/>
    <w:rsid w:val="005A0B8F"/>
    <w:rsid w:val="005A1D87"/>
    <w:rsid w:val="005A2887"/>
    <w:rsid w:val="005A2D30"/>
    <w:rsid w:val="005A38E1"/>
    <w:rsid w:val="005A3AE5"/>
    <w:rsid w:val="005A3DEA"/>
    <w:rsid w:val="005A5BBC"/>
    <w:rsid w:val="005A6021"/>
    <w:rsid w:val="005A61B8"/>
    <w:rsid w:val="005A670D"/>
    <w:rsid w:val="005A6ED4"/>
    <w:rsid w:val="005A7307"/>
    <w:rsid w:val="005A7659"/>
    <w:rsid w:val="005A79CF"/>
    <w:rsid w:val="005B0205"/>
    <w:rsid w:val="005B0447"/>
    <w:rsid w:val="005B1034"/>
    <w:rsid w:val="005B1622"/>
    <w:rsid w:val="005B1628"/>
    <w:rsid w:val="005B1DE5"/>
    <w:rsid w:val="005B217D"/>
    <w:rsid w:val="005B2818"/>
    <w:rsid w:val="005B2889"/>
    <w:rsid w:val="005B289D"/>
    <w:rsid w:val="005B324A"/>
    <w:rsid w:val="005B382D"/>
    <w:rsid w:val="005B3D0B"/>
    <w:rsid w:val="005B5B4A"/>
    <w:rsid w:val="005B6209"/>
    <w:rsid w:val="005B68B2"/>
    <w:rsid w:val="005B6943"/>
    <w:rsid w:val="005B6A7E"/>
    <w:rsid w:val="005B6A9B"/>
    <w:rsid w:val="005B7153"/>
    <w:rsid w:val="005B76D5"/>
    <w:rsid w:val="005B7733"/>
    <w:rsid w:val="005C007F"/>
    <w:rsid w:val="005C0648"/>
    <w:rsid w:val="005C09E3"/>
    <w:rsid w:val="005C13C2"/>
    <w:rsid w:val="005C1EFF"/>
    <w:rsid w:val="005C24F9"/>
    <w:rsid w:val="005C2B97"/>
    <w:rsid w:val="005C2DFF"/>
    <w:rsid w:val="005C38C2"/>
    <w:rsid w:val="005C3E19"/>
    <w:rsid w:val="005C5158"/>
    <w:rsid w:val="005C53EA"/>
    <w:rsid w:val="005C5562"/>
    <w:rsid w:val="005C5E40"/>
    <w:rsid w:val="005C6343"/>
    <w:rsid w:val="005C7073"/>
    <w:rsid w:val="005C7366"/>
    <w:rsid w:val="005C7416"/>
    <w:rsid w:val="005C7966"/>
    <w:rsid w:val="005D12A3"/>
    <w:rsid w:val="005D181F"/>
    <w:rsid w:val="005D2E44"/>
    <w:rsid w:val="005D3AE6"/>
    <w:rsid w:val="005D3C8F"/>
    <w:rsid w:val="005D4202"/>
    <w:rsid w:val="005D4E06"/>
    <w:rsid w:val="005D630C"/>
    <w:rsid w:val="005D657E"/>
    <w:rsid w:val="005D6CC7"/>
    <w:rsid w:val="005D7C26"/>
    <w:rsid w:val="005D7DAB"/>
    <w:rsid w:val="005E0A4A"/>
    <w:rsid w:val="005E1A21"/>
    <w:rsid w:val="005E235A"/>
    <w:rsid w:val="005E2728"/>
    <w:rsid w:val="005E2816"/>
    <w:rsid w:val="005E2E0D"/>
    <w:rsid w:val="005E31DB"/>
    <w:rsid w:val="005E3CB1"/>
    <w:rsid w:val="005E3DD9"/>
    <w:rsid w:val="005E43F4"/>
    <w:rsid w:val="005E45DA"/>
    <w:rsid w:val="005E4D27"/>
    <w:rsid w:val="005E4D4B"/>
    <w:rsid w:val="005E5185"/>
    <w:rsid w:val="005E51C4"/>
    <w:rsid w:val="005E6419"/>
    <w:rsid w:val="005E727E"/>
    <w:rsid w:val="005E757F"/>
    <w:rsid w:val="005F0108"/>
    <w:rsid w:val="005F05AA"/>
    <w:rsid w:val="005F0B5F"/>
    <w:rsid w:val="005F0C2F"/>
    <w:rsid w:val="005F19A3"/>
    <w:rsid w:val="005F1A48"/>
    <w:rsid w:val="005F23BA"/>
    <w:rsid w:val="005F2609"/>
    <w:rsid w:val="005F296F"/>
    <w:rsid w:val="005F2BE4"/>
    <w:rsid w:val="005F310D"/>
    <w:rsid w:val="005F365B"/>
    <w:rsid w:val="005F3E7D"/>
    <w:rsid w:val="005F4CFE"/>
    <w:rsid w:val="005F5066"/>
    <w:rsid w:val="005F53C0"/>
    <w:rsid w:val="005F541D"/>
    <w:rsid w:val="005F6270"/>
    <w:rsid w:val="005F72CE"/>
    <w:rsid w:val="00600480"/>
    <w:rsid w:val="006006E0"/>
    <w:rsid w:val="00600D94"/>
    <w:rsid w:val="00600E7C"/>
    <w:rsid w:val="0060178B"/>
    <w:rsid w:val="00601EE7"/>
    <w:rsid w:val="0060200E"/>
    <w:rsid w:val="006020B0"/>
    <w:rsid w:val="00602C7E"/>
    <w:rsid w:val="00602DA4"/>
    <w:rsid w:val="00602E28"/>
    <w:rsid w:val="00602F96"/>
    <w:rsid w:val="006030CA"/>
    <w:rsid w:val="006031BC"/>
    <w:rsid w:val="006033C5"/>
    <w:rsid w:val="00604E86"/>
    <w:rsid w:val="00605545"/>
    <w:rsid w:val="006056E5"/>
    <w:rsid w:val="00605E4C"/>
    <w:rsid w:val="0060647B"/>
    <w:rsid w:val="006066CA"/>
    <w:rsid w:val="00606942"/>
    <w:rsid w:val="00606B43"/>
    <w:rsid w:val="00606E74"/>
    <w:rsid w:val="0060702F"/>
    <w:rsid w:val="0060710B"/>
    <w:rsid w:val="00607B73"/>
    <w:rsid w:val="00607D12"/>
    <w:rsid w:val="00610840"/>
    <w:rsid w:val="00610D59"/>
    <w:rsid w:val="00610F37"/>
    <w:rsid w:val="006114E0"/>
    <w:rsid w:val="00611FF1"/>
    <w:rsid w:val="0061277B"/>
    <w:rsid w:val="00612A8E"/>
    <w:rsid w:val="00613968"/>
    <w:rsid w:val="00613FA4"/>
    <w:rsid w:val="0061434F"/>
    <w:rsid w:val="00614403"/>
    <w:rsid w:val="00614880"/>
    <w:rsid w:val="0061631C"/>
    <w:rsid w:val="006171A6"/>
    <w:rsid w:val="006173A2"/>
    <w:rsid w:val="006173E0"/>
    <w:rsid w:val="00617AFC"/>
    <w:rsid w:val="00617BD3"/>
    <w:rsid w:val="00617F76"/>
    <w:rsid w:val="006217AD"/>
    <w:rsid w:val="00622867"/>
    <w:rsid w:val="00622D8F"/>
    <w:rsid w:val="00623465"/>
    <w:rsid w:val="00623E5A"/>
    <w:rsid w:val="00624051"/>
    <w:rsid w:val="006247A7"/>
    <w:rsid w:val="00624CE0"/>
    <w:rsid w:val="0062542F"/>
    <w:rsid w:val="00625EB2"/>
    <w:rsid w:val="00626103"/>
    <w:rsid w:val="0062638D"/>
    <w:rsid w:val="00626550"/>
    <w:rsid w:val="0062659F"/>
    <w:rsid w:val="00626E1E"/>
    <w:rsid w:val="00626FAF"/>
    <w:rsid w:val="00630092"/>
    <w:rsid w:val="006311C2"/>
    <w:rsid w:val="0063140E"/>
    <w:rsid w:val="006323E7"/>
    <w:rsid w:val="006334C3"/>
    <w:rsid w:val="0063358A"/>
    <w:rsid w:val="00633B4A"/>
    <w:rsid w:val="00633BA6"/>
    <w:rsid w:val="00634426"/>
    <w:rsid w:val="00634627"/>
    <w:rsid w:val="0063498E"/>
    <w:rsid w:val="00634AD7"/>
    <w:rsid w:val="00634F6B"/>
    <w:rsid w:val="0063502E"/>
    <w:rsid w:val="006350E3"/>
    <w:rsid w:val="006351E2"/>
    <w:rsid w:val="006356D1"/>
    <w:rsid w:val="006358B3"/>
    <w:rsid w:val="00635CAC"/>
    <w:rsid w:val="00635CC9"/>
    <w:rsid w:val="0063678B"/>
    <w:rsid w:val="006368DC"/>
    <w:rsid w:val="00636A15"/>
    <w:rsid w:val="00636E78"/>
    <w:rsid w:val="00636F54"/>
    <w:rsid w:val="00636F67"/>
    <w:rsid w:val="006370C6"/>
    <w:rsid w:val="006372C1"/>
    <w:rsid w:val="006373AA"/>
    <w:rsid w:val="0063791B"/>
    <w:rsid w:val="00637B9F"/>
    <w:rsid w:val="00640426"/>
    <w:rsid w:val="00640545"/>
    <w:rsid w:val="006406B6"/>
    <w:rsid w:val="00640866"/>
    <w:rsid w:val="00640937"/>
    <w:rsid w:val="00640FB0"/>
    <w:rsid w:val="00641858"/>
    <w:rsid w:val="00641B45"/>
    <w:rsid w:val="00641F7B"/>
    <w:rsid w:val="00642062"/>
    <w:rsid w:val="00642BB9"/>
    <w:rsid w:val="00642F21"/>
    <w:rsid w:val="0064382B"/>
    <w:rsid w:val="0064412C"/>
    <w:rsid w:val="00644C38"/>
    <w:rsid w:val="00644EE2"/>
    <w:rsid w:val="006458D3"/>
    <w:rsid w:val="00646518"/>
    <w:rsid w:val="0064741B"/>
    <w:rsid w:val="006476A4"/>
    <w:rsid w:val="00647EB3"/>
    <w:rsid w:val="00647ED7"/>
    <w:rsid w:val="0065087D"/>
    <w:rsid w:val="00650A4D"/>
    <w:rsid w:val="006513FE"/>
    <w:rsid w:val="00651431"/>
    <w:rsid w:val="00651BA8"/>
    <w:rsid w:val="00651C96"/>
    <w:rsid w:val="0065205F"/>
    <w:rsid w:val="0065236B"/>
    <w:rsid w:val="00652822"/>
    <w:rsid w:val="00653A29"/>
    <w:rsid w:val="00654048"/>
    <w:rsid w:val="0065460F"/>
    <w:rsid w:val="00655DEC"/>
    <w:rsid w:val="00655F63"/>
    <w:rsid w:val="00656247"/>
    <w:rsid w:val="00656695"/>
    <w:rsid w:val="0065676E"/>
    <w:rsid w:val="00656993"/>
    <w:rsid w:val="00656A45"/>
    <w:rsid w:val="00656A81"/>
    <w:rsid w:val="00656BA3"/>
    <w:rsid w:val="00656D6E"/>
    <w:rsid w:val="00656E62"/>
    <w:rsid w:val="00656F24"/>
    <w:rsid w:val="00660413"/>
    <w:rsid w:val="00660C20"/>
    <w:rsid w:val="00660CE2"/>
    <w:rsid w:val="00660D03"/>
    <w:rsid w:val="00662672"/>
    <w:rsid w:val="0066364A"/>
    <w:rsid w:val="006637ED"/>
    <w:rsid w:val="00663B54"/>
    <w:rsid w:val="006650F6"/>
    <w:rsid w:val="006671A9"/>
    <w:rsid w:val="0066752D"/>
    <w:rsid w:val="006675BF"/>
    <w:rsid w:val="00667954"/>
    <w:rsid w:val="00670798"/>
    <w:rsid w:val="00671138"/>
    <w:rsid w:val="006714EE"/>
    <w:rsid w:val="00671744"/>
    <w:rsid w:val="00671989"/>
    <w:rsid w:val="00671D76"/>
    <w:rsid w:val="0067208F"/>
    <w:rsid w:val="006720D9"/>
    <w:rsid w:val="006732D9"/>
    <w:rsid w:val="006737A4"/>
    <w:rsid w:val="006738B1"/>
    <w:rsid w:val="00673A83"/>
    <w:rsid w:val="006746EC"/>
    <w:rsid w:val="006748F5"/>
    <w:rsid w:val="00674FFF"/>
    <w:rsid w:val="006756DB"/>
    <w:rsid w:val="00675889"/>
    <w:rsid w:val="006758E0"/>
    <w:rsid w:val="00675CAC"/>
    <w:rsid w:val="00675FF7"/>
    <w:rsid w:val="00676263"/>
    <w:rsid w:val="00676691"/>
    <w:rsid w:val="0067696E"/>
    <w:rsid w:val="00676B1D"/>
    <w:rsid w:val="006770E8"/>
    <w:rsid w:val="00677840"/>
    <w:rsid w:val="00677D30"/>
    <w:rsid w:val="006800B1"/>
    <w:rsid w:val="00680FF2"/>
    <w:rsid w:val="0068109A"/>
    <w:rsid w:val="006811C2"/>
    <w:rsid w:val="00681699"/>
    <w:rsid w:val="00681F23"/>
    <w:rsid w:val="00682B6B"/>
    <w:rsid w:val="006835A0"/>
    <w:rsid w:val="00683CBA"/>
    <w:rsid w:val="00684172"/>
    <w:rsid w:val="00684C03"/>
    <w:rsid w:val="00684C94"/>
    <w:rsid w:val="00684FC5"/>
    <w:rsid w:val="00685010"/>
    <w:rsid w:val="0068502E"/>
    <w:rsid w:val="006856FE"/>
    <w:rsid w:val="00685CDF"/>
    <w:rsid w:val="00685E62"/>
    <w:rsid w:val="00686A0E"/>
    <w:rsid w:val="006871EE"/>
    <w:rsid w:val="00690A3A"/>
    <w:rsid w:val="00690A60"/>
    <w:rsid w:val="00690E72"/>
    <w:rsid w:val="00691521"/>
    <w:rsid w:val="006936E4"/>
    <w:rsid w:val="00693749"/>
    <w:rsid w:val="00693ACF"/>
    <w:rsid w:val="00693D63"/>
    <w:rsid w:val="0069468C"/>
    <w:rsid w:val="00694B69"/>
    <w:rsid w:val="006959D6"/>
    <w:rsid w:val="00695D72"/>
    <w:rsid w:val="006963B9"/>
    <w:rsid w:val="00696D48"/>
    <w:rsid w:val="00696EDE"/>
    <w:rsid w:val="00696FE4"/>
    <w:rsid w:val="006971AB"/>
    <w:rsid w:val="00697768"/>
    <w:rsid w:val="00697A63"/>
    <w:rsid w:val="00697A8D"/>
    <w:rsid w:val="006A00ED"/>
    <w:rsid w:val="006A016A"/>
    <w:rsid w:val="006A0A41"/>
    <w:rsid w:val="006A0C67"/>
    <w:rsid w:val="006A0C84"/>
    <w:rsid w:val="006A1069"/>
    <w:rsid w:val="006A108F"/>
    <w:rsid w:val="006A10FA"/>
    <w:rsid w:val="006A16F6"/>
    <w:rsid w:val="006A17EC"/>
    <w:rsid w:val="006A2193"/>
    <w:rsid w:val="006A21E7"/>
    <w:rsid w:val="006A23D4"/>
    <w:rsid w:val="006A245F"/>
    <w:rsid w:val="006A2917"/>
    <w:rsid w:val="006A39B7"/>
    <w:rsid w:val="006A467A"/>
    <w:rsid w:val="006A5B1D"/>
    <w:rsid w:val="006A66E0"/>
    <w:rsid w:val="006A6728"/>
    <w:rsid w:val="006A6C76"/>
    <w:rsid w:val="006A777E"/>
    <w:rsid w:val="006A7944"/>
    <w:rsid w:val="006B0085"/>
    <w:rsid w:val="006B0572"/>
    <w:rsid w:val="006B059A"/>
    <w:rsid w:val="006B1089"/>
    <w:rsid w:val="006B1224"/>
    <w:rsid w:val="006B12E4"/>
    <w:rsid w:val="006B1771"/>
    <w:rsid w:val="006B1D03"/>
    <w:rsid w:val="006B4013"/>
    <w:rsid w:val="006B477D"/>
    <w:rsid w:val="006B4AD6"/>
    <w:rsid w:val="006B54B5"/>
    <w:rsid w:val="006B556D"/>
    <w:rsid w:val="006B5AC4"/>
    <w:rsid w:val="006B5B0B"/>
    <w:rsid w:val="006B5B62"/>
    <w:rsid w:val="006B6893"/>
    <w:rsid w:val="006B68E5"/>
    <w:rsid w:val="006B783E"/>
    <w:rsid w:val="006C1EEE"/>
    <w:rsid w:val="006C24E6"/>
    <w:rsid w:val="006C2C74"/>
    <w:rsid w:val="006C3466"/>
    <w:rsid w:val="006C3FA7"/>
    <w:rsid w:val="006C40E0"/>
    <w:rsid w:val="006C412A"/>
    <w:rsid w:val="006C45C4"/>
    <w:rsid w:val="006C513C"/>
    <w:rsid w:val="006C61AB"/>
    <w:rsid w:val="006C622F"/>
    <w:rsid w:val="006C63C3"/>
    <w:rsid w:val="006C6486"/>
    <w:rsid w:val="006C64BB"/>
    <w:rsid w:val="006C6652"/>
    <w:rsid w:val="006C6F12"/>
    <w:rsid w:val="006C703C"/>
    <w:rsid w:val="006C7129"/>
    <w:rsid w:val="006C7426"/>
    <w:rsid w:val="006C78B6"/>
    <w:rsid w:val="006C7961"/>
    <w:rsid w:val="006C7BF7"/>
    <w:rsid w:val="006C7F0A"/>
    <w:rsid w:val="006D0465"/>
    <w:rsid w:val="006D04DF"/>
    <w:rsid w:val="006D0AC6"/>
    <w:rsid w:val="006D0BB3"/>
    <w:rsid w:val="006D0FCF"/>
    <w:rsid w:val="006D1069"/>
    <w:rsid w:val="006D12F4"/>
    <w:rsid w:val="006D1DFF"/>
    <w:rsid w:val="006D2279"/>
    <w:rsid w:val="006D2304"/>
    <w:rsid w:val="006D241B"/>
    <w:rsid w:val="006D2654"/>
    <w:rsid w:val="006D2804"/>
    <w:rsid w:val="006D2927"/>
    <w:rsid w:val="006D2C8F"/>
    <w:rsid w:val="006D3E35"/>
    <w:rsid w:val="006D440C"/>
    <w:rsid w:val="006D4FAC"/>
    <w:rsid w:val="006D572E"/>
    <w:rsid w:val="006D5CAB"/>
    <w:rsid w:val="006D6151"/>
    <w:rsid w:val="006D69A6"/>
    <w:rsid w:val="006D6ED2"/>
    <w:rsid w:val="006D7128"/>
    <w:rsid w:val="006D7531"/>
    <w:rsid w:val="006D7BC7"/>
    <w:rsid w:val="006E0AE5"/>
    <w:rsid w:val="006E0E2D"/>
    <w:rsid w:val="006E10E7"/>
    <w:rsid w:val="006E126F"/>
    <w:rsid w:val="006E16C0"/>
    <w:rsid w:val="006E2739"/>
    <w:rsid w:val="006E2CCF"/>
    <w:rsid w:val="006E3C40"/>
    <w:rsid w:val="006E4246"/>
    <w:rsid w:val="006E45C7"/>
    <w:rsid w:val="006E49E2"/>
    <w:rsid w:val="006E606B"/>
    <w:rsid w:val="006E68DB"/>
    <w:rsid w:val="006E6A2E"/>
    <w:rsid w:val="006E6C04"/>
    <w:rsid w:val="006E6C72"/>
    <w:rsid w:val="006E6F73"/>
    <w:rsid w:val="006E6FEC"/>
    <w:rsid w:val="006E757C"/>
    <w:rsid w:val="006E780F"/>
    <w:rsid w:val="006E7C4A"/>
    <w:rsid w:val="006F0441"/>
    <w:rsid w:val="006F08CA"/>
    <w:rsid w:val="006F09EB"/>
    <w:rsid w:val="006F0D6D"/>
    <w:rsid w:val="006F1D0A"/>
    <w:rsid w:val="006F2206"/>
    <w:rsid w:val="006F2556"/>
    <w:rsid w:val="006F297E"/>
    <w:rsid w:val="006F29DD"/>
    <w:rsid w:val="006F40D6"/>
    <w:rsid w:val="006F538A"/>
    <w:rsid w:val="006F55D1"/>
    <w:rsid w:val="006F5642"/>
    <w:rsid w:val="006F599C"/>
    <w:rsid w:val="006F5B9D"/>
    <w:rsid w:val="006F5CD6"/>
    <w:rsid w:val="006F5D44"/>
    <w:rsid w:val="006F633D"/>
    <w:rsid w:val="006F656F"/>
    <w:rsid w:val="007008E2"/>
    <w:rsid w:val="00700ADA"/>
    <w:rsid w:val="00701AA6"/>
    <w:rsid w:val="0070365A"/>
    <w:rsid w:val="0070397B"/>
    <w:rsid w:val="00703A53"/>
    <w:rsid w:val="00704442"/>
    <w:rsid w:val="00704E68"/>
    <w:rsid w:val="007051AD"/>
    <w:rsid w:val="00705A38"/>
    <w:rsid w:val="00705D4A"/>
    <w:rsid w:val="00705DD9"/>
    <w:rsid w:val="00705F2A"/>
    <w:rsid w:val="0070649E"/>
    <w:rsid w:val="007065C1"/>
    <w:rsid w:val="0070673D"/>
    <w:rsid w:val="00707379"/>
    <w:rsid w:val="007078FD"/>
    <w:rsid w:val="00710494"/>
    <w:rsid w:val="00710D1F"/>
    <w:rsid w:val="00711E98"/>
    <w:rsid w:val="007124DE"/>
    <w:rsid w:val="0071337A"/>
    <w:rsid w:val="00713CFE"/>
    <w:rsid w:val="0071419F"/>
    <w:rsid w:val="00714319"/>
    <w:rsid w:val="007144F0"/>
    <w:rsid w:val="00714F82"/>
    <w:rsid w:val="00715109"/>
    <w:rsid w:val="00715271"/>
    <w:rsid w:val="0071528F"/>
    <w:rsid w:val="00715681"/>
    <w:rsid w:val="00715B62"/>
    <w:rsid w:val="00715BE7"/>
    <w:rsid w:val="0071679D"/>
    <w:rsid w:val="00716CFC"/>
    <w:rsid w:val="00717964"/>
    <w:rsid w:val="00717972"/>
    <w:rsid w:val="0072013E"/>
    <w:rsid w:val="0072046E"/>
    <w:rsid w:val="00721DE7"/>
    <w:rsid w:val="007222BC"/>
    <w:rsid w:val="007229C7"/>
    <w:rsid w:val="0072373E"/>
    <w:rsid w:val="00723946"/>
    <w:rsid w:val="00723FCC"/>
    <w:rsid w:val="007249A1"/>
    <w:rsid w:val="00724A79"/>
    <w:rsid w:val="007251BD"/>
    <w:rsid w:val="007253C7"/>
    <w:rsid w:val="007259C8"/>
    <w:rsid w:val="00725C46"/>
    <w:rsid w:val="0072745F"/>
    <w:rsid w:val="007275C3"/>
    <w:rsid w:val="007304E8"/>
    <w:rsid w:val="00730A92"/>
    <w:rsid w:val="007313C0"/>
    <w:rsid w:val="00731680"/>
    <w:rsid w:val="007321B6"/>
    <w:rsid w:val="007325DB"/>
    <w:rsid w:val="007326E1"/>
    <w:rsid w:val="0073288E"/>
    <w:rsid w:val="00732918"/>
    <w:rsid w:val="0073304D"/>
    <w:rsid w:val="00734011"/>
    <w:rsid w:val="0073402A"/>
    <w:rsid w:val="007341CC"/>
    <w:rsid w:val="0073648A"/>
    <w:rsid w:val="00736AF5"/>
    <w:rsid w:val="00737383"/>
    <w:rsid w:val="00737D96"/>
    <w:rsid w:val="00740106"/>
    <w:rsid w:val="0074021E"/>
    <w:rsid w:val="0074046B"/>
    <w:rsid w:val="00741148"/>
    <w:rsid w:val="007426D2"/>
    <w:rsid w:val="00742A49"/>
    <w:rsid w:val="00742D92"/>
    <w:rsid w:val="007436AF"/>
    <w:rsid w:val="007438B2"/>
    <w:rsid w:val="00743990"/>
    <w:rsid w:val="00743C7C"/>
    <w:rsid w:val="00744A00"/>
    <w:rsid w:val="00745353"/>
    <w:rsid w:val="00745F6B"/>
    <w:rsid w:val="00746C76"/>
    <w:rsid w:val="00746F0E"/>
    <w:rsid w:val="00747286"/>
    <w:rsid w:val="007476BC"/>
    <w:rsid w:val="00751DCA"/>
    <w:rsid w:val="00752185"/>
    <w:rsid w:val="007529B9"/>
    <w:rsid w:val="00752A4F"/>
    <w:rsid w:val="00752CB3"/>
    <w:rsid w:val="0075351E"/>
    <w:rsid w:val="00753784"/>
    <w:rsid w:val="00754A26"/>
    <w:rsid w:val="0075570D"/>
    <w:rsid w:val="00756188"/>
    <w:rsid w:val="0075644C"/>
    <w:rsid w:val="00756776"/>
    <w:rsid w:val="00756EB0"/>
    <w:rsid w:val="0075758C"/>
    <w:rsid w:val="007578C7"/>
    <w:rsid w:val="007618EC"/>
    <w:rsid w:val="00761AE8"/>
    <w:rsid w:val="00761BFD"/>
    <w:rsid w:val="00761DC7"/>
    <w:rsid w:val="0076308D"/>
    <w:rsid w:val="00763598"/>
    <w:rsid w:val="007636A8"/>
    <w:rsid w:val="00764177"/>
    <w:rsid w:val="00764B5F"/>
    <w:rsid w:val="00764E1A"/>
    <w:rsid w:val="00765158"/>
    <w:rsid w:val="007668B4"/>
    <w:rsid w:val="00766A85"/>
    <w:rsid w:val="007679D3"/>
    <w:rsid w:val="00770C0D"/>
    <w:rsid w:val="007718E0"/>
    <w:rsid w:val="00771F7F"/>
    <w:rsid w:val="00773094"/>
    <w:rsid w:val="007734C2"/>
    <w:rsid w:val="0077359F"/>
    <w:rsid w:val="007737A4"/>
    <w:rsid w:val="0077526F"/>
    <w:rsid w:val="0077687A"/>
    <w:rsid w:val="007768FC"/>
    <w:rsid w:val="00776BE3"/>
    <w:rsid w:val="00776F4A"/>
    <w:rsid w:val="00777079"/>
    <w:rsid w:val="00777090"/>
    <w:rsid w:val="0077719C"/>
    <w:rsid w:val="007771B0"/>
    <w:rsid w:val="007772EF"/>
    <w:rsid w:val="0078016F"/>
    <w:rsid w:val="007802B6"/>
    <w:rsid w:val="007804F2"/>
    <w:rsid w:val="00781D5E"/>
    <w:rsid w:val="00781D99"/>
    <w:rsid w:val="00782630"/>
    <w:rsid w:val="00782DB2"/>
    <w:rsid w:val="00783343"/>
    <w:rsid w:val="00783EA6"/>
    <w:rsid w:val="00784946"/>
    <w:rsid w:val="00784E57"/>
    <w:rsid w:val="00785B82"/>
    <w:rsid w:val="00785D6B"/>
    <w:rsid w:val="0078629D"/>
    <w:rsid w:val="0078640A"/>
    <w:rsid w:val="0078680E"/>
    <w:rsid w:val="00786E34"/>
    <w:rsid w:val="007871D5"/>
    <w:rsid w:val="00787563"/>
    <w:rsid w:val="00787EE6"/>
    <w:rsid w:val="00787FB0"/>
    <w:rsid w:val="00790EE9"/>
    <w:rsid w:val="00791322"/>
    <w:rsid w:val="00791A34"/>
    <w:rsid w:val="0079241C"/>
    <w:rsid w:val="007925B5"/>
    <w:rsid w:val="00792889"/>
    <w:rsid w:val="00792D2E"/>
    <w:rsid w:val="0079389A"/>
    <w:rsid w:val="007941FE"/>
    <w:rsid w:val="00794281"/>
    <w:rsid w:val="007942AE"/>
    <w:rsid w:val="00794CB3"/>
    <w:rsid w:val="007960B0"/>
    <w:rsid w:val="0079689F"/>
    <w:rsid w:val="0079707E"/>
    <w:rsid w:val="00797199"/>
    <w:rsid w:val="00797284"/>
    <w:rsid w:val="007978C5"/>
    <w:rsid w:val="00797FC2"/>
    <w:rsid w:val="007A1336"/>
    <w:rsid w:val="007A14D6"/>
    <w:rsid w:val="007A1F36"/>
    <w:rsid w:val="007A28FA"/>
    <w:rsid w:val="007A392F"/>
    <w:rsid w:val="007A3F91"/>
    <w:rsid w:val="007A45EE"/>
    <w:rsid w:val="007A4B35"/>
    <w:rsid w:val="007A4C11"/>
    <w:rsid w:val="007A5615"/>
    <w:rsid w:val="007A593A"/>
    <w:rsid w:val="007A795B"/>
    <w:rsid w:val="007B04CD"/>
    <w:rsid w:val="007B05F0"/>
    <w:rsid w:val="007B0E0B"/>
    <w:rsid w:val="007B0FBD"/>
    <w:rsid w:val="007B150A"/>
    <w:rsid w:val="007B151F"/>
    <w:rsid w:val="007B1AEF"/>
    <w:rsid w:val="007B1B67"/>
    <w:rsid w:val="007B1B83"/>
    <w:rsid w:val="007B2160"/>
    <w:rsid w:val="007B2B0E"/>
    <w:rsid w:val="007B2DB3"/>
    <w:rsid w:val="007B2E62"/>
    <w:rsid w:val="007B3DFF"/>
    <w:rsid w:val="007B3F1A"/>
    <w:rsid w:val="007B47EE"/>
    <w:rsid w:val="007B49E2"/>
    <w:rsid w:val="007B6018"/>
    <w:rsid w:val="007B6464"/>
    <w:rsid w:val="007B660F"/>
    <w:rsid w:val="007B6AFB"/>
    <w:rsid w:val="007B7576"/>
    <w:rsid w:val="007B75B8"/>
    <w:rsid w:val="007B78CB"/>
    <w:rsid w:val="007B7D03"/>
    <w:rsid w:val="007B7F73"/>
    <w:rsid w:val="007C129C"/>
    <w:rsid w:val="007C1750"/>
    <w:rsid w:val="007C1BE7"/>
    <w:rsid w:val="007C1E9C"/>
    <w:rsid w:val="007C241B"/>
    <w:rsid w:val="007C2530"/>
    <w:rsid w:val="007C3031"/>
    <w:rsid w:val="007C372A"/>
    <w:rsid w:val="007C3A10"/>
    <w:rsid w:val="007C3B2A"/>
    <w:rsid w:val="007C3C8C"/>
    <w:rsid w:val="007C47DD"/>
    <w:rsid w:val="007C4B19"/>
    <w:rsid w:val="007C5289"/>
    <w:rsid w:val="007C5793"/>
    <w:rsid w:val="007C5B50"/>
    <w:rsid w:val="007C6184"/>
    <w:rsid w:val="007C6FA1"/>
    <w:rsid w:val="007C7331"/>
    <w:rsid w:val="007C775E"/>
    <w:rsid w:val="007C7DDC"/>
    <w:rsid w:val="007D0027"/>
    <w:rsid w:val="007D0086"/>
    <w:rsid w:val="007D0125"/>
    <w:rsid w:val="007D0197"/>
    <w:rsid w:val="007D1D24"/>
    <w:rsid w:val="007D1D71"/>
    <w:rsid w:val="007D1F67"/>
    <w:rsid w:val="007D2294"/>
    <w:rsid w:val="007D282A"/>
    <w:rsid w:val="007D2D4F"/>
    <w:rsid w:val="007D2FDC"/>
    <w:rsid w:val="007D3F33"/>
    <w:rsid w:val="007D414A"/>
    <w:rsid w:val="007D49EF"/>
    <w:rsid w:val="007D4A64"/>
    <w:rsid w:val="007D59B2"/>
    <w:rsid w:val="007D5F59"/>
    <w:rsid w:val="007D5FA8"/>
    <w:rsid w:val="007D6177"/>
    <w:rsid w:val="007D65AF"/>
    <w:rsid w:val="007D68A9"/>
    <w:rsid w:val="007D7097"/>
    <w:rsid w:val="007E116D"/>
    <w:rsid w:val="007E1586"/>
    <w:rsid w:val="007E161C"/>
    <w:rsid w:val="007E1A3E"/>
    <w:rsid w:val="007E1B21"/>
    <w:rsid w:val="007E1E61"/>
    <w:rsid w:val="007E1F82"/>
    <w:rsid w:val="007E2302"/>
    <w:rsid w:val="007E272C"/>
    <w:rsid w:val="007E2D34"/>
    <w:rsid w:val="007E3140"/>
    <w:rsid w:val="007E3224"/>
    <w:rsid w:val="007E33BE"/>
    <w:rsid w:val="007E3BBC"/>
    <w:rsid w:val="007E3CCB"/>
    <w:rsid w:val="007E3CD3"/>
    <w:rsid w:val="007E3E0D"/>
    <w:rsid w:val="007E42C0"/>
    <w:rsid w:val="007E4EE2"/>
    <w:rsid w:val="007E5D0A"/>
    <w:rsid w:val="007E6639"/>
    <w:rsid w:val="007E683A"/>
    <w:rsid w:val="007E6F79"/>
    <w:rsid w:val="007E705C"/>
    <w:rsid w:val="007E7769"/>
    <w:rsid w:val="007F0730"/>
    <w:rsid w:val="007F08AA"/>
    <w:rsid w:val="007F0ED5"/>
    <w:rsid w:val="007F1A4D"/>
    <w:rsid w:val="007F1CBF"/>
    <w:rsid w:val="007F264D"/>
    <w:rsid w:val="007F27BB"/>
    <w:rsid w:val="007F2B58"/>
    <w:rsid w:val="007F3052"/>
    <w:rsid w:val="007F3056"/>
    <w:rsid w:val="007F31F7"/>
    <w:rsid w:val="007F3703"/>
    <w:rsid w:val="007F3C15"/>
    <w:rsid w:val="007F3F2A"/>
    <w:rsid w:val="007F5542"/>
    <w:rsid w:val="007F55E8"/>
    <w:rsid w:val="007F6551"/>
    <w:rsid w:val="007F698E"/>
    <w:rsid w:val="007F700A"/>
    <w:rsid w:val="007F723B"/>
    <w:rsid w:val="007F7241"/>
    <w:rsid w:val="007F72C4"/>
    <w:rsid w:val="007F73E1"/>
    <w:rsid w:val="0080091F"/>
    <w:rsid w:val="00800E4E"/>
    <w:rsid w:val="00800F0F"/>
    <w:rsid w:val="00801093"/>
    <w:rsid w:val="0080118F"/>
    <w:rsid w:val="00802D6C"/>
    <w:rsid w:val="00803274"/>
    <w:rsid w:val="00803FD7"/>
    <w:rsid w:val="008044EB"/>
    <w:rsid w:val="00806176"/>
    <w:rsid w:val="00806418"/>
    <w:rsid w:val="00806487"/>
    <w:rsid w:val="00806B2F"/>
    <w:rsid w:val="00806CD5"/>
    <w:rsid w:val="008078BD"/>
    <w:rsid w:val="00807B55"/>
    <w:rsid w:val="0081064A"/>
    <w:rsid w:val="00810BF2"/>
    <w:rsid w:val="00812073"/>
    <w:rsid w:val="00812484"/>
    <w:rsid w:val="00812492"/>
    <w:rsid w:val="008124EF"/>
    <w:rsid w:val="00812B9D"/>
    <w:rsid w:val="008134D1"/>
    <w:rsid w:val="00814467"/>
    <w:rsid w:val="00814539"/>
    <w:rsid w:val="00814577"/>
    <w:rsid w:val="00814EF0"/>
    <w:rsid w:val="0081519A"/>
    <w:rsid w:val="00815CAB"/>
    <w:rsid w:val="00816BB4"/>
    <w:rsid w:val="00816CB6"/>
    <w:rsid w:val="00816F5B"/>
    <w:rsid w:val="0081773D"/>
    <w:rsid w:val="00817DFF"/>
    <w:rsid w:val="00820034"/>
    <w:rsid w:val="00820E27"/>
    <w:rsid w:val="0082100A"/>
    <w:rsid w:val="00821080"/>
    <w:rsid w:val="0082130B"/>
    <w:rsid w:val="008217B3"/>
    <w:rsid w:val="00821932"/>
    <w:rsid w:val="00821961"/>
    <w:rsid w:val="00821C87"/>
    <w:rsid w:val="00821DA2"/>
    <w:rsid w:val="00821F9E"/>
    <w:rsid w:val="00822D5B"/>
    <w:rsid w:val="00822FFF"/>
    <w:rsid w:val="00823503"/>
    <w:rsid w:val="00823B70"/>
    <w:rsid w:val="00823E15"/>
    <w:rsid w:val="008243E2"/>
    <w:rsid w:val="008244B6"/>
    <w:rsid w:val="00824DE5"/>
    <w:rsid w:val="008252FC"/>
    <w:rsid w:val="00825382"/>
    <w:rsid w:val="008253DC"/>
    <w:rsid w:val="008263E3"/>
    <w:rsid w:val="00826760"/>
    <w:rsid w:val="00826990"/>
    <w:rsid w:val="00827491"/>
    <w:rsid w:val="008279F1"/>
    <w:rsid w:val="00827C74"/>
    <w:rsid w:val="00830700"/>
    <w:rsid w:val="008315EB"/>
    <w:rsid w:val="00831F2B"/>
    <w:rsid w:val="0083452B"/>
    <w:rsid w:val="00834E15"/>
    <w:rsid w:val="008361D2"/>
    <w:rsid w:val="0083684F"/>
    <w:rsid w:val="00836C1F"/>
    <w:rsid w:val="00837225"/>
    <w:rsid w:val="0084022B"/>
    <w:rsid w:val="0084063D"/>
    <w:rsid w:val="00840FC9"/>
    <w:rsid w:val="008411F9"/>
    <w:rsid w:val="008418ED"/>
    <w:rsid w:val="00842014"/>
    <w:rsid w:val="00842357"/>
    <w:rsid w:val="00842FDC"/>
    <w:rsid w:val="008437AD"/>
    <w:rsid w:val="00843CD6"/>
    <w:rsid w:val="0084413C"/>
    <w:rsid w:val="008447A3"/>
    <w:rsid w:val="00844DDA"/>
    <w:rsid w:val="00844FAB"/>
    <w:rsid w:val="00845210"/>
    <w:rsid w:val="00845422"/>
    <w:rsid w:val="00845AC9"/>
    <w:rsid w:val="00845EF5"/>
    <w:rsid w:val="00846A8F"/>
    <w:rsid w:val="00846D9E"/>
    <w:rsid w:val="00847ED2"/>
    <w:rsid w:val="00850893"/>
    <w:rsid w:val="008511D0"/>
    <w:rsid w:val="00851D20"/>
    <w:rsid w:val="00851D73"/>
    <w:rsid w:val="0085246C"/>
    <w:rsid w:val="00852A98"/>
    <w:rsid w:val="00852C1B"/>
    <w:rsid w:val="008532DE"/>
    <w:rsid w:val="008534B9"/>
    <w:rsid w:val="00853769"/>
    <w:rsid w:val="00853898"/>
    <w:rsid w:val="00853970"/>
    <w:rsid w:val="008546CC"/>
    <w:rsid w:val="00854806"/>
    <w:rsid w:val="00854A4D"/>
    <w:rsid w:val="00854F5F"/>
    <w:rsid w:val="00855121"/>
    <w:rsid w:val="008552B3"/>
    <w:rsid w:val="008552F8"/>
    <w:rsid w:val="00855694"/>
    <w:rsid w:val="00856B78"/>
    <w:rsid w:val="00856DB4"/>
    <w:rsid w:val="00857585"/>
    <w:rsid w:val="008575CA"/>
    <w:rsid w:val="00860028"/>
    <w:rsid w:val="00860BE9"/>
    <w:rsid w:val="00860F07"/>
    <w:rsid w:val="00861CD7"/>
    <w:rsid w:val="00862325"/>
    <w:rsid w:val="00863340"/>
    <w:rsid w:val="00863880"/>
    <w:rsid w:val="00863BB8"/>
    <w:rsid w:val="00864B87"/>
    <w:rsid w:val="00864FAE"/>
    <w:rsid w:val="0086546D"/>
    <w:rsid w:val="0086580A"/>
    <w:rsid w:val="0086604C"/>
    <w:rsid w:val="0086664B"/>
    <w:rsid w:val="008666D2"/>
    <w:rsid w:val="008676C6"/>
    <w:rsid w:val="00867A0F"/>
    <w:rsid w:val="00867A10"/>
    <w:rsid w:val="00867A79"/>
    <w:rsid w:val="00871136"/>
    <w:rsid w:val="008712A5"/>
    <w:rsid w:val="00871BBD"/>
    <w:rsid w:val="00871FD1"/>
    <w:rsid w:val="008729E4"/>
    <w:rsid w:val="00872A65"/>
    <w:rsid w:val="00872CCD"/>
    <w:rsid w:val="00873D25"/>
    <w:rsid w:val="008740E3"/>
    <w:rsid w:val="0087428A"/>
    <w:rsid w:val="008744B9"/>
    <w:rsid w:val="0087462C"/>
    <w:rsid w:val="00874B2C"/>
    <w:rsid w:val="00874E3F"/>
    <w:rsid w:val="00875209"/>
    <w:rsid w:val="00876527"/>
    <w:rsid w:val="00876F47"/>
    <w:rsid w:val="008778EA"/>
    <w:rsid w:val="00877BEC"/>
    <w:rsid w:val="008802A9"/>
    <w:rsid w:val="0088033F"/>
    <w:rsid w:val="00880891"/>
    <w:rsid w:val="00880ABC"/>
    <w:rsid w:val="00880D6B"/>
    <w:rsid w:val="00881A49"/>
    <w:rsid w:val="00881A83"/>
    <w:rsid w:val="00882D3E"/>
    <w:rsid w:val="008832CB"/>
    <w:rsid w:val="00883A35"/>
    <w:rsid w:val="00883D87"/>
    <w:rsid w:val="00885030"/>
    <w:rsid w:val="00886200"/>
    <w:rsid w:val="00886443"/>
    <w:rsid w:val="008865BB"/>
    <w:rsid w:val="00887E88"/>
    <w:rsid w:val="00887F99"/>
    <w:rsid w:val="008907AB"/>
    <w:rsid w:val="00890CC0"/>
    <w:rsid w:val="00891E48"/>
    <w:rsid w:val="0089257A"/>
    <w:rsid w:val="00892E8D"/>
    <w:rsid w:val="0089319E"/>
    <w:rsid w:val="00893573"/>
    <w:rsid w:val="00894368"/>
    <w:rsid w:val="00894520"/>
    <w:rsid w:val="008945E8"/>
    <w:rsid w:val="008949F0"/>
    <w:rsid w:val="00897051"/>
    <w:rsid w:val="00897645"/>
    <w:rsid w:val="00897A80"/>
    <w:rsid w:val="008A08D6"/>
    <w:rsid w:val="008A0B30"/>
    <w:rsid w:val="008A0B49"/>
    <w:rsid w:val="008A0C23"/>
    <w:rsid w:val="008A0E38"/>
    <w:rsid w:val="008A168F"/>
    <w:rsid w:val="008A1B74"/>
    <w:rsid w:val="008A1F4E"/>
    <w:rsid w:val="008A20E4"/>
    <w:rsid w:val="008A2180"/>
    <w:rsid w:val="008A25F7"/>
    <w:rsid w:val="008A3358"/>
    <w:rsid w:val="008A34C0"/>
    <w:rsid w:val="008A38AF"/>
    <w:rsid w:val="008A4F2B"/>
    <w:rsid w:val="008A53AA"/>
    <w:rsid w:val="008A662D"/>
    <w:rsid w:val="008A6834"/>
    <w:rsid w:val="008A6AFB"/>
    <w:rsid w:val="008A73A8"/>
    <w:rsid w:val="008A7406"/>
    <w:rsid w:val="008A7B67"/>
    <w:rsid w:val="008A7EC0"/>
    <w:rsid w:val="008B021A"/>
    <w:rsid w:val="008B056A"/>
    <w:rsid w:val="008B0D22"/>
    <w:rsid w:val="008B0E25"/>
    <w:rsid w:val="008B12DE"/>
    <w:rsid w:val="008B16FF"/>
    <w:rsid w:val="008B26A5"/>
    <w:rsid w:val="008B2B3A"/>
    <w:rsid w:val="008B39F4"/>
    <w:rsid w:val="008B44FC"/>
    <w:rsid w:val="008B4889"/>
    <w:rsid w:val="008B49CA"/>
    <w:rsid w:val="008B4CBF"/>
    <w:rsid w:val="008B5152"/>
    <w:rsid w:val="008B560D"/>
    <w:rsid w:val="008B695B"/>
    <w:rsid w:val="008B7879"/>
    <w:rsid w:val="008B7C89"/>
    <w:rsid w:val="008C04C7"/>
    <w:rsid w:val="008C090E"/>
    <w:rsid w:val="008C0AA4"/>
    <w:rsid w:val="008C0D86"/>
    <w:rsid w:val="008C11D9"/>
    <w:rsid w:val="008C11E2"/>
    <w:rsid w:val="008C150D"/>
    <w:rsid w:val="008C2073"/>
    <w:rsid w:val="008C242A"/>
    <w:rsid w:val="008C2A41"/>
    <w:rsid w:val="008C2CB9"/>
    <w:rsid w:val="008C3228"/>
    <w:rsid w:val="008C38A5"/>
    <w:rsid w:val="008C4554"/>
    <w:rsid w:val="008C4BC0"/>
    <w:rsid w:val="008C4CFE"/>
    <w:rsid w:val="008C4D6C"/>
    <w:rsid w:val="008C5067"/>
    <w:rsid w:val="008C69CE"/>
    <w:rsid w:val="008C6ACD"/>
    <w:rsid w:val="008C70EB"/>
    <w:rsid w:val="008C729E"/>
    <w:rsid w:val="008C73D7"/>
    <w:rsid w:val="008C74F7"/>
    <w:rsid w:val="008C78BA"/>
    <w:rsid w:val="008C7B0B"/>
    <w:rsid w:val="008D038A"/>
    <w:rsid w:val="008D061D"/>
    <w:rsid w:val="008D07FA"/>
    <w:rsid w:val="008D0BBC"/>
    <w:rsid w:val="008D1067"/>
    <w:rsid w:val="008D11E6"/>
    <w:rsid w:val="008D1439"/>
    <w:rsid w:val="008D19C6"/>
    <w:rsid w:val="008D228C"/>
    <w:rsid w:val="008D2B3D"/>
    <w:rsid w:val="008D2CD7"/>
    <w:rsid w:val="008D4451"/>
    <w:rsid w:val="008D46CC"/>
    <w:rsid w:val="008D4FB7"/>
    <w:rsid w:val="008D5127"/>
    <w:rsid w:val="008D560E"/>
    <w:rsid w:val="008D6F66"/>
    <w:rsid w:val="008D7CAA"/>
    <w:rsid w:val="008D7CD5"/>
    <w:rsid w:val="008D7EFE"/>
    <w:rsid w:val="008E05BD"/>
    <w:rsid w:val="008E08A9"/>
    <w:rsid w:val="008E166C"/>
    <w:rsid w:val="008E195B"/>
    <w:rsid w:val="008E1CCB"/>
    <w:rsid w:val="008E1D86"/>
    <w:rsid w:val="008E1FFE"/>
    <w:rsid w:val="008E2EEC"/>
    <w:rsid w:val="008E2FE8"/>
    <w:rsid w:val="008E31C2"/>
    <w:rsid w:val="008E3389"/>
    <w:rsid w:val="008E4D6C"/>
    <w:rsid w:val="008E53D3"/>
    <w:rsid w:val="008E545E"/>
    <w:rsid w:val="008E5E37"/>
    <w:rsid w:val="008E6653"/>
    <w:rsid w:val="008E75EE"/>
    <w:rsid w:val="008E7A0C"/>
    <w:rsid w:val="008E7A86"/>
    <w:rsid w:val="008F0512"/>
    <w:rsid w:val="008F0725"/>
    <w:rsid w:val="008F08F5"/>
    <w:rsid w:val="008F0B0E"/>
    <w:rsid w:val="008F295C"/>
    <w:rsid w:val="008F2CEF"/>
    <w:rsid w:val="008F49DD"/>
    <w:rsid w:val="008F4C60"/>
    <w:rsid w:val="008F4C94"/>
    <w:rsid w:val="008F51F7"/>
    <w:rsid w:val="008F583C"/>
    <w:rsid w:val="008F5E5D"/>
    <w:rsid w:val="008F7591"/>
    <w:rsid w:val="008F7C72"/>
    <w:rsid w:val="0090020F"/>
    <w:rsid w:val="00900327"/>
    <w:rsid w:val="0090077E"/>
    <w:rsid w:val="00900903"/>
    <w:rsid w:val="0090155D"/>
    <w:rsid w:val="00901A30"/>
    <w:rsid w:val="00901CED"/>
    <w:rsid w:val="00901D34"/>
    <w:rsid w:val="00901EFF"/>
    <w:rsid w:val="00902A6D"/>
    <w:rsid w:val="009030C9"/>
    <w:rsid w:val="0090363B"/>
    <w:rsid w:val="00903BE1"/>
    <w:rsid w:val="0090423F"/>
    <w:rsid w:val="00904522"/>
    <w:rsid w:val="009048D9"/>
    <w:rsid w:val="00904AAF"/>
    <w:rsid w:val="00904CB3"/>
    <w:rsid w:val="009053D2"/>
    <w:rsid w:val="009062A5"/>
    <w:rsid w:val="00906650"/>
    <w:rsid w:val="00906A8D"/>
    <w:rsid w:val="0090719C"/>
    <w:rsid w:val="009071E1"/>
    <w:rsid w:val="00907639"/>
    <w:rsid w:val="00911484"/>
    <w:rsid w:val="00911988"/>
    <w:rsid w:val="009120A4"/>
    <w:rsid w:val="0091257D"/>
    <w:rsid w:val="00912650"/>
    <w:rsid w:val="00912997"/>
    <w:rsid w:val="00913899"/>
    <w:rsid w:val="00913BA6"/>
    <w:rsid w:val="00916343"/>
    <w:rsid w:val="00916F04"/>
    <w:rsid w:val="00917946"/>
    <w:rsid w:val="00920029"/>
    <w:rsid w:val="00920BFB"/>
    <w:rsid w:val="00920C2C"/>
    <w:rsid w:val="009225A1"/>
    <w:rsid w:val="00923570"/>
    <w:rsid w:val="00923A2F"/>
    <w:rsid w:val="00923CA6"/>
    <w:rsid w:val="0092494B"/>
    <w:rsid w:val="009251ED"/>
    <w:rsid w:val="00925E90"/>
    <w:rsid w:val="009265FB"/>
    <w:rsid w:val="00926CC9"/>
    <w:rsid w:val="00927C62"/>
    <w:rsid w:val="0093036D"/>
    <w:rsid w:val="009306FA"/>
    <w:rsid w:val="0093107D"/>
    <w:rsid w:val="00931D00"/>
    <w:rsid w:val="00931EA0"/>
    <w:rsid w:val="00932D82"/>
    <w:rsid w:val="009335F6"/>
    <w:rsid w:val="009339E5"/>
    <w:rsid w:val="0093403B"/>
    <w:rsid w:val="00934054"/>
    <w:rsid w:val="00934E91"/>
    <w:rsid w:val="00935663"/>
    <w:rsid w:val="009356C4"/>
    <w:rsid w:val="00935A9D"/>
    <w:rsid w:val="00937159"/>
    <w:rsid w:val="009374D0"/>
    <w:rsid w:val="00937AEA"/>
    <w:rsid w:val="00940C15"/>
    <w:rsid w:val="00940D77"/>
    <w:rsid w:val="009417F1"/>
    <w:rsid w:val="00942002"/>
    <w:rsid w:val="0094272D"/>
    <w:rsid w:val="0094288C"/>
    <w:rsid w:val="00942EF5"/>
    <w:rsid w:val="009431A5"/>
    <w:rsid w:val="0094369F"/>
    <w:rsid w:val="0094442B"/>
    <w:rsid w:val="00944EDC"/>
    <w:rsid w:val="009459B6"/>
    <w:rsid w:val="00945B5C"/>
    <w:rsid w:val="0094670C"/>
    <w:rsid w:val="00946DB3"/>
    <w:rsid w:val="00947034"/>
    <w:rsid w:val="00947300"/>
    <w:rsid w:val="0094763A"/>
    <w:rsid w:val="00947F70"/>
    <w:rsid w:val="0095021E"/>
    <w:rsid w:val="00950A8F"/>
    <w:rsid w:val="009515A9"/>
    <w:rsid w:val="00952104"/>
    <w:rsid w:val="0095256E"/>
    <w:rsid w:val="00953884"/>
    <w:rsid w:val="009550DF"/>
    <w:rsid w:val="0095522E"/>
    <w:rsid w:val="0095585A"/>
    <w:rsid w:val="00955C5C"/>
    <w:rsid w:val="00956EF3"/>
    <w:rsid w:val="00957BB0"/>
    <w:rsid w:val="00957F57"/>
    <w:rsid w:val="00960B95"/>
    <w:rsid w:val="00960C0F"/>
    <w:rsid w:val="00960EF9"/>
    <w:rsid w:val="00961464"/>
    <w:rsid w:val="00961673"/>
    <w:rsid w:val="009621B9"/>
    <w:rsid w:val="00962BEF"/>
    <w:rsid w:val="00962E73"/>
    <w:rsid w:val="00963C39"/>
    <w:rsid w:val="00963D11"/>
    <w:rsid w:val="00963E50"/>
    <w:rsid w:val="009646E6"/>
    <w:rsid w:val="00964814"/>
    <w:rsid w:val="00964882"/>
    <w:rsid w:val="00964D71"/>
    <w:rsid w:val="0096566E"/>
    <w:rsid w:val="009659A5"/>
    <w:rsid w:val="00965D2D"/>
    <w:rsid w:val="00966520"/>
    <w:rsid w:val="00966E68"/>
    <w:rsid w:val="0096731A"/>
    <w:rsid w:val="00967E78"/>
    <w:rsid w:val="00970ADA"/>
    <w:rsid w:val="00970BFA"/>
    <w:rsid w:val="00970DED"/>
    <w:rsid w:val="00970ECF"/>
    <w:rsid w:val="00971D65"/>
    <w:rsid w:val="00972216"/>
    <w:rsid w:val="0097254D"/>
    <w:rsid w:val="00973061"/>
    <w:rsid w:val="00973C48"/>
    <w:rsid w:val="00974AB3"/>
    <w:rsid w:val="00974D76"/>
    <w:rsid w:val="00974D8E"/>
    <w:rsid w:val="0097688E"/>
    <w:rsid w:val="00976E52"/>
    <w:rsid w:val="00977AAE"/>
    <w:rsid w:val="00980BA4"/>
    <w:rsid w:val="00982237"/>
    <w:rsid w:val="00983384"/>
    <w:rsid w:val="00983796"/>
    <w:rsid w:val="009842EE"/>
    <w:rsid w:val="009846A2"/>
    <w:rsid w:val="0098557D"/>
    <w:rsid w:val="00985731"/>
    <w:rsid w:val="00985776"/>
    <w:rsid w:val="00985AB6"/>
    <w:rsid w:val="009861AB"/>
    <w:rsid w:val="00986454"/>
    <w:rsid w:val="00986B58"/>
    <w:rsid w:val="00987502"/>
    <w:rsid w:val="009875D3"/>
    <w:rsid w:val="00987C7D"/>
    <w:rsid w:val="009907BC"/>
    <w:rsid w:val="00990C3D"/>
    <w:rsid w:val="00990C9C"/>
    <w:rsid w:val="00991829"/>
    <w:rsid w:val="00991CC1"/>
    <w:rsid w:val="00992E9E"/>
    <w:rsid w:val="0099309E"/>
    <w:rsid w:val="009932B0"/>
    <w:rsid w:val="0099352A"/>
    <w:rsid w:val="00993594"/>
    <w:rsid w:val="00993B54"/>
    <w:rsid w:val="00993F5E"/>
    <w:rsid w:val="0099425D"/>
    <w:rsid w:val="009952E7"/>
    <w:rsid w:val="00995742"/>
    <w:rsid w:val="0099583F"/>
    <w:rsid w:val="0099657A"/>
    <w:rsid w:val="00996599"/>
    <w:rsid w:val="00997543"/>
    <w:rsid w:val="009A13CD"/>
    <w:rsid w:val="009A21A8"/>
    <w:rsid w:val="009A23F0"/>
    <w:rsid w:val="009A274A"/>
    <w:rsid w:val="009A2A74"/>
    <w:rsid w:val="009A30A4"/>
    <w:rsid w:val="009A30A6"/>
    <w:rsid w:val="009A322F"/>
    <w:rsid w:val="009A3634"/>
    <w:rsid w:val="009A37E7"/>
    <w:rsid w:val="009A3BE0"/>
    <w:rsid w:val="009A451B"/>
    <w:rsid w:val="009A46CF"/>
    <w:rsid w:val="009A48F0"/>
    <w:rsid w:val="009A4D4C"/>
    <w:rsid w:val="009A506F"/>
    <w:rsid w:val="009A52CD"/>
    <w:rsid w:val="009A5386"/>
    <w:rsid w:val="009A540E"/>
    <w:rsid w:val="009A59A1"/>
    <w:rsid w:val="009A5B17"/>
    <w:rsid w:val="009A62F7"/>
    <w:rsid w:val="009A64B5"/>
    <w:rsid w:val="009A6F2A"/>
    <w:rsid w:val="009A7151"/>
    <w:rsid w:val="009A727D"/>
    <w:rsid w:val="009A7334"/>
    <w:rsid w:val="009A7845"/>
    <w:rsid w:val="009A7D48"/>
    <w:rsid w:val="009A7DC0"/>
    <w:rsid w:val="009B05C4"/>
    <w:rsid w:val="009B0CAD"/>
    <w:rsid w:val="009B148D"/>
    <w:rsid w:val="009B1CD5"/>
    <w:rsid w:val="009B213D"/>
    <w:rsid w:val="009B2290"/>
    <w:rsid w:val="009B2443"/>
    <w:rsid w:val="009B3037"/>
    <w:rsid w:val="009B31B7"/>
    <w:rsid w:val="009B3461"/>
    <w:rsid w:val="009B3BF8"/>
    <w:rsid w:val="009B3EE6"/>
    <w:rsid w:val="009B4FA0"/>
    <w:rsid w:val="009B50E3"/>
    <w:rsid w:val="009B5418"/>
    <w:rsid w:val="009B5CA0"/>
    <w:rsid w:val="009B5EB1"/>
    <w:rsid w:val="009B6240"/>
    <w:rsid w:val="009B645C"/>
    <w:rsid w:val="009B7101"/>
    <w:rsid w:val="009B71EE"/>
    <w:rsid w:val="009B7551"/>
    <w:rsid w:val="009B7898"/>
    <w:rsid w:val="009B7A37"/>
    <w:rsid w:val="009B7ED2"/>
    <w:rsid w:val="009C04C8"/>
    <w:rsid w:val="009C0B6C"/>
    <w:rsid w:val="009C13AA"/>
    <w:rsid w:val="009C1A86"/>
    <w:rsid w:val="009C26F9"/>
    <w:rsid w:val="009C2807"/>
    <w:rsid w:val="009C2C02"/>
    <w:rsid w:val="009C407D"/>
    <w:rsid w:val="009C48AE"/>
    <w:rsid w:val="009C4E5D"/>
    <w:rsid w:val="009C4F21"/>
    <w:rsid w:val="009C5A15"/>
    <w:rsid w:val="009C6B3D"/>
    <w:rsid w:val="009C6C66"/>
    <w:rsid w:val="009C7270"/>
    <w:rsid w:val="009C7A57"/>
    <w:rsid w:val="009C7E79"/>
    <w:rsid w:val="009D0141"/>
    <w:rsid w:val="009D0A70"/>
    <w:rsid w:val="009D0F62"/>
    <w:rsid w:val="009D1756"/>
    <w:rsid w:val="009D1A6F"/>
    <w:rsid w:val="009D1D19"/>
    <w:rsid w:val="009D2CFE"/>
    <w:rsid w:val="009D3059"/>
    <w:rsid w:val="009D3403"/>
    <w:rsid w:val="009D384B"/>
    <w:rsid w:val="009D3A5D"/>
    <w:rsid w:val="009D3D6D"/>
    <w:rsid w:val="009D4140"/>
    <w:rsid w:val="009D41E4"/>
    <w:rsid w:val="009D49EB"/>
    <w:rsid w:val="009D4B5F"/>
    <w:rsid w:val="009D52C0"/>
    <w:rsid w:val="009D53EE"/>
    <w:rsid w:val="009D6477"/>
    <w:rsid w:val="009D70E4"/>
    <w:rsid w:val="009D749D"/>
    <w:rsid w:val="009D7527"/>
    <w:rsid w:val="009D7822"/>
    <w:rsid w:val="009D788C"/>
    <w:rsid w:val="009D78EE"/>
    <w:rsid w:val="009D7BDB"/>
    <w:rsid w:val="009D7D46"/>
    <w:rsid w:val="009E0F22"/>
    <w:rsid w:val="009E1195"/>
    <w:rsid w:val="009E1FA5"/>
    <w:rsid w:val="009E26CC"/>
    <w:rsid w:val="009E32BF"/>
    <w:rsid w:val="009E3B84"/>
    <w:rsid w:val="009E3CAB"/>
    <w:rsid w:val="009E3F5C"/>
    <w:rsid w:val="009E41B3"/>
    <w:rsid w:val="009E452E"/>
    <w:rsid w:val="009E50F0"/>
    <w:rsid w:val="009E59CB"/>
    <w:rsid w:val="009E5D8C"/>
    <w:rsid w:val="009E6398"/>
    <w:rsid w:val="009E64BD"/>
    <w:rsid w:val="009E75C6"/>
    <w:rsid w:val="009E78D6"/>
    <w:rsid w:val="009E7A79"/>
    <w:rsid w:val="009E7BC4"/>
    <w:rsid w:val="009F043A"/>
    <w:rsid w:val="009F05A8"/>
    <w:rsid w:val="009F109B"/>
    <w:rsid w:val="009F1D77"/>
    <w:rsid w:val="009F1E1A"/>
    <w:rsid w:val="009F2642"/>
    <w:rsid w:val="009F46BF"/>
    <w:rsid w:val="009F5737"/>
    <w:rsid w:val="009F5D68"/>
    <w:rsid w:val="009F6602"/>
    <w:rsid w:val="009F6BAC"/>
    <w:rsid w:val="009F6C8B"/>
    <w:rsid w:val="009F70C0"/>
    <w:rsid w:val="009F7396"/>
    <w:rsid w:val="009F78DA"/>
    <w:rsid w:val="00A002DC"/>
    <w:rsid w:val="00A005E7"/>
    <w:rsid w:val="00A007B4"/>
    <w:rsid w:val="00A00B43"/>
    <w:rsid w:val="00A011F3"/>
    <w:rsid w:val="00A01554"/>
    <w:rsid w:val="00A0156E"/>
    <w:rsid w:val="00A019ED"/>
    <w:rsid w:val="00A01BB1"/>
    <w:rsid w:val="00A02A0B"/>
    <w:rsid w:val="00A02EDD"/>
    <w:rsid w:val="00A0307E"/>
    <w:rsid w:val="00A0311E"/>
    <w:rsid w:val="00A0335A"/>
    <w:rsid w:val="00A0394D"/>
    <w:rsid w:val="00A03F5A"/>
    <w:rsid w:val="00A04083"/>
    <w:rsid w:val="00A042D8"/>
    <w:rsid w:val="00A04AC3"/>
    <w:rsid w:val="00A04C30"/>
    <w:rsid w:val="00A054BD"/>
    <w:rsid w:val="00A0559A"/>
    <w:rsid w:val="00A05F81"/>
    <w:rsid w:val="00A0677E"/>
    <w:rsid w:val="00A069CE"/>
    <w:rsid w:val="00A07293"/>
    <w:rsid w:val="00A07848"/>
    <w:rsid w:val="00A07974"/>
    <w:rsid w:val="00A07FDE"/>
    <w:rsid w:val="00A117AC"/>
    <w:rsid w:val="00A11CCE"/>
    <w:rsid w:val="00A121E5"/>
    <w:rsid w:val="00A128D3"/>
    <w:rsid w:val="00A132DD"/>
    <w:rsid w:val="00A13687"/>
    <w:rsid w:val="00A148AA"/>
    <w:rsid w:val="00A14DAC"/>
    <w:rsid w:val="00A150A5"/>
    <w:rsid w:val="00A16322"/>
    <w:rsid w:val="00A1722F"/>
    <w:rsid w:val="00A17F9F"/>
    <w:rsid w:val="00A20065"/>
    <w:rsid w:val="00A20329"/>
    <w:rsid w:val="00A2070A"/>
    <w:rsid w:val="00A2081E"/>
    <w:rsid w:val="00A20A7D"/>
    <w:rsid w:val="00A20B71"/>
    <w:rsid w:val="00A214FF"/>
    <w:rsid w:val="00A21969"/>
    <w:rsid w:val="00A22120"/>
    <w:rsid w:val="00A22524"/>
    <w:rsid w:val="00A23563"/>
    <w:rsid w:val="00A2415E"/>
    <w:rsid w:val="00A24393"/>
    <w:rsid w:val="00A24A1F"/>
    <w:rsid w:val="00A24D3D"/>
    <w:rsid w:val="00A25280"/>
    <w:rsid w:val="00A2547D"/>
    <w:rsid w:val="00A25CA6"/>
    <w:rsid w:val="00A26018"/>
    <w:rsid w:val="00A27216"/>
    <w:rsid w:val="00A2770B"/>
    <w:rsid w:val="00A2782C"/>
    <w:rsid w:val="00A300B1"/>
    <w:rsid w:val="00A30557"/>
    <w:rsid w:val="00A30A74"/>
    <w:rsid w:val="00A30B15"/>
    <w:rsid w:val="00A310D3"/>
    <w:rsid w:val="00A3182B"/>
    <w:rsid w:val="00A3199F"/>
    <w:rsid w:val="00A31B9E"/>
    <w:rsid w:val="00A324C5"/>
    <w:rsid w:val="00A32974"/>
    <w:rsid w:val="00A32F2E"/>
    <w:rsid w:val="00A33DCE"/>
    <w:rsid w:val="00A35FF2"/>
    <w:rsid w:val="00A368FB"/>
    <w:rsid w:val="00A40BCF"/>
    <w:rsid w:val="00A410B1"/>
    <w:rsid w:val="00A4164D"/>
    <w:rsid w:val="00A41B00"/>
    <w:rsid w:val="00A459EF"/>
    <w:rsid w:val="00A465A0"/>
    <w:rsid w:val="00A46E3A"/>
    <w:rsid w:val="00A4768E"/>
    <w:rsid w:val="00A47B2C"/>
    <w:rsid w:val="00A47E79"/>
    <w:rsid w:val="00A51847"/>
    <w:rsid w:val="00A520C3"/>
    <w:rsid w:val="00A52129"/>
    <w:rsid w:val="00A52A4D"/>
    <w:rsid w:val="00A53598"/>
    <w:rsid w:val="00A535A4"/>
    <w:rsid w:val="00A537EB"/>
    <w:rsid w:val="00A55730"/>
    <w:rsid w:val="00A55956"/>
    <w:rsid w:val="00A559D4"/>
    <w:rsid w:val="00A55D69"/>
    <w:rsid w:val="00A55D6C"/>
    <w:rsid w:val="00A56C15"/>
    <w:rsid w:val="00A57EC2"/>
    <w:rsid w:val="00A60109"/>
    <w:rsid w:val="00A60149"/>
    <w:rsid w:val="00A6089F"/>
    <w:rsid w:val="00A60A10"/>
    <w:rsid w:val="00A60BE9"/>
    <w:rsid w:val="00A6195A"/>
    <w:rsid w:val="00A61B2C"/>
    <w:rsid w:val="00A632AF"/>
    <w:rsid w:val="00A63A1A"/>
    <w:rsid w:val="00A63F21"/>
    <w:rsid w:val="00A644AE"/>
    <w:rsid w:val="00A65EC4"/>
    <w:rsid w:val="00A66205"/>
    <w:rsid w:val="00A66F4B"/>
    <w:rsid w:val="00A66F9C"/>
    <w:rsid w:val="00A6725E"/>
    <w:rsid w:val="00A67363"/>
    <w:rsid w:val="00A67994"/>
    <w:rsid w:val="00A67C0C"/>
    <w:rsid w:val="00A700E5"/>
    <w:rsid w:val="00A70805"/>
    <w:rsid w:val="00A71045"/>
    <w:rsid w:val="00A71484"/>
    <w:rsid w:val="00A7198C"/>
    <w:rsid w:val="00A71D43"/>
    <w:rsid w:val="00A72015"/>
    <w:rsid w:val="00A720F5"/>
    <w:rsid w:val="00A72592"/>
    <w:rsid w:val="00A727D9"/>
    <w:rsid w:val="00A729AE"/>
    <w:rsid w:val="00A72C25"/>
    <w:rsid w:val="00A72D6E"/>
    <w:rsid w:val="00A73862"/>
    <w:rsid w:val="00A74346"/>
    <w:rsid w:val="00A76411"/>
    <w:rsid w:val="00A77EB4"/>
    <w:rsid w:val="00A77F9B"/>
    <w:rsid w:val="00A809ED"/>
    <w:rsid w:val="00A814A5"/>
    <w:rsid w:val="00A81A46"/>
    <w:rsid w:val="00A81CCC"/>
    <w:rsid w:val="00A82433"/>
    <w:rsid w:val="00A826E5"/>
    <w:rsid w:val="00A82730"/>
    <w:rsid w:val="00A82B6B"/>
    <w:rsid w:val="00A82ECD"/>
    <w:rsid w:val="00A83BB5"/>
    <w:rsid w:val="00A84584"/>
    <w:rsid w:val="00A84E2A"/>
    <w:rsid w:val="00A850FE"/>
    <w:rsid w:val="00A854B5"/>
    <w:rsid w:val="00A85D7C"/>
    <w:rsid w:val="00A85FFD"/>
    <w:rsid w:val="00A865E3"/>
    <w:rsid w:val="00A90227"/>
    <w:rsid w:val="00A90448"/>
    <w:rsid w:val="00A905E9"/>
    <w:rsid w:val="00A906FA"/>
    <w:rsid w:val="00A90E02"/>
    <w:rsid w:val="00A923C5"/>
    <w:rsid w:val="00A93044"/>
    <w:rsid w:val="00A93050"/>
    <w:rsid w:val="00A9333D"/>
    <w:rsid w:val="00A936F4"/>
    <w:rsid w:val="00A942AC"/>
    <w:rsid w:val="00A94403"/>
    <w:rsid w:val="00A94412"/>
    <w:rsid w:val="00A94417"/>
    <w:rsid w:val="00A9449D"/>
    <w:rsid w:val="00A9483C"/>
    <w:rsid w:val="00A95D92"/>
    <w:rsid w:val="00A962A8"/>
    <w:rsid w:val="00A96570"/>
    <w:rsid w:val="00A97759"/>
    <w:rsid w:val="00A97AA7"/>
    <w:rsid w:val="00A97B74"/>
    <w:rsid w:val="00A97C71"/>
    <w:rsid w:val="00AA1962"/>
    <w:rsid w:val="00AA2E91"/>
    <w:rsid w:val="00AA39D2"/>
    <w:rsid w:val="00AA3CDC"/>
    <w:rsid w:val="00AA3E28"/>
    <w:rsid w:val="00AA5202"/>
    <w:rsid w:val="00AA5BAD"/>
    <w:rsid w:val="00AA5F63"/>
    <w:rsid w:val="00AA6204"/>
    <w:rsid w:val="00AA66C7"/>
    <w:rsid w:val="00AA735C"/>
    <w:rsid w:val="00AA7570"/>
    <w:rsid w:val="00AA7D5D"/>
    <w:rsid w:val="00AA7DBB"/>
    <w:rsid w:val="00AA7EAD"/>
    <w:rsid w:val="00AA7F43"/>
    <w:rsid w:val="00AA7FD1"/>
    <w:rsid w:val="00AB0852"/>
    <w:rsid w:val="00AB1046"/>
    <w:rsid w:val="00AB118D"/>
    <w:rsid w:val="00AB1A8E"/>
    <w:rsid w:val="00AB1D2B"/>
    <w:rsid w:val="00AB22B6"/>
    <w:rsid w:val="00AB2BF6"/>
    <w:rsid w:val="00AB3270"/>
    <w:rsid w:val="00AB3A88"/>
    <w:rsid w:val="00AB4359"/>
    <w:rsid w:val="00AB489B"/>
    <w:rsid w:val="00AB5043"/>
    <w:rsid w:val="00AB5437"/>
    <w:rsid w:val="00AB60AE"/>
    <w:rsid w:val="00AB618A"/>
    <w:rsid w:val="00AB6F88"/>
    <w:rsid w:val="00AB7178"/>
    <w:rsid w:val="00AB720B"/>
    <w:rsid w:val="00AB7AB1"/>
    <w:rsid w:val="00AB7AFB"/>
    <w:rsid w:val="00AB7BCA"/>
    <w:rsid w:val="00AC00B8"/>
    <w:rsid w:val="00AC1C98"/>
    <w:rsid w:val="00AC1CB0"/>
    <w:rsid w:val="00AC244C"/>
    <w:rsid w:val="00AC2527"/>
    <w:rsid w:val="00AC2795"/>
    <w:rsid w:val="00AC2F60"/>
    <w:rsid w:val="00AC3129"/>
    <w:rsid w:val="00AC320B"/>
    <w:rsid w:val="00AC32EA"/>
    <w:rsid w:val="00AC3788"/>
    <w:rsid w:val="00AC4005"/>
    <w:rsid w:val="00AC4160"/>
    <w:rsid w:val="00AC463C"/>
    <w:rsid w:val="00AC710E"/>
    <w:rsid w:val="00AC7574"/>
    <w:rsid w:val="00AC7844"/>
    <w:rsid w:val="00AD00E8"/>
    <w:rsid w:val="00AD077F"/>
    <w:rsid w:val="00AD10F2"/>
    <w:rsid w:val="00AD11C7"/>
    <w:rsid w:val="00AD197D"/>
    <w:rsid w:val="00AD2783"/>
    <w:rsid w:val="00AD2C00"/>
    <w:rsid w:val="00AD3157"/>
    <w:rsid w:val="00AD31F6"/>
    <w:rsid w:val="00AD4159"/>
    <w:rsid w:val="00AD42DF"/>
    <w:rsid w:val="00AD45DB"/>
    <w:rsid w:val="00AD46EE"/>
    <w:rsid w:val="00AD4F2B"/>
    <w:rsid w:val="00AD5796"/>
    <w:rsid w:val="00AD5907"/>
    <w:rsid w:val="00AD5FC5"/>
    <w:rsid w:val="00AD7284"/>
    <w:rsid w:val="00AD73DA"/>
    <w:rsid w:val="00AD7795"/>
    <w:rsid w:val="00AD784C"/>
    <w:rsid w:val="00AD7868"/>
    <w:rsid w:val="00AE00C7"/>
    <w:rsid w:val="00AE0D3F"/>
    <w:rsid w:val="00AE199F"/>
    <w:rsid w:val="00AE29E9"/>
    <w:rsid w:val="00AE2EE7"/>
    <w:rsid w:val="00AE3F96"/>
    <w:rsid w:val="00AE4091"/>
    <w:rsid w:val="00AE4350"/>
    <w:rsid w:val="00AE44E3"/>
    <w:rsid w:val="00AE48F3"/>
    <w:rsid w:val="00AE5773"/>
    <w:rsid w:val="00AE5B1B"/>
    <w:rsid w:val="00AE62C0"/>
    <w:rsid w:val="00AE6F88"/>
    <w:rsid w:val="00AE75AC"/>
    <w:rsid w:val="00AE7942"/>
    <w:rsid w:val="00AE7CD1"/>
    <w:rsid w:val="00AE7FC3"/>
    <w:rsid w:val="00AF0634"/>
    <w:rsid w:val="00AF1D83"/>
    <w:rsid w:val="00AF1FF3"/>
    <w:rsid w:val="00AF2870"/>
    <w:rsid w:val="00AF2AFF"/>
    <w:rsid w:val="00AF3079"/>
    <w:rsid w:val="00AF35C2"/>
    <w:rsid w:val="00AF3757"/>
    <w:rsid w:val="00AF3763"/>
    <w:rsid w:val="00AF3C11"/>
    <w:rsid w:val="00AF421A"/>
    <w:rsid w:val="00AF4943"/>
    <w:rsid w:val="00AF56A5"/>
    <w:rsid w:val="00AF66B9"/>
    <w:rsid w:val="00AF73F8"/>
    <w:rsid w:val="00AF7426"/>
    <w:rsid w:val="00B0032C"/>
    <w:rsid w:val="00B0112A"/>
    <w:rsid w:val="00B013A6"/>
    <w:rsid w:val="00B01449"/>
    <w:rsid w:val="00B025C7"/>
    <w:rsid w:val="00B02C13"/>
    <w:rsid w:val="00B02F97"/>
    <w:rsid w:val="00B02FA2"/>
    <w:rsid w:val="00B03AB0"/>
    <w:rsid w:val="00B0588D"/>
    <w:rsid w:val="00B05C35"/>
    <w:rsid w:val="00B06FF5"/>
    <w:rsid w:val="00B0747C"/>
    <w:rsid w:val="00B077D7"/>
    <w:rsid w:val="00B07C6C"/>
    <w:rsid w:val="00B07D7E"/>
    <w:rsid w:val="00B1014C"/>
    <w:rsid w:val="00B10189"/>
    <w:rsid w:val="00B102AB"/>
    <w:rsid w:val="00B10A73"/>
    <w:rsid w:val="00B11016"/>
    <w:rsid w:val="00B1133D"/>
    <w:rsid w:val="00B12004"/>
    <w:rsid w:val="00B12028"/>
    <w:rsid w:val="00B134F1"/>
    <w:rsid w:val="00B13BAB"/>
    <w:rsid w:val="00B144E6"/>
    <w:rsid w:val="00B145E0"/>
    <w:rsid w:val="00B14BF9"/>
    <w:rsid w:val="00B15557"/>
    <w:rsid w:val="00B164DB"/>
    <w:rsid w:val="00B165C6"/>
    <w:rsid w:val="00B16758"/>
    <w:rsid w:val="00B16DE3"/>
    <w:rsid w:val="00B1702C"/>
    <w:rsid w:val="00B178CE"/>
    <w:rsid w:val="00B200AE"/>
    <w:rsid w:val="00B206DC"/>
    <w:rsid w:val="00B20909"/>
    <w:rsid w:val="00B20AE8"/>
    <w:rsid w:val="00B20DB0"/>
    <w:rsid w:val="00B22131"/>
    <w:rsid w:val="00B22DD1"/>
    <w:rsid w:val="00B2345B"/>
    <w:rsid w:val="00B23722"/>
    <w:rsid w:val="00B2378C"/>
    <w:rsid w:val="00B240AB"/>
    <w:rsid w:val="00B245E2"/>
    <w:rsid w:val="00B247FF"/>
    <w:rsid w:val="00B2481E"/>
    <w:rsid w:val="00B24947"/>
    <w:rsid w:val="00B251AB"/>
    <w:rsid w:val="00B259F1"/>
    <w:rsid w:val="00B25EB4"/>
    <w:rsid w:val="00B26635"/>
    <w:rsid w:val="00B26793"/>
    <w:rsid w:val="00B26A2C"/>
    <w:rsid w:val="00B27264"/>
    <w:rsid w:val="00B27B4D"/>
    <w:rsid w:val="00B3046A"/>
    <w:rsid w:val="00B30B23"/>
    <w:rsid w:val="00B310EA"/>
    <w:rsid w:val="00B32081"/>
    <w:rsid w:val="00B347DA"/>
    <w:rsid w:val="00B34C28"/>
    <w:rsid w:val="00B3503D"/>
    <w:rsid w:val="00B350C8"/>
    <w:rsid w:val="00B3518A"/>
    <w:rsid w:val="00B356B4"/>
    <w:rsid w:val="00B3585F"/>
    <w:rsid w:val="00B36A50"/>
    <w:rsid w:val="00B4089D"/>
    <w:rsid w:val="00B40DD2"/>
    <w:rsid w:val="00B42111"/>
    <w:rsid w:val="00B432F6"/>
    <w:rsid w:val="00B43AC8"/>
    <w:rsid w:val="00B43FB3"/>
    <w:rsid w:val="00B44062"/>
    <w:rsid w:val="00B44785"/>
    <w:rsid w:val="00B447C4"/>
    <w:rsid w:val="00B448B2"/>
    <w:rsid w:val="00B4527E"/>
    <w:rsid w:val="00B453D1"/>
    <w:rsid w:val="00B46323"/>
    <w:rsid w:val="00B47E33"/>
    <w:rsid w:val="00B509EF"/>
    <w:rsid w:val="00B512A7"/>
    <w:rsid w:val="00B515F7"/>
    <w:rsid w:val="00B51694"/>
    <w:rsid w:val="00B51758"/>
    <w:rsid w:val="00B518F0"/>
    <w:rsid w:val="00B51A49"/>
    <w:rsid w:val="00B51BFE"/>
    <w:rsid w:val="00B52F6B"/>
    <w:rsid w:val="00B53CE0"/>
    <w:rsid w:val="00B54870"/>
    <w:rsid w:val="00B54D9F"/>
    <w:rsid w:val="00B54DBF"/>
    <w:rsid w:val="00B54F33"/>
    <w:rsid w:val="00B551C4"/>
    <w:rsid w:val="00B55220"/>
    <w:rsid w:val="00B55C95"/>
    <w:rsid w:val="00B56E18"/>
    <w:rsid w:val="00B570C5"/>
    <w:rsid w:val="00B60325"/>
    <w:rsid w:val="00B61798"/>
    <w:rsid w:val="00B617A4"/>
    <w:rsid w:val="00B61804"/>
    <w:rsid w:val="00B618BB"/>
    <w:rsid w:val="00B62172"/>
    <w:rsid w:val="00B625B7"/>
    <w:rsid w:val="00B627AE"/>
    <w:rsid w:val="00B62A76"/>
    <w:rsid w:val="00B62CC4"/>
    <w:rsid w:val="00B63E34"/>
    <w:rsid w:val="00B6403D"/>
    <w:rsid w:val="00B646E2"/>
    <w:rsid w:val="00B64D8D"/>
    <w:rsid w:val="00B64E68"/>
    <w:rsid w:val="00B6695B"/>
    <w:rsid w:val="00B670F3"/>
    <w:rsid w:val="00B67779"/>
    <w:rsid w:val="00B7005A"/>
    <w:rsid w:val="00B7034B"/>
    <w:rsid w:val="00B707A7"/>
    <w:rsid w:val="00B707D7"/>
    <w:rsid w:val="00B7092B"/>
    <w:rsid w:val="00B710FD"/>
    <w:rsid w:val="00B71684"/>
    <w:rsid w:val="00B72A9E"/>
    <w:rsid w:val="00B7309C"/>
    <w:rsid w:val="00B7313B"/>
    <w:rsid w:val="00B732DC"/>
    <w:rsid w:val="00B7352C"/>
    <w:rsid w:val="00B7353C"/>
    <w:rsid w:val="00B7367B"/>
    <w:rsid w:val="00B742F9"/>
    <w:rsid w:val="00B74441"/>
    <w:rsid w:val="00B74994"/>
    <w:rsid w:val="00B74C98"/>
    <w:rsid w:val="00B74D9A"/>
    <w:rsid w:val="00B753A6"/>
    <w:rsid w:val="00B7581D"/>
    <w:rsid w:val="00B7637B"/>
    <w:rsid w:val="00B76390"/>
    <w:rsid w:val="00B76C70"/>
    <w:rsid w:val="00B76D5C"/>
    <w:rsid w:val="00B77FDF"/>
    <w:rsid w:val="00B80141"/>
    <w:rsid w:val="00B80C79"/>
    <w:rsid w:val="00B81810"/>
    <w:rsid w:val="00B81CF6"/>
    <w:rsid w:val="00B81F3E"/>
    <w:rsid w:val="00B81FF6"/>
    <w:rsid w:val="00B823EE"/>
    <w:rsid w:val="00B83849"/>
    <w:rsid w:val="00B84227"/>
    <w:rsid w:val="00B845D4"/>
    <w:rsid w:val="00B848D5"/>
    <w:rsid w:val="00B84C0D"/>
    <w:rsid w:val="00B84FAA"/>
    <w:rsid w:val="00B84FF1"/>
    <w:rsid w:val="00B8556B"/>
    <w:rsid w:val="00B85ACE"/>
    <w:rsid w:val="00B85C25"/>
    <w:rsid w:val="00B85DF4"/>
    <w:rsid w:val="00B862DC"/>
    <w:rsid w:val="00B8656D"/>
    <w:rsid w:val="00B86810"/>
    <w:rsid w:val="00B869A2"/>
    <w:rsid w:val="00B86B82"/>
    <w:rsid w:val="00B86D6C"/>
    <w:rsid w:val="00B87CC6"/>
    <w:rsid w:val="00B87DCB"/>
    <w:rsid w:val="00B87EAF"/>
    <w:rsid w:val="00B90733"/>
    <w:rsid w:val="00B915EE"/>
    <w:rsid w:val="00B92999"/>
    <w:rsid w:val="00B93142"/>
    <w:rsid w:val="00B93263"/>
    <w:rsid w:val="00B94111"/>
    <w:rsid w:val="00B941E5"/>
    <w:rsid w:val="00B94288"/>
    <w:rsid w:val="00B96380"/>
    <w:rsid w:val="00B96A5D"/>
    <w:rsid w:val="00B96F2C"/>
    <w:rsid w:val="00B96F7A"/>
    <w:rsid w:val="00B972C5"/>
    <w:rsid w:val="00BA14CD"/>
    <w:rsid w:val="00BA18A0"/>
    <w:rsid w:val="00BA2376"/>
    <w:rsid w:val="00BA2782"/>
    <w:rsid w:val="00BA31DD"/>
    <w:rsid w:val="00BA33B1"/>
    <w:rsid w:val="00BA3C35"/>
    <w:rsid w:val="00BA41FB"/>
    <w:rsid w:val="00BA426F"/>
    <w:rsid w:val="00BA4495"/>
    <w:rsid w:val="00BA4959"/>
    <w:rsid w:val="00BA4B47"/>
    <w:rsid w:val="00BA58D3"/>
    <w:rsid w:val="00BA7350"/>
    <w:rsid w:val="00BA7588"/>
    <w:rsid w:val="00BA7638"/>
    <w:rsid w:val="00BA76B0"/>
    <w:rsid w:val="00BA7AE7"/>
    <w:rsid w:val="00BB06E7"/>
    <w:rsid w:val="00BB08A2"/>
    <w:rsid w:val="00BB0B73"/>
    <w:rsid w:val="00BB0D6B"/>
    <w:rsid w:val="00BB1FBE"/>
    <w:rsid w:val="00BB28F4"/>
    <w:rsid w:val="00BB3643"/>
    <w:rsid w:val="00BB3805"/>
    <w:rsid w:val="00BB3970"/>
    <w:rsid w:val="00BB3C7D"/>
    <w:rsid w:val="00BB414C"/>
    <w:rsid w:val="00BB4A05"/>
    <w:rsid w:val="00BB5474"/>
    <w:rsid w:val="00BB57B2"/>
    <w:rsid w:val="00BB5C46"/>
    <w:rsid w:val="00BB64DF"/>
    <w:rsid w:val="00BB656B"/>
    <w:rsid w:val="00BB6651"/>
    <w:rsid w:val="00BB70D8"/>
    <w:rsid w:val="00BB78DF"/>
    <w:rsid w:val="00BB7927"/>
    <w:rsid w:val="00BB7A3B"/>
    <w:rsid w:val="00BB7B14"/>
    <w:rsid w:val="00BB7BAB"/>
    <w:rsid w:val="00BC0258"/>
    <w:rsid w:val="00BC02D2"/>
    <w:rsid w:val="00BC096C"/>
    <w:rsid w:val="00BC0ECF"/>
    <w:rsid w:val="00BC18A5"/>
    <w:rsid w:val="00BC1D78"/>
    <w:rsid w:val="00BC20D6"/>
    <w:rsid w:val="00BC2128"/>
    <w:rsid w:val="00BC2261"/>
    <w:rsid w:val="00BC25E1"/>
    <w:rsid w:val="00BC2CB1"/>
    <w:rsid w:val="00BC3680"/>
    <w:rsid w:val="00BC3C1D"/>
    <w:rsid w:val="00BC3EC0"/>
    <w:rsid w:val="00BC43D9"/>
    <w:rsid w:val="00BC4713"/>
    <w:rsid w:val="00BC4FE4"/>
    <w:rsid w:val="00BC544C"/>
    <w:rsid w:val="00BC571C"/>
    <w:rsid w:val="00BC656C"/>
    <w:rsid w:val="00BC65EC"/>
    <w:rsid w:val="00BC65F2"/>
    <w:rsid w:val="00BC6600"/>
    <w:rsid w:val="00BC6E95"/>
    <w:rsid w:val="00BD01C1"/>
    <w:rsid w:val="00BD05A9"/>
    <w:rsid w:val="00BD06CB"/>
    <w:rsid w:val="00BD1656"/>
    <w:rsid w:val="00BD1884"/>
    <w:rsid w:val="00BD191A"/>
    <w:rsid w:val="00BD1B11"/>
    <w:rsid w:val="00BD1C68"/>
    <w:rsid w:val="00BD226E"/>
    <w:rsid w:val="00BD24E9"/>
    <w:rsid w:val="00BD28A2"/>
    <w:rsid w:val="00BD2A0B"/>
    <w:rsid w:val="00BD2F48"/>
    <w:rsid w:val="00BD3315"/>
    <w:rsid w:val="00BD3898"/>
    <w:rsid w:val="00BD3B74"/>
    <w:rsid w:val="00BD470C"/>
    <w:rsid w:val="00BD672E"/>
    <w:rsid w:val="00BD698E"/>
    <w:rsid w:val="00BD7528"/>
    <w:rsid w:val="00BD75D2"/>
    <w:rsid w:val="00BD7AF4"/>
    <w:rsid w:val="00BE0073"/>
    <w:rsid w:val="00BE09A9"/>
    <w:rsid w:val="00BE1142"/>
    <w:rsid w:val="00BE126F"/>
    <w:rsid w:val="00BE14AE"/>
    <w:rsid w:val="00BE1850"/>
    <w:rsid w:val="00BE1BE0"/>
    <w:rsid w:val="00BE204E"/>
    <w:rsid w:val="00BE2425"/>
    <w:rsid w:val="00BE260B"/>
    <w:rsid w:val="00BE2E80"/>
    <w:rsid w:val="00BE3A0F"/>
    <w:rsid w:val="00BE3A27"/>
    <w:rsid w:val="00BE4159"/>
    <w:rsid w:val="00BE4B24"/>
    <w:rsid w:val="00BE4C72"/>
    <w:rsid w:val="00BE4E37"/>
    <w:rsid w:val="00BE52CF"/>
    <w:rsid w:val="00BE5C71"/>
    <w:rsid w:val="00BE5D77"/>
    <w:rsid w:val="00BE5E09"/>
    <w:rsid w:val="00BE5E2C"/>
    <w:rsid w:val="00BE64DF"/>
    <w:rsid w:val="00BE6724"/>
    <w:rsid w:val="00BE6A7C"/>
    <w:rsid w:val="00BE6D1E"/>
    <w:rsid w:val="00BE7372"/>
    <w:rsid w:val="00BE74A1"/>
    <w:rsid w:val="00BE7FBC"/>
    <w:rsid w:val="00BF02A1"/>
    <w:rsid w:val="00BF0491"/>
    <w:rsid w:val="00BF0692"/>
    <w:rsid w:val="00BF0ED1"/>
    <w:rsid w:val="00BF0EF7"/>
    <w:rsid w:val="00BF17E9"/>
    <w:rsid w:val="00BF1F6E"/>
    <w:rsid w:val="00BF2A25"/>
    <w:rsid w:val="00BF3474"/>
    <w:rsid w:val="00BF3A5A"/>
    <w:rsid w:val="00BF3DAE"/>
    <w:rsid w:val="00BF3EFD"/>
    <w:rsid w:val="00BF4046"/>
    <w:rsid w:val="00BF4474"/>
    <w:rsid w:val="00BF46B1"/>
    <w:rsid w:val="00BF4827"/>
    <w:rsid w:val="00BF4E43"/>
    <w:rsid w:val="00BF54F6"/>
    <w:rsid w:val="00BF5899"/>
    <w:rsid w:val="00BF5C7D"/>
    <w:rsid w:val="00BF5EED"/>
    <w:rsid w:val="00BF647D"/>
    <w:rsid w:val="00BF6DF9"/>
    <w:rsid w:val="00BF6E2B"/>
    <w:rsid w:val="00BF7931"/>
    <w:rsid w:val="00C003AA"/>
    <w:rsid w:val="00C00BDC"/>
    <w:rsid w:val="00C01054"/>
    <w:rsid w:val="00C017DA"/>
    <w:rsid w:val="00C01987"/>
    <w:rsid w:val="00C01D7C"/>
    <w:rsid w:val="00C02445"/>
    <w:rsid w:val="00C02A5E"/>
    <w:rsid w:val="00C02C27"/>
    <w:rsid w:val="00C02F06"/>
    <w:rsid w:val="00C03726"/>
    <w:rsid w:val="00C03A3D"/>
    <w:rsid w:val="00C04076"/>
    <w:rsid w:val="00C04B51"/>
    <w:rsid w:val="00C0506F"/>
    <w:rsid w:val="00C0571E"/>
    <w:rsid w:val="00C05A8D"/>
    <w:rsid w:val="00C05F84"/>
    <w:rsid w:val="00C06B23"/>
    <w:rsid w:val="00C06D3A"/>
    <w:rsid w:val="00C076E0"/>
    <w:rsid w:val="00C07868"/>
    <w:rsid w:val="00C07DD8"/>
    <w:rsid w:val="00C07EC2"/>
    <w:rsid w:val="00C1010D"/>
    <w:rsid w:val="00C103EE"/>
    <w:rsid w:val="00C1086D"/>
    <w:rsid w:val="00C11401"/>
    <w:rsid w:val="00C116FA"/>
    <w:rsid w:val="00C11A27"/>
    <w:rsid w:val="00C1272D"/>
    <w:rsid w:val="00C12B21"/>
    <w:rsid w:val="00C13660"/>
    <w:rsid w:val="00C13908"/>
    <w:rsid w:val="00C13939"/>
    <w:rsid w:val="00C1395B"/>
    <w:rsid w:val="00C13E5F"/>
    <w:rsid w:val="00C1477E"/>
    <w:rsid w:val="00C14A09"/>
    <w:rsid w:val="00C14D5B"/>
    <w:rsid w:val="00C14DBD"/>
    <w:rsid w:val="00C1532C"/>
    <w:rsid w:val="00C16963"/>
    <w:rsid w:val="00C16C36"/>
    <w:rsid w:val="00C16CF5"/>
    <w:rsid w:val="00C174E3"/>
    <w:rsid w:val="00C175D3"/>
    <w:rsid w:val="00C17AAF"/>
    <w:rsid w:val="00C17DA5"/>
    <w:rsid w:val="00C20A72"/>
    <w:rsid w:val="00C21D3C"/>
    <w:rsid w:val="00C228D5"/>
    <w:rsid w:val="00C22CF2"/>
    <w:rsid w:val="00C22EB5"/>
    <w:rsid w:val="00C22ECB"/>
    <w:rsid w:val="00C23030"/>
    <w:rsid w:val="00C23B57"/>
    <w:rsid w:val="00C23F6A"/>
    <w:rsid w:val="00C23FC6"/>
    <w:rsid w:val="00C244F0"/>
    <w:rsid w:val="00C24A7D"/>
    <w:rsid w:val="00C254A0"/>
    <w:rsid w:val="00C254F1"/>
    <w:rsid w:val="00C2566C"/>
    <w:rsid w:val="00C2569E"/>
    <w:rsid w:val="00C25833"/>
    <w:rsid w:val="00C266D9"/>
    <w:rsid w:val="00C26913"/>
    <w:rsid w:val="00C26F38"/>
    <w:rsid w:val="00C26FEB"/>
    <w:rsid w:val="00C27312"/>
    <w:rsid w:val="00C2781A"/>
    <w:rsid w:val="00C30E05"/>
    <w:rsid w:val="00C3100B"/>
    <w:rsid w:val="00C314BF"/>
    <w:rsid w:val="00C3177F"/>
    <w:rsid w:val="00C31F1E"/>
    <w:rsid w:val="00C31F6B"/>
    <w:rsid w:val="00C335F5"/>
    <w:rsid w:val="00C338EA"/>
    <w:rsid w:val="00C33CB8"/>
    <w:rsid w:val="00C34190"/>
    <w:rsid w:val="00C36BC0"/>
    <w:rsid w:val="00C36F87"/>
    <w:rsid w:val="00C37903"/>
    <w:rsid w:val="00C37BEA"/>
    <w:rsid w:val="00C401C8"/>
    <w:rsid w:val="00C405BA"/>
    <w:rsid w:val="00C41D2E"/>
    <w:rsid w:val="00C4242A"/>
    <w:rsid w:val="00C4290C"/>
    <w:rsid w:val="00C42BB1"/>
    <w:rsid w:val="00C430F8"/>
    <w:rsid w:val="00C4319E"/>
    <w:rsid w:val="00C43323"/>
    <w:rsid w:val="00C433F3"/>
    <w:rsid w:val="00C43928"/>
    <w:rsid w:val="00C43C12"/>
    <w:rsid w:val="00C4462A"/>
    <w:rsid w:val="00C44644"/>
    <w:rsid w:val="00C44A6B"/>
    <w:rsid w:val="00C45084"/>
    <w:rsid w:val="00C4573F"/>
    <w:rsid w:val="00C45C8A"/>
    <w:rsid w:val="00C45DAC"/>
    <w:rsid w:val="00C45E21"/>
    <w:rsid w:val="00C46045"/>
    <w:rsid w:val="00C4712D"/>
    <w:rsid w:val="00C476A4"/>
    <w:rsid w:val="00C478FE"/>
    <w:rsid w:val="00C504E9"/>
    <w:rsid w:val="00C50F6D"/>
    <w:rsid w:val="00C51519"/>
    <w:rsid w:val="00C51754"/>
    <w:rsid w:val="00C525F3"/>
    <w:rsid w:val="00C52951"/>
    <w:rsid w:val="00C52C70"/>
    <w:rsid w:val="00C52CF1"/>
    <w:rsid w:val="00C53388"/>
    <w:rsid w:val="00C5345E"/>
    <w:rsid w:val="00C53635"/>
    <w:rsid w:val="00C537E0"/>
    <w:rsid w:val="00C540AA"/>
    <w:rsid w:val="00C5464B"/>
    <w:rsid w:val="00C54677"/>
    <w:rsid w:val="00C56096"/>
    <w:rsid w:val="00C56119"/>
    <w:rsid w:val="00C56363"/>
    <w:rsid w:val="00C56696"/>
    <w:rsid w:val="00C5686D"/>
    <w:rsid w:val="00C5748A"/>
    <w:rsid w:val="00C57D54"/>
    <w:rsid w:val="00C60C00"/>
    <w:rsid w:val="00C60E51"/>
    <w:rsid w:val="00C61288"/>
    <w:rsid w:val="00C61399"/>
    <w:rsid w:val="00C615C0"/>
    <w:rsid w:val="00C61718"/>
    <w:rsid w:val="00C61A66"/>
    <w:rsid w:val="00C62A73"/>
    <w:rsid w:val="00C62A8A"/>
    <w:rsid w:val="00C63024"/>
    <w:rsid w:val="00C631BE"/>
    <w:rsid w:val="00C6321F"/>
    <w:rsid w:val="00C63299"/>
    <w:rsid w:val="00C6353D"/>
    <w:rsid w:val="00C63AF2"/>
    <w:rsid w:val="00C645A4"/>
    <w:rsid w:val="00C64BB0"/>
    <w:rsid w:val="00C64F2A"/>
    <w:rsid w:val="00C65704"/>
    <w:rsid w:val="00C65C76"/>
    <w:rsid w:val="00C65DA9"/>
    <w:rsid w:val="00C6621D"/>
    <w:rsid w:val="00C66320"/>
    <w:rsid w:val="00C664E3"/>
    <w:rsid w:val="00C66750"/>
    <w:rsid w:val="00C6681E"/>
    <w:rsid w:val="00C7066E"/>
    <w:rsid w:val="00C708E4"/>
    <w:rsid w:val="00C71803"/>
    <w:rsid w:val="00C71AF1"/>
    <w:rsid w:val="00C71C15"/>
    <w:rsid w:val="00C71E16"/>
    <w:rsid w:val="00C72262"/>
    <w:rsid w:val="00C7248C"/>
    <w:rsid w:val="00C7272E"/>
    <w:rsid w:val="00C729EC"/>
    <w:rsid w:val="00C72E5C"/>
    <w:rsid w:val="00C73CD2"/>
    <w:rsid w:val="00C7417F"/>
    <w:rsid w:val="00C7484D"/>
    <w:rsid w:val="00C749E9"/>
    <w:rsid w:val="00C74ABC"/>
    <w:rsid w:val="00C7529B"/>
    <w:rsid w:val="00C753C8"/>
    <w:rsid w:val="00C756EE"/>
    <w:rsid w:val="00C75D31"/>
    <w:rsid w:val="00C75F85"/>
    <w:rsid w:val="00C762E9"/>
    <w:rsid w:val="00C77004"/>
    <w:rsid w:val="00C77669"/>
    <w:rsid w:val="00C77EF0"/>
    <w:rsid w:val="00C8022C"/>
    <w:rsid w:val="00C803C8"/>
    <w:rsid w:val="00C8071B"/>
    <w:rsid w:val="00C80B4D"/>
    <w:rsid w:val="00C80E5C"/>
    <w:rsid w:val="00C80E5F"/>
    <w:rsid w:val="00C810D7"/>
    <w:rsid w:val="00C8218D"/>
    <w:rsid w:val="00C82ACE"/>
    <w:rsid w:val="00C82CF6"/>
    <w:rsid w:val="00C82D8F"/>
    <w:rsid w:val="00C82E79"/>
    <w:rsid w:val="00C83C92"/>
    <w:rsid w:val="00C842CA"/>
    <w:rsid w:val="00C84989"/>
    <w:rsid w:val="00C8539E"/>
    <w:rsid w:val="00C85D48"/>
    <w:rsid w:val="00C861D5"/>
    <w:rsid w:val="00C86532"/>
    <w:rsid w:val="00C869F5"/>
    <w:rsid w:val="00C878AE"/>
    <w:rsid w:val="00C902A6"/>
    <w:rsid w:val="00C90AD3"/>
    <w:rsid w:val="00C90BF5"/>
    <w:rsid w:val="00C9117C"/>
    <w:rsid w:val="00C9118E"/>
    <w:rsid w:val="00C9185C"/>
    <w:rsid w:val="00C91862"/>
    <w:rsid w:val="00C91C1D"/>
    <w:rsid w:val="00C928B8"/>
    <w:rsid w:val="00C92AE7"/>
    <w:rsid w:val="00C93E50"/>
    <w:rsid w:val="00C94641"/>
    <w:rsid w:val="00C94896"/>
    <w:rsid w:val="00C94F56"/>
    <w:rsid w:val="00C95EBA"/>
    <w:rsid w:val="00C96798"/>
    <w:rsid w:val="00C9693E"/>
    <w:rsid w:val="00C96F54"/>
    <w:rsid w:val="00C97599"/>
    <w:rsid w:val="00C976B4"/>
    <w:rsid w:val="00C97A48"/>
    <w:rsid w:val="00C97BAC"/>
    <w:rsid w:val="00CA00D9"/>
    <w:rsid w:val="00CA00E6"/>
    <w:rsid w:val="00CA07AF"/>
    <w:rsid w:val="00CA08F8"/>
    <w:rsid w:val="00CA0B2C"/>
    <w:rsid w:val="00CA0CA1"/>
    <w:rsid w:val="00CA11C1"/>
    <w:rsid w:val="00CA197D"/>
    <w:rsid w:val="00CA26C4"/>
    <w:rsid w:val="00CA2D35"/>
    <w:rsid w:val="00CA2F7C"/>
    <w:rsid w:val="00CA31A1"/>
    <w:rsid w:val="00CA3A03"/>
    <w:rsid w:val="00CA4462"/>
    <w:rsid w:val="00CA452F"/>
    <w:rsid w:val="00CA47AF"/>
    <w:rsid w:val="00CA4A4E"/>
    <w:rsid w:val="00CA5E62"/>
    <w:rsid w:val="00CA6392"/>
    <w:rsid w:val="00CB008F"/>
    <w:rsid w:val="00CB034F"/>
    <w:rsid w:val="00CB0744"/>
    <w:rsid w:val="00CB0E67"/>
    <w:rsid w:val="00CB0EBA"/>
    <w:rsid w:val="00CB0EC0"/>
    <w:rsid w:val="00CB1399"/>
    <w:rsid w:val="00CB1484"/>
    <w:rsid w:val="00CB14B7"/>
    <w:rsid w:val="00CB17E9"/>
    <w:rsid w:val="00CB1A9F"/>
    <w:rsid w:val="00CB2411"/>
    <w:rsid w:val="00CB24BE"/>
    <w:rsid w:val="00CB2A9C"/>
    <w:rsid w:val="00CB38E9"/>
    <w:rsid w:val="00CB3F01"/>
    <w:rsid w:val="00CB4EAB"/>
    <w:rsid w:val="00CB5D06"/>
    <w:rsid w:val="00CB61F9"/>
    <w:rsid w:val="00CB6C9F"/>
    <w:rsid w:val="00CB6D5A"/>
    <w:rsid w:val="00CB6F4F"/>
    <w:rsid w:val="00CB7384"/>
    <w:rsid w:val="00CB7D5A"/>
    <w:rsid w:val="00CB7E17"/>
    <w:rsid w:val="00CC124B"/>
    <w:rsid w:val="00CC1F1F"/>
    <w:rsid w:val="00CC2368"/>
    <w:rsid w:val="00CC239F"/>
    <w:rsid w:val="00CC2704"/>
    <w:rsid w:val="00CC2D81"/>
    <w:rsid w:val="00CC338F"/>
    <w:rsid w:val="00CC383D"/>
    <w:rsid w:val="00CC45CE"/>
    <w:rsid w:val="00CC4BBF"/>
    <w:rsid w:val="00CC53FB"/>
    <w:rsid w:val="00CC54A9"/>
    <w:rsid w:val="00CC68F6"/>
    <w:rsid w:val="00CC6989"/>
    <w:rsid w:val="00CC723C"/>
    <w:rsid w:val="00CD0320"/>
    <w:rsid w:val="00CD04A6"/>
    <w:rsid w:val="00CD0540"/>
    <w:rsid w:val="00CD08AE"/>
    <w:rsid w:val="00CD26AE"/>
    <w:rsid w:val="00CD281B"/>
    <w:rsid w:val="00CD2B50"/>
    <w:rsid w:val="00CD2C3E"/>
    <w:rsid w:val="00CD3A8C"/>
    <w:rsid w:val="00CD3FF4"/>
    <w:rsid w:val="00CD40D6"/>
    <w:rsid w:val="00CD4A8B"/>
    <w:rsid w:val="00CD4D3E"/>
    <w:rsid w:val="00CD4DC2"/>
    <w:rsid w:val="00CD4F67"/>
    <w:rsid w:val="00CD61D9"/>
    <w:rsid w:val="00CD67EB"/>
    <w:rsid w:val="00CD6CA9"/>
    <w:rsid w:val="00CD7168"/>
    <w:rsid w:val="00CD7E5A"/>
    <w:rsid w:val="00CE0173"/>
    <w:rsid w:val="00CE0386"/>
    <w:rsid w:val="00CE129C"/>
    <w:rsid w:val="00CE1F8D"/>
    <w:rsid w:val="00CE2DA3"/>
    <w:rsid w:val="00CE2F93"/>
    <w:rsid w:val="00CE389C"/>
    <w:rsid w:val="00CE4213"/>
    <w:rsid w:val="00CE441D"/>
    <w:rsid w:val="00CE4B9F"/>
    <w:rsid w:val="00CE4CDB"/>
    <w:rsid w:val="00CE54F7"/>
    <w:rsid w:val="00CE6142"/>
    <w:rsid w:val="00CE6857"/>
    <w:rsid w:val="00CE7955"/>
    <w:rsid w:val="00CE7B8F"/>
    <w:rsid w:val="00CF047A"/>
    <w:rsid w:val="00CF1881"/>
    <w:rsid w:val="00CF21B5"/>
    <w:rsid w:val="00CF25DA"/>
    <w:rsid w:val="00CF2AAF"/>
    <w:rsid w:val="00CF35D9"/>
    <w:rsid w:val="00CF3FC4"/>
    <w:rsid w:val="00CF4257"/>
    <w:rsid w:val="00CF4406"/>
    <w:rsid w:val="00CF450C"/>
    <w:rsid w:val="00CF4958"/>
    <w:rsid w:val="00CF4D50"/>
    <w:rsid w:val="00CF4DBB"/>
    <w:rsid w:val="00CF5621"/>
    <w:rsid w:val="00CF5C7D"/>
    <w:rsid w:val="00CF5EA5"/>
    <w:rsid w:val="00CF607B"/>
    <w:rsid w:val="00CF6E46"/>
    <w:rsid w:val="00CF7142"/>
    <w:rsid w:val="00CF7DEA"/>
    <w:rsid w:val="00D00394"/>
    <w:rsid w:val="00D00758"/>
    <w:rsid w:val="00D01E04"/>
    <w:rsid w:val="00D02163"/>
    <w:rsid w:val="00D02940"/>
    <w:rsid w:val="00D03351"/>
    <w:rsid w:val="00D03408"/>
    <w:rsid w:val="00D044F1"/>
    <w:rsid w:val="00D05CFD"/>
    <w:rsid w:val="00D05D82"/>
    <w:rsid w:val="00D06006"/>
    <w:rsid w:val="00D06978"/>
    <w:rsid w:val="00D06FF1"/>
    <w:rsid w:val="00D100A8"/>
    <w:rsid w:val="00D10757"/>
    <w:rsid w:val="00D10A16"/>
    <w:rsid w:val="00D11375"/>
    <w:rsid w:val="00D11539"/>
    <w:rsid w:val="00D11C1D"/>
    <w:rsid w:val="00D12107"/>
    <w:rsid w:val="00D12390"/>
    <w:rsid w:val="00D136E8"/>
    <w:rsid w:val="00D13B36"/>
    <w:rsid w:val="00D155C3"/>
    <w:rsid w:val="00D15733"/>
    <w:rsid w:val="00D15DCD"/>
    <w:rsid w:val="00D15EA2"/>
    <w:rsid w:val="00D16312"/>
    <w:rsid w:val="00D1754B"/>
    <w:rsid w:val="00D207B8"/>
    <w:rsid w:val="00D20C68"/>
    <w:rsid w:val="00D2157C"/>
    <w:rsid w:val="00D21B5D"/>
    <w:rsid w:val="00D21CA5"/>
    <w:rsid w:val="00D22437"/>
    <w:rsid w:val="00D22B6D"/>
    <w:rsid w:val="00D22F19"/>
    <w:rsid w:val="00D2358A"/>
    <w:rsid w:val="00D23687"/>
    <w:rsid w:val="00D23B13"/>
    <w:rsid w:val="00D242EB"/>
    <w:rsid w:val="00D243FC"/>
    <w:rsid w:val="00D2464F"/>
    <w:rsid w:val="00D24BA1"/>
    <w:rsid w:val="00D262B4"/>
    <w:rsid w:val="00D27070"/>
    <w:rsid w:val="00D2755F"/>
    <w:rsid w:val="00D30422"/>
    <w:rsid w:val="00D30586"/>
    <w:rsid w:val="00D30C5C"/>
    <w:rsid w:val="00D30ED7"/>
    <w:rsid w:val="00D313CA"/>
    <w:rsid w:val="00D3423C"/>
    <w:rsid w:val="00D346DA"/>
    <w:rsid w:val="00D35119"/>
    <w:rsid w:val="00D3524D"/>
    <w:rsid w:val="00D35318"/>
    <w:rsid w:val="00D35DC9"/>
    <w:rsid w:val="00D3606C"/>
    <w:rsid w:val="00D361F0"/>
    <w:rsid w:val="00D36299"/>
    <w:rsid w:val="00D3781F"/>
    <w:rsid w:val="00D37D2A"/>
    <w:rsid w:val="00D404ED"/>
    <w:rsid w:val="00D40914"/>
    <w:rsid w:val="00D42334"/>
    <w:rsid w:val="00D4345B"/>
    <w:rsid w:val="00D43749"/>
    <w:rsid w:val="00D457D9"/>
    <w:rsid w:val="00D46CA0"/>
    <w:rsid w:val="00D47105"/>
    <w:rsid w:val="00D475AD"/>
    <w:rsid w:val="00D47A17"/>
    <w:rsid w:val="00D47D05"/>
    <w:rsid w:val="00D47EA2"/>
    <w:rsid w:val="00D512EE"/>
    <w:rsid w:val="00D5181A"/>
    <w:rsid w:val="00D519A3"/>
    <w:rsid w:val="00D5468B"/>
    <w:rsid w:val="00D559A6"/>
    <w:rsid w:val="00D56172"/>
    <w:rsid w:val="00D562F0"/>
    <w:rsid w:val="00D56B00"/>
    <w:rsid w:val="00D5741C"/>
    <w:rsid w:val="00D6086B"/>
    <w:rsid w:val="00D60CAD"/>
    <w:rsid w:val="00D60EDF"/>
    <w:rsid w:val="00D611AE"/>
    <w:rsid w:val="00D61735"/>
    <w:rsid w:val="00D61A4F"/>
    <w:rsid w:val="00D623D0"/>
    <w:rsid w:val="00D63445"/>
    <w:rsid w:val="00D64F27"/>
    <w:rsid w:val="00D6539B"/>
    <w:rsid w:val="00D6576A"/>
    <w:rsid w:val="00D6590A"/>
    <w:rsid w:val="00D65E27"/>
    <w:rsid w:val="00D675EE"/>
    <w:rsid w:val="00D6768F"/>
    <w:rsid w:val="00D67AA7"/>
    <w:rsid w:val="00D67EC6"/>
    <w:rsid w:val="00D7005D"/>
    <w:rsid w:val="00D70A1E"/>
    <w:rsid w:val="00D71151"/>
    <w:rsid w:val="00D712CF"/>
    <w:rsid w:val="00D72195"/>
    <w:rsid w:val="00D7229C"/>
    <w:rsid w:val="00D72677"/>
    <w:rsid w:val="00D726BC"/>
    <w:rsid w:val="00D73031"/>
    <w:rsid w:val="00D7385C"/>
    <w:rsid w:val="00D73B50"/>
    <w:rsid w:val="00D74911"/>
    <w:rsid w:val="00D751D5"/>
    <w:rsid w:val="00D75716"/>
    <w:rsid w:val="00D7576B"/>
    <w:rsid w:val="00D75E59"/>
    <w:rsid w:val="00D76A7A"/>
    <w:rsid w:val="00D76DE2"/>
    <w:rsid w:val="00D77604"/>
    <w:rsid w:val="00D80423"/>
    <w:rsid w:val="00D80B15"/>
    <w:rsid w:val="00D80F3C"/>
    <w:rsid w:val="00D816D0"/>
    <w:rsid w:val="00D8209C"/>
    <w:rsid w:val="00D82470"/>
    <w:rsid w:val="00D82DFF"/>
    <w:rsid w:val="00D83609"/>
    <w:rsid w:val="00D83BEA"/>
    <w:rsid w:val="00D83D0C"/>
    <w:rsid w:val="00D840F7"/>
    <w:rsid w:val="00D848FB"/>
    <w:rsid w:val="00D84E8F"/>
    <w:rsid w:val="00D85406"/>
    <w:rsid w:val="00D85506"/>
    <w:rsid w:val="00D8590C"/>
    <w:rsid w:val="00D85AA8"/>
    <w:rsid w:val="00D86A38"/>
    <w:rsid w:val="00D86C02"/>
    <w:rsid w:val="00D86C80"/>
    <w:rsid w:val="00D86E34"/>
    <w:rsid w:val="00D874C8"/>
    <w:rsid w:val="00D876D7"/>
    <w:rsid w:val="00D9008B"/>
    <w:rsid w:val="00D901C7"/>
    <w:rsid w:val="00D90CCD"/>
    <w:rsid w:val="00D90E3C"/>
    <w:rsid w:val="00D90E61"/>
    <w:rsid w:val="00D91649"/>
    <w:rsid w:val="00D91A88"/>
    <w:rsid w:val="00D91EBC"/>
    <w:rsid w:val="00D920A5"/>
    <w:rsid w:val="00D925B7"/>
    <w:rsid w:val="00D92B4E"/>
    <w:rsid w:val="00D9391B"/>
    <w:rsid w:val="00D93ACA"/>
    <w:rsid w:val="00D941C8"/>
    <w:rsid w:val="00D94911"/>
    <w:rsid w:val="00D950C1"/>
    <w:rsid w:val="00D95A32"/>
    <w:rsid w:val="00D97C12"/>
    <w:rsid w:val="00DA06ED"/>
    <w:rsid w:val="00DA0D11"/>
    <w:rsid w:val="00DA1506"/>
    <w:rsid w:val="00DA159D"/>
    <w:rsid w:val="00DA3674"/>
    <w:rsid w:val="00DA3BD2"/>
    <w:rsid w:val="00DA42D4"/>
    <w:rsid w:val="00DA4FEC"/>
    <w:rsid w:val="00DA50ED"/>
    <w:rsid w:val="00DA579A"/>
    <w:rsid w:val="00DA5A62"/>
    <w:rsid w:val="00DA5FD0"/>
    <w:rsid w:val="00DA6087"/>
    <w:rsid w:val="00DA60EC"/>
    <w:rsid w:val="00DA6519"/>
    <w:rsid w:val="00DA685A"/>
    <w:rsid w:val="00DA7A3B"/>
    <w:rsid w:val="00DB0460"/>
    <w:rsid w:val="00DB126A"/>
    <w:rsid w:val="00DB1412"/>
    <w:rsid w:val="00DB16A5"/>
    <w:rsid w:val="00DB1BE2"/>
    <w:rsid w:val="00DB2683"/>
    <w:rsid w:val="00DB3340"/>
    <w:rsid w:val="00DB33B7"/>
    <w:rsid w:val="00DB37EE"/>
    <w:rsid w:val="00DB3D79"/>
    <w:rsid w:val="00DB3E49"/>
    <w:rsid w:val="00DB46C0"/>
    <w:rsid w:val="00DB50E5"/>
    <w:rsid w:val="00DB51E0"/>
    <w:rsid w:val="00DB5D35"/>
    <w:rsid w:val="00DB62EB"/>
    <w:rsid w:val="00DB72B8"/>
    <w:rsid w:val="00DB7522"/>
    <w:rsid w:val="00DB7E37"/>
    <w:rsid w:val="00DC0680"/>
    <w:rsid w:val="00DC0E25"/>
    <w:rsid w:val="00DC104C"/>
    <w:rsid w:val="00DC170F"/>
    <w:rsid w:val="00DC2008"/>
    <w:rsid w:val="00DC23F7"/>
    <w:rsid w:val="00DC3313"/>
    <w:rsid w:val="00DC3D55"/>
    <w:rsid w:val="00DC3FB4"/>
    <w:rsid w:val="00DC415B"/>
    <w:rsid w:val="00DC4F69"/>
    <w:rsid w:val="00DC54A6"/>
    <w:rsid w:val="00DC6B63"/>
    <w:rsid w:val="00DC6CDA"/>
    <w:rsid w:val="00DC78C8"/>
    <w:rsid w:val="00DD048F"/>
    <w:rsid w:val="00DD08D9"/>
    <w:rsid w:val="00DD0D3F"/>
    <w:rsid w:val="00DD0F32"/>
    <w:rsid w:val="00DD106B"/>
    <w:rsid w:val="00DD148E"/>
    <w:rsid w:val="00DD1AA2"/>
    <w:rsid w:val="00DD2134"/>
    <w:rsid w:val="00DD30BA"/>
    <w:rsid w:val="00DD33F8"/>
    <w:rsid w:val="00DD3D6D"/>
    <w:rsid w:val="00DD3E26"/>
    <w:rsid w:val="00DD494E"/>
    <w:rsid w:val="00DD4FF7"/>
    <w:rsid w:val="00DD55A2"/>
    <w:rsid w:val="00DD5944"/>
    <w:rsid w:val="00DD6D9A"/>
    <w:rsid w:val="00DD71AF"/>
    <w:rsid w:val="00DD7414"/>
    <w:rsid w:val="00DD79AE"/>
    <w:rsid w:val="00DD7A41"/>
    <w:rsid w:val="00DE048C"/>
    <w:rsid w:val="00DE04EB"/>
    <w:rsid w:val="00DE0EA7"/>
    <w:rsid w:val="00DE112C"/>
    <w:rsid w:val="00DE140F"/>
    <w:rsid w:val="00DE1467"/>
    <w:rsid w:val="00DE193B"/>
    <w:rsid w:val="00DE280A"/>
    <w:rsid w:val="00DE2A39"/>
    <w:rsid w:val="00DE2B5D"/>
    <w:rsid w:val="00DE2C2E"/>
    <w:rsid w:val="00DE2DB7"/>
    <w:rsid w:val="00DE3063"/>
    <w:rsid w:val="00DE349E"/>
    <w:rsid w:val="00DE39B5"/>
    <w:rsid w:val="00DE40EE"/>
    <w:rsid w:val="00DE4335"/>
    <w:rsid w:val="00DE4DD6"/>
    <w:rsid w:val="00DE5215"/>
    <w:rsid w:val="00DE5BEA"/>
    <w:rsid w:val="00DE5C82"/>
    <w:rsid w:val="00DE646B"/>
    <w:rsid w:val="00DE783E"/>
    <w:rsid w:val="00DF0543"/>
    <w:rsid w:val="00DF09EE"/>
    <w:rsid w:val="00DF0F09"/>
    <w:rsid w:val="00DF1A96"/>
    <w:rsid w:val="00DF20DC"/>
    <w:rsid w:val="00DF2389"/>
    <w:rsid w:val="00DF324C"/>
    <w:rsid w:val="00DF3420"/>
    <w:rsid w:val="00DF344E"/>
    <w:rsid w:val="00DF3C80"/>
    <w:rsid w:val="00DF48B6"/>
    <w:rsid w:val="00DF4B0D"/>
    <w:rsid w:val="00DF4C68"/>
    <w:rsid w:val="00DF57E8"/>
    <w:rsid w:val="00DF5951"/>
    <w:rsid w:val="00DF5986"/>
    <w:rsid w:val="00DF5A3D"/>
    <w:rsid w:val="00DF5F36"/>
    <w:rsid w:val="00DF66FF"/>
    <w:rsid w:val="00DF6D82"/>
    <w:rsid w:val="00DF715D"/>
    <w:rsid w:val="00DF71F1"/>
    <w:rsid w:val="00DF7D82"/>
    <w:rsid w:val="00E00BBF"/>
    <w:rsid w:val="00E012DA"/>
    <w:rsid w:val="00E01514"/>
    <w:rsid w:val="00E0213F"/>
    <w:rsid w:val="00E0224B"/>
    <w:rsid w:val="00E02B69"/>
    <w:rsid w:val="00E034B4"/>
    <w:rsid w:val="00E047C6"/>
    <w:rsid w:val="00E04A3A"/>
    <w:rsid w:val="00E05039"/>
    <w:rsid w:val="00E0514C"/>
    <w:rsid w:val="00E0525E"/>
    <w:rsid w:val="00E06151"/>
    <w:rsid w:val="00E066ED"/>
    <w:rsid w:val="00E06A22"/>
    <w:rsid w:val="00E06D0A"/>
    <w:rsid w:val="00E07277"/>
    <w:rsid w:val="00E07519"/>
    <w:rsid w:val="00E07A79"/>
    <w:rsid w:val="00E07F0A"/>
    <w:rsid w:val="00E1015E"/>
    <w:rsid w:val="00E1049D"/>
    <w:rsid w:val="00E106E0"/>
    <w:rsid w:val="00E10FF8"/>
    <w:rsid w:val="00E110FE"/>
    <w:rsid w:val="00E11815"/>
    <w:rsid w:val="00E11C36"/>
    <w:rsid w:val="00E1206D"/>
    <w:rsid w:val="00E12365"/>
    <w:rsid w:val="00E12BFB"/>
    <w:rsid w:val="00E12C0A"/>
    <w:rsid w:val="00E13641"/>
    <w:rsid w:val="00E13D14"/>
    <w:rsid w:val="00E15C55"/>
    <w:rsid w:val="00E15E19"/>
    <w:rsid w:val="00E15F93"/>
    <w:rsid w:val="00E162D5"/>
    <w:rsid w:val="00E1695D"/>
    <w:rsid w:val="00E16B4B"/>
    <w:rsid w:val="00E16D90"/>
    <w:rsid w:val="00E20ACD"/>
    <w:rsid w:val="00E20F61"/>
    <w:rsid w:val="00E212B8"/>
    <w:rsid w:val="00E21427"/>
    <w:rsid w:val="00E21949"/>
    <w:rsid w:val="00E21E23"/>
    <w:rsid w:val="00E221E7"/>
    <w:rsid w:val="00E2323C"/>
    <w:rsid w:val="00E233B9"/>
    <w:rsid w:val="00E23C83"/>
    <w:rsid w:val="00E24696"/>
    <w:rsid w:val="00E24EE9"/>
    <w:rsid w:val="00E2586B"/>
    <w:rsid w:val="00E25F56"/>
    <w:rsid w:val="00E260CE"/>
    <w:rsid w:val="00E2692F"/>
    <w:rsid w:val="00E269DF"/>
    <w:rsid w:val="00E2700D"/>
    <w:rsid w:val="00E271F9"/>
    <w:rsid w:val="00E2796C"/>
    <w:rsid w:val="00E27F3D"/>
    <w:rsid w:val="00E30199"/>
    <w:rsid w:val="00E30741"/>
    <w:rsid w:val="00E31099"/>
    <w:rsid w:val="00E319B9"/>
    <w:rsid w:val="00E32059"/>
    <w:rsid w:val="00E3224F"/>
    <w:rsid w:val="00E324A0"/>
    <w:rsid w:val="00E327AC"/>
    <w:rsid w:val="00E32A95"/>
    <w:rsid w:val="00E335A3"/>
    <w:rsid w:val="00E3365F"/>
    <w:rsid w:val="00E33C9D"/>
    <w:rsid w:val="00E33D37"/>
    <w:rsid w:val="00E34274"/>
    <w:rsid w:val="00E355C9"/>
    <w:rsid w:val="00E364BB"/>
    <w:rsid w:val="00E36EA3"/>
    <w:rsid w:val="00E376FA"/>
    <w:rsid w:val="00E378D6"/>
    <w:rsid w:val="00E40871"/>
    <w:rsid w:val="00E40877"/>
    <w:rsid w:val="00E41622"/>
    <w:rsid w:val="00E4257C"/>
    <w:rsid w:val="00E4321B"/>
    <w:rsid w:val="00E44017"/>
    <w:rsid w:val="00E44157"/>
    <w:rsid w:val="00E44C6F"/>
    <w:rsid w:val="00E4502B"/>
    <w:rsid w:val="00E455EE"/>
    <w:rsid w:val="00E4583B"/>
    <w:rsid w:val="00E4741B"/>
    <w:rsid w:val="00E50288"/>
    <w:rsid w:val="00E5094E"/>
    <w:rsid w:val="00E50A56"/>
    <w:rsid w:val="00E50B7D"/>
    <w:rsid w:val="00E50DB3"/>
    <w:rsid w:val="00E51096"/>
    <w:rsid w:val="00E51365"/>
    <w:rsid w:val="00E52313"/>
    <w:rsid w:val="00E52821"/>
    <w:rsid w:val="00E52B31"/>
    <w:rsid w:val="00E52CFF"/>
    <w:rsid w:val="00E52DC6"/>
    <w:rsid w:val="00E5463C"/>
    <w:rsid w:val="00E54A2D"/>
    <w:rsid w:val="00E550E3"/>
    <w:rsid w:val="00E5524C"/>
    <w:rsid w:val="00E552E7"/>
    <w:rsid w:val="00E555CA"/>
    <w:rsid w:val="00E55C0B"/>
    <w:rsid w:val="00E55F96"/>
    <w:rsid w:val="00E56B1A"/>
    <w:rsid w:val="00E57022"/>
    <w:rsid w:val="00E57605"/>
    <w:rsid w:val="00E607AA"/>
    <w:rsid w:val="00E60B70"/>
    <w:rsid w:val="00E60BFB"/>
    <w:rsid w:val="00E60F5C"/>
    <w:rsid w:val="00E616C4"/>
    <w:rsid w:val="00E619DC"/>
    <w:rsid w:val="00E62274"/>
    <w:rsid w:val="00E6296B"/>
    <w:rsid w:val="00E62E6D"/>
    <w:rsid w:val="00E6341B"/>
    <w:rsid w:val="00E6375E"/>
    <w:rsid w:val="00E637F9"/>
    <w:rsid w:val="00E639B0"/>
    <w:rsid w:val="00E6483C"/>
    <w:rsid w:val="00E64D65"/>
    <w:rsid w:val="00E6531F"/>
    <w:rsid w:val="00E65559"/>
    <w:rsid w:val="00E65AB8"/>
    <w:rsid w:val="00E6604D"/>
    <w:rsid w:val="00E672B8"/>
    <w:rsid w:val="00E711F3"/>
    <w:rsid w:val="00E7143F"/>
    <w:rsid w:val="00E71C33"/>
    <w:rsid w:val="00E71EC4"/>
    <w:rsid w:val="00E71ED5"/>
    <w:rsid w:val="00E72309"/>
    <w:rsid w:val="00E72616"/>
    <w:rsid w:val="00E72669"/>
    <w:rsid w:val="00E72693"/>
    <w:rsid w:val="00E72933"/>
    <w:rsid w:val="00E72F89"/>
    <w:rsid w:val="00E73D68"/>
    <w:rsid w:val="00E746C3"/>
    <w:rsid w:val="00E7493B"/>
    <w:rsid w:val="00E753B6"/>
    <w:rsid w:val="00E759EB"/>
    <w:rsid w:val="00E75A50"/>
    <w:rsid w:val="00E75DBE"/>
    <w:rsid w:val="00E75FE7"/>
    <w:rsid w:val="00E76A72"/>
    <w:rsid w:val="00E76ADD"/>
    <w:rsid w:val="00E76FD6"/>
    <w:rsid w:val="00E773AA"/>
    <w:rsid w:val="00E77443"/>
    <w:rsid w:val="00E774E2"/>
    <w:rsid w:val="00E80142"/>
    <w:rsid w:val="00E801C5"/>
    <w:rsid w:val="00E823A1"/>
    <w:rsid w:val="00E824FF"/>
    <w:rsid w:val="00E8253A"/>
    <w:rsid w:val="00E829F5"/>
    <w:rsid w:val="00E82B24"/>
    <w:rsid w:val="00E82CF7"/>
    <w:rsid w:val="00E83327"/>
    <w:rsid w:val="00E83A06"/>
    <w:rsid w:val="00E83F74"/>
    <w:rsid w:val="00E8424D"/>
    <w:rsid w:val="00E84563"/>
    <w:rsid w:val="00E847EB"/>
    <w:rsid w:val="00E84822"/>
    <w:rsid w:val="00E84BCB"/>
    <w:rsid w:val="00E8508B"/>
    <w:rsid w:val="00E853D5"/>
    <w:rsid w:val="00E85BD9"/>
    <w:rsid w:val="00E86031"/>
    <w:rsid w:val="00E906EF"/>
    <w:rsid w:val="00E90941"/>
    <w:rsid w:val="00E90DF0"/>
    <w:rsid w:val="00E9167F"/>
    <w:rsid w:val="00E91A06"/>
    <w:rsid w:val="00E91BE8"/>
    <w:rsid w:val="00E91E8D"/>
    <w:rsid w:val="00E92AFB"/>
    <w:rsid w:val="00E92E9B"/>
    <w:rsid w:val="00E93053"/>
    <w:rsid w:val="00E9311E"/>
    <w:rsid w:val="00E932D9"/>
    <w:rsid w:val="00E932FF"/>
    <w:rsid w:val="00E933D2"/>
    <w:rsid w:val="00E93B5A"/>
    <w:rsid w:val="00E94317"/>
    <w:rsid w:val="00E947A3"/>
    <w:rsid w:val="00E948C4"/>
    <w:rsid w:val="00E9588C"/>
    <w:rsid w:val="00E95DC8"/>
    <w:rsid w:val="00E960D1"/>
    <w:rsid w:val="00E963F0"/>
    <w:rsid w:val="00E96C5C"/>
    <w:rsid w:val="00E96FAB"/>
    <w:rsid w:val="00E97D04"/>
    <w:rsid w:val="00EA0211"/>
    <w:rsid w:val="00EA06C3"/>
    <w:rsid w:val="00EA1C2D"/>
    <w:rsid w:val="00EA23E9"/>
    <w:rsid w:val="00EA28BB"/>
    <w:rsid w:val="00EA3220"/>
    <w:rsid w:val="00EA3950"/>
    <w:rsid w:val="00EA3CA3"/>
    <w:rsid w:val="00EA44E0"/>
    <w:rsid w:val="00EA4F53"/>
    <w:rsid w:val="00EA5379"/>
    <w:rsid w:val="00EA557C"/>
    <w:rsid w:val="00EA6640"/>
    <w:rsid w:val="00EA678E"/>
    <w:rsid w:val="00EA68EA"/>
    <w:rsid w:val="00EA6BCB"/>
    <w:rsid w:val="00EA72EE"/>
    <w:rsid w:val="00EA79DD"/>
    <w:rsid w:val="00EA7AC1"/>
    <w:rsid w:val="00EB0493"/>
    <w:rsid w:val="00EB09C0"/>
    <w:rsid w:val="00EB0D70"/>
    <w:rsid w:val="00EB11E2"/>
    <w:rsid w:val="00EB221F"/>
    <w:rsid w:val="00EB2D01"/>
    <w:rsid w:val="00EB347E"/>
    <w:rsid w:val="00EB43CB"/>
    <w:rsid w:val="00EB4811"/>
    <w:rsid w:val="00EB493C"/>
    <w:rsid w:val="00EB6431"/>
    <w:rsid w:val="00EB66D0"/>
    <w:rsid w:val="00EB6B0D"/>
    <w:rsid w:val="00EB6D38"/>
    <w:rsid w:val="00EB6F73"/>
    <w:rsid w:val="00EB6FEB"/>
    <w:rsid w:val="00EB772B"/>
    <w:rsid w:val="00EB77F9"/>
    <w:rsid w:val="00EC076F"/>
    <w:rsid w:val="00EC09A7"/>
    <w:rsid w:val="00EC1043"/>
    <w:rsid w:val="00EC1B17"/>
    <w:rsid w:val="00EC1E70"/>
    <w:rsid w:val="00EC28FA"/>
    <w:rsid w:val="00EC48FC"/>
    <w:rsid w:val="00EC499A"/>
    <w:rsid w:val="00EC4A8F"/>
    <w:rsid w:val="00EC4CCF"/>
    <w:rsid w:val="00EC5D4C"/>
    <w:rsid w:val="00EC5DF1"/>
    <w:rsid w:val="00EC6663"/>
    <w:rsid w:val="00EC70CF"/>
    <w:rsid w:val="00EC73B5"/>
    <w:rsid w:val="00ED0D80"/>
    <w:rsid w:val="00ED0F03"/>
    <w:rsid w:val="00ED11BB"/>
    <w:rsid w:val="00ED1731"/>
    <w:rsid w:val="00ED1DFD"/>
    <w:rsid w:val="00ED2482"/>
    <w:rsid w:val="00ED25A3"/>
    <w:rsid w:val="00ED2B38"/>
    <w:rsid w:val="00ED4F02"/>
    <w:rsid w:val="00ED505C"/>
    <w:rsid w:val="00ED52B1"/>
    <w:rsid w:val="00ED57BF"/>
    <w:rsid w:val="00ED5BB1"/>
    <w:rsid w:val="00ED6A0D"/>
    <w:rsid w:val="00ED6CBC"/>
    <w:rsid w:val="00ED7F53"/>
    <w:rsid w:val="00EE080D"/>
    <w:rsid w:val="00EE149B"/>
    <w:rsid w:val="00EE155D"/>
    <w:rsid w:val="00EE17EE"/>
    <w:rsid w:val="00EE251D"/>
    <w:rsid w:val="00EE2D9C"/>
    <w:rsid w:val="00EE2FDB"/>
    <w:rsid w:val="00EE3341"/>
    <w:rsid w:val="00EE3A32"/>
    <w:rsid w:val="00EE3EFA"/>
    <w:rsid w:val="00EE4307"/>
    <w:rsid w:val="00EE4B5A"/>
    <w:rsid w:val="00EE522A"/>
    <w:rsid w:val="00EE5E03"/>
    <w:rsid w:val="00EE6306"/>
    <w:rsid w:val="00EE646F"/>
    <w:rsid w:val="00EE661D"/>
    <w:rsid w:val="00EE7068"/>
    <w:rsid w:val="00EE73AF"/>
    <w:rsid w:val="00EE76FE"/>
    <w:rsid w:val="00EE7CA1"/>
    <w:rsid w:val="00EF00DD"/>
    <w:rsid w:val="00EF09C9"/>
    <w:rsid w:val="00EF0D8E"/>
    <w:rsid w:val="00EF2505"/>
    <w:rsid w:val="00EF2653"/>
    <w:rsid w:val="00EF26F9"/>
    <w:rsid w:val="00EF2F0E"/>
    <w:rsid w:val="00EF3181"/>
    <w:rsid w:val="00EF3771"/>
    <w:rsid w:val="00EF3AED"/>
    <w:rsid w:val="00EF45A2"/>
    <w:rsid w:val="00EF46DD"/>
    <w:rsid w:val="00EF4709"/>
    <w:rsid w:val="00EF4A84"/>
    <w:rsid w:val="00EF5225"/>
    <w:rsid w:val="00EF5242"/>
    <w:rsid w:val="00EF53AB"/>
    <w:rsid w:val="00EF54CE"/>
    <w:rsid w:val="00EF574F"/>
    <w:rsid w:val="00EF58DE"/>
    <w:rsid w:val="00EF603D"/>
    <w:rsid w:val="00EF67FF"/>
    <w:rsid w:val="00EF7B1B"/>
    <w:rsid w:val="00EF7C26"/>
    <w:rsid w:val="00F00339"/>
    <w:rsid w:val="00F00E78"/>
    <w:rsid w:val="00F01018"/>
    <w:rsid w:val="00F010C6"/>
    <w:rsid w:val="00F013A1"/>
    <w:rsid w:val="00F0224E"/>
    <w:rsid w:val="00F026C1"/>
    <w:rsid w:val="00F02A24"/>
    <w:rsid w:val="00F02E01"/>
    <w:rsid w:val="00F02F68"/>
    <w:rsid w:val="00F03322"/>
    <w:rsid w:val="00F03AB0"/>
    <w:rsid w:val="00F04B2C"/>
    <w:rsid w:val="00F0591F"/>
    <w:rsid w:val="00F05FCF"/>
    <w:rsid w:val="00F06032"/>
    <w:rsid w:val="00F0641A"/>
    <w:rsid w:val="00F068B8"/>
    <w:rsid w:val="00F06A40"/>
    <w:rsid w:val="00F06ABA"/>
    <w:rsid w:val="00F073DC"/>
    <w:rsid w:val="00F07C60"/>
    <w:rsid w:val="00F07EBF"/>
    <w:rsid w:val="00F10425"/>
    <w:rsid w:val="00F10E98"/>
    <w:rsid w:val="00F114B4"/>
    <w:rsid w:val="00F11E6B"/>
    <w:rsid w:val="00F12200"/>
    <w:rsid w:val="00F1234F"/>
    <w:rsid w:val="00F12FB5"/>
    <w:rsid w:val="00F1345B"/>
    <w:rsid w:val="00F13957"/>
    <w:rsid w:val="00F13A2E"/>
    <w:rsid w:val="00F1489F"/>
    <w:rsid w:val="00F1492E"/>
    <w:rsid w:val="00F15315"/>
    <w:rsid w:val="00F1553C"/>
    <w:rsid w:val="00F161E6"/>
    <w:rsid w:val="00F16407"/>
    <w:rsid w:val="00F16A10"/>
    <w:rsid w:val="00F17566"/>
    <w:rsid w:val="00F17B57"/>
    <w:rsid w:val="00F17D40"/>
    <w:rsid w:val="00F20820"/>
    <w:rsid w:val="00F209CE"/>
    <w:rsid w:val="00F2120E"/>
    <w:rsid w:val="00F21B5C"/>
    <w:rsid w:val="00F21D2A"/>
    <w:rsid w:val="00F2251A"/>
    <w:rsid w:val="00F228CC"/>
    <w:rsid w:val="00F2369D"/>
    <w:rsid w:val="00F23B18"/>
    <w:rsid w:val="00F23D04"/>
    <w:rsid w:val="00F24225"/>
    <w:rsid w:val="00F24765"/>
    <w:rsid w:val="00F24A6A"/>
    <w:rsid w:val="00F24D61"/>
    <w:rsid w:val="00F24FBA"/>
    <w:rsid w:val="00F253DE"/>
    <w:rsid w:val="00F257E7"/>
    <w:rsid w:val="00F25C4B"/>
    <w:rsid w:val="00F263BE"/>
    <w:rsid w:val="00F265D1"/>
    <w:rsid w:val="00F2673A"/>
    <w:rsid w:val="00F26797"/>
    <w:rsid w:val="00F26B64"/>
    <w:rsid w:val="00F26DFF"/>
    <w:rsid w:val="00F26E1B"/>
    <w:rsid w:val="00F26F61"/>
    <w:rsid w:val="00F272B3"/>
    <w:rsid w:val="00F27833"/>
    <w:rsid w:val="00F27EC8"/>
    <w:rsid w:val="00F30355"/>
    <w:rsid w:val="00F3038E"/>
    <w:rsid w:val="00F306EA"/>
    <w:rsid w:val="00F31D46"/>
    <w:rsid w:val="00F329DB"/>
    <w:rsid w:val="00F329FB"/>
    <w:rsid w:val="00F32CBB"/>
    <w:rsid w:val="00F32F9B"/>
    <w:rsid w:val="00F33ABD"/>
    <w:rsid w:val="00F3480D"/>
    <w:rsid w:val="00F363BE"/>
    <w:rsid w:val="00F36460"/>
    <w:rsid w:val="00F36C33"/>
    <w:rsid w:val="00F36CBF"/>
    <w:rsid w:val="00F40E86"/>
    <w:rsid w:val="00F415EF"/>
    <w:rsid w:val="00F42013"/>
    <w:rsid w:val="00F4240B"/>
    <w:rsid w:val="00F42618"/>
    <w:rsid w:val="00F42645"/>
    <w:rsid w:val="00F42CCD"/>
    <w:rsid w:val="00F43376"/>
    <w:rsid w:val="00F44524"/>
    <w:rsid w:val="00F44647"/>
    <w:rsid w:val="00F448F6"/>
    <w:rsid w:val="00F44DD8"/>
    <w:rsid w:val="00F457EE"/>
    <w:rsid w:val="00F45A9A"/>
    <w:rsid w:val="00F46339"/>
    <w:rsid w:val="00F47C58"/>
    <w:rsid w:val="00F50032"/>
    <w:rsid w:val="00F504CD"/>
    <w:rsid w:val="00F50620"/>
    <w:rsid w:val="00F50708"/>
    <w:rsid w:val="00F50F09"/>
    <w:rsid w:val="00F50FB9"/>
    <w:rsid w:val="00F5130C"/>
    <w:rsid w:val="00F515E6"/>
    <w:rsid w:val="00F51914"/>
    <w:rsid w:val="00F51C13"/>
    <w:rsid w:val="00F525A9"/>
    <w:rsid w:val="00F52B22"/>
    <w:rsid w:val="00F52D79"/>
    <w:rsid w:val="00F5314B"/>
    <w:rsid w:val="00F545F7"/>
    <w:rsid w:val="00F55AF5"/>
    <w:rsid w:val="00F56014"/>
    <w:rsid w:val="00F56347"/>
    <w:rsid w:val="00F564FA"/>
    <w:rsid w:val="00F569E2"/>
    <w:rsid w:val="00F56B91"/>
    <w:rsid w:val="00F5759B"/>
    <w:rsid w:val="00F57A00"/>
    <w:rsid w:val="00F57D38"/>
    <w:rsid w:val="00F57E15"/>
    <w:rsid w:val="00F602AC"/>
    <w:rsid w:val="00F6043B"/>
    <w:rsid w:val="00F609B9"/>
    <w:rsid w:val="00F60A73"/>
    <w:rsid w:val="00F61035"/>
    <w:rsid w:val="00F6134D"/>
    <w:rsid w:val="00F6199F"/>
    <w:rsid w:val="00F61C64"/>
    <w:rsid w:val="00F632D0"/>
    <w:rsid w:val="00F6343B"/>
    <w:rsid w:val="00F63486"/>
    <w:rsid w:val="00F6360A"/>
    <w:rsid w:val="00F63F69"/>
    <w:rsid w:val="00F66548"/>
    <w:rsid w:val="00F66B90"/>
    <w:rsid w:val="00F6750C"/>
    <w:rsid w:val="00F67968"/>
    <w:rsid w:val="00F67D14"/>
    <w:rsid w:val="00F67F98"/>
    <w:rsid w:val="00F7014F"/>
    <w:rsid w:val="00F704E9"/>
    <w:rsid w:val="00F7156C"/>
    <w:rsid w:val="00F71E05"/>
    <w:rsid w:val="00F72048"/>
    <w:rsid w:val="00F7398D"/>
    <w:rsid w:val="00F73D0D"/>
    <w:rsid w:val="00F748B7"/>
    <w:rsid w:val="00F74C02"/>
    <w:rsid w:val="00F7530F"/>
    <w:rsid w:val="00F75528"/>
    <w:rsid w:val="00F75780"/>
    <w:rsid w:val="00F75882"/>
    <w:rsid w:val="00F758F7"/>
    <w:rsid w:val="00F75980"/>
    <w:rsid w:val="00F75B2A"/>
    <w:rsid w:val="00F76578"/>
    <w:rsid w:val="00F768FB"/>
    <w:rsid w:val="00F76E5C"/>
    <w:rsid w:val="00F80A89"/>
    <w:rsid w:val="00F81969"/>
    <w:rsid w:val="00F81C0D"/>
    <w:rsid w:val="00F81D85"/>
    <w:rsid w:val="00F820EA"/>
    <w:rsid w:val="00F82CFC"/>
    <w:rsid w:val="00F8325B"/>
    <w:rsid w:val="00F84988"/>
    <w:rsid w:val="00F84E93"/>
    <w:rsid w:val="00F85F95"/>
    <w:rsid w:val="00F86191"/>
    <w:rsid w:val="00F86C48"/>
    <w:rsid w:val="00F90547"/>
    <w:rsid w:val="00F9054F"/>
    <w:rsid w:val="00F9215C"/>
    <w:rsid w:val="00F92535"/>
    <w:rsid w:val="00F92B1B"/>
    <w:rsid w:val="00F93400"/>
    <w:rsid w:val="00F93720"/>
    <w:rsid w:val="00F93BB5"/>
    <w:rsid w:val="00F93CF6"/>
    <w:rsid w:val="00F94C91"/>
    <w:rsid w:val="00F94D2D"/>
    <w:rsid w:val="00F950B5"/>
    <w:rsid w:val="00F95875"/>
    <w:rsid w:val="00F95E0C"/>
    <w:rsid w:val="00F96507"/>
    <w:rsid w:val="00F9781E"/>
    <w:rsid w:val="00FA00F2"/>
    <w:rsid w:val="00FA0150"/>
    <w:rsid w:val="00FA03B4"/>
    <w:rsid w:val="00FA05D6"/>
    <w:rsid w:val="00FA07CE"/>
    <w:rsid w:val="00FA0AA8"/>
    <w:rsid w:val="00FA0E3B"/>
    <w:rsid w:val="00FA1379"/>
    <w:rsid w:val="00FA1C77"/>
    <w:rsid w:val="00FA21BB"/>
    <w:rsid w:val="00FA26A5"/>
    <w:rsid w:val="00FA2C00"/>
    <w:rsid w:val="00FA3EA0"/>
    <w:rsid w:val="00FA4564"/>
    <w:rsid w:val="00FA46BB"/>
    <w:rsid w:val="00FA4C61"/>
    <w:rsid w:val="00FA4EA1"/>
    <w:rsid w:val="00FA5B73"/>
    <w:rsid w:val="00FA5EB1"/>
    <w:rsid w:val="00FA6019"/>
    <w:rsid w:val="00FA7962"/>
    <w:rsid w:val="00FB080A"/>
    <w:rsid w:val="00FB091B"/>
    <w:rsid w:val="00FB093A"/>
    <w:rsid w:val="00FB0C06"/>
    <w:rsid w:val="00FB0F91"/>
    <w:rsid w:val="00FB105D"/>
    <w:rsid w:val="00FB1379"/>
    <w:rsid w:val="00FB18D0"/>
    <w:rsid w:val="00FB1921"/>
    <w:rsid w:val="00FB1C2B"/>
    <w:rsid w:val="00FB2439"/>
    <w:rsid w:val="00FB2D58"/>
    <w:rsid w:val="00FB2E41"/>
    <w:rsid w:val="00FB311D"/>
    <w:rsid w:val="00FB4590"/>
    <w:rsid w:val="00FB4722"/>
    <w:rsid w:val="00FB5FD5"/>
    <w:rsid w:val="00FB6234"/>
    <w:rsid w:val="00FB6734"/>
    <w:rsid w:val="00FC0CCD"/>
    <w:rsid w:val="00FC111F"/>
    <w:rsid w:val="00FC1A58"/>
    <w:rsid w:val="00FC1D8C"/>
    <w:rsid w:val="00FC23C1"/>
    <w:rsid w:val="00FC28FC"/>
    <w:rsid w:val="00FC29FE"/>
    <w:rsid w:val="00FC2D49"/>
    <w:rsid w:val="00FC3529"/>
    <w:rsid w:val="00FC3534"/>
    <w:rsid w:val="00FC3B4A"/>
    <w:rsid w:val="00FC4317"/>
    <w:rsid w:val="00FC495A"/>
    <w:rsid w:val="00FC5524"/>
    <w:rsid w:val="00FC6607"/>
    <w:rsid w:val="00FC6A5F"/>
    <w:rsid w:val="00FC7714"/>
    <w:rsid w:val="00FC7884"/>
    <w:rsid w:val="00FC7FD4"/>
    <w:rsid w:val="00FD078D"/>
    <w:rsid w:val="00FD123C"/>
    <w:rsid w:val="00FD1375"/>
    <w:rsid w:val="00FD155E"/>
    <w:rsid w:val="00FD197A"/>
    <w:rsid w:val="00FD2A46"/>
    <w:rsid w:val="00FD34A0"/>
    <w:rsid w:val="00FD3769"/>
    <w:rsid w:val="00FD5115"/>
    <w:rsid w:val="00FD5381"/>
    <w:rsid w:val="00FD5AF0"/>
    <w:rsid w:val="00FD5B46"/>
    <w:rsid w:val="00FD6282"/>
    <w:rsid w:val="00FD66E8"/>
    <w:rsid w:val="00FD769D"/>
    <w:rsid w:val="00FD7CF2"/>
    <w:rsid w:val="00FD7D0A"/>
    <w:rsid w:val="00FE0145"/>
    <w:rsid w:val="00FE24D0"/>
    <w:rsid w:val="00FE2923"/>
    <w:rsid w:val="00FE2C3F"/>
    <w:rsid w:val="00FE3A45"/>
    <w:rsid w:val="00FE4521"/>
    <w:rsid w:val="00FE4865"/>
    <w:rsid w:val="00FE5058"/>
    <w:rsid w:val="00FE5E41"/>
    <w:rsid w:val="00FE61F6"/>
    <w:rsid w:val="00FE714A"/>
    <w:rsid w:val="00FE740D"/>
    <w:rsid w:val="00FE75A8"/>
    <w:rsid w:val="00FF0AFE"/>
    <w:rsid w:val="00FF0DB1"/>
    <w:rsid w:val="00FF1386"/>
    <w:rsid w:val="00FF175F"/>
    <w:rsid w:val="00FF1C54"/>
    <w:rsid w:val="00FF1F1A"/>
    <w:rsid w:val="00FF2F57"/>
    <w:rsid w:val="00FF30F8"/>
    <w:rsid w:val="00FF3202"/>
    <w:rsid w:val="00FF379D"/>
    <w:rsid w:val="00FF4150"/>
    <w:rsid w:val="00FF41F8"/>
    <w:rsid w:val="00FF5644"/>
    <w:rsid w:val="00FF5DC8"/>
    <w:rsid w:val="00FF6161"/>
    <w:rsid w:val="00FF66CF"/>
    <w:rsid w:val="00FF6F12"/>
    <w:rsid w:val="00FF7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A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82"/>
    <w:rPr>
      <w:rFonts w:eastAsiaTheme="minorEastAsia"/>
    </w:rPr>
  </w:style>
  <w:style w:type="paragraph" w:styleId="Heading1">
    <w:name w:val="heading 1"/>
    <w:basedOn w:val="Normal"/>
    <w:next w:val="Normal"/>
    <w:link w:val="Heading1Char"/>
    <w:uiPriority w:val="9"/>
    <w:qFormat/>
    <w:rsid w:val="00293B74"/>
    <w:pPr>
      <w:keepNext/>
      <w:keepLines/>
      <w:spacing w:before="240" w:after="0"/>
      <w:jc w:val="center"/>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C749E9"/>
    <w:pPr>
      <w:keepNext/>
      <w:keepLines/>
      <w:spacing w:before="240" w:after="240"/>
      <w:outlineLvl w:val="1"/>
    </w:pPr>
    <w:rPr>
      <w:rFonts w:asciiTheme="majorHAnsi" w:eastAsiaTheme="majorEastAsia" w:hAnsiTheme="majorHAnsi" w:cstheme="majorBidi"/>
      <w:b/>
      <w:color w:val="262626" w:themeColor="text1" w:themeTint="D9"/>
      <w:sz w:val="28"/>
      <w:szCs w:val="28"/>
    </w:rPr>
  </w:style>
  <w:style w:type="paragraph" w:styleId="Heading3">
    <w:name w:val="heading 3"/>
    <w:basedOn w:val="Normal"/>
    <w:next w:val="Normal"/>
    <w:link w:val="Heading3Char"/>
    <w:uiPriority w:val="9"/>
    <w:unhideWhenUsed/>
    <w:qFormat/>
    <w:rsid w:val="00C7529B"/>
    <w:pPr>
      <w:keepNext/>
      <w:keepLines/>
      <w:spacing w:before="40" w:after="0"/>
      <w:outlineLvl w:val="2"/>
    </w:pPr>
    <w:rPr>
      <w:rFonts w:asciiTheme="majorHAnsi" w:eastAsiaTheme="majorEastAsia" w:hAnsiTheme="majorHAnsi" w:cstheme="majorBidi"/>
      <w:i/>
      <w:sz w:val="24"/>
      <w:szCs w:val="24"/>
    </w:rPr>
  </w:style>
  <w:style w:type="paragraph" w:styleId="Heading4">
    <w:name w:val="heading 4"/>
    <w:basedOn w:val="Normal"/>
    <w:next w:val="Normal"/>
    <w:link w:val="Heading4Char"/>
    <w:uiPriority w:val="9"/>
    <w:unhideWhenUsed/>
    <w:qFormat/>
    <w:rsid w:val="00FA45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756E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370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B74"/>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C749E9"/>
    <w:rPr>
      <w:rFonts w:asciiTheme="majorHAnsi" w:eastAsiaTheme="majorEastAsia" w:hAnsiTheme="majorHAnsi" w:cstheme="majorBidi"/>
      <w:b/>
      <w:color w:val="262626" w:themeColor="text1" w:themeTint="D9"/>
      <w:sz w:val="28"/>
      <w:szCs w:val="28"/>
    </w:rPr>
  </w:style>
  <w:style w:type="paragraph" w:styleId="Header">
    <w:name w:val="header"/>
    <w:basedOn w:val="Normal"/>
    <w:link w:val="HeaderChar"/>
    <w:uiPriority w:val="99"/>
    <w:unhideWhenUsed/>
    <w:rsid w:val="00187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082"/>
    <w:rPr>
      <w:rFonts w:eastAsiaTheme="minorEastAsia"/>
    </w:rPr>
  </w:style>
  <w:style w:type="paragraph" w:styleId="Footer">
    <w:name w:val="footer"/>
    <w:basedOn w:val="Normal"/>
    <w:link w:val="FooterChar"/>
    <w:uiPriority w:val="99"/>
    <w:unhideWhenUsed/>
    <w:rsid w:val="00187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082"/>
    <w:rPr>
      <w:rFonts w:eastAsiaTheme="minorEastAsia"/>
    </w:rPr>
  </w:style>
  <w:style w:type="character" w:customStyle="1" w:styleId="Heading3Char">
    <w:name w:val="Heading 3 Char"/>
    <w:basedOn w:val="DefaultParagraphFont"/>
    <w:link w:val="Heading3"/>
    <w:uiPriority w:val="9"/>
    <w:rsid w:val="00C7529B"/>
    <w:rPr>
      <w:rFonts w:asciiTheme="majorHAnsi" w:eastAsiaTheme="majorEastAsia" w:hAnsiTheme="majorHAnsi" w:cstheme="majorBidi"/>
      <w:i/>
      <w:sz w:val="24"/>
      <w:szCs w:val="24"/>
    </w:rPr>
  </w:style>
  <w:style w:type="paragraph" w:styleId="ListParagraph">
    <w:name w:val="List Paragraph"/>
    <w:basedOn w:val="Normal"/>
    <w:uiPriority w:val="34"/>
    <w:qFormat/>
    <w:rsid w:val="00452805"/>
    <w:pPr>
      <w:ind w:left="720"/>
      <w:contextualSpacing/>
    </w:pPr>
  </w:style>
  <w:style w:type="paragraph" w:styleId="FootnoteText">
    <w:name w:val="footnote text"/>
    <w:basedOn w:val="Normal"/>
    <w:link w:val="FootnoteTextChar"/>
    <w:uiPriority w:val="99"/>
    <w:unhideWhenUsed/>
    <w:rsid w:val="00A72D6E"/>
    <w:pPr>
      <w:spacing w:after="0" w:line="240" w:lineRule="auto"/>
    </w:pPr>
    <w:rPr>
      <w:sz w:val="20"/>
      <w:szCs w:val="20"/>
    </w:rPr>
  </w:style>
  <w:style w:type="character" w:customStyle="1" w:styleId="FootnoteTextChar">
    <w:name w:val="Footnote Text Char"/>
    <w:basedOn w:val="DefaultParagraphFont"/>
    <w:link w:val="FootnoteText"/>
    <w:uiPriority w:val="99"/>
    <w:rsid w:val="00A72D6E"/>
    <w:rPr>
      <w:rFonts w:eastAsiaTheme="minorEastAsia"/>
      <w:sz w:val="20"/>
      <w:szCs w:val="20"/>
    </w:rPr>
  </w:style>
  <w:style w:type="character" w:styleId="FootnoteReference">
    <w:name w:val="footnote reference"/>
    <w:basedOn w:val="DefaultParagraphFont"/>
    <w:uiPriority w:val="99"/>
    <w:semiHidden/>
    <w:unhideWhenUsed/>
    <w:rsid w:val="00A72D6E"/>
    <w:rPr>
      <w:vertAlign w:val="superscript"/>
    </w:rPr>
  </w:style>
  <w:style w:type="character" w:styleId="CommentReference">
    <w:name w:val="annotation reference"/>
    <w:basedOn w:val="DefaultParagraphFont"/>
    <w:uiPriority w:val="99"/>
    <w:semiHidden/>
    <w:unhideWhenUsed/>
    <w:rsid w:val="00A72D6E"/>
    <w:rPr>
      <w:sz w:val="16"/>
      <w:szCs w:val="16"/>
    </w:rPr>
  </w:style>
  <w:style w:type="paragraph" w:styleId="CommentText">
    <w:name w:val="annotation text"/>
    <w:basedOn w:val="Normal"/>
    <w:link w:val="CommentTextChar"/>
    <w:uiPriority w:val="99"/>
    <w:unhideWhenUsed/>
    <w:rsid w:val="00A72D6E"/>
    <w:pPr>
      <w:spacing w:line="240" w:lineRule="auto"/>
    </w:pPr>
    <w:rPr>
      <w:sz w:val="20"/>
      <w:szCs w:val="20"/>
    </w:rPr>
  </w:style>
  <w:style w:type="character" w:customStyle="1" w:styleId="CommentTextChar">
    <w:name w:val="Comment Text Char"/>
    <w:basedOn w:val="DefaultParagraphFont"/>
    <w:link w:val="CommentText"/>
    <w:uiPriority w:val="99"/>
    <w:rsid w:val="00A72D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2D6E"/>
    <w:rPr>
      <w:b/>
      <w:bCs/>
    </w:rPr>
  </w:style>
  <w:style w:type="character" w:customStyle="1" w:styleId="CommentSubjectChar">
    <w:name w:val="Comment Subject Char"/>
    <w:basedOn w:val="CommentTextChar"/>
    <w:link w:val="CommentSubject"/>
    <w:uiPriority w:val="99"/>
    <w:semiHidden/>
    <w:rsid w:val="00A72D6E"/>
    <w:rPr>
      <w:rFonts w:eastAsiaTheme="minorEastAsia"/>
      <w:b/>
      <w:bCs/>
      <w:sz w:val="20"/>
      <w:szCs w:val="20"/>
    </w:rPr>
  </w:style>
  <w:style w:type="paragraph" w:styleId="BalloonText">
    <w:name w:val="Balloon Text"/>
    <w:basedOn w:val="Normal"/>
    <w:link w:val="BalloonTextChar"/>
    <w:uiPriority w:val="99"/>
    <w:semiHidden/>
    <w:unhideWhenUsed/>
    <w:rsid w:val="00A72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D6E"/>
    <w:rPr>
      <w:rFonts w:ascii="Segoe UI" w:eastAsiaTheme="minorEastAsia" w:hAnsi="Segoe UI" w:cs="Segoe UI"/>
      <w:sz w:val="18"/>
      <w:szCs w:val="18"/>
    </w:rPr>
  </w:style>
  <w:style w:type="paragraph" w:styleId="Revision">
    <w:name w:val="Revision"/>
    <w:hidden/>
    <w:uiPriority w:val="99"/>
    <w:semiHidden/>
    <w:rsid w:val="00011588"/>
    <w:pPr>
      <w:spacing w:after="0" w:line="240" w:lineRule="auto"/>
    </w:pPr>
    <w:rPr>
      <w:rFonts w:eastAsiaTheme="minorEastAsia"/>
    </w:rPr>
  </w:style>
  <w:style w:type="character" w:styleId="Hyperlink">
    <w:name w:val="Hyperlink"/>
    <w:basedOn w:val="DefaultParagraphFont"/>
    <w:uiPriority w:val="99"/>
    <w:unhideWhenUsed/>
    <w:rsid w:val="00D2755F"/>
    <w:rPr>
      <w:color w:val="0563C1" w:themeColor="hyperlink"/>
      <w:u w:val="single"/>
    </w:rPr>
  </w:style>
  <w:style w:type="character" w:customStyle="1" w:styleId="UnresolvedMention1">
    <w:name w:val="Unresolved Mention1"/>
    <w:basedOn w:val="DefaultParagraphFont"/>
    <w:uiPriority w:val="99"/>
    <w:semiHidden/>
    <w:unhideWhenUsed/>
    <w:rsid w:val="00D2755F"/>
    <w:rPr>
      <w:color w:val="605E5C"/>
      <w:shd w:val="clear" w:color="auto" w:fill="E1DFDD"/>
    </w:rPr>
  </w:style>
  <w:style w:type="table" w:styleId="TableGrid">
    <w:name w:val="Table Grid"/>
    <w:basedOn w:val="TableNormal"/>
    <w:uiPriority w:val="39"/>
    <w:rsid w:val="008A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A73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73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73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A73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8A73A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Web3">
    <w:name w:val="Table Web 3"/>
    <w:basedOn w:val="TableNormal"/>
    <w:uiPriority w:val="99"/>
    <w:rsid w:val="00552E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17623C"/>
    <w:pPr>
      <w:jc w:val="left"/>
      <w:outlineLvl w:val="9"/>
    </w:pPr>
    <w:rPr>
      <w:color w:val="2E74B5" w:themeColor="accent1" w:themeShade="BF"/>
      <w:lang w:val="en-US"/>
    </w:rPr>
  </w:style>
  <w:style w:type="paragraph" w:styleId="TOC1">
    <w:name w:val="toc 1"/>
    <w:basedOn w:val="Normal"/>
    <w:next w:val="Normal"/>
    <w:autoRedefine/>
    <w:uiPriority w:val="39"/>
    <w:unhideWhenUsed/>
    <w:rsid w:val="0017623C"/>
    <w:pPr>
      <w:spacing w:after="100"/>
    </w:pPr>
  </w:style>
  <w:style w:type="paragraph" w:styleId="TOC2">
    <w:name w:val="toc 2"/>
    <w:basedOn w:val="Normal"/>
    <w:next w:val="Normal"/>
    <w:autoRedefine/>
    <w:uiPriority w:val="39"/>
    <w:unhideWhenUsed/>
    <w:rsid w:val="006F599C"/>
    <w:pPr>
      <w:tabs>
        <w:tab w:val="left" w:pos="880"/>
        <w:tab w:val="right" w:leader="dot" w:pos="9040"/>
      </w:tabs>
      <w:spacing w:after="100"/>
      <w:ind w:left="220" w:right="686"/>
    </w:pPr>
  </w:style>
  <w:style w:type="paragraph" w:styleId="TOC3">
    <w:name w:val="toc 3"/>
    <w:basedOn w:val="Normal"/>
    <w:next w:val="Normal"/>
    <w:autoRedefine/>
    <w:uiPriority w:val="39"/>
    <w:unhideWhenUsed/>
    <w:rsid w:val="0017623C"/>
    <w:pPr>
      <w:spacing w:after="100"/>
      <w:ind w:left="440"/>
    </w:pPr>
  </w:style>
  <w:style w:type="table" w:styleId="GridTable4-Accent5">
    <w:name w:val="Grid Table 4 Accent 5"/>
    <w:basedOn w:val="TableNormal"/>
    <w:uiPriority w:val="49"/>
    <w:rsid w:val="00D6173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
    <w:name w:val="Grid Table 5 Dark"/>
    <w:basedOn w:val="TableNormal"/>
    <w:uiPriority w:val="50"/>
    <w:rsid w:val="00D617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D617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D617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D617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C23FC6"/>
    <w:pPr>
      <w:spacing w:after="0" w:line="240" w:lineRule="auto"/>
    </w:pPr>
    <w:rPr>
      <w:rFonts w:eastAsiaTheme="minorEastAsia"/>
    </w:rPr>
  </w:style>
  <w:style w:type="character" w:customStyle="1" w:styleId="Heading4Char">
    <w:name w:val="Heading 4 Char"/>
    <w:basedOn w:val="DefaultParagraphFont"/>
    <w:link w:val="Heading4"/>
    <w:uiPriority w:val="9"/>
    <w:rsid w:val="00FA4564"/>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CF4DB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
    <w:rsid w:val="00C756EE"/>
    <w:rPr>
      <w:rFonts w:asciiTheme="majorHAnsi" w:eastAsiaTheme="majorEastAsia" w:hAnsiTheme="majorHAnsi" w:cstheme="majorBidi"/>
      <w:color w:val="2E74B5" w:themeColor="accent1" w:themeShade="BF"/>
    </w:rPr>
  </w:style>
  <w:style w:type="paragraph" w:customStyle="1" w:styleId="Default">
    <w:name w:val="Default"/>
    <w:rsid w:val="0008654C"/>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1C0717"/>
    <w:rPr>
      <w:i/>
      <w:iCs/>
      <w:color w:val="auto"/>
    </w:rPr>
  </w:style>
  <w:style w:type="character" w:styleId="FollowedHyperlink">
    <w:name w:val="FollowedHyperlink"/>
    <w:basedOn w:val="DefaultParagraphFont"/>
    <w:uiPriority w:val="99"/>
    <w:semiHidden/>
    <w:unhideWhenUsed/>
    <w:rsid w:val="009A2A74"/>
    <w:rPr>
      <w:color w:val="954F72" w:themeColor="followedHyperlink"/>
      <w:u w:val="single"/>
    </w:rPr>
  </w:style>
  <w:style w:type="paragraph" w:styleId="EndnoteText">
    <w:name w:val="endnote text"/>
    <w:basedOn w:val="Normal"/>
    <w:link w:val="EndnoteTextChar"/>
    <w:uiPriority w:val="99"/>
    <w:semiHidden/>
    <w:unhideWhenUsed/>
    <w:rsid w:val="00F26B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6B64"/>
    <w:rPr>
      <w:rFonts w:eastAsiaTheme="minorEastAsia"/>
      <w:sz w:val="20"/>
      <w:szCs w:val="20"/>
    </w:rPr>
  </w:style>
  <w:style w:type="character" w:styleId="EndnoteReference">
    <w:name w:val="endnote reference"/>
    <w:basedOn w:val="DefaultParagraphFont"/>
    <w:uiPriority w:val="99"/>
    <w:semiHidden/>
    <w:unhideWhenUsed/>
    <w:rsid w:val="00F26B64"/>
    <w:rPr>
      <w:vertAlign w:val="superscript"/>
    </w:rPr>
  </w:style>
  <w:style w:type="character" w:customStyle="1" w:styleId="Heading6Char">
    <w:name w:val="Heading 6 Char"/>
    <w:basedOn w:val="DefaultParagraphFont"/>
    <w:link w:val="Heading6"/>
    <w:uiPriority w:val="9"/>
    <w:semiHidden/>
    <w:rsid w:val="006370C6"/>
    <w:rPr>
      <w:rFonts w:asciiTheme="majorHAnsi" w:eastAsiaTheme="majorEastAsia" w:hAnsiTheme="majorHAnsi" w:cstheme="majorBidi"/>
      <w:color w:val="1F4D78" w:themeColor="accent1" w:themeShade="7F"/>
    </w:rPr>
  </w:style>
  <w:style w:type="paragraph" w:styleId="Subtitle">
    <w:name w:val="Subtitle"/>
    <w:basedOn w:val="Heading6"/>
    <w:next w:val="Normal"/>
    <w:link w:val="SubtitleChar"/>
    <w:uiPriority w:val="11"/>
    <w:qFormat/>
    <w:rsid w:val="006370C6"/>
    <w:pPr>
      <w:keepLines w:val="0"/>
      <w:spacing w:before="0" w:after="160"/>
      <w:jc w:val="right"/>
    </w:pPr>
    <w:rPr>
      <w:rFonts w:ascii="Calibri" w:eastAsiaTheme="minorHAnsi" w:hAnsi="Calibri"/>
      <w:b/>
      <w:caps/>
      <w:color w:val="808080"/>
      <w:sz w:val="32"/>
      <w:szCs w:val="20"/>
    </w:rPr>
  </w:style>
  <w:style w:type="character" w:customStyle="1" w:styleId="SubtitleChar">
    <w:name w:val="Subtitle Char"/>
    <w:basedOn w:val="DefaultParagraphFont"/>
    <w:link w:val="Subtitle"/>
    <w:uiPriority w:val="11"/>
    <w:rsid w:val="006370C6"/>
    <w:rPr>
      <w:rFonts w:ascii="Calibri" w:hAnsi="Calibri" w:cstheme="majorBidi"/>
      <w:b/>
      <w:caps/>
      <w:color w:val="808080"/>
      <w:sz w:val="32"/>
      <w:szCs w:val="20"/>
    </w:rPr>
  </w:style>
  <w:style w:type="character" w:styleId="UnresolvedMention">
    <w:name w:val="Unresolved Mention"/>
    <w:basedOn w:val="DefaultParagraphFont"/>
    <w:uiPriority w:val="99"/>
    <w:semiHidden/>
    <w:unhideWhenUsed/>
    <w:rsid w:val="00B54870"/>
    <w:rPr>
      <w:color w:val="605E5C"/>
      <w:shd w:val="clear" w:color="auto" w:fill="E1DFDD"/>
    </w:rPr>
  </w:style>
  <w:style w:type="character" w:customStyle="1" w:styleId="cf01">
    <w:name w:val="cf01"/>
    <w:basedOn w:val="DefaultParagraphFont"/>
    <w:rsid w:val="0092494B"/>
    <w:rPr>
      <w:rFonts w:ascii="Segoe UI" w:hAnsi="Segoe UI" w:cs="Segoe UI" w:hint="default"/>
      <w:i/>
      <w:iCs/>
      <w:sz w:val="18"/>
      <w:szCs w:val="18"/>
    </w:rPr>
  </w:style>
  <w:style w:type="paragraph" w:customStyle="1" w:styleId="MinuteParagraph">
    <w:name w:val="Minute Paragraph"/>
    <w:basedOn w:val="ListParagraph"/>
    <w:qFormat/>
    <w:rsid w:val="00A0156E"/>
    <w:pPr>
      <w:numPr>
        <w:numId w:val="148"/>
      </w:numPr>
      <w:tabs>
        <w:tab w:val="left" w:pos="567"/>
      </w:tabs>
      <w:spacing w:after="240" w:line="240" w:lineRule="auto"/>
      <w:contextualSpacing w:val="0"/>
    </w:pPr>
    <w:rPr>
      <w:rFonts w:eastAsia="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4090">
      <w:bodyDiv w:val="1"/>
      <w:marLeft w:val="0"/>
      <w:marRight w:val="0"/>
      <w:marTop w:val="0"/>
      <w:marBottom w:val="0"/>
      <w:divBdr>
        <w:top w:val="none" w:sz="0" w:space="0" w:color="auto"/>
        <w:left w:val="none" w:sz="0" w:space="0" w:color="auto"/>
        <w:bottom w:val="none" w:sz="0" w:space="0" w:color="auto"/>
        <w:right w:val="none" w:sz="0" w:space="0" w:color="auto"/>
      </w:divBdr>
    </w:div>
    <w:div w:id="412774246">
      <w:bodyDiv w:val="1"/>
      <w:marLeft w:val="0"/>
      <w:marRight w:val="0"/>
      <w:marTop w:val="0"/>
      <w:marBottom w:val="0"/>
      <w:divBdr>
        <w:top w:val="none" w:sz="0" w:space="0" w:color="auto"/>
        <w:left w:val="none" w:sz="0" w:space="0" w:color="auto"/>
        <w:bottom w:val="none" w:sz="0" w:space="0" w:color="auto"/>
        <w:right w:val="none" w:sz="0" w:space="0" w:color="auto"/>
      </w:divBdr>
    </w:div>
    <w:div w:id="589504094">
      <w:bodyDiv w:val="1"/>
      <w:marLeft w:val="0"/>
      <w:marRight w:val="0"/>
      <w:marTop w:val="0"/>
      <w:marBottom w:val="0"/>
      <w:divBdr>
        <w:top w:val="none" w:sz="0" w:space="0" w:color="auto"/>
        <w:left w:val="none" w:sz="0" w:space="0" w:color="auto"/>
        <w:bottom w:val="none" w:sz="0" w:space="0" w:color="auto"/>
        <w:right w:val="none" w:sz="0" w:space="0" w:color="auto"/>
      </w:divBdr>
    </w:div>
    <w:div w:id="730424025">
      <w:bodyDiv w:val="1"/>
      <w:marLeft w:val="0"/>
      <w:marRight w:val="0"/>
      <w:marTop w:val="0"/>
      <w:marBottom w:val="0"/>
      <w:divBdr>
        <w:top w:val="none" w:sz="0" w:space="0" w:color="auto"/>
        <w:left w:val="none" w:sz="0" w:space="0" w:color="auto"/>
        <w:bottom w:val="none" w:sz="0" w:space="0" w:color="auto"/>
        <w:right w:val="none" w:sz="0" w:space="0" w:color="auto"/>
      </w:divBdr>
    </w:div>
    <w:div w:id="1439334241">
      <w:bodyDiv w:val="1"/>
      <w:marLeft w:val="0"/>
      <w:marRight w:val="0"/>
      <w:marTop w:val="0"/>
      <w:marBottom w:val="0"/>
      <w:divBdr>
        <w:top w:val="none" w:sz="0" w:space="0" w:color="auto"/>
        <w:left w:val="none" w:sz="0" w:space="0" w:color="auto"/>
        <w:bottom w:val="none" w:sz="0" w:space="0" w:color="auto"/>
        <w:right w:val="none" w:sz="0" w:space="0" w:color="auto"/>
      </w:divBdr>
    </w:div>
    <w:div w:id="1484617394">
      <w:bodyDiv w:val="1"/>
      <w:marLeft w:val="0"/>
      <w:marRight w:val="0"/>
      <w:marTop w:val="0"/>
      <w:marBottom w:val="0"/>
      <w:divBdr>
        <w:top w:val="none" w:sz="0" w:space="0" w:color="auto"/>
        <w:left w:val="none" w:sz="0" w:space="0" w:color="auto"/>
        <w:bottom w:val="none" w:sz="0" w:space="0" w:color="auto"/>
        <w:right w:val="none" w:sz="0" w:space="0" w:color="auto"/>
      </w:divBdr>
    </w:div>
    <w:div w:id="1610627910">
      <w:bodyDiv w:val="1"/>
      <w:marLeft w:val="0"/>
      <w:marRight w:val="0"/>
      <w:marTop w:val="0"/>
      <w:marBottom w:val="0"/>
      <w:divBdr>
        <w:top w:val="none" w:sz="0" w:space="0" w:color="auto"/>
        <w:left w:val="none" w:sz="0" w:space="0" w:color="auto"/>
        <w:bottom w:val="none" w:sz="0" w:space="0" w:color="auto"/>
        <w:right w:val="none" w:sz="0" w:space="0" w:color="auto"/>
      </w:divBdr>
    </w:div>
    <w:div w:id="1992247575">
      <w:bodyDiv w:val="1"/>
      <w:marLeft w:val="0"/>
      <w:marRight w:val="0"/>
      <w:marTop w:val="0"/>
      <w:marBottom w:val="0"/>
      <w:divBdr>
        <w:top w:val="none" w:sz="0" w:space="0" w:color="auto"/>
        <w:left w:val="none" w:sz="0" w:space="0" w:color="auto"/>
        <w:bottom w:val="none" w:sz="0" w:space="0" w:color="auto"/>
        <w:right w:val="none" w:sz="0" w:space="0" w:color="auto"/>
      </w:divBdr>
    </w:div>
    <w:div w:id="210865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act.gov.au/a/1994-9/" TargetMode="External"/><Relationship Id="rId21" Type="http://schemas.openxmlformats.org/officeDocument/2006/relationships/hyperlink" Target="https://www.legislation.act.gov.au/a/2023-16/" TargetMode="External"/><Relationship Id="rId42" Type="http://schemas.openxmlformats.org/officeDocument/2006/relationships/hyperlink" Target="https://www.legislation.act.gov.au/a/1997-125/" TargetMode="External"/><Relationship Id="rId47" Type="http://schemas.openxmlformats.org/officeDocument/2006/relationships/hyperlink" Target="https://www.legislation.act.gov.au/a/2003-58" TargetMode="External"/><Relationship Id="rId63" Type="http://schemas.openxmlformats.org/officeDocument/2006/relationships/hyperlink" Target="https://www.legislation.act.gov.au/a/2014-59" TargetMode="External"/><Relationship Id="rId68" Type="http://schemas.openxmlformats.org/officeDocument/2006/relationships/hyperlink" Target="https://www.legislation.act.gov.au/a/2016-42/"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legislation.act.gov.au/a/2018-52/" TargetMode="External"/><Relationship Id="rId11" Type="http://schemas.openxmlformats.org/officeDocument/2006/relationships/endnotes" Target="endnotes.xml"/><Relationship Id="rId24" Type="http://schemas.openxmlformats.org/officeDocument/2006/relationships/hyperlink" Target="https://www.legislation.act.gov.au/a/2016-55/" TargetMode="External"/><Relationship Id="rId32" Type="http://schemas.openxmlformats.org/officeDocument/2006/relationships/hyperlink" Target="https://www.legislation.act.gov.au/a/2005-30" TargetMode="External"/><Relationship Id="rId37" Type="http://schemas.openxmlformats.org/officeDocument/2006/relationships/hyperlink" Target="https://www.legislation.act.gov.au/a/1993-13/" TargetMode="External"/><Relationship Id="rId40" Type="http://schemas.openxmlformats.org/officeDocument/2006/relationships/hyperlink" Target="https://www.legislation.act.gov.au/a/1999-4" TargetMode="External"/><Relationship Id="rId45" Type="http://schemas.openxmlformats.org/officeDocument/2006/relationships/hyperlink" Target="https://www.legislation.act.gov.au/a/1996-22" TargetMode="External"/><Relationship Id="rId53" Type="http://schemas.openxmlformats.org/officeDocument/2006/relationships/hyperlink" Target="https://www.legislation.act.gov.au/a/1997-92" TargetMode="External"/><Relationship Id="rId58" Type="http://schemas.openxmlformats.org/officeDocument/2006/relationships/hyperlink" Target="https://www.legislation.act.gov.au/a/2010-35" TargetMode="External"/><Relationship Id="rId66" Type="http://schemas.openxmlformats.org/officeDocument/2006/relationships/hyperlink" Target="https://www.oaic.gov.au/privacy/privacy-legislation/state-and-territory-privacy-legislation/privacy-in-the-act"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legislation.act.gov.au/a/2015-38" TargetMode="External"/><Relationship Id="rId19" Type="http://schemas.openxmlformats.org/officeDocument/2006/relationships/hyperlink" Target="https://www.legislation.act.gov.au/a/2016-55/" TargetMode="External"/><Relationship Id="rId14" Type="http://schemas.openxmlformats.org/officeDocument/2006/relationships/footer" Target="footer1.xml"/><Relationship Id="rId22" Type="http://schemas.openxmlformats.org/officeDocument/2006/relationships/hyperlink" Target="https://www.legislation.act.gov.au/a/2020-46/" TargetMode="External"/><Relationship Id="rId27" Type="http://schemas.openxmlformats.org/officeDocument/2006/relationships/hyperlink" Target="https://www.legislation.act.gov.au/a/1991-1/" TargetMode="External"/><Relationship Id="rId30" Type="http://schemas.openxmlformats.org/officeDocument/2006/relationships/hyperlink" Target="https://www.legislation.act.gov.au/a/1993-20/" TargetMode="External"/><Relationship Id="rId35" Type="http://schemas.openxmlformats.org/officeDocument/2006/relationships/hyperlink" Target="https://www.legislation.act.gov.au/a/1991-46/" TargetMode="External"/><Relationship Id="rId43" Type="http://schemas.openxmlformats.org/officeDocument/2006/relationships/hyperlink" Target="https://www.legislation.act.gov.au/ni/2020-370/" TargetMode="External"/><Relationship Id="rId48" Type="http://schemas.openxmlformats.org/officeDocument/2006/relationships/hyperlink" Target="https://www.legislation.act.gov.au/a/2005-40" TargetMode="External"/><Relationship Id="rId56" Type="http://schemas.openxmlformats.org/officeDocument/2006/relationships/hyperlink" Target="https://www.legislation.act.gov.au/a/1999-4/" TargetMode="External"/><Relationship Id="rId64" Type="http://schemas.openxmlformats.org/officeDocument/2006/relationships/hyperlink" Target="https://www.legislation.act.gov.au/a/2017-47/current/" TargetMode="External"/><Relationship Id="rId69" Type="http://schemas.openxmlformats.org/officeDocument/2006/relationships/hyperlink" Target="https://www.hrc.act.gov.au/humanrights/how-are-human-rights-protected-in-the-act/rights-protected-in-the-act" TargetMode="External"/><Relationship Id="rId8" Type="http://schemas.openxmlformats.org/officeDocument/2006/relationships/settings" Target="settings.xml"/><Relationship Id="rId51" Type="http://schemas.openxmlformats.org/officeDocument/2006/relationships/hyperlink" Target="https://www.legislation.act.gov.au/View/a/1992-71/current/PDF/1992-71.PDF" TargetMode="External"/><Relationship Id="rId72" Type="http://schemas.openxmlformats.org/officeDocument/2006/relationships/hyperlink" Target="https://www.legislation.act.gov.au/a/2008-1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act.gov.au/a/1991-2/" TargetMode="External"/><Relationship Id="rId33" Type="http://schemas.openxmlformats.org/officeDocument/2006/relationships/hyperlink" Target="https://www.legislation.act.gov.au/a/2004-65" TargetMode="External"/><Relationship Id="rId38" Type="http://schemas.openxmlformats.org/officeDocument/2006/relationships/hyperlink" Target="https://www.legislation.act.gov.au/a/2007-24" TargetMode="External"/><Relationship Id="rId46" Type="http://schemas.openxmlformats.org/officeDocument/2006/relationships/hyperlink" Target="https://www.cmtedd.act.gov.au/open_government/inform/cabinet-decisions" TargetMode="External"/><Relationship Id="rId59" Type="http://schemas.openxmlformats.org/officeDocument/2006/relationships/hyperlink" Target="https://www.legislation.gov.au/Series/C2004A02562" TargetMode="External"/><Relationship Id="rId67" Type="http://schemas.openxmlformats.org/officeDocument/2006/relationships/hyperlink" Target="https://www.legislation.act.gov.au/View/a/1997-125/current/PDF/1997-125.PDF" TargetMode="External"/><Relationship Id="rId20" Type="http://schemas.openxmlformats.org/officeDocument/2006/relationships/hyperlink" Target="https://www.legislation.act.gov.au/" TargetMode="External"/><Relationship Id="rId41" Type="http://schemas.openxmlformats.org/officeDocument/2006/relationships/hyperlink" Target="https://www.legislation.act.gov.au/a/2014-24/" TargetMode="External"/><Relationship Id="rId54" Type="http://schemas.openxmlformats.org/officeDocument/2006/relationships/hyperlink" Target="https://www.legislation.act.gov.au/a/2000-67" TargetMode="External"/><Relationship Id="rId62" Type="http://schemas.openxmlformats.org/officeDocument/2006/relationships/hyperlink" Target="https://www.legislation.act.gov.au/a/2004-57" TargetMode="External"/><Relationship Id="rId70" Type="http://schemas.openxmlformats.org/officeDocument/2006/relationships/hyperlink" Target="https://www.legislation.act.gov.au/ni/2020-37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act.gov.au/a/2017-47/" TargetMode="External"/><Relationship Id="rId28" Type="http://schemas.openxmlformats.org/officeDocument/2006/relationships/hyperlink" Target="https://www.legislation.act.gov.au/a/alt_a1989-45co/" TargetMode="External"/><Relationship Id="rId36" Type="http://schemas.openxmlformats.org/officeDocument/2006/relationships/hyperlink" Target="https://www.legislation.act.gov.au/a/1991-81" TargetMode="External"/><Relationship Id="rId49" Type="http://schemas.openxmlformats.org/officeDocument/2006/relationships/hyperlink" Target="https://www.legislation.act.gov.au/a/2012-43" TargetMode="External"/><Relationship Id="rId57" Type="http://schemas.openxmlformats.org/officeDocument/2006/relationships/hyperlink" Target="https://www.legislation.act.gov.au/a/2007-24" TargetMode="External"/><Relationship Id="rId10" Type="http://schemas.openxmlformats.org/officeDocument/2006/relationships/footnotes" Target="footnotes.xml"/><Relationship Id="rId31" Type="http://schemas.openxmlformats.org/officeDocument/2006/relationships/hyperlink" Target="https://www.legislation.act.gov.au/a/2008-19/" TargetMode="External"/><Relationship Id="rId44" Type="http://schemas.openxmlformats.org/officeDocument/2006/relationships/hyperlink" Target="https://www.legislation.act.gov.au/a/1996-23" TargetMode="External"/><Relationship Id="rId52" Type="http://schemas.openxmlformats.org/officeDocument/2006/relationships/hyperlink" Target="https://www.legislation.act.gov.au/ni/2020-370/" TargetMode="External"/><Relationship Id="rId60" Type="http://schemas.openxmlformats.org/officeDocument/2006/relationships/hyperlink" Target="https://www.legislation.act.gov.au/a/2011-35/" TargetMode="External"/><Relationship Id="rId65" Type="http://schemas.openxmlformats.org/officeDocument/2006/relationships/hyperlink" Target="https://www.legislation.act.gov.au/ni/2020-370/"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9" Type="http://schemas.openxmlformats.org/officeDocument/2006/relationships/hyperlink" Target="https://www.legislation.act.gov.au/a/1985-8/" TargetMode="External"/><Relationship Id="rId34" Type="http://schemas.openxmlformats.org/officeDocument/2006/relationships/hyperlink" Target="https://www.legislation.act.gov.au/a/2007-8/" TargetMode="External"/><Relationship Id="rId50" Type="http://schemas.openxmlformats.org/officeDocument/2006/relationships/hyperlink" Target="https://www.legislation.act.gov.au/a/2012-47/" TargetMode="External"/><Relationship Id="rId55" Type="http://schemas.openxmlformats.org/officeDocument/2006/relationships/hyperlink" Target="https://www.legislation.act.gov.au/a/2006-25" TargetMode="External"/><Relationship Id="rId7" Type="http://schemas.openxmlformats.org/officeDocument/2006/relationships/styles" Target="styles.xml"/><Relationship Id="rId71" Type="http://schemas.openxmlformats.org/officeDocument/2006/relationships/hyperlink" Target="https://www.legislation.act.gov.au/ni/2020-370/"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legislation.act.gov.au/a/1996-23" TargetMode="External"/><Relationship Id="rId299" Type="http://schemas.openxmlformats.org/officeDocument/2006/relationships/hyperlink" Target="https://www.austlii.edu.au/cgi-bin/viewdoc/au/cases/qld/QICmr/2011/4.html?context=1;query=%5b2011%5d%20QICmr%204;mask_path=" TargetMode="External"/><Relationship Id="rId21" Type="http://schemas.openxmlformats.org/officeDocument/2006/relationships/hyperlink" Target="http://www.austlii.edu.au/cgi-bin/viewdoc/au/cases/cth/AATA/2016/775.html" TargetMode="External"/><Relationship Id="rId63" Type="http://schemas.openxmlformats.org/officeDocument/2006/relationships/hyperlink" Target="http://www.austlii.edu.au/cgi-bin/viewdoc/au/cases/cth/HCA/1996/34.html" TargetMode="External"/><Relationship Id="rId159" Type="http://schemas.openxmlformats.org/officeDocument/2006/relationships/hyperlink" Target="https://www.legislation.act.gov.au/a/2016-55/" TargetMode="External"/><Relationship Id="rId324" Type="http://schemas.openxmlformats.org/officeDocument/2006/relationships/hyperlink" Target="https://www.austlii.edu.au/cgi-bin/viewdoc/au/cases/nsw/NSWCATAD/2018/287.html?context=1;query=%5b2018%5d%20NSWCATAD%20287;mask_path=" TargetMode="External"/><Relationship Id="rId366" Type="http://schemas.openxmlformats.org/officeDocument/2006/relationships/hyperlink" Target="https://www.austlii.edu.au/cgi-bin/viewdoc/au/cases/qld/QICmr/2014/5.html?context=1;query=%5b2014%5d%20QICmr%205;mask_path=" TargetMode="External"/><Relationship Id="rId170" Type="http://schemas.openxmlformats.org/officeDocument/2006/relationships/hyperlink" Target="https://www.legislation.act.gov.au/a/2001-14/" TargetMode="External"/><Relationship Id="rId226" Type="http://schemas.openxmlformats.org/officeDocument/2006/relationships/hyperlink" Target="https://www.legislation.act.gov.au/View/es/db_53834/20160505-63422/PDF/db_53834.PDF" TargetMode="External"/><Relationship Id="rId268" Type="http://schemas.openxmlformats.org/officeDocument/2006/relationships/hyperlink" Target="https://www.ombudsman.act.gov.au/__data/assets/pdf_file/0032/295916/2018-ACTOFOI-8-A1703331.pdf" TargetMode="External"/><Relationship Id="rId32" Type="http://schemas.openxmlformats.org/officeDocument/2006/relationships/hyperlink" Target="https://www.oic.qld.gov.au/__data/assets/pdf_file/0004/7267/1993_S0004_B_31_01_1994.pdf" TargetMode="External"/><Relationship Id="rId74" Type="http://schemas.openxmlformats.org/officeDocument/2006/relationships/hyperlink" Target="https://www.austlii.edu.au/cgi-bin/viewdoc/au/cases/cth/HCA/2008/37.html?context=1;query=Osland%20v%20Secretary%20to%20the%20Department%20of%20Justice%20;mask_path=" TargetMode="External"/><Relationship Id="rId128" Type="http://schemas.openxmlformats.org/officeDocument/2006/relationships/hyperlink" Target="https://www.legislation.act.gov.au/a/2016-55/" TargetMode="External"/><Relationship Id="rId335" Type="http://schemas.openxmlformats.org/officeDocument/2006/relationships/hyperlink" Target="https://www.austlii.edu.au/cgi-bin/viewdoc/au/cases/vic/VCAT/2014/615.html?context=1;query=%20%5b2014%5d%20VCAT%20615%20;mask_path=" TargetMode="External"/><Relationship Id="rId377" Type="http://schemas.openxmlformats.org/officeDocument/2006/relationships/hyperlink" Target="https://www.legislation.act.gov.au/a/2004-57/" TargetMode="External"/><Relationship Id="rId5" Type="http://schemas.openxmlformats.org/officeDocument/2006/relationships/hyperlink" Target="https://www.legislation.act.gov.au/a/2016-55/" TargetMode="External"/><Relationship Id="rId181" Type="http://schemas.openxmlformats.org/officeDocument/2006/relationships/hyperlink" Target="https://www.oic.qld.gov.au/guidelines/for-government/access-and-amendment/decision-making/exempt-information-provisions/law-enforcement-and-public-safety" TargetMode="External"/><Relationship Id="rId237" Type="http://schemas.openxmlformats.org/officeDocument/2006/relationships/hyperlink" Target="https://www.ombudsman.act.gov.au/__data/assets/pdf_file/0027/295920/defence.pdf" TargetMode="External"/><Relationship Id="rId279" Type="http://schemas.openxmlformats.org/officeDocument/2006/relationships/hyperlink" Target="https://www.ombudsman.act.gov.au/__data/assets/pdf_file/0034/295918/Daniella-White-and-Canberra-Health-Services-2019-ACTOFOI-9-5-June-2019.pdf" TargetMode="External"/><Relationship Id="rId43" Type="http://schemas.openxmlformats.org/officeDocument/2006/relationships/hyperlink" Target="https://www.legislation.qld.gov.au/view/html/inforce/current/act-2001-081" TargetMode="External"/><Relationship Id="rId139" Type="http://schemas.openxmlformats.org/officeDocument/2006/relationships/hyperlink" Target="http://www.austlii.edu.au/cgi-bin/viewdoc/au/cases/cth/AATA/2003/1301.html?context=1;query=2003%5d%20AATA%201301;mask_path=" TargetMode="External"/><Relationship Id="rId290" Type="http://schemas.openxmlformats.org/officeDocument/2006/relationships/hyperlink" Target="https://www.austlii.edu.au/cgi-bin/viewdoc/au/cases/cth/AICmr/2013/50.html?context=1;query=%5b2013%5d%20AICmr%2050;mask_path=" TargetMode="External"/><Relationship Id="rId304" Type="http://schemas.openxmlformats.org/officeDocument/2006/relationships/hyperlink" Target="http://ombudsman.act.gov.au/__data/assets/pdf_file/0016/100672/Canberra-Metro-Construction-and-Chief-Minister,-Treasury-and-Economic-Development-Directorate-2019-ACTOFOI-8-5-June-2019.pdf" TargetMode="External"/><Relationship Id="rId346" Type="http://schemas.openxmlformats.org/officeDocument/2006/relationships/hyperlink" Target="https://www.austlii.edu.au/cgi-bin/viewdoc/au/cases/qld/QICmr/2018/46.html?context=1;query=%5b2018%5d%20QICmr%2046;mask_path=" TargetMode="External"/><Relationship Id="rId388" Type="http://schemas.openxmlformats.org/officeDocument/2006/relationships/hyperlink" Target="https://www.legislation.act.gov.au/View/es/db_53834/20160505-63422/html/db_53834.html" TargetMode="External"/><Relationship Id="rId85" Type="http://schemas.openxmlformats.org/officeDocument/2006/relationships/hyperlink" Target="https://www.legislation.act.gov.au/a/2008-19/" TargetMode="External"/><Relationship Id="rId150" Type="http://schemas.openxmlformats.org/officeDocument/2006/relationships/hyperlink" Target="https://www.legislation.act.gov.au/a/2012-43" TargetMode="External"/><Relationship Id="rId192" Type="http://schemas.openxmlformats.org/officeDocument/2006/relationships/hyperlink" Target="https://www.austlii.edu.au/cgi-bin/viewdoc/au/cases/qld/QICmr/2018/49.html?context=1;query=%5b2018%5d%20QICmr%2049;mask_path=" TargetMode="External"/><Relationship Id="rId206" Type="http://schemas.openxmlformats.org/officeDocument/2006/relationships/hyperlink" Target="https://www.oic.qld.gov.au/decisions/stanway-and-queensland-police-service-no.-2-2018-qicmr-15-29-march-2018" TargetMode="External"/><Relationship Id="rId248" Type="http://schemas.openxmlformats.org/officeDocument/2006/relationships/hyperlink" Target="https://www.austlii.edu.au/cgi-bin/viewdoc/au/cases/cth/FCA/2000/453.html?context=1;query=%5b2000%5d%20FCA%20453;mask_path=" TargetMode="External"/><Relationship Id="rId12" Type="http://schemas.openxmlformats.org/officeDocument/2006/relationships/hyperlink" Target="https://www.macquariedictionary.com.au/" TargetMode="External"/><Relationship Id="rId108" Type="http://schemas.openxmlformats.org/officeDocument/2006/relationships/hyperlink" Target="https://www.ombudsman.act.gov.au/__data/assets/pdf_file/0034/295909/Alistair-Coe-and-ACT-Health-Directorate-2018-ACTOFOI-4-5-September-2018.pdf" TargetMode="External"/><Relationship Id="rId315" Type="http://schemas.openxmlformats.org/officeDocument/2006/relationships/hyperlink" Target="https://www.austlii.edu.au/cgi-bin/viewdoc/au/cases/qld/QICmr/2018/53.html?context=1;query=%5b2018%5d%20QICmr%2053;mask_path=" TargetMode="External"/><Relationship Id="rId357" Type="http://schemas.openxmlformats.org/officeDocument/2006/relationships/hyperlink" Target="https://www.austlii.edu.au/cgi-bin/viewdoc/au/cases/qld/QICmr/2016/21.html?context=1;query=%5b2016%5d%20QICmr%2021,%20;mask_path=" TargetMode="External"/><Relationship Id="rId54" Type="http://schemas.openxmlformats.org/officeDocument/2006/relationships/hyperlink" Target="https://www.legislation.act.gov.au/a/2023-16/" TargetMode="External"/><Relationship Id="rId96" Type="http://schemas.openxmlformats.org/officeDocument/2006/relationships/hyperlink" Target="https://www.austlii.edu.au/cgi-bin/viewdoc/au/cases/cth/AICmr/2014/144.html?context=1;query=%5b2014%5d%20AICmr%20144;mask_path=" TargetMode="External"/><Relationship Id="rId161" Type="http://schemas.openxmlformats.org/officeDocument/2006/relationships/hyperlink" Target="https://www.legislation.act.gov.au/a/alt_a1989-45co/" TargetMode="External"/><Relationship Id="rId217" Type="http://schemas.openxmlformats.org/officeDocument/2006/relationships/hyperlink" Target="https://www.austlii.edu.au/cgi-bin/viewdoc/au/cases/qld/QICmr/1997/4.html?context=1;query=Prisoners%27%20Legal%20Service%20Inc%20and%20Queensland%20Corrective%20Services%20Commission%20;mask_path=" TargetMode="External"/><Relationship Id="rId259" Type="http://schemas.openxmlformats.org/officeDocument/2006/relationships/hyperlink" Target="https://www.ombudsman.act.gov.au/__data/assets/pdf_file/0032/295907/AB-and-Chief-Minister,-Treasury-and-Economic-Development-Directorate-2018-ACTOFOI-2-23-August-2018.pdf" TargetMode="External"/><Relationship Id="rId23" Type="http://schemas.openxmlformats.org/officeDocument/2006/relationships/hyperlink" Target="http://www.austlii.edu.au/cgi-bin/viewdoc/au/cases/cth/HCA/1975/17.html" TargetMode="External"/><Relationship Id="rId119" Type="http://schemas.openxmlformats.org/officeDocument/2006/relationships/hyperlink" Target="https://www.legislation.act.gov.au/a/1996-23" TargetMode="External"/><Relationship Id="rId270" Type="http://schemas.openxmlformats.org/officeDocument/2006/relationships/hyperlink" Target="https://www.austlii.edu.au/cgi-bin/viewdoc/au/cases/cth/AICmr/2015/26.html?context=1;query=%5b2015%5d%20AICmr%2026%20;mask_path=" TargetMode="External"/><Relationship Id="rId326" Type="http://schemas.openxmlformats.org/officeDocument/2006/relationships/hyperlink" Target="https://www.austlii.edu.au/cgi-bin/viewdoc/au/cases/nsw/NSWCATAD/2018/287.html?context=1;query=%5b2018%5d%20NSWCATAD%20287;mask_path=" TargetMode="External"/><Relationship Id="rId65" Type="http://schemas.openxmlformats.org/officeDocument/2006/relationships/hyperlink" Target="https://www.oic.qld.gov.au/decisions/jones-and-queensland-police-service-2015-qicmr-15-26-june-2015" TargetMode="External"/><Relationship Id="rId130" Type="http://schemas.openxmlformats.org/officeDocument/2006/relationships/hyperlink" Target="http://www.austlii.edu.au/cgi-bin/viewdoc/au/cases/cth/AATA/2003/1301.html?context=1;query=%5b2003%5d%20AATA%201301;mask_path=" TargetMode="External"/><Relationship Id="rId368" Type="http://schemas.openxmlformats.org/officeDocument/2006/relationships/hyperlink" Target="https://www.oic.qld.gov.au/decisions/pallara-action-group-inc-and-brisbane-city-council-queensland-information-commissioner,-21-september-2012" TargetMode="External"/><Relationship Id="rId172" Type="http://schemas.openxmlformats.org/officeDocument/2006/relationships/hyperlink" Target="https://www.legislation.act.gov.au/a/2016-55/" TargetMode="External"/><Relationship Id="rId228" Type="http://schemas.openxmlformats.org/officeDocument/2006/relationships/hyperlink" Target="http://ombudsman.act.gov.au/__data/assets/pdf_file/0016/100672/Canberra-Metro-Construction-and-Chief-Minister,-Treasury-and-Economic-Development-Directorate-2019-ACTOFOI-8-5-June-2019.pdf" TargetMode="External"/><Relationship Id="rId281" Type="http://schemas.openxmlformats.org/officeDocument/2006/relationships/hyperlink" Target="https://www.austlii.edu.au/cgi-bin/viewdoc/au/cases/qld/QICmr/2014/27.html?context=1;query=%5b2014%5d%20QICmr%2027;mask_path=" TargetMode="External"/><Relationship Id="rId337" Type="http://schemas.openxmlformats.org/officeDocument/2006/relationships/hyperlink" Target="https://www.austlii.edu.au/cgi-bin/viewdoc/au/cases/qld/QICmr/2016/28.html?context=1;query=%5b2016%5d%20QICmr%2028%20;mask_path=" TargetMode="External"/><Relationship Id="rId34" Type="http://schemas.openxmlformats.org/officeDocument/2006/relationships/hyperlink" Target="https://www.legislation.act.gov.au/a/2016-55/" TargetMode="External"/><Relationship Id="rId76" Type="http://schemas.openxmlformats.org/officeDocument/2006/relationships/hyperlink" Target="https://www.austlii.edu.au/cgi-bin/viewdoc/au/cases/cth/FCA/2007/1081.html?context=1;query=%5b2007%5d%20FCA%201081;mask_path=" TargetMode="External"/><Relationship Id="rId141" Type="http://schemas.openxmlformats.org/officeDocument/2006/relationships/hyperlink" Target="https://www.ombudsman.act.gov.au/__data/assets/pdf_file/0027/295902/Alistair-Coe-and-Chief-Minister,-Treasury-and-Economic-Development-Directorate-2019-ACTOFOI-6-26-February-2019.pdf" TargetMode="External"/><Relationship Id="rId379" Type="http://schemas.openxmlformats.org/officeDocument/2006/relationships/hyperlink" Target="https://www.legislation.act.gov.au/a/2004-57/" TargetMode="External"/><Relationship Id="rId7" Type="http://schemas.openxmlformats.org/officeDocument/2006/relationships/hyperlink" Target="https://www.legislation.act.gov.au/a/2016-55/" TargetMode="External"/><Relationship Id="rId183" Type="http://schemas.openxmlformats.org/officeDocument/2006/relationships/hyperlink" Target="https://www.oic.qld.gov.au/decisions/abbot-point-bulkcoal-pty-ltd-and-department-of-environment-and-science-mackay-conservation-group-inc-third-party-2018-qicmr-26-24-may-2018" TargetMode="External"/><Relationship Id="rId239" Type="http://schemas.openxmlformats.org/officeDocument/2006/relationships/hyperlink" Target="https://www.ombudsman.act.gov.au/__data/assets/pdf_file/0041/295898/AK-and-Education-Directorate-2019-ACTOFOI-4-5-February-2019.pdf" TargetMode="External"/><Relationship Id="rId390" Type="http://schemas.openxmlformats.org/officeDocument/2006/relationships/hyperlink" Target="https://www.legislation.act.gov.au/View/es/db_53834/20160505-63422/html/db_53834.html" TargetMode="External"/><Relationship Id="rId250" Type="http://schemas.openxmlformats.org/officeDocument/2006/relationships/hyperlink" Target="https://www.austlii.edu.au/cgi-bin/viewdoc/au/cases/sa/SADC/2017/34.html?context=1;query=%5b2017%5d%20SADC%2034;mask_path=" TargetMode="External"/><Relationship Id="rId292" Type="http://schemas.openxmlformats.org/officeDocument/2006/relationships/hyperlink" Target="https://www.oic.qld.gov.au/decisions/q20ryb-and-department-of-justice-and-attorney-general-2014-qicmr-2-16-january-2014" TargetMode="External"/><Relationship Id="rId306" Type="http://schemas.openxmlformats.org/officeDocument/2006/relationships/hyperlink" Target="https://www.austlii.edu.au/cgi-bin/viewdoc/au/cases/cth/FCA/1987/148.html?context=1;query=%5b1987%5d%20FCA%20148;mask_path=" TargetMode="External"/><Relationship Id="rId45" Type="http://schemas.openxmlformats.org/officeDocument/2006/relationships/hyperlink" Target="https://www.parliament.act.gov.au/parliamentary-business/in-the-chamber/standing-orders/standing_orders" TargetMode="External"/><Relationship Id="rId87" Type="http://schemas.openxmlformats.org/officeDocument/2006/relationships/hyperlink" Target="https://www.legislation.act.gov.au/a/1985-8/" TargetMode="External"/><Relationship Id="rId110" Type="http://schemas.openxmlformats.org/officeDocument/2006/relationships/hyperlink" Target="https://www.ombudsman.act.gov.au/__data/assets/pdf_file/0027/295911/Master-Builders-Association-of-the-ACT-and-Chief-Minister,-Treasury-and-Economic-Development-Directorate-2018-ACTOFOI-6-2-November-2018.pdf" TargetMode="External"/><Relationship Id="rId348" Type="http://schemas.openxmlformats.org/officeDocument/2006/relationships/hyperlink" Target="https://www.austlii.edu.au/cgi-bin/viewdoc/au/cases/cth/AICmr/2017/110.html?context=1;query=%20%5b2017%5d%20AICmr%20110;mask_path=" TargetMode="External"/><Relationship Id="rId152" Type="http://schemas.openxmlformats.org/officeDocument/2006/relationships/hyperlink" Target="https://www.legislation.act.gov.au/a/2008-19/" TargetMode="External"/><Relationship Id="rId194" Type="http://schemas.openxmlformats.org/officeDocument/2006/relationships/hyperlink" Target="https://www.austlii.edu.au/cgi-bin/viewdoc/au/cases/qld/QICmr/2018/49.html?context=1;query=%5b2018%5d%20QICmr%2049;mask_path=" TargetMode="External"/><Relationship Id="rId208" Type="http://schemas.openxmlformats.org/officeDocument/2006/relationships/hyperlink" Target="http://ombudsman.act.gov.au/__data/assets/pdf_file/0016/100672/Canberra-Metro-Construction-and-Chief-Minister,-Treasury-and-Economic-Development-Directorate-2019-ACTOFOI-8-5-June-2019.pdf" TargetMode="External"/><Relationship Id="rId261" Type="http://schemas.openxmlformats.org/officeDocument/2006/relationships/hyperlink" Target="https://www.ombudsman.act.gov.au/__data/assets/pdf_file/0027/295911/Master-Builders-Association-of-the-ACT-and-Chief-Minister,-Treasury-and-Economic-Development-Directorate-2018-ACTOFOI-6-2-November-2018.pdf" TargetMode="External"/><Relationship Id="rId14" Type="http://schemas.openxmlformats.org/officeDocument/2006/relationships/hyperlink" Target="http://www.austlii.edu.au/cgi-bin/viewdoc/au/cases/cth/AICmr/2014/34.html?context=1;query=%5b2014%5d%20AICmr%2034;mask_path=" TargetMode="External"/><Relationship Id="rId56" Type="http://schemas.openxmlformats.org/officeDocument/2006/relationships/hyperlink" Target="https://www.ombudsman.act.gov.au/__data/assets/pdf_file/0036/298935/Final-Decision-AFOI.RR.22.10013.pdf" TargetMode="External"/><Relationship Id="rId317" Type="http://schemas.openxmlformats.org/officeDocument/2006/relationships/hyperlink" Target="https://www.ombudsman.act.gov.au/__data/assets/pdf_file/0025/295900/Alistair-Coe-and-Suburban-Land-Agency-2019-ACTOFOI-5-25-February-2019.pdf" TargetMode="External"/><Relationship Id="rId359" Type="http://schemas.openxmlformats.org/officeDocument/2006/relationships/hyperlink" Target="https://www.oic.qld.gov.au/decisions/eccleston-and-department-of-family-services-and-aboriginal-and-islander-affairs" TargetMode="External"/><Relationship Id="rId98" Type="http://schemas.openxmlformats.org/officeDocument/2006/relationships/hyperlink" Target="https://www.austlii.edu.au/cgi-bin/viewdoc/au/cases/cth/AICmr/2016/18.html?context=1;query=%5b2016%5d%20AICmr%2018;mask_path=" TargetMode="External"/><Relationship Id="rId121" Type="http://schemas.openxmlformats.org/officeDocument/2006/relationships/hyperlink" Target="https://www.legislation.act.gov.au/View/es/db_53834/20160505-63422/html/db_53834.html" TargetMode="External"/><Relationship Id="rId163" Type="http://schemas.openxmlformats.org/officeDocument/2006/relationships/hyperlink" Target="https://www.austlii.edu.au/cgi-bin/viewdoc/au/cases/cth/AATA/1992/225.html?context=1;query=%5b1992%5d%20AATA%20225;mask_path=" TargetMode="External"/><Relationship Id="rId219" Type="http://schemas.openxmlformats.org/officeDocument/2006/relationships/hyperlink" Target="https://www.legislation.act.gov.au/a/2004-57" TargetMode="External"/><Relationship Id="rId370" Type="http://schemas.openxmlformats.org/officeDocument/2006/relationships/hyperlink" Target="https://www.austlii.edu.au/cgi-bin/viewdoc/au/cases/qld/QICmr/2017/47.html?context=1;query=%5b2017%5d%20QICmr%2047;mask_path=" TargetMode="External"/><Relationship Id="rId230" Type="http://schemas.openxmlformats.org/officeDocument/2006/relationships/hyperlink" Target="https://www.legislation.act.gov.au/a/2016-55/" TargetMode="External"/><Relationship Id="rId25" Type="http://schemas.openxmlformats.org/officeDocument/2006/relationships/hyperlink" Target="https://www.oic.qld.gov.au/guidelines/for-government/access-and-amendment/decision-making/public-interest-balancing-test" TargetMode="External"/><Relationship Id="rId67" Type="http://schemas.openxmlformats.org/officeDocument/2006/relationships/hyperlink" Target="http://www.austlii.edu.au/cgi-bin/viewdoc/au/cases/cth/HCA/1999/66.html?context=1;query=Mann%20v%20Carnell%20;mask_path=" TargetMode="External"/><Relationship Id="rId272" Type="http://schemas.openxmlformats.org/officeDocument/2006/relationships/hyperlink" Target="https://www.austlii.edu.au/cgi-bin/viewdoc/au/cases/vic/VSCA/2008/218.html?context=1;query=Victoria%20Police%20v%20Marke%20%20;mask_path=" TargetMode="External"/><Relationship Id="rId328" Type="http://schemas.openxmlformats.org/officeDocument/2006/relationships/hyperlink" Target="https://www.ombudsman.act.gov.au/__data/assets/pdf_file/0029/295904/Dentsu-X-and-Chief-Minister,-Treasury-and-Economic-Development-Directorate-2019-ACTOFOI-7-24-April-2019.pdf" TargetMode="External"/><Relationship Id="rId132" Type="http://schemas.openxmlformats.org/officeDocument/2006/relationships/hyperlink" Target="http://www.austlii.edu.au/cgi-bin/viewdoc/au/cases/qld/QICmr/2017/22.html?context=1;query=%5b2017%5d%20QICmr%2022%20;mask_path=" TargetMode="External"/><Relationship Id="rId174" Type="http://schemas.openxmlformats.org/officeDocument/2006/relationships/hyperlink" Target="https://www.legislation.act.gov.au/a/2016-55/" TargetMode="External"/><Relationship Id="rId381" Type="http://schemas.openxmlformats.org/officeDocument/2006/relationships/hyperlink" Target="https://www.legislation.act.gov.au/a/2004-57/" TargetMode="External"/><Relationship Id="rId241" Type="http://schemas.openxmlformats.org/officeDocument/2006/relationships/hyperlink" Target="https://www.ombudsman.act.gov.au/__data/assets/pdf_file/0041/295898/AK-and-Education-Directorate-2019-ACTOFOI-4-5-February-2019.pdf" TargetMode="External"/><Relationship Id="rId36" Type="http://schemas.openxmlformats.org/officeDocument/2006/relationships/hyperlink" Target="http://www.austlii.edu.au/cgi-bin/viewdoc/au/cases/qld/QICmr/2012/55.html" TargetMode="External"/><Relationship Id="rId283" Type="http://schemas.openxmlformats.org/officeDocument/2006/relationships/hyperlink" Target="https://www.austlii.edu.au/cgi-bin/viewdoc/au/cases/cth/AATA/1994/382.html?context=1;query=%5b1994%5d%20AATA%20382;mask_path=" TargetMode="External"/><Relationship Id="rId339" Type="http://schemas.openxmlformats.org/officeDocument/2006/relationships/hyperlink" Target="https://www.austlii.edu.au/cgi-bin/viewdoc/au/cases/qld/QICmr/2018/9.html?context=1;query=%5b2018%5d%20QICmr%209%20;mask_path=" TargetMode="External"/><Relationship Id="rId78" Type="http://schemas.openxmlformats.org/officeDocument/2006/relationships/hyperlink" Target="https://www.austlii.edu.au/cgi-bin/viewdoc/au/cases/vic/VSCA/2006/201.html?context=1;query=%5b2006%5d%20VSCA%20201;mask_path=" TargetMode="External"/><Relationship Id="rId101" Type="http://schemas.openxmlformats.org/officeDocument/2006/relationships/hyperlink" Target="https://www.austlii.edu.au/cgi-bin/viewdoc/au/cases/cth/AICmr/2014/144.html?context=1;query=%20%5b2014%5d%20AICmr%20144;mask_path=" TargetMode="External"/><Relationship Id="rId143" Type="http://schemas.openxmlformats.org/officeDocument/2006/relationships/hyperlink" Target="http://www.austlii.edu.au/cgi-bin/viewdoc/au/cases/cth/AATA/2015/361.html?context=1;query=%5b2015%5d%20AATA%20361;mask_path=" TargetMode="External"/><Relationship Id="rId185" Type="http://schemas.openxmlformats.org/officeDocument/2006/relationships/hyperlink" Target="https://www.austlii.edu.au/cgi-bin/viewdoc/au/cases/qld/QICmr/2014/45.html?context=1;query=%5b2014%5d%20QICmr%2045;mask_path=" TargetMode="External"/><Relationship Id="rId350" Type="http://schemas.openxmlformats.org/officeDocument/2006/relationships/hyperlink" Target="https://www.ombudsman.act.gov.au/__data/assets/pdf_file/0033/295917/AE-and-Health-Directorate-2018-ACTOFOI-9-27-November-2018.pdf" TargetMode="External"/><Relationship Id="rId9" Type="http://schemas.openxmlformats.org/officeDocument/2006/relationships/hyperlink" Target="https://www.legislation.act.gov.au/a/2016-55/" TargetMode="External"/><Relationship Id="rId210" Type="http://schemas.openxmlformats.org/officeDocument/2006/relationships/hyperlink" Target="https://www.austlii.edu.au/cgi-bin/viewdoc/au/cases/qld/QICmr/2014/27.html?context=1;query=%20%5b2014%5d%20QICmr%2027;mask_path=" TargetMode="External"/><Relationship Id="rId392" Type="http://schemas.openxmlformats.org/officeDocument/2006/relationships/hyperlink" Target="https://www.legislation.act.gov.au/View/es/db_53834/20160505-63422/html/db_53834.html" TargetMode="External"/><Relationship Id="rId252" Type="http://schemas.openxmlformats.org/officeDocument/2006/relationships/hyperlink" Target="https://www.legislation.act.gov.au/a/2014-24/" TargetMode="External"/><Relationship Id="rId294" Type="http://schemas.openxmlformats.org/officeDocument/2006/relationships/hyperlink" Target="https://www.treasury.act.gov.au/snapshot" TargetMode="External"/><Relationship Id="rId308" Type="http://schemas.openxmlformats.org/officeDocument/2006/relationships/hyperlink" Target="https://www.ombudsman.act.gov.au/__data/assets/pdf_file/0033/295908/Alistair-Coe-and-Chief-Minister,-Treasury-and-Economic-Development-Directorate-2018-ACTOFOI-3-28-August-2018.pdf" TargetMode="External"/><Relationship Id="rId47" Type="http://schemas.openxmlformats.org/officeDocument/2006/relationships/hyperlink" Target="https://www.aph.gov.au/Parliamentary_Business/Chamber_documents/Senate_chamber_documents/standingorders/b00/b05" TargetMode="External"/><Relationship Id="rId89" Type="http://schemas.openxmlformats.org/officeDocument/2006/relationships/hyperlink" Target="https://www.legislation.act.gov.au/a/2005-30" TargetMode="External"/><Relationship Id="rId112" Type="http://schemas.openxmlformats.org/officeDocument/2006/relationships/hyperlink" Target="https://www.legislation.act.gov.au/a/2016-55/" TargetMode="External"/><Relationship Id="rId154" Type="http://schemas.openxmlformats.org/officeDocument/2006/relationships/hyperlink" Target="http://www.austlii.edu.au/cgi-bin/viewdoc/au/cases/cth/AATA/2016/445.html?context=1;query=%5b2016%5d%20AATA%20445;mask_path=" TargetMode="External"/><Relationship Id="rId361" Type="http://schemas.openxmlformats.org/officeDocument/2006/relationships/hyperlink" Target="https://www.austlii.edu.au/cgi-bin/viewdoc/au/cases/cth/AATA/2016/506.html?context=1;query=%5b2016%5d%20AATA%20506;mask_path=" TargetMode="External"/><Relationship Id="rId196" Type="http://schemas.openxmlformats.org/officeDocument/2006/relationships/hyperlink" Target="https://www.austlii.edu.au/cgi-bin/viewdoc/au/cases/qld/QICmr/2013/22.html?context=1;query=%5b2013%5d%20QICmr%2022;mask_path=" TargetMode="External"/><Relationship Id="rId16" Type="http://schemas.openxmlformats.org/officeDocument/2006/relationships/hyperlink" Target="https://www.ombudsman.act.gov.au/__data/assets/pdf_file/0027/110799/3.-Ombudsman-Guidelines-Dealing-with-access-applications.pdf" TargetMode="External"/><Relationship Id="rId221" Type="http://schemas.openxmlformats.org/officeDocument/2006/relationships/hyperlink" Target="https://www.legislation.act.gov.au/a/2016-55/" TargetMode="External"/><Relationship Id="rId242" Type="http://schemas.openxmlformats.org/officeDocument/2006/relationships/hyperlink" Target="https://www.ombudsman.act.gov.au/__data/assets/pdf_file/0026/295910/AC-and-Justice-and-Community-Safety-Directorate-2018-ACTOFOI-5-10-October-2018.pdf" TargetMode="External"/><Relationship Id="rId263" Type="http://schemas.openxmlformats.org/officeDocument/2006/relationships/hyperlink" Target="https://www.ombudsman.act.gov.au/__data/assets/pdf_file/0032/295907/AB-and-Chief-Minister,-Treasury-and-Economic-Development-Directorate-2018-ACTOFOI-2-23-August-2018.pdf" TargetMode="External"/><Relationship Id="rId284" Type="http://schemas.openxmlformats.org/officeDocument/2006/relationships/hyperlink" Target="https://www.austlii.edu.au/cgi-bin/viewdoc/au/cases/cth/AATA/2010/244.html?context=1;query=%5b2010%5d%20AATA%20244;mask_path=" TargetMode="External"/><Relationship Id="rId319" Type="http://schemas.openxmlformats.org/officeDocument/2006/relationships/hyperlink" Target="https://www.austlii.edu.au/cgi-bin/viewdoc/au/cases/qld/QICmr/2013/36.html?context=1;query=%5b2013%5d%20QICmr%2036,%20;mask_path=" TargetMode="External"/><Relationship Id="rId37" Type="http://schemas.openxmlformats.org/officeDocument/2006/relationships/hyperlink" Target="http://www.austlii.edu.au/cgi-bin/viewdoc/au/cases/qld/QICmr/1997/28.html" TargetMode="External"/><Relationship Id="rId58" Type="http://schemas.openxmlformats.org/officeDocument/2006/relationships/hyperlink" Target="http://www.austlii.edu.au/cgi-bin/viewdoc/au/cases/cth/AATA/2016/327.html?context=1;query=Taggart%20and%20Civil%20Aviation%20Safety%20Authority;mask_path=" TargetMode="External"/><Relationship Id="rId79" Type="http://schemas.openxmlformats.org/officeDocument/2006/relationships/hyperlink" Target="https://www.ombudsman.act.gov.au/__data/assets/pdf_file/0030/295914/2018-ACTOFOI-10-A1784495.pdf" TargetMode="External"/><Relationship Id="rId102" Type="http://schemas.openxmlformats.org/officeDocument/2006/relationships/hyperlink" Target="https://www.legislation.act.gov.au/ni/2020-370/" TargetMode="External"/><Relationship Id="rId123" Type="http://schemas.openxmlformats.org/officeDocument/2006/relationships/hyperlink" Target="https://www.legislation.act.gov.au/a/2016-55/" TargetMode="External"/><Relationship Id="rId144" Type="http://schemas.openxmlformats.org/officeDocument/2006/relationships/hyperlink" Target="https://www.ombudsman.act.gov.au/__data/assets/pdf_file/0025/295900/Alistair-Coe-and-Suburban-Land-Agency-2019-ACTOFOI-5-25-February-2019.pdf" TargetMode="External"/><Relationship Id="rId330" Type="http://schemas.openxmlformats.org/officeDocument/2006/relationships/hyperlink" Target="https://www.ombudsman.act.gov.au/__data/assets/pdf_file/0030/295923/2019-ACTOFOI-13-A1814484.pdf" TargetMode="External"/><Relationship Id="rId90" Type="http://schemas.openxmlformats.org/officeDocument/2006/relationships/hyperlink" Target="https://www.legislation.act.gov.au/a/2005-30/" TargetMode="External"/><Relationship Id="rId165" Type="http://schemas.openxmlformats.org/officeDocument/2006/relationships/hyperlink" Target="https://www.austlii.edu.au/cgi-bin/viewdoc/au/cases/cth/AATA/2019/12.html?context=1;query=%5b2019%5d%20AATA%2012%20;mask_path=" TargetMode="External"/><Relationship Id="rId186" Type="http://schemas.openxmlformats.org/officeDocument/2006/relationships/hyperlink" Target="https://www.austlii.edu.au/cgi-bin/viewdoc/au/cases/cth/AICmr/2016/93.html?context=1;query=%5b2016%5d%20AICmr%2093;mask_path=" TargetMode="External"/><Relationship Id="rId351" Type="http://schemas.openxmlformats.org/officeDocument/2006/relationships/hyperlink" Target="https://www.ombudsman.act.gov.au/__data/assets/pdf_file/0032/295916/2018-ACTOFOI-8-A1703331.pdf" TargetMode="External"/><Relationship Id="rId372" Type="http://schemas.openxmlformats.org/officeDocument/2006/relationships/hyperlink" Target="https://www.austlii.edu.au/cgi-bin/viewdoc/au/cases/cth/AATA/2006/572.html?context=1;query=%5b2006%5d%20AATA%20572;mask_path=" TargetMode="External"/><Relationship Id="rId393" Type="http://schemas.openxmlformats.org/officeDocument/2006/relationships/hyperlink" Target="https://www.legislation.act.gov.au/a/2016-55/" TargetMode="External"/><Relationship Id="rId211" Type="http://schemas.openxmlformats.org/officeDocument/2006/relationships/hyperlink" Target="https://www.austlii.edu.au/cgi-bin/viewdoc/au/cases/qld/QICmr/2017/46.html?context=1;query=%5b2017%5d%20QICmr%2046;mask_path=" TargetMode="External"/><Relationship Id="rId232" Type="http://schemas.openxmlformats.org/officeDocument/2006/relationships/hyperlink" Target="https://www.legislation.act.gov.au/a/2016-55/" TargetMode="External"/><Relationship Id="rId253" Type="http://schemas.openxmlformats.org/officeDocument/2006/relationships/hyperlink" Target="https://www.legislation.act.gov.au/ni/2020-370/" TargetMode="External"/><Relationship Id="rId274" Type="http://schemas.openxmlformats.org/officeDocument/2006/relationships/hyperlink" Target="https://www.ombudsman.act.gov.au/__data/assets/pdf_file/0029/295904/Dentsu-X-and-Chief-Minister,-Treasury-and-Economic-Development-Directorate-2019-ACTOFOI-7-24-April-2019.pdf" TargetMode="External"/><Relationship Id="rId295" Type="http://schemas.openxmlformats.org/officeDocument/2006/relationships/hyperlink" Target="https://www.austlii.edu.au/cgi-bin/viewdoc/au/cases/qld/QICmr/2016/21.html?context=1;query=%5b2016%5d%20QICmr%2021;mask_path=" TargetMode="External"/><Relationship Id="rId309" Type="http://schemas.openxmlformats.org/officeDocument/2006/relationships/hyperlink" Target="https://www.ombudsman.act.gov.au/__data/assets/pdf_file/0040/295897/Alistair-Coe-and-Chief-Minister,-Treasury-and-Economic-Development-Directorate-2019-ACTOFOI-3-29-January-2019.pdf" TargetMode="External"/><Relationship Id="rId27" Type="http://schemas.openxmlformats.org/officeDocument/2006/relationships/hyperlink" Target="https://victorianreports.com.au/judgment/1991-1-VR-63" TargetMode="External"/><Relationship Id="rId48" Type="http://schemas.openxmlformats.org/officeDocument/2006/relationships/hyperlink" Target="http://www.austlii.edu.au/cgi-bin/viewdoc/au/cases/cth/HCA/2013/52.html" TargetMode="External"/><Relationship Id="rId69" Type="http://schemas.openxmlformats.org/officeDocument/2006/relationships/hyperlink" Target="https://www.austlii.edu.au/cgi-bin/viewdoc/au/cases/cth/FCA/1979/33.html?context=1;query=Trade%20Practices%20Commission%20v%20Sterling%20;mask_path=" TargetMode="External"/><Relationship Id="rId113" Type="http://schemas.openxmlformats.org/officeDocument/2006/relationships/hyperlink" Target="http://www6.austlii.edu.au/cgi-bin/viewdoc/au/cases/cth/AICmr/2015/26.html" TargetMode="External"/><Relationship Id="rId134" Type="http://schemas.openxmlformats.org/officeDocument/2006/relationships/hyperlink" Target="https://www.oic.qld.gov.au/decisions/hudson-as-agent-for-fencray-pty-ltd-and-department-of-the-premier,-economic-and-trade-development" TargetMode="External"/><Relationship Id="rId320" Type="http://schemas.openxmlformats.org/officeDocument/2006/relationships/hyperlink" Target="https://www.ombudsman.act.gov.au/__data/assets/pdf_file/0034/295909/Alistair-Coe-and-ACT-Health-Directorate-2018-ACTOFOI-4-5-September-2018.pdf" TargetMode="External"/><Relationship Id="rId80" Type="http://schemas.openxmlformats.org/officeDocument/2006/relationships/hyperlink" Target="https://www.legislation.act.gov.au/a/1993-20/" TargetMode="External"/><Relationship Id="rId155" Type="http://schemas.openxmlformats.org/officeDocument/2006/relationships/hyperlink" Target="http://www.austlii.edu.au/cgi-bin/viewdoc/au/cases/cth/AATA/2019/12.html?context=1;query=%5b2019%5d%20AATA%2012;mask_path=" TargetMode="External"/><Relationship Id="rId176" Type="http://schemas.openxmlformats.org/officeDocument/2006/relationships/hyperlink" Target="https://www.oic.qld.gov.au/decisions/isles-and-queensland-police-service-2017-qicmr-1-12-january-2017" TargetMode="External"/><Relationship Id="rId197" Type="http://schemas.openxmlformats.org/officeDocument/2006/relationships/hyperlink" Target="https://www.austlii.edu.au/cgi-bin/viewdoc/au/cases/qld/QICmr/2018/13.html?context=1;query=%5b2018%5d%20QICmr%2013;mask_path=" TargetMode="External"/><Relationship Id="rId341" Type="http://schemas.openxmlformats.org/officeDocument/2006/relationships/hyperlink" Target="https://www.ombudsman.act.gov.au/__data/assets/pdf_file/0041/295898/AK-and-Education-Directorate-2019-ACTOFOI-4-5-February-2019.pdf" TargetMode="External"/><Relationship Id="rId362" Type="http://schemas.openxmlformats.org/officeDocument/2006/relationships/hyperlink" Target="https://www.austlii.edu.au/cgi-bin/viewdoc/au/cases/cth/AATA/1984/67.html?context=1;query=%5b1984%5d%20AATA%2067;mask_path=" TargetMode="External"/><Relationship Id="rId383" Type="http://schemas.openxmlformats.org/officeDocument/2006/relationships/hyperlink" Target="https://www.austlii.edu.au/cgi-bin/viewdoc/au/cases/qld/QICmr/2014/26.html?context=1;query=%5b2014%5d%20QICmr%2026;mask_path=" TargetMode="External"/><Relationship Id="rId201" Type="http://schemas.openxmlformats.org/officeDocument/2006/relationships/hyperlink" Target="https://www.austlii.edu.au/cgi-bin/viewdoc/au/cases/cth/AICmr/2015/83.html?context=1;query=%5b2015%5d%20AICmr%2083;mask_path=" TargetMode="External"/><Relationship Id="rId222" Type="http://schemas.openxmlformats.org/officeDocument/2006/relationships/hyperlink" Target="https://www.legislation.act.gov.au/a/2016-55/" TargetMode="External"/><Relationship Id="rId243" Type="http://schemas.openxmlformats.org/officeDocument/2006/relationships/hyperlink" Target="https://www.austlii.edu.au/cgi-bin/viewdoc/au/cases/qld/QICmr/2017/54.html?context=1;query=%5b2017%5d%20QICmr%2054;mask_path=" TargetMode="External"/><Relationship Id="rId264" Type="http://schemas.openxmlformats.org/officeDocument/2006/relationships/hyperlink" Target="https://www.ombudsman.act.gov.au/__data/assets/pdf_file/0026/295910/AC-and-Justice-and-Community-Safety-Directorate-2018-ACTOFOI-5-10-October-2018.pdf" TargetMode="External"/><Relationship Id="rId285" Type="http://schemas.openxmlformats.org/officeDocument/2006/relationships/hyperlink" Target="https://www.austlii.edu.au/cgi-bin/viewdoc/au/cases/cth/AATA/2010/6.html?context=1;query=%5b2010%5d%20AATA%206;mask_path=" TargetMode="External"/><Relationship Id="rId17" Type="http://schemas.openxmlformats.org/officeDocument/2006/relationships/hyperlink" Target="https://www.legislation.act.gov.au/ni/2020-368/" TargetMode="External"/><Relationship Id="rId38" Type="http://schemas.openxmlformats.org/officeDocument/2006/relationships/hyperlink" Target="https://www.oic.qld.gov.au/__data/assets/pdf_file/0019/17173/decision-311059-external-review-15-03-13.pdf" TargetMode="External"/><Relationship Id="rId59" Type="http://schemas.openxmlformats.org/officeDocument/2006/relationships/hyperlink" Target="http://www.austlii.edu.au/cgi-bin/viewdoc/au/cases/qld/QSC/2013/82.html?context=1;query=Aquila%20Coal%20Pty%20Ltd%20v%20Bowen%20Central%20Coal%20Pty%20Ltd;mask_path=" TargetMode="External"/><Relationship Id="rId103" Type="http://schemas.openxmlformats.org/officeDocument/2006/relationships/hyperlink" Target="http://www.austlii.edu.au/cgi-bin/viewdoc/au/cases/cth/AATA/1984/437.html?context=1;query=%5b1984%5d%20AATA%20437;mask_path=" TargetMode="External"/><Relationship Id="rId124" Type="http://schemas.openxmlformats.org/officeDocument/2006/relationships/hyperlink" Target="https://www.legislation.act.gov.au/a/2016-55/" TargetMode="External"/><Relationship Id="rId310" Type="http://schemas.openxmlformats.org/officeDocument/2006/relationships/hyperlink" Target="https://www.ombudsman.act.gov.au/__data/assets/pdf_file/0027/295920/defence.pdf" TargetMode="External"/><Relationship Id="rId70" Type="http://schemas.openxmlformats.org/officeDocument/2006/relationships/hyperlink" Target="https://www.austlii.edu.au/cgi-bin/viewdoc/au/cases/cth/FCA/1994/1427.html?context=1;query=Carbone%20v%20National%20Crime%20Authority%20;mask_path=" TargetMode="External"/><Relationship Id="rId91" Type="http://schemas.openxmlformats.org/officeDocument/2006/relationships/hyperlink" Target="https://www.legislation.act.gov.au/a/2005-30/" TargetMode="External"/><Relationship Id="rId145" Type="http://schemas.openxmlformats.org/officeDocument/2006/relationships/hyperlink" Target="https://www.ombudsman.act.gov.au/__data/assets/pdf_file/0027/295902/Alistair-Coe-and-Chief-Minister,-Treasury-and-Economic-Development-Directorate-2019-ACTOFOI-6-26-February-2019.pdf" TargetMode="External"/><Relationship Id="rId166" Type="http://schemas.openxmlformats.org/officeDocument/2006/relationships/hyperlink" Target="https://www.legislation.act.gov.au/a/2016-55/" TargetMode="External"/><Relationship Id="rId187" Type="http://schemas.openxmlformats.org/officeDocument/2006/relationships/hyperlink" Target="https://www.austlii.edu.au/cgi-bin/viewdoc/au/cases/cth/AICmr/2017/134.html?context=1;query=%5b2017%5d%20AICmr%20134;mask_path=" TargetMode="External"/><Relationship Id="rId331" Type="http://schemas.openxmlformats.org/officeDocument/2006/relationships/hyperlink" Target="https://www.legislation.act.gov.au/a/2016-55/" TargetMode="External"/><Relationship Id="rId352" Type="http://schemas.openxmlformats.org/officeDocument/2006/relationships/hyperlink" Target="https://www.ombudsman.act.gov.au/__data/assets/pdf_file/0041/295898/AK-and-Education-Directorate-2019-ACTOFOI-4-5-February-2019.pdf" TargetMode="External"/><Relationship Id="rId373" Type="http://schemas.openxmlformats.org/officeDocument/2006/relationships/hyperlink" Target="https://www.austlii.edu.au/cgi-bin/viewdoc/au/cases/nsw/NSWCATAD/2014/169.html?context=1;query=%5b2014%5d%20NSWCATAD%20169,%20;mask_path=" TargetMode="External"/><Relationship Id="rId394" Type="http://schemas.openxmlformats.org/officeDocument/2006/relationships/hyperlink" Target="https://www.legislation.act.gov.au/View/es/db_53834/20160505-63422/html/db_53834.html" TargetMode="External"/><Relationship Id="rId1" Type="http://schemas.openxmlformats.org/officeDocument/2006/relationships/hyperlink" Target="https://www.legislation.act.gov.au/a/2016-55/" TargetMode="External"/><Relationship Id="rId212" Type="http://schemas.openxmlformats.org/officeDocument/2006/relationships/hyperlink" Target="https://www.austlii.edu.au/cgi-bin/viewdoc/au/cases/qld/QCATA/2016/191.html?context=1;query=%5b2016%5d%20QCATA%20191;mask_path=" TargetMode="External"/><Relationship Id="rId233" Type="http://schemas.openxmlformats.org/officeDocument/2006/relationships/hyperlink" Target="https://www.legislation.act.gov.au/a/2016-55/" TargetMode="External"/><Relationship Id="rId254" Type="http://schemas.openxmlformats.org/officeDocument/2006/relationships/hyperlink" Target="https://www.ombudsman.act.gov.au/__data/assets/pdf_file/0034/295909/Alistair-Coe-and-ACT-Health-Directorate-2018-ACTOFOI-4-5-September-2018.pdf" TargetMode="External"/><Relationship Id="rId28" Type="http://schemas.openxmlformats.org/officeDocument/2006/relationships/hyperlink" Target="https://www.ombudsman.act.gov.au/__data/assets/pdf_file/0028/295912/Community-and-Public-Sector-Union-and-Chief-Minister,-Treasury-and-Economic-Development-Directorate-2018-ACTOFOI-7-14-November-2018.pdf" TargetMode="External"/><Relationship Id="rId49" Type="http://schemas.openxmlformats.org/officeDocument/2006/relationships/hyperlink" Target="https://www.legislation.act.gov.au/a/2016-55/" TargetMode="External"/><Relationship Id="rId114" Type="http://schemas.openxmlformats.org/officeDocument/2006/relationships/hyperlink" Target="http://www.austlii.edu.au/cgi-bin/viewdoc/au/cases/vic/VCAT/2019/479.html?context=1;query=%5b2019%5d%20VCAT%20479;mask_path=" TargetMode="External"/><Relationship Id="rId275" Type="http://schemas.openxmlformats.org/officeDocument/2006/relationships/hyperlink" Target="https://www.austlii.edu.au/cgi-bin/viewdoc/au/cases/qld/QICmr/2015/8.html?context=1;query=%5b2015%5d%20QICmr%208;mask_path=" TargetMode="External"/><Relationship Id="rId296" Type="http://schemas.openxmlformats.org/officeDocument/2006/relationships/hyperlink" Target="https://www.austlii.edu.au/cgi-bin/viewdoc/au/cases/nsw/NSWCATAD/2015/135.html?context=1;query=%20%5b2015%5d%20NSWCATAD%20135;mask_path=" TargetMode="External"/><Relationship Id="rId300" Type="http://schemas.openxmlformats.org/officeDocument/2006/relationships/hyperlink" Target="https://www.austlii.edu.au/cgi-bin/viewdoc/au/cases/qld/QICmr/2016/28.html?context=1;query=%5b2016%5d%20QICmr%2028;mask_path=" TargetMode="External"/><Relationship Id="rId60" Type="http://schemas.openxmlformats.org/officeDocument/2006/relationships/hyperlink" Target="http://www.austlii.edu.au/cgi-bin/viewdoc/au/cases/cth/FCAFC/2004/122.html?context=1;query=Pratt%20Holdings%20Pty%20Ltd%20v%20Commissioner%20of%20Taxation;mask_path=" TargetMode="External"/><Relationship Id="rId81" Type="http://schemas.openxmlformats.org/officeDocument/2006/relationships/hyperlink" Target="https://www.legislation.act.gov.au/a/2008-19/" TargetMode="External"/><Relationship Id="rId135" Type="http://schemas.openxmlformats.org/officeDocument/2006/relationships/hyperlink" Target="http://www.austlii.edu.au/cgi-bin/viewdoc/au/cases/cth/AATA/2015/945.html?context=1;query=%5b2015%5d%20AATA%20945%20;mask_path=" TargetMode="External"/><Relationship Id="rId156" Type="http://schemas.openxmlformats.org/officeDocument/2006/relationships/hyperlink" Target="http://www.austlii.edu.au/cgi-bin/viewdoc/au/cases/cth/AICmr/2015/80.html?context=1;query=%5b2015%5d%20AICmr%2080;mask_path=" TargetMode="External"/><Relationship Id="rId177" Type="http://schemas.openxmlformats.org/officeDocument/2006/relationships/hyperlink" Target="https://www.legislation.act.gov.au/a/2016-55/" TargetMode="External"/><Relationship Id="rId198" Type="http://schemas.openxmlformats.org/officeDocument/2006/relationships/hyperlink" Target="https://www.austlii.edu.au/cgi-bin/viewdoc/au/cases/cth/AATA/2016/775.html?context=1;query=%5b2016%5d%20AATA%20775;mask_path=" TargetMode="External"/><Relationship Id="rId321" Type="http://schemas.openxmlformats.org/officeDocument/2006/relationships/hyperlink" Target="https://www.austlii.edu.au/cgi-bin/viewdoc/au/cases/qld/QICmr/2012/60.html?context=1;query=%5b2012%5d%20QICmr%2060;mask_path=" TargetMode="External"/><Relationship Id="rId342" Type="http://schemas.openxmlformats.org/officeDocument/2006/relationships/hyperlink" Target="https://www.ombudsman.act.gov.au/__data/assets/pdf_file/0032/295916/2018-ACTOFOI-8-A1703331.pdf" TargetMode="External"/><Relationship Id="rId363" Type="http://schemas.openxmlformats.org/officeDocument/2006/relationships/hyperlink" Target="https://www.austlii.edu.au/cgi-bin/viewdoc/au/cases/cth/AATA/2015/962.html?context=1;query=%5b2015%5d%20AATA%20962%20;mask_path=" TargetMode="External"/><Relationship Id="rId384" Type="http://schemas.openxmlformats.org/officeDocument/2006/relationships/hyperlink" Target="https://www.oic.qld.gov.au/decisions/troiani-and-queensland-police-service-queensland-information-commissioner,-21-august-2012" TargetMode="External"/><Relationship Id="rId202" Type="http://schemas.openxmlformats.org/officeDocument/2006/relationships/hyperlink" Target="https://www.austlii.edu.au/cgi-bin/viewdoc/au/cases/qld/QICmr/2014/10.html?context=1;query=%5b2014%5d%20QICmr%2010%20;mask_path=" TargetMode="External"/><Relationship Id="rId223" Type="http://schemas.openxmlformats.org/officeDocument/2006/relationships/hyperlink" Target="https://www.legislation.act.gov.au/a/2016-55/" TargetMode="External"/><Relationship Id="rId244" Type="http://schemas.openxmlformats.org/officeDocument/2006/relationships/hyperlink" Target="https://www.legislation.act.gov.au/View/es/db_53834/20160505-63422/html/db_53834.html" TargetMode="External"/><Relationship Id="rId18" Type="http://schemas.openxmlformats.org/officeDocument/2006/relationships/hyperlink" Target="https://www.legislation.act.gov.au/a/2016-55/" TargetMode="External"/><Relationship Id="rId39" Type="http://schemas.openxmlformats.org/officeDocument/2006/relationships/hyperlink" Target="http://www.austlii.edu.au/cgi-bin/viewdoc/au/cases/cth/AATA/1989/148.html" TargetMode="External"/><Relationship Id="rId265" Type="http://schemas.openxmlformats.org/officeDocument/2006/relationships/hyperlink" Target="https://www.ombudsman.act.gov.au/__data/assets/pdf_file/0041/295898/AK-and-Education-Directorate-2019-ACTOFOI-4-5-February-2019.pdf" TargetMode="External"/><Relationship Id="rId286" Type="http://schemas.openxmlformats.org/officeDocument/2006/relationships/hyperlink" Target="https://www.austlii.edu.au/cgi-bin/viewdoc/au/cases/cth/HCA/2003/2.html?context=1;query=%5b2003%5d%20HCA%202;mask_path=" TargetMode="External"/><Relationship Id="rId50" Type="http://schemas.openxmlformats.org/officeDocument/2006/relationships/hyperlink" Target="http://www.austlii.edu.au/cgi-bin/viewdoc/au/cases/cth/HCA/2013/52.html" TargetMode="External"/><Relationship Id="rId104" Type="http://schemas.openxmlformats.org/officeDocument/2006/relationships/hyperlink" Target="http://www.austlii.edu.au/cgi-bin/viewdoc/au/cases/cth/AICmr/2015/26.html?context=1;query=2015%5d%20AICmr%2026;mask_path=" TargetMode="External"/><Relationship Id="rId125" Type="http://schemas.openxmlformats.org/officeDocument/2006/relationships/hyperlink" Target="https://www.legislation.act.gov.au/a/2016-55/" TargetMode="External"/><Relationship Id="rId146" Type="http://schemas.openxmlformats.org/officeDocument/2006/relationships/hyperlink" Target="https://www.legislation.act.gov.au/a/2003-58" TargetMode="External"/><Relationship Id="rId167" Type="http://schemas.openxmlformats.org/officeDocument/2006/relationships/hyperlink" Target="https://www.legislation.act.gov.au/a/2016-55/" TargetMode="External"/><Relationship Id="rId188" Type="http://schemas.openxmlformats.org/officeDocument/2006/relationships/hyperlink" Target="https://www.austlii.edu.au/cgi-bin/viewdoc/au/cases/cth/AATA/2010/244.html?context=1;query=%5b2010%5d%20AATA%20244;mask_path=" TargetMode="External"/><Relationship Id="rId311" Type="http://schemas.openxmlformats.org/officeDocument/2006/relationships/hyperlink" Target="https://www.austlii.edu.au/cgi-bin/viewdoc/au/cases/wa/WAICmr/2000/51.html?context=1;query=%5b2000%5d%20WAICmr%2051;mask_path=" TargetMode="External"/><Relationship Id="rId332" Type="http://schemas.openxmlformats.org/officeDocument/2006/relationships/hyperlink" Target="https://www.ombudsman.act.gov.au/__data/assets/pdf_file/0025/295900/Alistair-Coe-and-Suburban-Land-Agency-2019-ACTOFOI-5-25-February-2019.pdf" TargetMode="External"/><Relationship Id="rId353" Type="http://schemas.openxmlformats.org/officeDocument/2006/relationships/hyperlink" Target="https://www.austlii.edu.au/cgi-bin/viewdoc/au/cases/qld/QICmr/2015/16.html?context=1;query=%5b2015%5d%20QICmr%2016%20;mask_path=" TargetMode="External"/><Relationship Id="rId374" Type="http://schemas.openxmlformats.org/officeDocument/2006/relationships/hyperlink" Target="https://www.austlii.edu.au/cgi-bin/viewdoc/au/cases/cth/AICmr/2016/45.html?context=1;query=%5b2016%5d%20AICmr%2045;mask_path=" TargetMode="External"/><Relationship Id="rId71" Type="http://schemas.openxmlformats.org/officeDocument/2006/relationships/hyperlink" Target="https://www.austlii.edu.au/cgi-bin/viewdoc/au/cases/cth/FCA/2006/1234.html?context=1;query=%5b2006%5d%20FCA%201234;mask_path=" TargetMode="External"/><Relationship Id="rId92" Type="http://schemas.openxmlformats.org/officeDocument/2006/relationships/hyperlink" Target="https://www.legislation.act.gov.au/a/2004-65" TargetMode="External"/><Relationship Id="rId213" Type="http://schemas.openxmlformats.org/officeDocument/2006/relationships/hyperlink" Target="https://www.oic.qld.gov.au/decisions/94nnez-and-department-of-community-safety-310324" TargetMode="External"/><Relationship Id="rId234" Type="http://schemas.openxmlformats.org/officeDocument/2006/relationships/hyperlink" Target="https://healingfoundation.org.au/app/uploads/2023/06/Principles-for-nationally-consistent-approaches-to-accessing-records_FINAL.pdf" TargetMode="External"/><Relationship Id="rId2" Type="http://schemas.openxmlformats.org/officeDocument/2006/relationships/hyperlink" Target="https://www.legislation.act.gov.au/ni/2020-368/" TargetMode="External"/><Relationship Id="rId29" Type="http://schemas.openxmlformats.org/officeDocument/2006/relationships/hyperlink" Target="http://www.austlii.edu.au/cgi-bin/viewdoc/au/cases/qld/QICmr/2018/26.html" TargetMode="External"/><Relationship Id="rId255" Type="http://schemas.openxmlformats.org/officeDocument/2006/relationships/hyperlink" Target="https://www.ombudsman.act.gov.au/__data/assets/pdf_file/0027/295911/Master-Builders-Association-of-the-ACT-and-Chief-Minister,-Treasury-and-Economic-Development-Directorate-2018-ACTOFOI-6-2-November-2018.pdf" TargetMode="External"/><Relationship Id="rId276" Type="http://schemas.openxmlformats.org/officeDocument/2006/relationships/hyperlink" Target="https://www.austlii.edu.au/cgi-bin/viewdoc/au/cases/cth/AICmr/2014/9.html?context=1;query=%5b2014%5d%20AICmr%209;mask_path=" TargetMode="External"/><Relationship Id="rId297" Type="http://schemas.openxmlformats.org/officeDocument/2006/relationships/hyperlink" Target="https://www.austlii.edu.au/cgi-bin/viewdoc/au/cases/cth/AICmr/2011/11.html?context=1;query=%20%5b2011%5d%20AICmr%2011;mask_path=" TargetMode="External"/><Relationship Id="rId40" Type="http://schemas.openxmlformats.org/officeDocument/2006/relationships/hyperlink" Target="https://www.legislation.act.gov.au/a/2001-14/" TargetMode="External"/><Relationship Id="rId115" Type="http://schemas.openxmlformats.org/officeDocument/2006/relationships/hyperlink" Target="http://www.austlii.edu.au/cgi-bin/viewdoc/au/cases/vic/VSCA/2008/218.html?context=1;query=%5b2008%5d%20VSCA%20218;mask_path=" TargetMode="External"/><Relationship Id="rId136" Type="http://schemas.openxmlformats.org/officeDocument/2006/relationships/hyperlink" Target="https://www.ombudsman.act.gov.au/__data/assets/pdf_file/0025/295900/Alistair-Coe-and-Suburban-Land-Agency-2019-ACTOFOI-5-25-February-2019.pdf" TargetMode="External"/><Relationship Id="rId157" Type="http://schemas.openxmlformats.org/officeDocument/2006/relationships/hyperlink" Target="https://www.legislation.act.gov.au/a/2012-47/" TargetMode="External"/><Relationship Id="rId178" Type="http://schemas.openxmlformats.org/officeDocument/2006/relationships/hyperlink" Target="https://www.legislation.act.gov.au/a/2016-55/" TargetMode="External"/><Relationship Id="rId301" Type="http://schemas.openxmlformats.org/officeDocument/2006/relationships/hyperlink" Target="https://www.oic.qld.gov.au/decisions/p6y4sx-and-department-of-police" TargetMode="External"/><Relationship Id="rId322" Type="http://schemas.openxmlformats.org/officeDocument/2006/relationships/hyperlink" Target="https://www.ombudsman.act.gov.au/__data/assets/pdf_file/0029/295904/Dentsu-X-and-Chief-Minister,-Treasury-and-Economic-Development-Directorate-2019-ACTOFOI-7-24-April-2019.pdf" TargetMode="External"/><Relationship Id="rId343" Type="http://schemas.openxmlformats.org/officeDocument/2006/relationships/hyperlink" Target="https://www.ombudsman.act.gov.au/__data/assets/pdf_file/0033/295917/AE-and-Health-Directorate-2018-ACTOFOI-9-27-November-2018.pdf" TargetMode="External"/><Relationship Id="rId364" Type="http://schemas.openxmlformats.org/officeDocument/2006/relationships/hyperlink" Target="https://www.austlii.edu.au/cgi-bin/viewdoc/au/cases/cth/AATA/1984/67.html?context=1;query=%5b1984%5d%20AATA%2067;mask_path=" TargetMode="External"/><Relationship Id="rId61" Type="http://schemas.openxmlformats.org/officeDocument/2006/relationships/hyperlink" Target="http://www.austlii.edu.au/cgi-bin/viewdoc/au/cases/cth/FCA/2006/571.html?context=1;query=%5b2006%5d%20FCA%20571;mask_path=" TargetMode="External"/><Relationship Id="rId82" Type="http://schemas.openxmlformats.org/officeDocument/2006/relationships/hyperlink" Target="https://www.legislation.act.gov.au/a/2008-19/" TargetMode="External"/><Relationship Id="rId199" Type="http://schemas.openxmlformats.org/officeDocument/2006/relationships/hyperlink" Target="https://www.austlii.edu.au/cgi-bin/viewdoc/au/cases/vic/VCAT/2013/1267.html?context=1;query=%5b2013%5d%20VCAT%201267;mask_path=" TargetMode="External"/><Relationship Id="rId203" Type="http://schemas.openxmlformats.org/officeDocument/2006/relationships/hyperlink" Target="https://www.austlii.edu.au/cgi-bin/viewdoc/au/cases/wa/WASC/2011/283.html?context=1;query=%5b2011%5d%20WASC%20283;mask_path=" TargetMode="External"/><Relationship Id="rId385" Type="http://schemas.openxmlformats.org/officeDocument/2006/relationships/hyperlink" Target="https://www.oic.qld.gov.au/decisions/n31zeo-and-department-of-justice-and-attorney-general-queensland-newspapers-pty-ltd-100101-8-november-2013" TargetMode="External"/><Relationship Id="rId19" Type="http://schemas.openxmlformats.org/officeDocument/2006/relationships/hyperlink" Target="https://www.macquariedictionary.com.au/" TargetMode="External"/><Relationship Id="rId224" Type="http://schemas.openxmlformats.org/officeDocument/2006/relationships/hyperlink" Target="https://www.legislation.act.gov.au/Scripts/pdf.js/web/Viewer.html?file=/View/GetFile/a/2016-55/current/PDF/2016-55.PDF" TargetMode="External"/><Relationship Id="rId245" Type="http://schemas.openxmlformats.org/officeDocument/2006/relationships/hyperlink" Target="https://www.austlii.edu.au/cgi-bin/viewdoc/au/cases/cth/HCA/1993/24.html?context=1;query=%5b1993%5d%20HCA%2024;mask_path=" TargetMode="External"/><Relationship Id="rId266" Type="http://schemas.openxmlformats.org/officeDocument/2006/relationships/hyperlink" Target="https://www.ombudsman.act.gov.au/__data/assets/pdf_file/0034/295909/Alistair-Coe-and-ACT-Health-Directorate-2018-ACTOFOI-4-5-September-2018.pdf" TargetMode="External"/><Relationship Id="rId287" Type="http://schemas.openxmlformats.org/officeDocument/2006/relationships/hyperlink" Target="https://www.ombudsman.act.gov.au/__data/assets/pdf_file/0034/295918/Daniella-White-and-Canberra-Health-Services-2019-ACTOFOI-9-5-June-2019.pdf" TargetMode="External"/><Relationship Id="rId30" Type="http://schemas.openxmlformats.org/officeDocument/2006/relationships/hyperlink" Target="http://ombudsman.act.gov.au/__data/assets/pdf_file/0016/100672/Canberra-Metro-Construction-and-Chief-Minister,-Treasury-and-Economic-Development-Directorate-2019-ACTOFOI-8-5-June-2019.pdf" TargetMode="External"/><Relationship Id="rId105" Type="http://schemas.openxmlformats.org/officeDocument/2006/relationships/hyperlink" Target="http://www.austlii.edu.au/cgi-bin/viewdoc/au/cases/qld/QICmr/2014/40.html?context=1;query=2014%5d%20QICmr%2040;mask_path=" TargetMode="External"/><Relationship Id="rId126" Type="http://schemas.openxmlformats.org/officeDocument/2006/relationships/hyperlink" Target="https://www.legislation.act.gov.au/a/2016-55/" TargetMode="External"/><Relationship Id="rId147" Type="http://schemas.openxmlformats.org/officeDocument/2006/relationships/hyperlink" Target="https://www.legislation.act.gov.au/a/2012-43" TargetMode="External"/><Relationship Id="rId168" Type="http://schemas.openxmlformats.org/officeDocument/2006/relationships/hyperlink" Target="https://www.austlii.edu.au/cgi-bin/viewdoc/au/cases/cth/AATA/2017/409.html?context=1;query=%5b2017%5d%20AATA%20409;mask_path=" TargetMode="External"/><Relationship Id="rId312" Type="http://schemas.openxmlformats.org/officeDocument/2006/relationships/hyperlink" Target="https://www.legislation.act.gov.au/a/2001-14/" TargetMode="External"/><Relationship Id="rId333" Type="http://schemas.openxmlformats.org/officeDocument/2006/relationships/hyperlink" Target="https://www.legislation.act.gov.au/a/2016-55/" TargetMode="External"/><Relationship Id="rId354" Type="http://schemas.openxmlformats.org/officeDocument/2006/relationships/hyperlink" Target="https://www.austlii.edu.au/cgi-bin/viewdoc/au/cases/cth/AATA/2016/230.html?context=1;query=%5b2016%5d%20AATA%20230%20;mask_path=" TargetMode="External"/><Relationship Id="rId51" Type="http://schemas.openxmlformats.org/officeDocument/2006/relationships/hyperlink" Target="http://www8.austlii.edu.au/cgi-bin/viewdoc/au/cases/cth/HCA/1999/67.html" TargetMode="External"/><Relationship Id="rId72" Type="http://schemas.openxmlformats.org/officeDocument/2006/relationships/hyperlink" Target="https://www.austlii.edu.au/cgi-bin/viewdoc/au/cases/vic/VSCA/2002/59.html?context=1;query=Mitsubishi%20Electric%20Australia%20Pty%20Ltd%20v%20Victorian%20WorkCover%20Authority%20;mask_path=" TargetMode="External"/><Relationship Id="rId93" Type="http://schemas.openxmlformats.org/officeDocument/2006/relationships/hyperlink" Target="https://www.legislation.act.gov.au/a/2004-65/" TargetMode="External"/><Relationship Id="rId189" Type="http://schemas.openxmlformats.org/officeDocument/2006/relationships/hyperlink" Target="https://www.oic.qld.gov.au/decisions/6zj3hg-and-department-of-environment-and-heritage-protection-oy76vy-third-party-2016-qicmr-8-24-february-2016" TargetMode="External"/><Relationship Id="rId375" Type="http://schemas.openxmlformats.org/officeDocument/2006/relationships/hyperlink" Target="https://www.austlii.edu.au/cgi-bin/viewdoc/au/cases/cth/AATA/2019/12.html?context=1;query=%5b2019%5d%20AATA%2012;mask_path=" TargetMode="External"/><Relationship Id="rId3" Type="http://schemas.openxmlformats.org/officeDocument/2006/relationships/hyperlink" Target="https://www.legislation.act.gov.au/a/2016-55/" TargetMode="External"/><Relationship Id="rId214" Type="http://schemas.openxmlformats.org/officeDocument/2006/relationships/hyperlink" Target="https://www.ombudsman.act.gov.au/__data/assets/pdf_file/0027/295920/defence.pdf" TargetMode="External"/><Relationship Id="rId235" Type="http://schemas.openxmlformats.org/officeDocument/2006/relationships/hyperlink" Target="https://www.legislation.act.gov.au/View/es/db_53834/20160505-63422/html/db_53834.html" TargetMode="External"/><Relationship Id="rId256" Type="http://schemas.openxmlformats.org/officeDocument/2006/relationships/hyperlink" Target="https://www.austlii.edu.au/cgi-bin/viewdoc/au/cases/cth/AICmr/2015/26.html?context=1;query=%5b2015%5d%20AICmr%2026,%20;mask_path=" TargetMode="External"/><Relationship Id="rId277" Type="http://schemas.openxmlformats.org/officeDocument/2006/relationships/hyperlink" Target="https://www.austlii.edu.au/cgi-bin/viewdoc/au/cases/qld/QICmr/2015/12.html?context=1;query=%5b2015%5d%20QICmr%2012;mask_path=" TargetMode="External"/><Relationship Id="rId298" Type="http://schemas.openxmlformats.org/officeDocument/2006/relationships/hyperlink" Target="https://www.ombudsman.act.gov.au/__data/assets/pdf_file/0030/295923/2019-ACTOFOI-13-A1814484.pdf" TargetMode="External"/><Relationship Id="rId116" Type="http://schemas.openxmlformats.org/officeDocument/2006/relationships/hyperlink" Target="https://www.legislation.act.gov.au/a/1996-23" TargetMode="External"/><Relationship Id="rId137" Type="http://schemas.openxmlformats.org/officeDocument/2006/relationships/hyperlink" Target="https://www.oic.qld.gov.au/decisions/hudson-as-agent-for-fencray-pty-ltd-and-department-of-the-premier,-economic-and-trade-development" TargetMode="External"/><Relationship Id="rId158" Type="http://schemas.openxmlformats.org/officeDocument/2006/relationships/hyperlink" Target="https://www.legislation.act.gov.au/a/1992-71/" TargetMode="External"/><Relationship Id="rId302" Type="http://schemas.openxmlformats.org/officeDocument/2006/relationships/hyperlink" Target="https://www.oic.qld.gov.au/decisions/wl1t8p-and-queensland-police-service-2014-qicmr-40-16-october-2014" TargetMode="External"/><Relationship Id="rId323" Type="http://schemas.openxmlformats.org/officeDocument/2006/relationships/hyperlink" Target="https://www.ombudsman.act.gov.au/__data/assets/pdf_file/0025/295900/Alistair-Coe-and-Suburban-Land-Agency-2019-ACTOFOI-5-25-February-2019.pdf" TargetMode="External"/><Relationship Id="rId344" Type="http://schemas.openxmlformats.org/officeDocument/2006/relationships/hyperlink" Target="https://www.austlii.edu.au/cgi-bin/viewdoc/au/cases/qld/QICmr/2015/33.html?context=1;query=%5b2015%5d%20QICmr%2033;mask_path=" TargetMode="External"/><Relationship Id="rId20" Type="http://schemas.openxmlformats.org/officeDocument/2006/relationships/hyperlink" Target="https://www.austlii.edu.au/cgi-bin/viewdoc/au/cases/cth/AATA/2021/3984.html?context=1;query=Bradford%20and%20Australian%20Federal%20Police;mask_path=" TargetMode="External"/><Relationship Id="rId41" Type="http://schemas.openxmlformats.org/officeDocument/2006/relationships/hyperlink" Target="https://www.legislation.gov.au/Series/C2004A03430" TargetMode="External"/><Relationship Id="rId62" Type="http://schemas.openxmlformats.org/officeDocument/2006/relationships/hyperlink" Target="http://www8.austlii.edu.au/cgi-bin/viewdoc/au/cases/cth/HCA/1999/67.html" TargetMode="External"/><Relationship Id="rId83" Type="http://schemas.openxmlformats.org/officeDocument/2006/relationships/hyperlink" Target="https://www.legislation.act.gov.au/a/2008-19/" TargetMode="External"/><Relationship Id="rId179" Type="http://schemas.openxmlformats.org/officeDocument/2006/relationships/hyperlink" Target="https://www.legislation.act.gov.au/a/2016-55/" TargetMode="External"/><Relationship Id="rId365" Type="http://schemas.openxmlformats.org/officeDocument/2006/relationships/hyperlink" Target="https://www.austlii.edu.au/cgi-bin/viewdoc/au/cases/qld/QICmr/2014/5.html?context=1;query=%5b2014%5d%20QICmr%205;mask_path=" TargetMode="External"/><Relationship Id="rId386" Type="http://schemas.openxmlformats.org/officeDocument/2006/relationships/hyperlink" Target="https://www.austlii.edu.au/cgi-bin/viewdoc/au/cases/qld/QICmr/2012/42.html?context=1;query=Troiani%20and%20Queensland%20Police%20Service;mask_path=" TargetMode="External"/><Relationship Id="rId190" Type="http://schemas.openxmlformats.org/officeDocument/2006/relationships/hyperlink" Target="https://www.austlii.edu.au/cgi-bin/viewdoc/au/cases/wa/WAICmr/2012/8.html?context=1;query=%5b2012%5d%20WAICmr%208;mask_path=" TargetMode="External"/><Relationship Id="rId204" Type="http://schemas.openxmlformats.org/officeDocument/2006/relationships/hyperlink" Target="https://www.austlii.edu.au/cgi-bin/viewdoc/au/cases/cth/AATA/1987/395.html?context=1;query=%5b1987%5d%20AATA%20395;mask_path=" TargetMode="External"/><Relationship Id="rId225" Type="http://schemas.openxmlformats.org/officeDocument/2006/relationships/hyperlink" Target="https://www.legislation.act.gov.au/a/2016-55/" TargetMode="External"/><Relationship Id="rId246" Type="http://schemas.openxmlformats.org/officeDocument/2006/relationships/hyperlink" Target="https://www.austlii.edu.au/cgi-bin/viewdoc/au/cases/cth/HCA/1982/26.html?context=1;query=%5b1982%5d%20HCA%2026;mask_path=" TargetMode="External"/><Relationship Id="rId267" Type="http://schemas.openxmlformats.org/officeDocument/2006/relationships/hyperlink" Target="https://www.ombudsman.act.gov.au/__data/assets/pdf_file/0029/295904/Dentsu-X-and-Chief-Minister,-Treasury-and-Economic-Development-Directorate-2019-ACTOFOI-7-24-April-2019.pdf" TargetMode="External"/><Relationship Id="rId288" Type="http://schemas.openxmlformats.org/officeDocument/2006/relationships/hyperlink" Target="https://www.oic.qld.gov.au/decisions/zacka-and-fraser-coast-regional-council-bgm-projects-pty-ltd-third-party-and-ors-2019-qicmr-2-14-february-2019" TargetMode="External"/><Relationship Id="rId106" Type="http://schemas.openxmlformats.org/officeDocument/2006/relationships/hyperlink" Target="https://www.ombudsman.act.gov.au/__data/assets/pdf_file/0032/295916/2018-ACTOFOI-8-A1703331.pdf" TargetMode="External"/><Relationship Id="rId127" Type="http://schemas.openxmlformats.org/officeDocument/2006/relationships/hyperlink" Target="https://www.legislation.act.gov.au/View/a/2016-55/current/PDF/2016-55.PDF" TargetMode="External"/><Relationship Id="rId313" Type="http://schemas.openxmlformats.org/officeDocument/2006/relationships/hyperlink" Target="https://www.legislation.act.gov.au/a/2016-55/" TargetMode="External"/><Relationship Id="rId10" Type="http://schemas.openxmlformats.org/officeDocument/2006/relationships/hyperlink" Target="https://www.macquariedictionary.com.au/" TargetMode="External"/><Relationship Id="rId31" Type="http://schemas.openxmlformats.org/officeDocument/2006/relationships/hyperlink" Target="http://www.austlii.edu.au/cgi-bin/viewdoc/au/cases/qld/QICmr/1995/23.html" TargetMode="External"/><Relationship Id="rId52" Type="http://schemas.openxmlformats.org/officeDocument/2006/relationships/hyperlink" Target="https://www.legislation.act.gov.au/a/2011-12" TargetMode="External"/><Relationship Id="rId73" Type="http://schemas.openxmlformats.org/officeDocument/2006/relationships/hyperlink" Target="https://www.austlii.edu.au/cgi-bin/viewdoc/au/cases/cth/HCA/1999/66.html?context=1;query=Mann%20v%20Carnell%20;mask_path=" TargetMode="External"/><Relationship Id="rId94" Type="http://schemas.openxmlformats.org/officeDocument/2006/relationships/hyperlink" Target="https://www.austlii.edu.au/cgi-bin/viewdoc/au/cases/qld/QICmr/2015/26.html?context=1;query=%5b2015%5d%20QICmr%2026;mask_path=" TargetMode="External"/><Relationship Id="rId148" Type="http://schemas.openxmlformats.org/officeDocument/2006/relationships/hyperlink" Target="https://www.legislation.act.gov.au/a/2008-19/" TargetMode="External"/><Relationship Id="rId169" Type="http://schemas.openxmlformats.org/officeDocument/2006/relationships/hyperlink" Target="http://ombudsman.act.gov.au/__data/assets/pdf_file/0016/100672/Canberra-Metro-Construction-and-Chief-Minister,-Treasury-and-Economic-Development-Directorate-2019-ACTOFOI-8-5-June-2019.pdf" TargetMode="External"/><Relationship Id="rId334" Type="http://schemas.openxmlformats.org/officeDocument/2006/relationships/hyperlink" Target="http://www.austlii.edu.au/cgi-bin/viewdoc/au/cases/cth/AATA/2019/12.html?context=1;query=%5b2019%5d%20AATA%2012;mask_path=" TargetMode="External"/><Relationship Id="rId355" Type="http://schemas.openxmlformats.org/officeDocument/2006/relationships/hyperlink" Target="http://www8.austlii.edu.au/cgi-bin/viewdoc/au/cases/cth/AICmr/2013/8.html" TargetMode="External"/><Relationship Id="rId376" Type="http://schemas.openxmlformats.org/officeDocument/2006/relationships/hyperlink" Target="https://www.austlii.edu.au/cgi-bin/viewdoc/au/cases/cth/AICmr/2013/19.html?context=1;query=%5b2013%5d%20AICmr%2019;mask_path=" TargetMode="External"/><Relationship Id="rId4" Type="http://schemas.openxmlformats.org/officeDocument/2006/relationships/hyperlink" Target="https://www.legislation.act.gov.au/ni/2020-370/" TargetMode="External"/><Relationship Id="rId180" Type="http://schemas.openxmlformats.org/officeDocument/2006/relationships/hyperlink" Target="https://www.legislation.act.gov.au/a/2016-55/" TargetMode="External"/><Relationship Id="rId215" Type="http://schemas.openxmlformats.org/officeDocument/2006/relationships/hyperlink" Target="https://www.legislation.act.gov.au/a/2015-38" TargetMode="External"/><Relationship Id="rId236" Type="http://schemas.openxmlformats.org/officeDocument/2006/relationships/hyperlink" Target="http://ombudsman.act.gov.au/__data/assets/pdf_file/0016/100672/Canberra-Metro-Construction-and-Chief-Minister,-Treasury-and-Economic-Development-Directorate-2019-ACTOFOI-8-5-June-2019.pdf" TargetMode="External"/><Relationship Id="rId257" Type="http://schemas.openxmlformats.org/officeDocument/2006/relationships/hyperlink" Target="http://www.austlii.edu.au/cgi-bin/viewdoc/au/cases/qld/QICmr/2014/40.html?context=1;query=%5b2014%5d%20QICmr%2040;mask_path=" TargetMode="External"/><Relationship Id="rId278" Type="http://schemas.openxmlformats.org/officeDocument/2006/relationships/hyperlink" Target="http://www.cmd.act.gov.au/__data/assets/pdf_file/0006/818034/Acceptable_ICT_Use_Policy.pdf" TargetMode="External"/><Relationship Id="rId303" Type="http://schemas.openxmlformats.org/officeDocument/2006/relationships/hyperlink" Target="https://www.austlii.edu.au/cgi-bin/viewdoc/au/cases/qld/QICmr/2017/27.html?context=1;query=%5b2017%5d%20QICmr%2027;mask_path=" TargetMode="External"/><Relationship Id="rId42" Type="http://schemas.openxmlformats.org/officeDocument/2006/relationships/hyperlink" Target="https://www.legislation.gov.au/Series/C2004A03699" TargetMode="External"/><Relationship Id="rId84" Type="http://schemas.openxmlformats.org/officeDocument/2006/relationships/hyperlink" Target="https://www.legislation.act.gov.au/a/2008-19/" TargetMode="External"/><Relationship Id="rId138" Type="http://schemas.openxmlformats.org/officeDocument/2006/relationships/hyperlink" Target="https://www.ombudsman.act.gov.au/__data/assets/pdf_file/0025/295900/Alistair-Coe-and-Suburban-Land-Agency-2019-ACTOFOI-5-25-February-2019.pdf" TargetMode="External"/><Relationship Id="rId345" Type="http://schemas.openxmlformats.org/officeDocument/2006/relationships/hyperlink" Target="https://www.austlii.edu.au/cgi-bin/viewdoc/au/cases/qld/QICmr/2012/49.html?context=1;query=%5b2012%5d%20QICmr%2049;mask_path=" TargetMode="External"/><Relationship Id="rId387" Type="http://schemas.openxmlformats.org/officeDocument/2006/relationships/hyperlink" Target="https://www.austlii.edu.au/cgi-bin/viewdoc/au/cases/qld/QICmr/2013/36.html?context=1;query=N31ZEO%20and%20Department%20of%20Justice%20and%20Attorney-General;mask_path=" TargetMode="External"/><Relationship Id="rId191" Type="http://schemas.openxmlformats.org/officeDocument/2006/relationships/hyperlink" Target="https://www.austlii.edu.au/cgi-bin/viewdoc/au/cases/cth/AATA/2006/283.html?context=1;query=%5b2006%5d%20AATA%20283;mask_path=" TargetMode="External"/><Relationship Id="rId205" Type="http://schemas.openxmlformats.org/officeDocument/2006/relationships/hyperlink" Target="https://www.austlii.edu.au/cgi-bin/viewdoc/au/cases/vic/VCAT/2013/1270.html?context=1;query=%5b2013%5d%20VCAT%201270;mask_path=" TargetMode="External"/><Relationship Id="rId247" Type="http://schemas.openxmlformats.org/officeDocument/2006/relationships/hyperlink" Target="https://www.austlii.edu.au/cgi-bin/viewdoc/au/cases/cth/HCA/1993/24.html?context=1;query=%5b1993%5d%20HCA%2024;mask_path=" TargetMode="External"/><Relationship Id="rId107" Type="http://schemas.openxmlformats.org/officeDocument/2006/relationships/hyperlink" Target="https://www.ombudsman.act.gov.au/__data/assets/pdf_file/0032/295907/AB-and-Chief-Minister,-Treasury-and-Economic-Development-Directorate-2018-ACTOFOI-2-23-August-2018.pdf" TargetMode="External"/><Relationship Id="rId289" Type="http://schemas.openxmlformats.org/officeDocument/2006/relationships/hyperlink" Target="https://www.austlii.edu.au/cgi-bin/viewdoc/au/cases/cth/AICmr/2017/46.html?context=1;query=%5b2017%5d%20AICmr%2046;mask_path=" TargetMode="External"/><Relationship Id="rId11" Type="http://schemas.openxmlformats.org/officeDocument/2006/relationships/hyperlink" Target="https://www.legislation.act.gov.au/a/2016-55/" TargetMode="External"/><Relationship Id="rId53" Type="http://schemas.openxmlformats.org/officeDocument/2006/relationships/hyperlink" Target="http://www.austlii.edu.au/cgi-bin/viewdoc/au/cases/cth/HCA/1987/25.html" TargetMode="External"/><Relationship Id="rId149" Type="http://schemas.openxmlformats.org/officeDocument/2006/relationships/hyperlink" Target="https://www.legislation.act.gov.au/a/2012-43" TargetMode="External"/><Relationship Id="rId314" Type="http://schemas.openxmlformats.org/officeDocument/2006/relationships/hyperlink" Target="https://www.austlii.edu.au/cgi-bin/viewdoc/au/cases/qld/QICmr/2012/60.html?context=1;query=%5b2012%5d%20QICmr%2060;mask_path=" TargetMode="External"/><Relationship Id="rId356" Type="http://schemas.openxmlformats.org/officeDocument/2006/relationships/hyperlink" Target="https://www.austlii.edu.au/cgi-bin/viewdoc/au/cases/qld/QICmr/2018/47.html?context=1;query=%5b2018%5d%20QICmr%2047%20;mask_path=" TargetMode="External"/><Relationship Id="rId95" Type="http://schemas.openxmlformats.org/officeDocument/2006/relationships/hyperlink" Target="https://www.austlii.edu.au/cgi-bin/viewdoc/au/cases/cth/AATA/2017/269.html?context=1;query=%5b2017%5d%20AATA%20269;mask_path=" TargetMode="External"/><Relationship Id="rId160" Type="http://schemas.openxmlformats.org/officeDocument/2006/relationships/hyperlink" Target="https://www.legislation.act.gov.au/a/2016-55/" TargetMode="External"/><Relationship Id="rId216" Type="http://schemas.openxmlformats.org/officeDocument/2006/relationships/hyperlink" Target="https://www.legislation.act.gov.au/a/2005-59/" TargetMode="External"/><Relationship Id="rId258" Type="http://schemas.openxmlformats.org/officeDocument/2006/relationships/hyperlink" Target="https://www.ombudsman.act.gov.au/__data/assets/pdf_file/0032/295916/2018-ACTOFOI-8-A1703331.pdf" TargetMode="External"/><Relationship Id="rId22" Type="http://schemas.openxmlformats.org/officeDocument/2006/relationships/hyperlink" Target="http://www.austlii.edu.au/cgi-bin/viewdoc/au/cases/cth/FCAFC/2005/142.html" TargetMode="External"/><Relationship Id="rId64" Type="http://schemas.openxmlformats.org/officeDocument/2006/relationships/hyperlink" Target="http://www.austlii.edu.au/cgi-bin/viewdoc/au/cases/cth/FCA/2006/571.html?context=1;query=%5b2006%5d%20FCA%20571;mask_path=" TargetMode="External"/><Relationship Id="rId118" Type="http://schemas.openxmlformats.org/officeDocument/2006/relationships/hyperlink" Target="https://www.legislation.act.gov.au/a/1996-23" TargetMode="External"/><Relationship Id="rId325" Type="http://schemas.openxmlformats.org/officeDocument/2006/relationships/hyperlink" Target="https://www.austlii.edu.au/cgi-bin/viewdoc/au/cases/qld/QICmr/2017/54.html?context=1;query=%5b2017%5d%20QICmr%2054;mask_path=" TargetMode="External"/><Relationship Id="rId367" Type="http://schemas.openxmlformats.org/officeDocument/2006/relationships/hyperlink" Target="https://www.ombudsman.act.gov.au/__data/assets/pdf_file/0040/295897/Alistair-Coe-and-Chief-Minister,-Treasury-and-Economic-Development-Directorate-2019-ACTOFOI-3-29-January-2019.pdf" TargetMode="External"/><Relationship Id="rId171" Type="http://schemas.openxmlformats.org/officeDocument/2006/relationships/hyperlink" Target="https://www.austlii.edu.au/cgi-bin/viewdoc/au/cases/cth/AATA/1994/382.html?context=1;query=%5b1994%5d%20AATA%20382;mask_path=" TargetMode="External"/><Relationship Id="rId227" Type="http://schemas.openxmlformats.org/officeDocument/2006/relationships/hyperlink" Target="https://www.legislation.act.gov.au/ni/2020-370/" TargetMode="External"/><Relationship Id="rId269" Type="http://schemas.openxmlformats.org/officeDocument/2006/relationships/hyperlink" Target="https://www.ombudsman.act.gov.au/__data/assets/pdf_file/0033/295917/AE-and-Health-Directorate-2018-ACTOFOI-9-27-November-2018.pdf" TargetMode="External"/><Relationship Id="rId33" Type="http://schemas.openxmlformats.org/officeDocument/2006/relationships/hyperlink" Target="https://www.legislation.act.gov.au/a/2016-55/" TargetMode="External"/><Relationship Id="rId129" Type="http://schemas.openxmlformats.org/officeDocument/2006/relationships/hyperlink" Target="http://www.austlii.edu.au/cgi-bin/viewdoc/au/cases/cth/AATA/2015/361.html?context=1;query=%5b2015%5d%20AATA%20361;mask_path=" TargetMode="External"/><Relationship Id="rId280" Type="http://schemas.openxmlformats.org/officeDocument/2006/relationships/hyperlink" Target="https://www.legislation.act.gov.au/a/2016-55/" TargetMode="External"/><Relationship Id="rId336" Type="http://schemas.openxmlformats.org/officeDocument/2006/relationships/hyperlink" Target="https://www.austlii.edu.au/cgi-bin/viewdoc/au/cases/cth/AATA/1985/180.html?context=1;query=%5b1985%5d%20AATA%20180;mask_path=" TargetMode="External"/><Relationship Id="rId75" Type="http://schemas.openxmlformats.org/officeDocument/2006/relationships/hyperlink" Target="https://www.austlii.edu.au/cgi-bin/viewdoc/au/cases/cth/HCA/1996/15.html?context=1;query=Ampolex%20Ltd%20v%20Perpetual%20Trustee%20Company%20(Canberra)%20Ltd%20;mask_path=" TargetMode="External"/><Relationship Id="rId140" Type="http://schemas.openxmlformats.org/officeDocument/2006/relationships/hyperlink" Target="http://www.austlii.edu.au/cgi-bin/viewdoc/au/cases/qld/QICmr/2016/9.html?context=1;query=%5b2016%5d%20QICmr%209;mask_path=" TargetMode="External"/><Relationship Id="rId182" Type="http://schemas.openxmlformats.org/officeDocument/2006/relationships/hyperlink" Target="https://www.ombudsman.act.gov.au/__data/assets/pdf_file/0028/295912/Community-and-Public-Sector-Union-and-Chief-Minister,-Treasury-and-Economic-Development-Directorate-2018-ACTOFOI-7-14-November-2018.pdf" TargetMode="External"/><Relationship Id="rId378" Type="http://schemas.openxmlformats.org/officeDocument/2006/relationships/hyperlink" Target="https://www.legislation.act.gov.au/a/2004-57/" TargetMode="External"/><Relationship Id="rId6" Type="http://schemas.openxmlformats.org/officeDocument/2006/relationships/hyperlink" Target="https://www.legislation.act.gov.au/a/2016-55/" TargetMode="External"/><Relationship Id="rId238" Type="http://schemas.openxmlformats.org/officeDocument/2006/relationships/hyperlink" Target="https://www.oic.qld.gov.au/__data/assets/pdf_file/0005/22496/decision-311159-external-review-06-09-13.pdf" TargetMode="External"/><Relationship Id="rId291" Type="http://schemas.openxmlformats.org/officeDocument/2006/relationships/hyperlink" Target="https://www.oic.qld.gov.au/decisions/beale-and-department-of-community-safety-310872" TargetMode="External"/><Relationship Id="rId305" Type="http://schemas.openxmlformats.org/officeDocument/2006/relationships/hyperlink" Target="https://www.austlii.edu.au/cgi-bin/viewdoc/au/cases/qld/QICmr/2018/9.html?context=1;query=%5b2018%5d%20QICmr%209;mask_path=" TargetMode="External"/><Relationship Id="rId347" Type="http://schemas.openxmlformats.org/officeDocument/2006/relationships/hyperlink" Target="https://www.austlii.edu.au/cgi-bin/viewdoc/au/cases/qld/QICmr/2008/15.html?context=1;query=%20%5b2008%5d%20QICmr%2015;mask_path=" TargetMode="External"/><Relationship Id="rId44" Type="http://schemas.openxmlformats.org/officeDocument/2006/relationships/hyperlink" Target="https://legislation.nt.gov.au/en/Legislation/LEGISLATIVE-ASSEMBLY-POWERS-AND-PRIVILEGES-ACT-1992" TargetMode="External"/><Relationship Id="rId86" Type="http://schemas.openxmlformats.org/officeDocument/2006/relationships/hyperlink" Target="https://www.legislation.act.gov.au/a/2007-24" TargetMode="External"/><Relationship Id="rId151" Type="http://schemas.openxmlformats.org/officeDocument/2006/relationships/hyperlink" Target="https://www.legislation.act.gov.au/a/2008-19/" TargetMode="External"/><Relationship Id="rId389" Type="http://schemas.openxmlformats.org/officeDocument/2006/relationships/hyperlink" Target="https://www.legislation.act.gov.au/a/2016-55/" TargetMode="External"/><Relationship Id="rId193" Type="http://schemas.openxmlformats.org/officeDocument/2006/relationships/hyperlink" Target="https://www.austlii.edu.au/cgi-bin/viewdoc/au/cases/qld/QICmr/2009/25.html?context=1;query=%5b2009%5d%20QICmr%2025;mask_path=" TargetMode="External"/><Relationship Id="rId207" Type="http://schemas.openxmlformats.org/officeDocument/2006/relationships/hyperlink" Target="https://www.austlii.edu.au/cgi-bin/viewdoc/au/cases/qld/QICmr/2016/28.html?context=1;query=%5b2016%5d%20QICmr%2028;mask_path=" TargetMode="External"/><Relationship Id="rId249" Type="http://schemas.openxmlformats.org/officeDocument/2006/relationships/hyperlink" Target="https://www.austlii.edu.au/cgi-bin/viewdoc/au/cases/cth/AATA/2003/1301.html?context=1;query=%20%5b2003%5d%20AATA%201301;mask_path=" TargetMode="External"/><Relationship Id="rId13" Type="http://schemas.openxmlformats.org/officeDocument/2006/relationships/hyperlink" Target="http://www.austlii.edu.au/cgi-bin/viewdoc/au/cases/vic/VCAT/2017/1198.html" TargetMode="External"/><Relationship Id="rId109" Type="http://schemas.openxmlformats.org/officeDocument/2006/relationships/hyperlink" Target="https://www.legislation.act.gov.au/a/2016-55/" TargetMode="External"/><Relationship Id="rId260" Type="http://schemas.openxmlformats.org/officeDocument/2006/relationships/hyperlink" Target="https://www.ombudsman.act.gov.au/__data/assets/pdf_file/0034/295909/Alistair-Coe-and-ACT-Health-Directorate-2018-ACTOFOI-4-5-September-2018.pdf" TargetMode="External"/><Relationship Id="rId316" Type="http://schemas.openxmlformats.org/officeDocument/2006/relationships/hyperlink" Target="https://www.ombudsman.act.gov.au/__data/assets/pdf_file/0031/295915/AF-and-Community-Services-Directorate-2018-ACTOFOI-11-17-December-2018.pdf" TargetMode="External"/><Relationship Id="rId55" Type="http://schemas.openxmlformats.org/officeDocument/2006/relationships/hyperlink" Target="https://www.oic.qld.gov.au/guidelines/for-government/access-and-amendment/decision-making/exempt-information-provisions/legal-professional-privilege" TargetMode="External"/><Relationship Id="rId97" Type="http://schemas.openxmlformats.org/officeDocument/2006/relationships/hyperlink" Target="https://www.austlii.edu.au/cgi-bin/viewdoc/au/cases/qld/QICmr/2017/27.html?context=1;query=%5b2017%5d%20QICmr%2027;mask_path=" TargetMode="External"/><Relationship Id="rId120" Type="http://schemas.openxmlformats.org/officeDocument/2006/relationships/hyperlink" Target="http://www.austlii.edu.au/cgi-bin/viewdoc/au/cases/cth/AICmr/2015/9.html?context=1;query=Brett%20Goyne%20and%20Australian%20National%20Audit%20Office;mask_path=" TargetMode="External"/><Relationship Id="rId358" Type="http://schemas.openxmlformats.org/officeDocument/2006/relationships/hyperlink" Target="https://www.austlii.edu.au/cgi-bin/viewdoc/au/cases/cth/AATA/2015/945.html?context=1;query=%5b2015%5d%20AATA%20945%20;mask_path=" TargetMode="External"/><Relationship Id="rId162" Type="http://schemas.openxmlformats.org/officeDocument/2006/relationships/hyperlink" Target="https://www.austlii.edu.au/cgi-bin/viewdoc/au/cases/cth/AATA/2016/445.html?context=1;query=%5b2016%5d%20AATA%20445;mask_path=" TargetMode="External"/><Relationship Id="rId218" Type="http://schemas.openxmlformats.org/officeDocument/2006/relationships/hyperlink" Target="https://www.legislation.act.gov.au/a/2004-57" TargetMode="External"/><Relationship Id="rId271" Type="http://schemas.openxmlformats.org/officeDocument/2006/relationships/hyperlink" Target="https://www.austlii.edu.au/cgi-bin/viewdoc/au/cases/vic/VCAT/2019/479.html?context=1;query=%5b2019%5d%20VCAT%20479;mask_path=" TargetMode="External"/><Relationship Id="rId24" Type="http://schemas.openxmlformats.org/officeDocument/2006/relationships/hyperlink" Target="https://www.oaic.gov.au/freedom-of-information/freedom-of-information-guidance-for-government-agencies/foi-guidelines/part-6-conditional-exemptions" TargetMode="External"/><Relationship Id="rId66" Type="http://schemas.openxmlformats.org/officeDocument/2006/relationships/hyperlink" Target="http://www.austlii.edu.au/cgi-bin/viewdoc/au/cases/cth/FCA/2006/571.html?context=1;query=AWB%20Limited%20v%20Honourable%20Terence%20Rhoderic%20Hudson%20Cole;mask_path=" TargetMode="External"/><Relationship Id="rId131" Type="http://schemas.openxmlformats.org/officeDocument/2006/relationships/hyperlink" Target="http://www.austlii.edu.au/cgi-bin/viewdoc/au/cases/cth/AATA/2015/361.html?context=1;query=%5b2015%5d%20AATA%20361;mask_path=" TargetMode="External"/><Relationship Id="rId327" Type="http://schemas.openxmlformats.org/officeDocument/2006/relationships/hyperlink" Target="https://www.ombudsman.act.gov.au/__data/assets/pdf_file/0034/295918/Daniella-White-and-Canberra-Health-Services-2019-ACTOFOI-9-5-June-2019.pdf" TargetMode="External"/><Relationship Id="rId369" Type="http://schemas.openxmlformats.org/officeDocument/2006/relationships/hyperlink" Target="https://www.austlii.edu.au/cgi-bin/viewdoc/au/cases/qld/QICmr/2016/21.html?context=1;query=%5b2016%5d%20QICmr%2021;mask_path=" TargetMode="External"/><Relationship Id="rId173" Type="http://schemas.openxmlformats.org/officeDocument/2006/relationships/hyperlink" Target="https://www.legislation.act.gov.au/a/2001-14/" TargetMode="External"/><Relationship Id="rId229" Type="http://schemas.openxmlformats.org/officeDocument/2006/relationships/hyperlink" Target="https://www.legislation.act.gov.au/a/2023-16/" TargetMode="External"/><Relationship Id="rId380" Type="http://schemas.openxmlformats.org/officeDocument/2006/relationships/hyperlink" Target="https://www.legislation.act.gov.au/a/2004-57/" TargetMode="External"/><Relationship Id="rId240" Type="http://schemas.openxmlformats.org/officeDocument/2006/relationships/hyperlink" Target="https://www.oic.qld.gov.au/decisions/3fg6li-and-queensland-police-service-2014-qicmr-32-29-july-2014" TargetMode="External"/><Relationship Id="rId35" Type="http://schemas.openxmlformats.org/officeDocument/2006/relationships/hyperlink" Target="http://www.austlii.edu.au/cgi-bin/viewdoc/au/cases/qld/QICmr/1997/28.html" TargetMode="External"/><Relationship Id="rId77" Type="http://schemas.openxmlformats.org/officeDocument/2006/relationships/hyperlink" Target="https://www.austlii.edu.au/cgi-bin/viewdoc/au/cases/vic/VSC/1999/96.html?context=1;query=%5b1999%5d%20VSC%2096;mask_path=" TargetMode="External"/><Relationship Id="rId100" Type="http://schemas.openxmlformats.org/officeDocument/2006/relationships/hyperlink" Target="https://www.austlii.edu.au/cgi-bin/viewdoc/au/cases/cth/AICmr/2016/20.html?context=1;query=%5b2016%5d%20AICmr%2020.;mask_path=" TargetMode="External"/><Relationship Id="rId282" Type="http://schemas.openxmlformats.org/officeDocument/2006/relationships/hyperlink" Target="https://www.legislation.act.gov.au/a/2001-14/" TargetMode="External"/><Relationship Id="rId338" Type="http://schemas.openxmlformats.org/officeDocument/2006/relationships/hyperlink" Target="https://www.oic.wa.gov.au/PDF_Decs/d02095.pdf" TargetMode="External"/><Relationship Id="rId8" Type="http://schemas.openxmlformats.org/officeDocument/2006/relationships/hyperlink" Target="https://www.legislation.act.gov.au/a/2016-55/" TargetMode="External"/><Relationship Id="rId142" Type="http://schemas.openxmlformats.org/officeDocument/2006/relationships/hyperlink" Target="https://www.legislation.act.gov.au/a/2016-55/" TargetMode="External"/><Relationship Id="rId184" Type="http://schemas.openxmlformats.org/officeDocument/2006/relationships/hyperlink" Target="http://www8.austlii.edu.au/cgi-bin/viewdoc/au/cases/cth/AATA/2016/767.html" TargetMode="External"/><Relationship Id="rId391" Type="http://schemas.openxmlformats.org/officeDocument/2006/relationships/hyperlink" Target="https://www.austlii.edu.au/cgi-bin/viewdoc/au/cases/cth/HCA/2006/45.html?context=1;query=%5b2006%5d%20HCA%2045;mask_path=" TargetMode="External"/><Relationship Id="rId251" Type="http://schemas.openxmlformats.org/officeDocument/2006/relationships/hyperlink" Target="https://www.ombudsman.act.gov.au/__data/assets/pdf_file/0034/295909/Alistair-Coe-and-ACT-Health-Directorate-2018-ACTOFOI-4-5-September-2018.pdf" TargetMode="External"/><Relationship Id="rId46" Type="http://schemas.openxmlformats.org/officeDocument/2006/relationships/hyperlink" Target="https://www.aph.gov.au/About_Parliament/House_of_Representatives/Powers_practice_and_procedure/House_of_Representatives_Standing_and_Sessional_Orders" TargetMode="External"/><Relationship Id="rId293" Type="http://schemas.openxmlformats.org/officeDocument/2006/relationships/hyperlink" Target="https://www.ombudsman.act.gov.au/__data/assets/pdf_file/0029/295913/AH-and-Chief-Minister,-Treasury-and-Economic-Development-Directorate-2018-ACTOFOI-12-24-December-2018.pdf" TargetMode="External"/><Relationship Id="rId307" Type="http://schemas.openxmlformats.org/officeDocument/2006/relationships/hyperlink" Target="https://www.legislation.act.gov.au/a/2016-55/" TargetMode="External"/><Relationship Id="rId349" Type="http://schemas.openxmlformats.org/officeDocument/2006/relationships/hyperlink" Target="https://www.austlii.edu.au/cgi-bin/viewdoc/au/cases/cth/AICmr/2018/25.html?context=1;query=%5b2018%5d%20AICmr%2025;mask_path=" TargetMode="External"/><Relationship Id="rId88" Type="http://schemas.openxmlformats.org/officeDocument/2006/relationships/hyperlink" Target="https://www.legislation.act.gov.au/a/1993-13/" TargetMode="External"/><Relationship Id="rId111" Type="http://schemas.openxmlformats.org/officeDocument/2006/relationships/hyperlink" Target="https://www.oic.qld.gov.au/decisions/wl1t8p-and-queensland-police-service-2014-qicmr-40-16-october-2014" TargetMode="External"/><Relationship Id="rId153" Type="http://schemas.openxmlformats.org/officeDocument/2006/relationships/hyperlink" Target="http://www8.austlii.edu.au/cgi-bin/viewdoc/au/cases/cth/AATA/2006/333.html" TargetMode="External"/><Relationship Id="rId195" Type="http://schemas.openxmlformats.org/officeDocument/2006/relationships/hyperlink" Target="https://www.austlii.edu.au/cgi-bin/viewdoc/au/cases/qld/QCATA/2015/95.html?context=1;query=%5b2015%5d%20QCATA%2095;mask_path=" TargetMode="External"/><Relationship Id="rId209" Type="http://schemas.openxmlformats.org/officeDocument/2006/relationships/hyperlink" Target="https://www.austlii.edu.au/cgi-bin/viewdoc/au/cases/qld/QICmr/2006/18.html?context=1;query=%5b2006%5d%20QICmr%2018;mask_path=" TargetMode="External"/><Relationship Id="rId360" Type="http://schemas.openxmlformats.org/officeDocument/2006/relationships/hyperlink" Target="https://www.ombudsman.act.gov.au/__data/assets/pdf_file/0040/295897/Alistair-Coe-and-Chief-Minister,-Treasury-and-Economic-Development-Directorate-2019-ACTOFOI-3-29-January-2019.pdf" TargetMode="External"/><Relationship Id="rId220" Type="http://schemas.openxmlformats.org/officeDocument/2006/relationships/hyperlink" Target="https://www.legislation.act.gov.au/a/2014-59" TargetMode="External"/><Relationship Id="rId15" Type="http://schemas.openxmlformats.org/officeDocument/2006/relationships/hyperlink" Target="http://www.austlii.edu.au/cgi-bin/viewdoc/au/cases/vic/VCAT/2017/1198.html" TargetMode="External"/><Relationship Id="rId57" Type="http://schemas.openxmlformats.org/officeDocument/2006/relationships/hyperlink" Target="http://www.austlii.edu.au/cgi-bin/viewdoc/au/cases/cth/AATA/2015/728.html" TargetMode="External"/><Relationship Id="rId262" Type="http://schemas.openxmlformats.org/officeDocument/2006/relationships/hyperlink" Target="http://www.austlii.edu.au/cgi-bin/viewdoc/au/cases/qld/QICmr/2014/40.html?context=1;query=%5b2014%5d%20QICmr%2040;mask_path=" TargetMode="External"/><Relationship Id="rId318" Type="http://schemas.openxmlformats.org/officeDocument/2006/relationships/hyperlink" Target="https://www.ombudsman.act.gov.au/__data/assets/pdf_file/0034/295909/Alistair-Coe-and-ACT-Health-Directorate-2018-ACTOFOI-4-5-September-2018.pdf" TargetMode="External"/><Relationship Id="rId99" Type="http://schemas.openxmlformats.org/officeDocument/2006/relationships/hyperlink" Target="https://www.austlii.edu.au/cgi-bin/viewdoc/au/cases/cth/AICmr/2016/19.html?context=1;query=%5b2016%5d%20AICmr%2019;mask_path=" TargetMode="External"/><Relationship Id="rId122" Type="http://schemas.openxmlformats.org/officeDocument/2006/relationships/hyperlink" Target="https://www.legislation.act.gov.au/a/2016-55/" TargetMode="External"/><Relationship Id="rId164" Type="http://schemas.openxmlformats.org/officeDocument/2006/relationships/hyperlink" Target="https://www.austlii.edu.au/cgi-bin/viewdoc/au/cases/cth/AATA/2016/445.html?context=1;query=%5b2016%5d%20AATA%20445;mask_path=" TargetMode="External"/><Relationship Id="rId371" Type="http://schemas.openxmlformats.org/officeDocument/2006/relationships/hyperlink" Target="https://www.austlii.edu.au/cgi-bin/viewdoc/au/cases/cth/AICmr/2015/69.html?context=1;query=%5b2015%5d%20AICmr%2069;mask_path=" TargetMode="External"/><Relationship Id="rId26" Type="http://schemas.openxmlformats.org/officeDocument/2006/relationships/hyperlink" Target="http://www.austlii.edu.au/cgi-bin/viewdoc/au/cases/cth/HCA/1904/43.html?context=1;query=Johansen%20v%20City%20Mutual%20Life%20Assurance%20Society%20Ltd;mask_path=" TargetMode="External"/><Relationship Id="rId231" Type="http://schemas.openxmlformats.org/officeDocument/2006/relationships/hyperlink" Target="https://www.legislation.act.gov.au/a/2016-55/" TargetMode="External"/><Relationship Id="rId273" Type="http://schemas.openxmlformats.org/officeDocument/2006/relationships/hyperlink" Target="https://www.ombudsman.act.gov.au/__data/assets/pdf_file/0033/295917/AE-and-Health-Directorate-2018-ACTOFOI-9-27-November-2018.pdf" TargetMode="External"/><Relationship Id="rId329" Type="http://schemas.openxmlformats.org/officeDocument/2006/relationships/hyperlink" Target="https://www.ombudsman.act.gov.au/__data/assets/pdf_file/0034/295909/Alistair-Coe-and-ACT-Health-Directorate-2018-ACTOFOI-4-5-September-2018.pdf" TargetMode="External"/><Relationship Id="rId68" Type="http://schemas.openxmlformats.org/officeDocument/2006/relationships/hyperlink" Target="https://www.austlii.edu.au/cgi-bin/viewdoc/au/cases/cth/FCAFC/2004/122.html?context=1;query=Pratt%20Holdings%20Pty%20Ltd%20v%20Commissioner%20of%20Taxation;mask_path=" TargetMode="External"/><Relationship Id="rId133" Type="http://schemas.openxmlformats.org/officeDocument/2006/relationships/hyperlink" Target="https://www.oic.qld.gov.au/__data/assets/pdf_file/0017/7172/310145-Dec-07-07-10.pdf" TargetMode="External"/><Relationship Id="rId175" Type="http://schemas.openxmlformats.org/officeDocument/2006/relationships/hyperlink" Target="https://www.legislation.act.gov.au/a/2016-55/" TargetMode="External"/><Relationship Id="rId340" Type="http://schemas.openxmlformats.org/officeDocument/2006/relationships/hyperlink" Target="https://www.legislation.qld.gov.au/view/html/inforce/current/act-2009-013" TargetMode="External"/><Relationship Id="rId200" Type="http://schemas.openxmlformats.org/officeDocument/2006/relationships/hyperlink" Target="https://www.austlii.edu.au/cgi-bin/viewdoc/au/cases/vic/VCAT/2012/1060.html?context=1;query=%5b2012%5d%20VCAT%201060;mask_path=" TargetMode="External"/><Relationship Id="rId382" Type="http://schemas.openxmlformats.org/officeDocument/2006/relationships/hyperlink" Target="https://www.legislation.act.gov.au/a/20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fc9451-eca4-4bd0-9ef4-a0678ceb67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D3ADC6BFCF842B71DCACB9CBB3A04" ma:contentTypeVersion="7" ma:contentTypeDescription="Create a new document." ma:contentTypeScope="" ma:versionID="fadecac0f08b06436fa70ab5bfda8a71">
  <xsd:schema xmlns:xsd="http://www.w3.org/2001/XMLSchema" xmlns:xs="http://www.w3.org/2001/XMLSchema" xmlns:p="http://schemas.microsoft.com/office/2006/metadata/properties" xmlns:ns3="73fc9451-eca4-4bd0-9ef4-a0678ceb67d1" xmlns:ns4="b67d4295-fb0f-468d-8d5a-85f45b63c686" targetNamespace="http://schemas.microsoft.com/office/2006/metadata/properties" ma:root="true" ma:fieldsID="d150b6b0ed206c99cfe7d52f64fc78af" ns3:_="" ns4:_="">
    <xsd:import namespace="73fc9451-eca4-4bd0-9ef4-a0678ceb67d1"/>
    <xsd:import namespace="b67d4295-fb0f-468d-8d5a-85f45b63c68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c9451-eca4-4bd0-9ef4-a0678ceb6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d4295-fb0f-468d-8d5a-85f45b63c6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UNKNOWN" version="1.0.0">
  <systemFields>
    <field name="Objective-Id">
      <value order="0">A2381866</value>
    </field>
    <field name="Objective-Title">
      <value order="0">ATTACHMENT A - Freedom of Information (Volume 4 - Considering the public interest) Guidelines 2023</value>
    </field>
  </systemFields>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D895F-74F4-449F-86F1-DF77415E5AB5}">
  <ds:schemaRefs>
    <ds:schemaRef ds:uri="http://schemas.microsoft.com/office/2006/metadata/properties"/>
    <ds:schemaRef ds:uri="http://schemas.microsoft.com/office/infopath/2007/PartnerControls"/>
    <ds:schemaRef ds:uri="73fc9451-eca4-4bd0-9ef4-a0678ceb67d1"/>
  </ds:schemaRefs>
</ds:datastoreItem>
</file>

<file path=customXml/itemProps2.xml><?xml version="1.0" encoding="utf-8"?>
<ds:datastoreItem xmlns:ds="http://schemas.openxmlformats.org/officeDocument/2006/customXml" ds:itemID="{2BFF0247-EE98-4FAB-BF00-5B82D5DED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c9451-eca4-4bd0-9ef4-a0678ceb67d1"/>
    <ds:schemaRef ds:uri="b67d4295-fb0f-468d-8d5a-85f45b63c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4.xml><?xml version="1.0" encoding="utf-8"?>
<ds:datastoreItem xmlns:ds="http://schemas.openxmlformats.org/officeDocument/2006/customXml" ds:itemID="{750E5BE6-4269-48AC-A982-994EE7DDC32A}">
  <ds:schemaRefs>
    <ds:schemaRef ds:uri="http://schemas.openxmlformats.org/officeDocument/2006/bibliography"/>
  </ds:schemaRefs>
</ds:datastoreItem>
</file>

<file path=customXml/itemProps5.xml><?xml version="1.0" encoding="utf-8"?>
<ds:datastoreItem xmlns:ds="http://schemas.openxmlformats.org/officeDocument/2006/customXml" ds:itemID="{60651390-0168-4E95-AA5D-7009408DE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30218</Words>
  <Characters>168222</Characters>
  <Application>Microsoft Office Word</Application>
  <DocSecurity>0</DocSecurity>
  <Lines>2724</Lines>
  <Paragraphs>1557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2023-11-29T11:00:00Z</dcterms:created>
  <dcterms:modified xsi:type="dcterms:W3CDTF">2023-11-29T11:00:00Z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A2381866</vt:lpwstr>
  </property>
  <property fmtid="{D5CDD505-2E9C-101B-9397-08002B2CF9AE}" pid="4" name="Objective-Title">
    <vt:lpwstr>ATTACHMENT A - Freedom of Information (Volume 4 - Considering the public interest) Guidelines 2023</vt:lpwstr>
  </property>
  <property fmtid="{D5CDD505-2E9C-101B-9397-08002B2CF9AE}" pid="5" name="Objective-Author - Internal">
    <vt:lpwstr>Jennifer Furze</vt:lpwstr>
  </property>
  <property fmtid="{D5CDD505-2E9C-101B-9397-08002B2CF9AE}" pid="6" name="Objective-Agency">
    <vt:lpwstr/>
  </property>
  <property fmtid="{D5CDD505-2E9C-101B-9397-08002B2CF9AE}" pid="7" name="Objective-Addressee">
    <vt:lpwstr/>
  </property>
  <property fmtid="{D5CDD505-2E9C-101B-9397-08002B2CF9AE}" pid="8" name="Objective-Date Sent">
    <vt:lpwstr/>
  </property>
  <property fmtid="{D5CDD505-2E9C-101B-9397-08002B2CF9AE}" pid="9" name="Objective-Signatory">
    <vt:lpwstr/>
  </property>
  <property fmtid="{D5CDD505-2E9C-101B-9397-08002B2CF9AE}" pid="10" name="Objective-Detailed Description">
    <vt:lpwstr/>
  </property>
  <property fmtid="{D5CDD505-2E9C-101B-9397-08002B2CF9AE}" pid="11" name="Objective-Channel">
    <vt:lpwstr>Outgoing</vt:lpwstr>
  </property>
  <property fmtid="{D5CDD505-2E9C-101B-9397-08002B2CF9AE}" pid="12" name="Objective-Date on Physical Item">
    <vt:lpwstr/>
  </property>
  <property fmtid="{D5CDD505-2E9C-101B-9397-08002B2CF9AE}" pid="13" name="Objective-Date Physical Item Digitised">
    <vt:lpwstr/>
  </property>
  <property fmtid="{D5CDD505-2E9C-101B-9397-08002B2CF9AE}" pid="14" name="Objective-Date Physical Item Destroyed">
    <vt:lpwstr/>
  </property>
  <property fmtid="{D5CDD505-2E9C-101B-9397-08002B2CF9AE}" pid="15" name="Objective-Physical Item Exists?">
    <vt:lpwstr>No</vt:lpwstr>
  </property>
  <property fmtid="{D5CDD505-2E9C-101B-9397-08002B2CF9AE}" pid="16" name="ContentTypeId">
    <vt:lpwstr>0x010100A91D3ADC6BFCF842B71DCACB9CBB3A04</vt:lpwstr>
  </property>
</Properties>
</file>