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6DE1"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612D19CB" w14:textId="03D7E077" w:rsidR="001440B3" w:rsidRPr="006B1222" w:rsidRDefault="00DC3E46">
      <w:pPr>
        <w:pStyle w:val="Billname"/>
        <w:spacing w:before="700"/>
        <w:rPr>
          <w:color w:val="000000" w:themeColor="text1"/>
        </w:rPr>
      </w:pPr>
      <w:r w:rsidRPr="006B1222">
        <w:rPr>
          <w:color w:val="000000" w:themeColor="text1"/>
        </w:rPr>
        <w:t xml:space="preserve">Corrections Management </w:t>
      </w:r>
      <w:r w:rsidR="001440B3" w:rsidRPr="006B1222">
        <w:rPr>
          <w:color w:val="000000" w:themeColor="text1"/>
        </w:rPr>
        <w:t>(</w:t>
      </w:r>
      <w:r w:rsidR="006B1222">
        <w:rPr>
          <w:color w:val="000000" w:themeColor="text1"/>
        </w:rPr>
        <w:t>Transitional Release Sponsors (Family and Kinship)</w:t>
      </w:r>
      <w:r w:rsidR="001440B3" w:rsidRPr="006B1222">
        <w:rPr>
          <w:color w:val="000000" w:themeColor="text1"/>
        </w:rPr>
        <w:t xml:space="preserve">) </w:t>
      </w:r>
      <w:r w:rsidR="00D551B4" w:rsidRPr="006B1222">
        <w:rPr>
          <w:color w:val="000000" w:themeColor="text1"/>
        </w:rPr>
        <w:t>Operating Procedure</w:t>
      </w:r>
      <w:r w:rsidR="00525963" w:rsidRPr="006B1222">
        <w:rPr>
          <w:color w:val="000000" w:themeColor="text1"/>
        </w:rPr>
        <w:t xml:space="preserve"> </w:t>
      </w:r>
      <w:r w:rsidR="006B1222">
        <w:rPr>
          <w:color w:val="000000" w:themeColor="text1"/>
        </w:rPr>
        <w:t>2023</w:t>
      </w:r>
    </w:p>
    <w:p w14:paraId="1A435E69" w14:textId="0BB975EF" w:rsidR="001440B3" w:rsidRPr="006B1222" w:rsidRDefault="001440B3" w:rsidP="0042011A">
      <w:pPr>
        <w:spacing w:before="340"/>
        <w:rPr>
          <w:rFonts w:ascii="Arial" w:hAnsi="Arial" w:cs="Arial"/>
          <w:b/>
          <w:bCs/>
          <w:color w:val="000000" w:themeColor="text1"/>
        </w:rPr>
      </w:pPr>
      <w:r w:rsidRPr="006B1222">
        <w:rPr>
          <w:rFonts w:ascii="Arial" w:hAnsi="Arial" w:cs="Arial"/>
          <w:b/>
          <w:bCs/>
          <w:color w:val="000000" w:themeColor="text1"/>
        </w:rPr>
        <w:t>Notifiable instrument NI</w:t>
      </w:r>
      <w:r w:rsidR="007F6BA4">
        <w:rPr>
          <w:rFonts w:ascii="Arial" w:hAnsi="Arial" w:cs="Arial"/>
          <w:b/>
          <w:bCs/>
          <w:color w:val="000000" w:themeColor="text1"/>
        </w:rPr>
        <w:t>2023</w:t>
      </w:r>
      <w:r w:rsidRPr="006B1222">
        <w:rPr>
          <w:rFonts w:ascii="Arial" w:hAnsi="Arial" w:cs="Arial"/>
          <w:b/>
          <w:bCs/>
          <w:color w:val="000000" w:themeColor="text1"/>
        </w:rPr>
        <w:t>–</w:t>
      </w:r>
      <w:r w:rsidR="007F6BA4">
        <w:rPr>
          <w:rFonts w:ascii="Arial" w:hAnsi="Arial" w:cs="Arial"/>
          <w:b/>
          <w:bCs/>
          <w:color w:val="000000" w:themeColor="text1"/>
        </w:rPr>
        <w:t>78</w:t>
      </w:r>
    </w:p>
    <w:p w14:paraId="25899792" w14:textId="77777777" w:rsidR="001440B3" w:rsidRPr="006B1222" w:rsidRDefault="001440B3" w:rsidP="0042011A">
      <w:pPr>
        <w:pStyle w:val="madeunder"/>
        <w:spacing w:before="300" w:after="0"/>
        <w:rPr>
          <w:color w:val="000000" w:themeColor="text1"/>
        </w:rPr>
      </w:pPr>
      <w:r w:rsidRPr="006B1222">
        <w:rPr>
          <w:color w:val="000000" w:themeColor="text1"/>
        </w:rPr>
        <w:t xml:space="preserve">made under the  </w:t>
      </w:r>
    </w:p>
    <w:p w14:paraId="2A888313" w14:textId="77777777" w:rsidR="001440B3" w:rsidRDefault="00DC3E46" w:rsidP="00DC3E46">
      <w:pPr>
        <w:pStyle w:val="CoverActName"/>
        <w:spacing w:before="320" w:after="0"/>
        <w:jc w:val="left"/>
        <w:rPr>
          <w:rFonts w:cs="Arial"/>
          <w:sz w:val="20"/>
        </w:rPr>
      </w:pPr>
      <w:r>
        <w:rPr>
          <w:rFonts w:cs="Arial"/>
          <w:sz w:val="20"/>
        </w:rPr>
        <w:t xml:space="preserve">Corrections Management Act 2007, s14 (Corrections policies and operating procedures) </w:t>
      </w:r>
    </w:p>
    <w:p w14:paraId="52192ADF" w14:textId="77777777" w:rsidR="001440B3" w:rsidRDefault="001440B3" w:rsidP="0042011A">
      <w:pPr>
        <w:pStyle w:val="N-line3"/>
        <w:pBdr>
          <w:bottom w:val="none" w:sz="0" w:space="0" w:color="auto"/>
        </w:pBdr>
        <w:spacing w:before="60"/>
      </w:pPr>
    </w:p>
    <w:p w14:paraId="2A8E84FB" w14:textId="77777777" w:rsidR="001440B3" w:rsidRDefault="001440B3">
      <w:pPr>
        <w:pStyle w:val="N-line3"/>
        <w:pBdr>
          <w:top w:val="single" w:sz="12" w:space="1" w:color="auto"/>
          <w:bottom w:val="none" w:sz="0" w:space="0" w:color="auto"/>
        </w:pBdr>
      </w:pPr>
    </w:p>
    <w:p w14:paraId="38904E1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31108C6" w14:textId="16945CC6" w:rsidR="001440B3" w:rsidRPr="006B1222" w:rsidRDefault="001440B3" w:rsidP="0042011A">
      <w:pPr>
        <w:spacing w:before="140"/>
        <w:ind w:left="720"/>
        <w:rPr>
          <w:i/>
          <w:iCs/>
        </w:rPr>
      </w:pPr>
      <w:r>
        <w:t xml:space="preserve">This instrument is </w:t>
      </w:r>
      <w:r w:rsidR="006B1222">
        <w:t xml:space="preserve">the </w:t>
      </w:r>
      <w:r w:rsidR="006B1222">
        <w:rPr>
          <w:i/>
          <w:iCs/>
        </w:rPr>
        <w:t>Corrections Management (Transitional Release Sponsors (Family and Kinship)) Operating Procedure 2023.</w:t>
      </w:r>
    </w:p>
    <w:p w14:paraId="0F8A58CB"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97D1473" w14:textId="77777777" w:rsidR="001440B3" w:rsidRDefault="001440B3" w:rsidP="0042011A">
      <w:pPr>
        <w:spacing w:before="140"/>
        <w:ind w:left="720"/>
      </w:pPr>
      <w:r>
        <w:t xml:space="preserve">This instrument commences on </w:t>
      </w:r>
      <w:r w:rsidR="00DC3E46">
        <w:t>the day after its notification day</w:t>
      </w:r>
      <w:r>
        <w:t xml:space="preserve">. </w:t>
      </w:r>
    </w:p>
    <w:p w14:paraId="5E865C2A" w14:textId="777777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D551B4">
        <w:rPr>
          <w:rFonts w:ascii="Arial" w:hAnsi="Arial" w:cs="Arial"/>
          <w:b/>
          <w:bCs/>
        </w:rPr>
        <w:t>Operating Procedure</w:t>
      </w:r>
      <w:r w:rsidR="00DC3E46">
        <w:rPr>
          <w:rFonts w:ascii="Arial" w:hAnsi="Arial" w:cs="Arial"/>
          <w:b/>
          <w:bCs/>
        </w:rPr>
        <w:t xml:space="preserve"> </w:t>
      </w:r>
    </w:p>
    <w:p w14:paraId="638A8FAC" w14:textId="77777777" w:rsidR="00DC3E46" w:rsidRDefault="00DC3E46" w:rsidP="00DC3E46">
      <w:pPr>
        <w:spacing w:before="140"/>
        <w:ind w:left="720"/>
        <w:rPr>
          <w:rFonts w:ascii="Arial" w:hAnsi="Arial" w:cs="Arial"/>
          <w:b/>
          <w:bCs/>
        </w:rPr>
      </w:pPr>
      <w:r w:rsidRPr="00DC3E46">
        <w:t>I make this</w:t>
      </w:r>
      <w:r>
        <w:t xml:space="preserve"> </w:t>
      </w:r>
      <w:r w:rsidR="00D551B4">
        <w:t>operating procedure</w:t>
      </w:r>
      <w:r w:rsidRPr="00DC3E46">
        <w:t xml:space="preserve"> to facilitate the effective and efficient management of corrections services.</w:t>
      </w:r>
      <w:r>
        <w:rPr>
          <w:rFonts w:ascii="Arial" w:hAnsi="Arial" w:cs="Arial"/>
          <w:b/>
          <w:bCs/>
        </w:rPr>
        <w:t xml:space="preserve"> </w:t>
      </w:r>
    </w:p>
    <w:p w14:paraId="0E2EA53D" w14:textId="77777777" w:rsidR="00DC3E46" w:rsidRDefault="00DC3E46" w:rsidP="00DC3E46">
      <w:pPr>
        <w:tabs>
          <w:tab w:val="left" w:pos="4320"/>
        </w:tabs>
        <w:spacing w:before="720"/>
      </w:pPr>
    </w:p>
    <w:p w14:paraId="2E85D719" w14:textId="79E7BCFD" w:rsidR="001440B3" w:rsidRDefault="00981734" w:rsidP="00DC3E46">
      <w:pPr>
        <w:tabs>
          <w:tab w:val="left" w:pos="4320"/>
        </w:tabs>
        <w:spacing w:before="720"/>
        <w:rPr>
          <w:color w:val="000000" w:themeColor="text1"/>
        </w:rPr>
      </w:pPr>
      <w:r>
        <w:t xml:space="preserve">Ray Johnson </w:t>
      </w:r>
      <w:r w:rsidRPr="00981734">
        <w:rPr>
          <w:vertAlign w:val="superscript"/>
        </w:rPr>
        <w:t>APM</w:t>
      </w:r>
      <w:r w:rsidR="00DC3E46">
        <w:br/>
      </w:r>
      <w:r>
        <w:t>Commissioner</w:t>
      </w:r>
      <w:r w:rsidR="00DC3E46">
        <w:br/>
        <w:t>ACT Corrective Services</w:t>
      </w:r>
      <w:r w:rsidR="00DC3E46">
        <w:br/>
      </w:r>
      <w:bookmarkEnd w:id="0"/>
      <w:r w:rsidR="004C7E25">
        <w:rPr>
          <w:color w:val="000000" w:themeColor="text1"/>
        </w:rPr>
        <w:t>15</w:t>
      </w:r>
      <w:r w:rsidR="006B1222" w:rsidRPr="006B1222">
        <w:rPr>
          <w:color w:val="000000" w:themeColor="text1"/>
        </w:rPr>
        <w:t xml:space="preserve"> February 2023</w:t>
      </w:r>
    </w:p>
    <w:p w14:paraId="4A4A30B8" w14:textId="77777777" w:rsidR="003244AE" w:rsidRDefault="003244AE" w:rsidP="003244AE">
      <w:pPr>
        <w:tabs>
          <w:tab w:val="left" w:pos="4320"/>
        </w:tabs>
        <w:rPr>
          <w:color w:val="000000" w:themeColor="text1"/>
        </w:rPr>
      </w:pPr>
    </w:p>
    <w:p w14:paraId="1CEAE1DE" w14:textId="77777777" w:rsidR="003244AE" w:rsidRDefault="003244AE" w:rsidP="003244AE">
      <w:pPr>
        <w:tabs>
          <w:tab w:val="left" w:pos="4320"/>
        </w:tabs>
        <w:sectPr w:rsidR="003244AE"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pPr>
    </w:p>
    <w:tbl>
      <w:tblPr>
        <w:tblStyle w:val="TableGrid"/>
        <w:tblW w:w="0" w:type="auto"/>
        <w:tblLook w:val="04A0" w:firstRow="1" w:lastRow="0" w:firstColumn="1" w:lastColumn="0" w:noHBand="0" w:noVBand="1"/>
      </w:tblPr>
      <w:tblGrid>
        <w:gridCol w:w="3026"/>
        <w:gridCol w:w="5991"/>
      </w:tblGrid>
      <w:tr w:rsidR="003244AE" w:rsidRPr="003244AE" w14:paraId="09205EAB" w14:textId="77777777" w:rsidTr="003244AE">
        <w:tc>
          <w:tcPr>
            <w:tcW w:w="3026" w:type="dxa"/>
            <w:shd w:val="clear" w:color="auto" w:fill="95B3D7" w:themeFill="accent1" w:themeFillTint="99"/>
          </w:tcPr>
          <w:p w14:paraId="4494B40C" w14:textId="77777777" w:rsidR="003244AE" w:rsidRPr="003244AE" w:rsidRDefault="003244AE" w:rsidP="003244AE">
            <w:pPr>
              <w:spacing w:before="120" w:after="120" w:line="276" w:lineRule="auto"/>
              <w:rPr>
                <w:rFonts w:cs="Arial"/>
                <w:b/>
                <w:bCs/>
                <w:sz w:val="22"/>
              </w:rPr>
            </w:pPr>
            <w:r w:rsidRPr="003244AE">
              <w:rPr>
                <w:rFonts w:cs="Arial"/>
                <w:b/>
                <w:bCs/>
                <w:sz w:val="22"/>
              </w:rPr>
              <w:lastRenderedPageBreak/>
              <w:t>OPERATING PROCEDURE</w:t>
            </w:r>
          </w:p>
        </w:tc>
        <w:tc>
          <w:tcPr>
            <w:tcW w:w="5991" w:type="dxa"/>
            <w:shd w:val="clear" w:color="auto" w:fill="95B3D7" w:themeFill="accent1" w:themeFillTint="99"/>
          </w:tcPr>
          <w:p w14:paraId="17CC0674" w14:textId="77777777" w:rsidR="003244AE" w:rsidRPr="003244AE" w:rsidRDefault="003244AE" w:rsidP="003244AE">
            <w:pPr>
              <w:spacing w:before="120" w:after="120" w:line="276" w:lineRule="auto"/>
              <w:rPr>
                <w:rFonts w:cs="Arial"/>
                <w:b/>
                <w:bCs/>
                <w:sz w:val="22"/>
              </w:rPr>
            </w:pPr>
            <w:r w:rsidRPr="003244AE">
              <w:rPr>
                <w:rFonts w:cs="Arial"/>
                <w:b/>
                <w:bCs/>
                <w:sz w:val="22"/>
              </w:rPr>
              <w:t>Transitional Release Sponsors (Family and Kinship)</w:t>
            </w:r>
          </w:p>
        </w:tc>
      </w:tr>
      <w:tr w:rsidR="003244AE" w:rsidRPr="003244AE" w14:paraId="027916E4" w14:textId="77777777" w:rsidTr="003244AE">
        <w:tc>
          <w:tcPr>
            <w:tcW w:w="3026" w:type="dxa"/>
          </w:tcPr>
          <w:p w14:paraId="39DC8762" w14:textId="77777777" w:rsidR="003244AE" w:rsidRPr="003244AE" w:rsidRDefault="003244AE" w:rsidP="003244AE">
            <w:pPr>
              <w:spacing w:before="120" w:after="120" w:line="276" w:lineRule="auto"/>
              <w:rPr>
                <w:rFonts w:cs="Arial"/>
                <w:b/>
                <w:bCs/>
                <w:sz w:val="22"/>
              </w:rPr>
            </w:pPr>
            <w:r w:rsidRPr="003244AE">
              <w:rPr>
                <w:rFonts w:cs="Arial"/>
                <w:b/>
                <w:bCs/>
                <w:sz w:val="22"/>
              </w:rPr>
              <w:t>OPERATING PROCEDURE NO.</w:t>
            </w:r>
          </w:p>
        </w:tc>
        <w:tc>
          <w:tcPr>
            <w:tcW w:w="5991" w:type="dxa"/>
          </w:tcPr>
          <w:p w14:paraId="5C429C75" w14:textId="77777777" w:rsidR="003244AE" w:rsidRPr="003244AE" w:rsidRDefault="003244AE" w:rsidP="003244AE">
            <w:pPr>
              <w:spacing w:before="120" w:after="120" w:line="276" w:lineRule="auto"/>
              <w:rPr>
                <w:rFonts w:cs="Arial"/>
                <w:b/>
                <w:bCs/>
                <w:sz w:val="22"/>
              </w:rPr>
            </w:pPr>
            <w:r w:rsidRPr="003244AE">
              <w:rPr>
                <w:rFonts w:cs="Arial"/>
                <w:b/>
                <w:bCs/>
                <w:sz w:val="22"/>
              </w:rPr>
              <w:t>D26.9</w:t>
            </w:r>
          </w:p>
        </w:tc>
      </w:tr>
      <w:tr w:rsidR="003244AE" w:rsidRPr="003244AE" w14:paraId="60431170" w14:textId="77777777" w:rsidTr="003244AE">
        <w:tc>
          <w:tcPr>
            <w:tcW w:w="3026" w:type="dxa"/>
          </w:tcPr>
          <w:p w14:paraId="7A6FC8E5" w14:textId="77777777" w:rsidR="003244AE" w:rsidRPr="003244AE" w:rsidRDefault="003244AE" w:rsidP="003244AE">
            <w:pPr>
              <w:spacing w:before="120" w:after="120" w:line="276" w:lineRule="auto"/>
              <w:rPr>
                <w:rFonts w:cs="Arial"/>
                <w:b/>
                <w:bCs/>
                <w:sz w:val="22"/>
              </w:rPr>
            </w:pPr>
            <w:r w:rsidRPr="003244AE">
              <w:rPr>
                <w:rFonts w:cs="Arial"/>
                <w:b/>
                <w:bCs/>
                <w:sz w:val="22"/>
              </w:rPr>
              <w:t>SCOPE</w:t>
            </w:r>
          </w:p>
        </w:tc>
        <w:tc>
          <w:tcPr>
            <w:tcW w:w="5991" w:type="dxa"/>
            <w:shd w:val="clear" w:color="auto" w:fill="auto"/>
          </w:tcPr>
          <w:p w14:paraId="2D7AEF82" w14:textId="77777777" w:rsidR="003244AE" w:rsidRPr="003244AE" w:rsidRDefault="003244AE" w:rsidP="003244AE">
            <w:pPr>
              <w:spacing w:before="120" w:after="120" w:line="276" w:lineRule="auto"/>
              <w:rPr>
                <w:rFonts w:cs="Arial"/>
                <w:b/>
                <w:bCs/>
                <w:sz w:val="22"/>
                <w:highlight w:val="lightGray"/>
              </w:rPr>
            </w:pPr>
            <w:r w:rsidRPr="003244AE">
              <w:rPr>
                <w:rFonts w:cs="Arial"/>
                <w:b/>
                <w:bCs/>
                <w:sz w:val="22"/>
                <w:highlight w:val="lightGray"/>
              </w:rPr>
              <w:t>Transitional Release</w:t>
            </w:r>
          </w:p>
        </w:tc>
      </w:tr>
    </w:tbl>
    <w:p w14:paraId="3A6146EC" w14:textId="77777777" w:rsidR="003244AE" w:rsidRDefault="003244AE" w:rsidP="003244AE">
      <w:pPr>
        <w:pStyle w:val="Heading11"/>
      </w:pPr>
      <w:r w:rsidRPr="00586F66">
        <w:t>STATEMENT OF PURPOSE</w:t>
      </w:r>
    </w:p>
    <w:p w14:paraId="40EAAEF1" w14:textId="77777777" w:rsidR="003244AE" w:rsidRPr="008C1D7D" w:rsidRDefault="003244AE" w:rsidP="003244AE">
      <w:pPr>
        <w:pStyle w:val="Normaltext"/>
      </w:pPr>
      <w:r>
        <w:t>To provide instructions to Transitional Release staff on processing sponsor applications for detainees accessing Transitional Release for family and kinship connections.</w:t>
      </w:r>
    </w:p>
    <w:p w14:paraId="064619EA" w14:textId="77777777" w:rsidR="003244AE" w:rsidRPr="00586F66" w:rsidRDefault="003244AE" w:rsidP="003244AE">
      <w:pPr>
        <w:pStyle w:val="Heading11"/>
      </w:pPr>
      <w:r>
        <w:t>PROCEDURE</w:t>
      </w:r>
      <w:r w:rsidRPr="00586F66">
        <w:t>S</w:t>
      </w:r>
    </w:p>
    <w:p w14:paraId="4A5CC8A0" w14:textId="77777777" w:rsidR="003244AE" w:rsidRDefault="003244AE" w:rsidP="003244AE">
      <w:pPr>
        <w:pStyle w:val="SectionHeading"/>
      </w:pPr>
      <w:r>
        <w:t>Nominating Sponsor(s)</w:t>
      </w:r>
    </w:p>
    <w:p w14:paraId="648978D1" w14:textId="77777777" w:rsidR="003244AE" w:rsidRDefault="003244AE" w:rsidP="003244AE">
      <w:pPr>
        <w:pStyle w:val="ListParagraph"/>
        <w:numPr>
          <w:ilvl w:val="1"/>
          <w:numId w:val="10"/>
        </w:numPr>
        <w:spacing w:before="60" w:after="0"/>
        <w:ind w:left="567" w:hanging="567"/>
        <w:contextualSpacing w:val="0"/>
        <w:rPr>
          <w:rFonts w:cs="Arial"/>
        </w:rPr>
      </w:pPr>
      <w:r>
        <w:rPr>
          <w:rFonts w:cs="Arial"/>
        </w:rPr>
        <w:t>The detainee may identify potential sponsors for family or kinship connections, as part of the Transitional Release application process and the development of the Transitional Release Case Plan.</w:t>
      </w:r>
    </w:p>
    <w:p w14:paraId="08ECC9D6" w14:textId="77777777" w:rsidR="003244AE" w:rsidRDefault="003244AE" w:rsidP="003244AE">
      <w:pPr>
        <w:pStyle w:val="Indenttext1"/>
      </w:pPr>
      <w:r w:rsidRPr="001661E4">
        <w:t xml:space="preserve">In stage one of Transitional Release, the </w:t>
      </w:r>
      <w:r>
        <w:t xml:space="preserve">Case Manager </w:t>
      </w:r>
      <w:r w:rsidRPr="001661E4">
        <w:t xml:space="preserve">and the Transitional Release Centre Operations Support Officer (TRCOSO) </w:t>
      </w:r>
      <w:r>
        <w:t xml:space="preserve">must work with the </w:t>
      </w:r>
      <w:r w:rsidRPr="001661E4">
        <w:t>detainee to complete the assessment process for any potential sponsors who are pro social and will support the</w:t>
      </w:r>
      <w:r>
        <w:t xml:space="preserve"> detainee’s</w:t>
      </w:r>
      <w:r w:rsidRPr="001661E4">
        <w:t xml:space="preserve"> reintegration into the community</w:t>
      </w:r>
    </w:p>
    <w:p w14:paraId="7F07DD65" w14:textId="785E952C" w:rsidR="003244AE" w:rsidRDefault="003244AE" w:rsidP="003244AE">
      <w:pPr>
        <w:pStyle w:val="Indenttext1"/>
        <w:numPr>
          <w:ilvl w:val="0"/>
          <w:numId w:val="0"/>
        </w:numPr>
        <w:ind w:left="567"/>
      </w:pPr>
    </w:p>
    <w:p w14:paraId="6BC576E8" w14:textId="77777777" w:rsidR="003244AE" w:rsidRPr="00D4683E" w:rsidRDefault="003244AE" w:rsidP="003244AE">
      <w:pPr>
        <w:pStyle w:val="ListParagraph"/>
        <w:numPr>
          <w:ilvl w:val="0"/>
          <w:numId w:val="10"/>
        </w:numPr>
        <w:spacing w:before="60" w:after="0"/>
        <w:ind w:left="567" w:hanging="567"/>
        <w:contextualSpacing w:val="0"/>
        <w:rPr>
          <w:rFonts w:cs="Arial"/>
          <w:b/>
          <w:bCs/>
        </w:rPr>
      </w:pPr>
      <w:r>
        <w:rPr>
          <w:rFonts w:cs="Arial"/>
          <w:b/>
          <w:bCs/>
        </w:rPr>
        <w:t>Assessing Sponsor(s)</w:t>
      </w:r>
    </w:p>
    <w:p w14:paraId="116F8F01" w14:textId="77777777" w:rsidR="003244AE" w:rsidRDefault="003244AE" w:rsidP="003244AE">
      <w:pPr>
        <w:pStyle w:val="ListParagraph"/>
        <w:numPr>
          <w:ilvl w:val="1"/>
          <w:numId w:val="10"/>
        </w:numPr>
        <w:spacing w:before="60" w:after="0"/>
        <w:ind w:left="567" w:hanging="567"/>
        <w:contextualSpacing w:val="0"/>
        <w:rPr>
          <w:rFonts w:cs="Arial"/>
        </w:rPr>
      </w:pPr>
      <w:r>
        <w:rPr>
          <w:rFonts w:cs="Arial"/>
        </w:rPr>
        <w:t>The TRCOSO must ensure that any potential sponsors meet the following minimum criteria prior to commencing any assessment:</w:t>
      </w:r>
    </w:p>
    <w:p w14:paraId="7FCDE26A" w14:textId="77777777" w:rsidR="003244AE" w:rsidRDefault="003244AE" w:rsidP="003244AE">
      <w:pPr>
        <w:pStyle w:val="Indenttext2"/>
      </w:pPr>
      <w:r>
        <w:t>sponsors must be 25 years of age or older (sponsors aged 18-24 may be considered on a case-by-case basis)</w:t>
      </w:r>
    </w:p>
    <w:p w14:paraId="18740089" w14:textId="77777777" w:rsidR="003244AE" w:rsidRDefault="003244AE" w:rsidP="003244AE">
      <w:pPr>
        <w:pStyle w:val="Indenttext2"/>
      </w:pPr>
      <w:r>
        <w:t xml:space="preserve">sponsors must not have any pending charges and must disclose any previous offences they have been convicted of </w:t>
      </w:r>
    </w:p>
    <w:p w14:paraId="35453D58" w14:textId="77777777" w:rsidR="003244AE" w:rsidRDefault="003244AE" w:rsidP="003244AE">
      <w:pPr>
        <w:pStyle w:val="Indenttext2"/>
      </w:pPr>
      <w:r>
        <w:t>sponsors must be willing to undertake a National Criminal History Check</w:t>
      </w:r>
    </w:p>
    <w:p w14:paraId="3C4F2DF0" w14:textId="77777777" w:rsidR="003244AE" w:rsidRDefault="003244AE" w:rsidP="003244AE">
      <w:pPr>
        <w:pStyle w:val="ListParagraph"/>
        <w:numPr>
          <w:ilvl w:val="1"/>
          <w:numId w:val="10"/>
        </w:numPr>
        <w:spacing w:before="60" w:after="0"/>
        <w:ind w:left="567" w:hanging="567"/>
        <w:contextualSpacing w:val="0"/>
        <w:rPr>
          <w:rFonts w:cs="Arial"/>
        </w:rPr>
      </w:pPr>
      <w:r>
        <w:rPr>
          <w:rFonts w:cs="Arial"/>
        </w:rPr>
        <w:t>Potential sponsors who disclose previous convictions (in accordance with section 2.1.b.) are not automatically excluded from being a sponsor. Decisions are made on a case-by-case basis, with regards to the nature of the previous conviction, the relationship to the detainee etc.</w:t>
      </w:r>
    </w:p>
    <w:p w14:paraId="44A22947" w14:textId="77777777" w:rsidR="003244AE" w:rsidRPr="00F450EF" w:rsidRDefault="003244AE" w:rsidP="003244AE">
      <w:pPr>
        <w:pStyle w:val="ListParagraph"/>
        <w:numPr>
          <w:ilvl w:val="1"/>
          <w:numId w:val="10"/>
        </w:numPr>
        <w:spacing w:before="60" w:after="0"/>
        <w:ind w:left="567" w:hanging="567"/>
        <w:contextualSpacing w:val="0"/>
        <w:rPr>
          <w:rFonts w:cs="Arial"/>
        </w:rPr>
      </w:pPr>
      <w:r>
        <w:rPr>
          <w:rFonts w:cs="Arial"/>
        </w:rPr>
        <w:t xml:space="preserve">Once appropriate sponsors have been identified, the TRCOSO must contact them and request they fill out the </w:t>
      </w:r>
      <w:r>
        <w:rPr>
          <w:rFonts w:cs="Arial"/>
          <w:i/>
          <w:iCs/>
          <w:u w:val="single"/>
        </w:rPr>
        <w:t>D26.F8: Sponsor Nomination</w:t>
      </w:r>
      <w:r>
        <w:rPr>
          <w:rFonts w:cs="Arial"/>
          <w:u w:val="single"/>
        </w:rPr>
        <w:t xml:space="preserve"> </w:t>
      </w:r>
      <w:r w:rsidRPr="00F450EF">
        <w:rPr>
          <w:rFonts w:cs="Arial"/>
        </w:rPr>
        <w:t>form.</w:t>
      </w:r>
      <w:r>
        <w:rPr>
          <w:rFonts w:cs="Arial"/>
        </w:rPr>
        <w:t xml:space="preserve"> Each potential sponsor must fill in a form, and the TRCOSO may assist potential sponsors to fill in the form.</w:t>
      </w:r>
    </w:p>
    <w:p w14:paraId="1C166183" w14:textId="77777777" w:rsidR="003244AE" w:rsidRDefault="003244AE" w:rsidP="003244AE">
      <w:pPr>
        <w:pStyle w:val="ListParagraph"/>
        <w:numPr>
          <w:ilvl w:val="1"/>
          <w:numId w:val="10"/>
        </w:numPr>
        <w:spacing w:before="60" w:after="0"/>
        <w:ind w:left="567" w:hanging="567"/>
        <w:contextualSpacing w:val="0"/>
        <w:rPr>
          <w:rFonts w:cs="Arial"/>
        </w:rPr>
      </w:pPr>
      <w:r>
        <w:rPr>
          <w:rFonts w:eastAsia="Times New Roman" w:cstheme="minorHAnsi"/>
          <w:lang w:eastAsia="en-AU"/>
        </w:rPr>
        <w:t xml:space="preserve">Once the potential sponsor meets the minimum eligibility criteria above and submits the </w:t>
      </w:r>
      <w:r>
        <w:rPr>
          <w:rFonts w:cs="Arial"/>
          <w:i/>
          <w:iCs/>
          <w:u w:val="single"/>
        </w:rPr>
        <w:t>D26.F8: Sponsor Nomination</w:t>
      </w:r>
      <w:r>
        <w:rPr>
          <w:rFonts w:cs="Arial"/>
          <w:u w:val="single"/>
        </w:rPr>
        <w:t xml:space="preserve"> </w:t>
      </w:r>
      <w:r w:rsidRPr="00F450EF">
        <w:rPr>
          <w:rFonts w:cs="Arial"/>
        </w:rPr>
        <w:t>form</w:t>
      </w:r>
      <w:r>
        <w:rPr>
          <w:rFonts w:eastAsia="Times New Roman" w:cstheme="minorHAnsi"/>
          <w:lang w:eastAsia="en-AU"/>
        </w:rPr>
        <w:t>, the TRCOSO must make contact with them to confirm their willingness to be assessed as a sponsor for the detainee and to undertake a sponsor assessment</w:t>
      </w:r>
    </w:p>
    <w:p w14:paraId="21A79477" w14:textId="77777777" w:rsidR="003244AE" w:rsidRPr="00F450EF" w:rsidRDefault="003244AE" w:rsidP="003244AE">
      <w:pPr>
        <w:pStyle w:val="ListParagraph"/>
        <w:numPr>
          <w:ilvl w:val="1"/>
          <w:numId w:val="10"/>
        </w:numPr>
        <w:spacing w:before="60" w:after="0"/>
        <w:ind w:left="567" w:hanging="567"/>
        <w:contextualSpacing w:val="0"/>
        <w:rPr>
          <w:rFonts w:cs="Arial"/>
        </w:rPr>
      </w:pPr>
      <w:r>
        <w:rPr>
          <w:rFonts w:eastAsia="Times New Roman" w:cstheme="minorHAnsi"/>
          <w:lang w:eastAsia="en-AU"/>
        </w:rPr>
        <w:lastRenderedPageBreak/>
        <w:t xml:space="preserve">A home visit assessment is required where a detainee will be attending a sponsor’s home address for </w:t>
      </w:r>
      <w:r w:rsidRPr="00B34DAF">
        <w:rPr>
          <w:rFonts w:eastAsia="Times New Roman" w:cstheme="minorHAnsi"/>
          <w:b/>
          <w:bCs/>
          <w:u w:val="single"/>
          <w:lang w:eastAsia="en-AU"/>
        </w:rPr>
        <w:t>any</w:t>
      </w:r>
      <w:r>
        <w:rPr>
          <w:rFonts w:eastAsia="Times New Roman" w:cstheme="minorHAnsi"/>
          <w:lang w:eastAsia="en-AU"/>
        </w:rPr>
        <w:t xml:space="preserve"> period of time as part of any approved leave (see section 3).</w:t>
      </w:r>
    </w:p>
    <w:p w14:paraId="34F763B6" w14:textId="77777777" w:rsidR="003244AE" w:rsidRDefault="003244AE" w:rsidP="003244AE">
      <w:pPr>
        <w:pStyle w:val="ListParagraph"/>
        <w:numPr>
          <w:ilvl w:val="1"/>
          <w:numId w:val="10"/>
        </w:numPr>
        <w:spacing w:before="60" w:after="0"/>
        <w:ind w:left="567" w:hanging="567"/>
        <w:contextualSpacing w:val="0"/>
        <w:rPr>
          <w:rFonts w:cs="Arial"/>
        </w:rPr>
      </w:pPr>
      <w:r w:rsidRPr="00F450EF">
        <w:rPr>
          <w:rFonts w:cs="Arial"/>
        </w:rPr>
        <w:t xml:space="preserve">If a home visit is not required, the TRCOSO and Transitional Release Team Leader </w:t>
      </w:r>
      <w:r>
        <w:rPr>
          <w:rFonts w:cs="Arial"/>
        </w:rPr>
        <w:t>(TL) must</w:t>
      </w:r>
      <w:r w:rsidRPr="00F450EF">
        <w:rPr>
          <w:rFonts w:cs="Arial"/>
        </w:rPr>
        <w:t xml:space="preserve"> meet with the sponsor</w:t>
      </w:r>
      <w:r>
        <w:rPr>
          <w:rFonts w:cs="Arial"/>
        </w:rPr>
        <w:t>(s)</w:t>
      </w:r>
      <w:r w:rsidRPr="00F450EF">
        <w:rPr>
          <w:rFonts w:cs="Arial"/>
        </w:rPr>
        <w:t xml:space="preserve"> at the TRC</w:t>
      </w:r>
      <w:r>
        <w:rPr>
          <w:rFonts w:cs="Arial"/>
        </w:rPr>
        <w:t xml:space="preserve"> (Transitional Release Centre)</w:t>
      </w:r>
      <w:r w:rsidRPr="00F450EF">
        <w:rPr>
          <w:rFonts w:cs="Arial"/>
        </w:rPr>
        <w:t xml:space="preserve"> or agreed venue offsite and guide the proposed sponsor through the </w:t>
      </w:r>
      <w:r w:rsidRPr="00F450EF">
        <w:rPr>
          <w:rFonts w:cs="Arial"/>
          <w:i/>
          <w:iCs/>
          <w:u w:val="single"/>
        </w:rPr>
        <w:t>D26:F9 Sponsor Agreement</w:t>
      </w:r>
      <w:r w:rsidRPr="00F450EF">
        <w:rPr>
          <w:rFonts w:cs="Arial"/>
        </w:rPr>
        <w:t xml:space="preserve"> and answer any/all questions</w:t>
      </w:r>
    </w:p>
    <w:p w14:paraId="11B905BA" w14:textId="77777777" w:rsidR="003244AE" w:rsidRPr="00F450EF" w:rsidRDefault="003244AE" w:rsidP="003244AE">
      <w:pPr>
        <w:pStyle w:val="ListParagraph"/>
        <w:numPr>
          <w:ilvl w:val="1"/>
          <w:numId w:val="10"/>
        </w:numPr>
        <w:spacing w:before="60" w:after="0"/>
        <w:ind w:left="567" w:hanging="567"/>
        <w:contextualSpacing w:val="0"/>
        <w:rPr>
          <w:rFonts w:cs="Arial"/>
        </w:rPr>
      </w:pPr>
      <w:r>
        <w:rPr>
          <w:rFonts w:eastAsia="Times New Roman" w:cstheme="minorHAnsi"/>
          <w:lang w:eastAsia="en-AU"/>
        </w:rPr>
        <w:t>The sponsor must agree to and sign the </w:t>
      </w:r>
      <w:r>
        <w:rPr>
          <w:rFonts w:eastAsia="Times New Roman" w:cstheme="minorHAnsi"/>
          <w:i/>
          <w:iCs/>
          <w:u w:val="single"/>
          <w:lang w:eastAsia="en-AU"/>
        </w:rPr>
        <w:t xml:space="preserve">D26.F9: Sponsor Agreement </w:t>
      </w:r>
      <w:r>
        <w:rPr>
          <w:rFonts w:eastAsia="Times New Roman" w:cstheme="minorHAnsi"/>
          <w:lang w:eastAsia="en-AU"/>
        </w:rPr>
        <w:t>for the sponsorship process to be able to continue. If the sponsor does not agree to sign, the application is unable to proceed.</w:t>
      </w:r>
    </w:p>
    <w:p w14:paraId="021D646D" w14:textId="77777777" w:rsidR="003244AE" w:rsidRPr="00BF2AFE" w:rsidRDefault="003244AE" w:rsidP="003244AE">
      <w:pPr>
        <w:pStyle w:val="Indenttext1"/>
      </w:pPr>
      <w:r>
        <w:rPr>
          <w:lang w:eastAsia="en-AU"/>
        </w:rPr>
        <w:t>A National Criminal History Check certificate must be received by ACTCS prior to any leave being approved. This process can commence once the</w:t>
      </w:r>
      <w:r w:rsidRPr="00F450EF">
        <w:rPr>
          <w:i/>
          <w:iCs/>
          <w:u w:val="single"/>
        </w:rPr>
        <w:t xml:space="preserve"> </w:t>
      </w:r>
      <w:r>
        <w:rPr>
          <w:i/>
          <w:iCs/>
          <w:u w:val="single"/>
        </w:rPr>
        <w:t>D26.F8: Sponsor Nomination</w:t>
      </w:r>
      <w:r>
        <w:t xml:space="preserve"> has been submitted to the TRCOSO. Potential sponsors must be provided with the following link so they are able to educate themselves about the dispute process in the event they do not agree with the outcome of the </w:t>
      </w:r>
      <w:r>
        <w:rPr>
          <w:lang w:eastAsia="en-AU"/>
        </w:rPr>
        <w:t>National Criminal History Check</w:t>
      </w:r>
      <w:r>
        <w:t xml:space="preserve">: </w:t>
      </w:r>
      <w:hyperlink r:id="rId13" w:history="1">
        <w:r w:rsidRPr="00C76E86">
          <w:rPr>
            <w:rStyle w:val="Hyperlink"/>
          </w:rPr>
          <w:t>https://www.acic.gov.au/our-services/national-police-checking-service/find-out-more-information/appeals-and-disputes</w:t>
        </w:r>
      </w:hyperlink>
      <w:r>
        <w:t>. The TRCOSO must support the potential sponsor to access information through this link where required.</w:t>
      </w:r>
    </w:p>
    <w:p w14:paraId="3CA25163" w14:textId="77777777" w:rsidR="003244AE" w:rsidRPr="00BF2AFE" w:rsidRDefault="003244AE" w:rsidP="003244AE">
      <w:pPr>
        <w:pStyle w:val="ListParagraph"/>
        <w:numPr>
          <w:ilvl w:val="1"/>
          <w:numId w:val="10"/>
        </w:numPr>
        <w:spacing w:before="60" w:after="0"/>
        <w:ind w:left="567" w:hanging="567"/>
        <w:contextualSpacing w:val="0"/>
        <w:rPr>
          <w:rFonts w:cs="Arial"/>
        </w:rPr>
      </w:pPr>
      <w:r>
        <w:rPr>
          <w:rFonts w:eastAsia="Times New Roman" w:cstheme="minorHAnsi"/>
          <w:lang w:eastAsia="en-AU"/>
        </w:rPr>
        <w:t xml:space="preserve">Once the </w:t>
      </w:r>
      <w:r>
        <w:rPr>
          <w:rFonts w:eastAsia="Times New Roman" w:cstheme="minorHAnsi"/>
          <w:i/>
          <w:iCs/>
          <w:u w:val="single"/>
          <w:lang w:eastAsia="en-AU"/>
        </w:rPr>
        <w:t>D26.F8: Sponsor Nomination</w:t>
      </w:r>
      <w:r>
        <w:rPr>
          <w:rFonts w:eastAsia="Times New Roman" w:cstheme="minorHAnsi"/>
          <w:lang w:eastAsia="en-AU"/>
        </w:rPr>
        <w:t xml:space="preserve"> and </w:t>
      </w:r>
      <w:r>
        <w:rPr>
          <w:rFonts w:eastAsia="Times New Roman" w:cstheme="minorHAnsi"/>
          <w:i/>
          <w:iCs/>
          <w:u w:val="single"/>
          <w:lang w:eastAsia="en-AU"/>
        </w:rPr>
        <w:t>D26.F9: Sponsor Agreement</w:t>
      </w:r>
      <w:r>
        <w:rPr>
          <w:rFonts w:eastAsia="Times New Roman" w:cstheme="minorHAnsi"/>
          <w:lang w:eastAsia="en-AU"/>
        </w:rPr>
        <w:t xml:space="preserve"> have been completed (and the home visit conducted where required),</w:t>
      </w:r>
      <w:r w:rsidRPr="00BF2AFE">
        <w:rPr>
          <w:rFonts w:eastAsia="Times New Roman" w:cstheme="minorHAnsi"/>
          <w:lang w:eastAsia="en-AU"/>
        </w:rPr>
        <w:t xml:space="preserve"> the TRCOSO must request information from the following parties regarding the suitability of the sponsor:</w:t>
      </w:r>
    </w:p>
    <w:p w14:paraId="3A1907C1" w14:textId="77777777" w:rsidR="003244AE" w:rsidRDefault="003244AE" w:rsidP="003244AE">
      <w:pPr>
        <w:pStyle w:val="Indenttext2"/>
        <w:numPr>
          <w:ilvl w:val="0"/>
          <w:numId w:val="12"/>
        </w:numPr>
      </w:pPr>
      <w:r>
        <w:t>ACTCS Intelligence Unit</w:t>
      </w:r>
    </w:p>
    <w:p w14:paraId="6D4B37D9" w14:textId="77777777" w:rsidR="003244AE" w:rsidRDefault="003244AE" w:rsidP="003244AE">
      <w:pPr>
        <w:pStyle w:val="Indenttext2"/>
        <w:numPr>
          <w:ilvl w:val="0"/>
          <w:numId w:val="12"/>
        </w:numPr>
      </w:pPr>
      <w:r>
        <w:t>Victim Liaison Office (VLO)</w:t>
      </w:r>
    </w:p>
    <w:p w14:paraId="79AA7DA2" w14:textId="77777777" w:rsidR="003244AE" w:rsidRDefault="003244AE" w:rsidP="003244AE">
      <w:pPr>
        <w:pStyle w:val="Indenttext2"/>
        <w:numPr>
          <w:ilvl w:val="0"/>
          <w:numId w:val="12"/>
        </w:numPr>
      </w:pPr>
      <w:r>
        <w:t>the detainee’s allocated Case Manager</w:t>
      </w:r>
    </w:p>
    <w:p w14:paraId="1CA2AF28" w14:textId="77777777" w:rsidR="003244AE" w:rsidRDefault="003244AE" w:rsidP="003244AE">
      <w:pPr>
        <w:pStyle w:val="Indenttext1"/>
      </w:pPr>
      <w:r>
        <w:t>The TRCOSO must provide all information gathered as part of the assessment process to the Transitional Release Team Leader, who must provide the following to the Director Reintegration for a decision on the suitability of the sponsor:</w:t>
      </w:r>
    </w:p>
    <w:p w14:paraId="28265C63" w14:textId="77777777" w:rsidR="003244AE" w:rsidRPr="00C71C6A" w:rsidRDefault="003244AE" w:rsidP="003244AE">
      <w:pPr>
        <w:pStyle w:val="Indenttext2"/>
        <w:numPr>
          <w:ilvl w:val="0"/>
          <w:numId w:val="13"/>
        </w:numPr>
      </w:pPr>
      <w:r>
        <w:rPr>
          <w:i/>
          <w:iCs/>
          <w:u w:val="single"/>
        </w:rPr>
        <w:t>D26.F8: Sponsor Nomination Form</w:t>
      </w:r>
    </w:p>
    <w:p w14:paraId="62B3070C" w14:textId="77777777" w:rsidR="003244AE" w:rsidRPr="00C71C6A" w:rsidRDefault="003244AE" w:rsidP="003244AE">
      <w:pPr>
        <w:pStyle w:val="Indenttext2"/>
        <w:numPr>
          <w:ilvl w:val="0"/>
          <w:numId w:val="13"/>
        </w:numPr>
      </w:pPr>
      <w:r>
        <w:rPr>
          <w:i/>
          <w:iCs/>
          <w:u w:val="single"/>
        </w:rPr>
        <w:t>D26.F9: Sponsor Agreement</w:t>
      </w:r>
    </w:p>
    <w:p w14:paraId="09224356" w14:textId="77777777" w:rsidR="003244AE" w:rsidRDefault="003244AE" w:rsidP="003244AE">
      <w:pPr>
        <w:pStyle w:val="Indenttext2"/>
        <w:numPr>
          <w:ilvl w:val="0"/>
          <w:numId w:val="13"/>
        </w:numPr>
      </w:pPr>
      <w:r>
        <w:rPr>
          <w:lang w:eastAsia="en-AU"/>
        </w:rPr>
        <w:t xml:space="preserve">National Criminal History Check </w:t>
      </w:r>
      <w:r>
        <w:t>Certificate for all adult residents</w:t>
      </w:r>
    </w:p>
    <w:p w14:paraId="027DE3E8" w14:textId="77777777" w:rsidR="003244AE" w:rsidRDefault="003244AE" w:rsidP="003244AE">
      <w:pPr>
        <w:pStyle w:val="Indenttext2"/>
        <w:numPr>
          <w:ilvl w:val="0"/>
          <w:numId w:val="13"/>
        </w:numPr>
      </w:pPr>
      <w:r>
        <w:t>TRC Sponsor Screening Report</w:t>
      </w:r>
    </w:p>
    <w:p w14:paraId="329CEE75" w14:textId="77777777" w:rsidR="003244AE" w:rsidRDefault="003244AE" w:rsidP="003244AE">
      <w:pPr>
        <w:pStyle w:val="Indenttext1"/>
      </w:pPr>
      <w:r>
        <w:t>Where possible, all sponsor agreements for family and kinships connections must be finalised within Stage One of Transitional Release.</w:t>
      </w:r>
    </w:p>
    <w:p w14:paraId="4974DAAB" w14:textId="77777777" w:rsidR="003244AE" w:rsidRDefault="003244AE" w:rsidP="003244AE">
      <w:pPr>
        <w:pStyle w:val="SectionHeading"/>
        <w:numPr>
          <w:ilvl w:val="0"/>
          <w:numId w:val="0"/>
        </w:numPr>
      </w:pPr>
    </w:p>
    <w:p w14:paraId="22F5ACA3" w14:textId="77777777" w:rsidR="003244AE" w:rsidRPr="003517F3" w:rsidRDefault="003244AE" w:rsidP="003244AE">
      <w:pPr>
        <w:pStyle w:val="ListParagraph"/>
        <w:numPr>
          <w:ilvl w:val="0"/>
          <w:numId w:val="10"/>
        </w:numPr>
        <w:spacing w:before="60" w:after="0"/>
        <w:ind w:left="567" w:hanging="567"/>
        <w:contextualSpacing w:val="0"/>
        <w:rPr>
          <w:rFonts w:cs="Arial"/>
        </w:rPr>
      </w:pPr>
      <w:r>
        <w:rPr>
          <w:rFonts w:cs="Arial"/>
          <w:b/>
          <w:bCs/>
        </w:rPr>
        <w:t>Home Visit of Proposed Sponsor</w:t>
      </w:r>
    </w:p>
    <w:p w14:paraId="45ECACE0" w14:textId="77777777" w:rsidR="003244AE" w:rsidRDefault="003244AE" w:rsidP="003244AE">
      <w:pPr>
        <w:pStyle w:val="Indenttext1"/>
      </w:pPr>
      <w:r>
        <w:t>Where a home visit is required, the TRCOSO must make an appointment with the potential sponsor(s) to attend their home.</w:t>
      </w:r>
    </w:p>
    <w:p w14:paraId="23B0E80A" w14:textId="77777777" w:rsidR="003244AE" w:rsidRDefault="003244AE" w:rsidP="003244AE">
      <w:pPr>
        <w:pStyle w:val="Indenttext1"/>
      </w:pPr>
      <w:r>
        <w:t>Prior to conducting the home visit, the TRCOSO must make reasonable attempts to identify any potential risks by speaking with the nominated sponsor and verifying the home’s location and its proximity to locations that present a risk due to the detainee’s profile.</w:t>
      </w:r>
    </w:p>
    <w:p w14:paraId="54C2993B" w14:textId="77777777" w:rsidR="003244AE" w:rsidRDefault="003244AE" w:rsidP="003244AE">
      <w:pPr>
        <w:pStyle w:val="Indenttext1"/>
      </w:pPr>
      <w:r>
        <w:t xml:space="preserve">The TRCOSO and Transitional Release TL must ensure they follow the safety precautions for home and field visits in accordance with the </w:t>
      </w:r>
      <w:r>
        <w:rPr>
          <w:i/>
          <w:iCs/>
          <w:u w:val="single"/>
        </w:rPr>
        <w:t>Home and Field Visit Community Instruction.</w:t>
      </w:r>
    </w:p>
    <w:p w14:paraId="487D3EDB" w14:textId="77777777" w:rsidR="003244AE" w:rsidRDefault="003244AE" w:rsidP="003244AE">
      <w:pPr>
        <w:pStyle w:val="Indenttext1"/>
      </w:pPr>
      <w:r>
        <w:lastRenderedPageBreak/>
        <w:t>The TRCOSO and Transitional Release TL must attend the sponsor’s home address at the agreed appointed time, and bring with them:</w:t>
      </w:r>
    </w:p>
    <w:p w14:paraId="07E129E9" w14:textId="77777777" w:rsidR="003244AE" w:rsidRDefault="003244AE" w:rsidP="003244AE">
      <w:pPr>
        <w:pStyle w:val="Indenttext2"/>
        <w:numPr>
          <w:ilvl w:val="0"/>
          <w:numId w:val="14"/>
        </w:numPr>
      </w:pPr>
      <w:r>
        <w:t>their ACTCS photo identification</w:t>
      </w:r>
    </w:p>
    <w:p w14:paraId="641174A8" w14:textId="77777777" w:rsidR="003244AE" w:rsidRPr="007D6976" w:rsidRDefault="003244AE" w:rsidP="003244AE">
      <w:pPr>
        <w:pStyle w:val="Indenttext2"/>
        <w:numPr>
          <w:ilvl w:val="0"/>
          <w:numId w:val="14"/>
        </w:numPr>
      </w:pPr>
      <w:r>
        <w:t xml:space="preserve">the </w:t>
      </w:r>
      <w:r>
        <w:rPr>
          <w:i/>
          <w:iCs/>
          <w:u w:val="single"/>
        </w:rPr>
        <w:t>D26.F8: Sponsor Nomination</w:t>
      </w:r>
      <w:r>
        <w:t xml:space="preserve"> </w:t>
      </w:r>
    </w:p>
    <w:p w14:paraId="0CB546E6" w14:textId="77777777" w:rsidR="003244AE" w:rsidRPr="00465CD8" w:rsidRDefault="003244AE" w:rsidP="003244AE">
      <w:pPr>
        <w:pStyle w:val="Indenttext2"/>
        <w:numPr>
          <w:ilvl w:val="0"/>
          <w:numId w:val="14"/>
        </w:numPr>
      </w:pPr>
      <w:r>
        <w:t xml:space="preserve">the </w:t>
      </w:r>
      <w:r w:rsidRPr="00465CD8">
        <w:rPr>
          <w:i/>
          <w:iCs/>
          <w:u w:val="single"/>
        </w:rPr>
        <w:t>D26.F9: Sponsor Agreement</w:t>
      </w:r>
    </w:p>
    <w:p w14:paraId="216D8E51" w14:textId="77777777" w:rsidR="003244AE" w:rsidRDefault="003244AE" w:rsidP="003244AE">
      <w:pPr>
        <w:pStyle w:val="Indenttext2"/>
        <w:numPr>
          <w:ilvl w:val="0"/>
          <w:numId w:val="14"/>
        </w:numPr>
      </w:pPr>
      <w:r>
        <w:t xml:space="preserve">the </w:t>
      </w:r>
      <w:r>
        <w:rPr>
          <w:i/>
          <w:iCs/>
          <w:u w:val="single"/>
        </w:rPr>
        <w:t>Sponsor Screening Report</w:t>
      </w:r>
    </w:p>
    <w:p w14:paraId="02F98C13" w14:textId="77777777" w:rsidR="003244AE" w:rsidRDefault="003244AE" w:rsidP="003244AE">
      <w:pPr>
        <w:pStyle w:val="Indenttext2"/>
        <w:numPr>
          <w:ilvl w:val="0"/>
          <w:numId w:val="14"/>
        </w:numPr>
      </w:pPr>
      <w:r>
        <w:rPr>
          <w:lang w:eastAsia="en-AU"/>
        </w:rPr>
        <w:t>National Criminal History Check</w:t>
      </w:r>
      <w:r>
        <w:t xml:space="preserve"> Certificate (if received)</w:t>
      </w:r>
    </w:p>
    <w:p w14:paraId="3A7F75CA" w14:textId="77777777" w:rsidR="003244AE" w:rsidRDefault="003244AE" w:rsidP="003244AE">
      <w:pPr>
        <w:pStyle w:val="Indenttext1"/>
      </w:pPr>
      <w:r>
        <w:t>An important objective of the home visit is to confirm:</w:t>
      </w:r>
    </w:p>
    <w:p w14:paraId="46D6ABC3" w14:textId="77777777" w:rsidR="003244AE" w:rsidRDefault="003244AE" w:rsidP="003244AE">
      <w:pPr>
        <w:pStyle w:val="Indenttext1"/>
        <w:numPr>
          <w:ilvl w:val="0"/>
          <w:numId w:val="15"/>
        </w:numPr>
      </w:pPr>
      <w:r>
        <w:t>the information that has been provided by the detainee</w:t>
      </w:r>
    </w:p>
    <w:p w14:paraId="34883F77" w14:textId="77777777" w:rsidR="003244AE" w:rsidRDefault="003244AE" w:rsidP="003244AE">
      <w:pPr>
        <w:pStyle w:val="Indenttext1"/>
        <w:numPr>
          <w:ilvl w:val="0"/>
          <w:numId w:val="15"/>
        </w:numPr>
      </w:pPr>
      <w:r>
        <w:t>confirm the relationship between the sponsor(s) and detainee is genuine</w:t>
      </w:r>
    </w:p>
    <w:p w14:paraId="69F79A16" w14:textId="77777777" w:rsidR="003244AE" w:rsidRDefault="003244AE" w:rsidP="003244AE">
      <w:pPr>
        <w:pStyle w:val="Indenttext1"/>
        <w:numPr>
          <w:ilvl w:val="0"/>
          <w:numId w:val="15"/>
        </w:numPr>
      </w:pPr>
      <w:r>
        <w:t xml:space="preserve">the sponsor(s) represent a positive influence on the detainee’s reintegration </w:t>
      </w:r>
    </w:p>
    <w:p w14:paraId="5ADF205F" w14:textId="77777777" w:rsidR="003244AE" w:rsidRDefault="003244AE" w:rsidP="003244AE">
      <w:pPr>
        <w:pStyle w:val="Indenttext1"/>
        <w:numPr>
          <w:ilvl w:val="0"/>
          <w:numId w:val="15"/>
        </w:numPr>
      </w:pPr>
      <w:r>
        <w:t>determine the type of leave that the sponsor(s) are agreeable to. For example: day leave only, weekend leave, transport etc.</w:t>
      </w:r>
    </w:p>
    <w:p w14:paraId="3CE9C94F" w14:textId="77777777" w:rsidR="003244AE" w:rsidRDefault="003244AE" w:rsidP="003244AE">
      <w:pPr>
        <w:pStyle w:val="Indenttext1"/>
      </w:pPr>
      <w:r>
        <w:t xml:space="preserve">The TRCOSO and the Transitional Release TL must guide the potential sponsor through the </w:t>
      </w:r>
      <w:r>
        <w:rPr>
          <w:i/>
          <w:iCs/>
          <w:u w:val="single"/>
        </w:rPr>
        <w:t>D26.F9: Sponsor Agreement</w:t>
      </w:r>
      <w:r>
        <w:t>, and answer any questions they may have.</w:t>
      </w:r>
    </w:p>
    <w:p w14:paraId="6FDCABA5" w14:textId="77777777" w:rsidR="003244AE" w:rsidRPr="00F450EF" w:rsidRDefault="003244AE" w:rsidP="003244AE">
      <w:pPr>
        <w:pStyle w:val="ListParagraph"/>
        <w:numPr>
          <w:ilvl w:val="1"/>
          <w:numId w:val="10"/>
        </w:numPr>
        <w:spacing w:before="60" w:after="0"/>
        <w:ind w:left="567" w:hanging="567"/>
        <w:contextualSpacing w:val="0"/>
        <w:rPr>
          <w:rFonts w:cs="Arial"/>
        </w:rPr>
      </w:pPr>
      <w:r>
        <w:rPr>
          <w:rFonts w:eastAsia="Times New Roman" w:cstheme="minorHAnsi"/>
          <w:lang w:eastAsia="en-AU"/>
        </w:rPr>
        <w:t>The sponsor must agree to and sign the </w:t>
      </w:r>
      <w:r>
        <w:rPr>
          <w:rFonts w:eastAsia="Times New Roman" w:cstheme="minorHAnsi"/>
          <w:i/>
          <w:iCs/>
          <w:u w:val="single"/>
          <w:lang w:eastAsia="en-AU"/>
        </w:rPr>
        <w:t xml:space="preserve">D26.F9: Sponsor Agreement </w:t>
      </w:r>
      <w:r>
        <w:rPr>
          <w:rFonts w:eastAsia="Times New Roman" w:cstheme="minorHAnsi"/>
          <w:lang w:eastAsia="en-AU"/>
        </w:rPr>
        <w:t>for the sponsorship process to be able to continue. If the sponsor does not agree to sign, the application is unable to proceed.</w:t>
      </w:r>
    </w:p>
    <w:p w14:paraId="7FB1D1DF" w14:textId="77777777" w:rsidR="003244AE" w:rsidRDefault="003244AE" w:rsidP="003244AE">
      <w:pPr>
        <w:pStyle w:val="Indenttext1"/>
      </w:pPr>
      <w:r>
        <w:t>A brief tour of the home must be conducted to confirm adequate lodging facilities for the detainee, including property boundary, suitable bedding for the detainee, and any safety issues such as aggressive pets or excessive rubbish/property that may pose a risk to staff or the detainee.</w:t>
      </w:r>
    </w:p>
    <w:p w14:paraId="63CD5ECE" w14:textId="77777777" w:rsidR="003244AE" w:rsidRDefault="003244AE" w:rsidP="003244AE">
      <w:pPr>
        <w:pStyle w:val="Indenttext1"/>
      </w:pPr>
      <w:r>
        <w:t>The Transitional Release TL and TRCOSO must confirm the details of all residents at the property, including children.</w:t>
      </w:r>
    </w:p>
    <w:p w14:paraId="58BAFC58" w14:textId="77777777" w:rsidR="003244AE" w:rsidRDefault="003244AE" w:rsidP="003244AE">
      <w:pPr>
        <w:pStyle w:val="Indenttext1"/>
      </w:pPr>
      <w:r>
        <w:t xml:space="preserve">All adult residents of the sponsor’s address must undertake a </w:t>
      </w:r>
      <w:r>
        <w:rPr>
          <w:lang w:eastAsia="en-AU"/>
        </w:rPr>
        <w:t xml:space="preserve">National Criminal History Check </w:t>
      </w:r>
      <w:r>
        <w:t xml:space="preserve">prior to the detainee’s attendance at the house being approved. </w:t>
      </w:r>
    </w:p>
    <w:p w14:paraId="186FB14F" w14:textId="77777777" w:rsidR="003244AE" w:rsidRPr="00DF4B6E" w:rsidRDefault="003244AE" w:rsidP="003244AE">
      <w:pPr>
        <w:pStyle w:val="Indenttext1"/>
      </w:pPr>
      <w:r>
        <w:rPr>
          <w:b/>
          <w:bCs/>
        </w:rPr>
        <w:t>If there is a concern or threat to personal safety, the home visit must be terminated immediately and all ACTCS staff are to exit the property.</w:t>
      </w:r>
    </w:p>
    <w:p w14:paraId="0FF1E869" w14:textId="77777777" w:rsidR="003244AE" w:rsidRDefault="003244AE" w:rsidP="003244AE">
      <w:pPr>
        <w:pStyle w:val="Indenttext1"/>
      </w:pPr>
      <w:r>
        <w:t xml:space="preserve">The TRCOSO must case note the home visit assessment on CORIS in accordance with the </w:t>
      </w:r>
      <w:r>
        <w:rPr>
          <w:i/>
          <w:iCs/>
          <w:u w:val="single"/>
        </w:rPr>
        <w:t>Case Note Policy</w:t>
      </w:r>
      <w:r>
        <w:t>.</w:t>
      </w:r>
    </w:p>
    <w:p w14:paraId="4E6DCD46" w14:textId="77777777" w:rsidR="003244AE" w:rsidRDefault="003244AE" w:rsidP="003244AE">
      <w:pPr>
        <w:pStyle w:val="Indenttext1"/>
      </w:pPr>
      <w:r>
        <w:t xml:space="preserve">The Transitional Release TL must complete the </w:t>
      </w:r>
      <w:r>
        <w:rPr>
          <w:i/>
          <w:iCs/>
          <w:u w:val="single"/>
        </w:rPr>
        <w:t>TRC Sponsor Screening Report</w:t>
      </w:r>
      <w:r>
        <w:t>.</w:t>
      </w:r>
    </w:p>
    <w:p w14:paraId="6568DB0E" w14:textId="77777777" w:rsidR="003244AE" w:rsidRDefault="003244AE" w:rsidP="003244AE">
      <w:pPr>
        <w:pStyle w:val="Indenttext1"/>
        <w:numPr>
          <w:ilvl w:val="0"/>
          <w:numId w:val="0"/>
        </w:numPr>
        <w:ind w:left="567"/>
      </w:pPr>
    </w:p>
    <w:p w14:paraId="02A8A61F" w14:textId="77777777" w:rsidR="003244AE" w:rsidRDefault="003244AE" w:rsidP="003244AE">
      <w:pPr>
        <w:pStyle w:val="SectionHeading"/>
        <w:rPr>
          <w:lang w:eastAsia="en-AU"/>
        </w:rPr>
      </w:pPr>
      <w:r>
        <w:rPr>
          <w:lang w:eastAsia="en-AU"/>
        </w:rPr>
        <w:t>Sponsor Approval</w:t>
      </w:r>
    </w:p>
    <w:p w14:paraId="1AF9944F" w14:textId="77777777" w:rsidR="003244AE" w:rsidRDefault="003244AE" w:rsidP="003244AE">
      <w:pPr>
        <w:pStyle w:val="Indenttext1"/>
        <w:rPr>
          <w:sz w:val="20"/>
          <w:szCs w:val="20"/>
          <w:lang w:eastAsia="en-AU"/>
        </w:rPr>
      </w:pPr>
      <w:r>
        <w:rPr>
          <w:lang w:eastAsia="en-AU"/>
        </w:rPr>
        <w:t>The Director Reintegration must consider all relevant information and decide whether to approve or reject the nominated sponsor. The outcome must be provided to the Transitional Release TL.</w:t>
      </w:r>
    </w:p>
    <w:p w14:paraId="73BB5225" w14:textId="77777777" w:rsidR="003244AE" w:rsidRDefault="003244AE" w:rsidP="003244AE">
      <w:pPr>
        <w:pStyle w:val="Indenttext1"/>
        <w:rPr>
          <w:lang w:eastAsia="en-AU"/>
        </w:rPr>
      </w:pPr>
      <w:r>
        <w:rPr>
          <w:lang w:eastAsia="en-AU"/>
        </w:rPr>
        <w:t>The detainee must be advised of the outcome by the Transitional Release TL.</w:t>
      </w:r>
    </w:p>
    <w:p w14:paraId="744B562A" w14:textId="77777777" w:rsidR="003244AE" w:rsidRDefault="003244AE" w:rsidP="003244AE">
      <w:pPr>
        <w:pStyle w:val="Indenttext1"/>
        <w:rPr>
          <w:lang w:eastAsia="en-AU"/>
        </w:rPr>
      </w:pPr>
      <w:r>
        <w:rPr>
          <w:lang w:eastAsia="en-AU"/>
        </w:rPr>
        <w:t xml:space="preserve">Where a sponsor has been rejected, reasons must not be provided to the detainee or the nominated sponsor, where doing so would jeopardise the safety of any person, or security or good order at the correctional centre. </w:t>
      </w:r>
    </w:p>
    <w:p w14:paraId="09358BDD" w14:textId="77777777" w:rsidR="003244AE" w:rsidRPr="001743B9" w:rsidRDefault="003244AE" w:rsidP="003244AE">
      <w:pPr>
        <w:pStyle w:val="Indenttext1"/>
        <w:rPr>
          <w:sz w:val="20"/>
          <w:szCs w:val="20"/>
          <w:lang w:eastAsia="en-AU"/>
        </w:rPr>
      </w:pPr>
      <w:r>
        <w:rPr>
          <w:lang w:eastAsia="en-AU"/>
        </w:rPr>
        <w:lastRenderedPageBreak/>
        <w:t>The TRCOSO must upload all documents relating to sponsorship onto CORIS</w:t>
      </w:r>
    </w:p>
    <w:p w14:paraId="4DFAB5A7" w14:textId="77777777" w:rsidR="003244AE" w:rsidRDefault="003244AE" w:rsidP="003244AE">
      <w:pPr>
        <w:pStyle w:val="Heading11"/>
      </w:pPr>
      <w:r w:rsidRPr="00F81FF3">
        <w:t xml:space="preserve">RELATED DOCUMENTS </w:t>
      </w:r>
    </w:p>
    <w:p w14:paraId="2617A242" w14:textId="77777777" w:rsidR="003244AE" w:rsidRPr="001743B9" w:rsidRDefault="003244AE" w:rsidP="003244AE">
      <w:pPr>
        <w:pStyle w:val="RelatedDocuments"/>
      </w:pPr>
      <w:r w:rsidRPr="001743B9">
        <w:t>Transitional Release Policy</w:t>
      </w:r>
    </w:p>
    <w:p w14:paraId="73B8889A" w14:textId="77777777" w:rsidR="003244AE" w:rsidRPr="001743B9" w:rsidRDefault="003244AE" w:rsidP="003244AE">
      <w:pPr>
        <w:pStyle w:val="RelatedDocuments"/>
      </w:pPr>
      <w:r w:rsidRPr="001743B9">
        <w:t>Transitional Release Case Planning Operating Procedure 2022</w:t>
      </w:r>
    </w:p>
    <w:p w14:paraId="095D78DB" w14:textId="77777777" w:rsidR="003244AE" w:rsidRPr="001743B9" w:rsidRDefault="003244AE" w:rsidP="003244AE">
      <w:pPr>
        <w:pStyle w:val="RelatedDocuments"/>
      </w:pPr>
      <w:r w:rsidRPr="001743B9">
        <w:t>Transitional Release Case Management Plan Template</w:t>
      </w:r>
    </w:p>
    <w:p w14:paraId="61F2153D" w14:textId="77777777" w:rsidR="003244AE" w:rsidRPr="001743B9" w:rsidRDefault="003244AE" w:rsidP="003244AE">
      <w:pPr>
        <w:pStyle w:val="RelatedDocuments"/>
      </w:pPr>
      <w:r w:rsidRPr="001743B9">
        <w:t>Transitional Release Staged Approach to Reintegration Operating Procedure 2022</w:t>
      </w:r>
    </w:p>
    <w:p w14:paraId="1F25C165" w14:textId="77777777" w:rsidR="003244AE" w:rsidRDefault="003244AE" w:rsidP="003244AE">
      <w:pPr>
        <w:pStyle w:val="RelatedDocuments"/>
      </w:pPr>
      <w:r w:rsidRPr="001743B9">
        <w:t>Case Note Policy</w:t>
      </w:r>
    </w:p>
    <w:p w14:paraId="0678F951" w14:textId="77777777" w:rsidR="003244AE" w:rsidRPr="001743B9" w:rsidRDefault="003244AE" w:rsidP="003244AE">
      <w:pPr>
        <w:pStyle w:val="RelatedDocuments"/>
      </w:pPr>
      <w:r>
        <w:t>Home and Field Visit Community Instruction</w:t>
      </w:r>
    </w:p>
    <w:p w14:paraId="38D1AB43" w14:textId="77777777" w:rsidR="003244AE" w:rsidRPr="007D6976" w:rsidRDefault="003244AE" w:rsidP="003244AE">
      <w:pPr>
        <w:pStyle w:val="ListParagraph"/>
        <w:ind w:left="567"/>
        <w:rPr>
          <w:rFonts w:cs="Arial"/>
        </w:rPr>
      </w:pPr>
    </w:p>
    <w:p w14:paraId="3FB5B499" w14:textId="77777777" w:rsidR="003244AE" w:rsidRPr="003244AE" w:rsidRDefault="003244AE" w:rsidP="003244AE">
      <w:pPr>
        <w:spacing w:after="200" w:line="276" w:lineRule="auto"/>
        <w:rPr>
          <w:rFonts w:asciiTheme="minorHAnsi" w:eastAsiaTheme="minorHAnsi" w:hAnsiTheme="minorHAnsi" w:cs="Arial"/>
          <w:sz w:val="22"/>
          <w:szCs w:val="22"/>
        </w:rPr>
      </w:pPr>
    </w:p>
    <w:p w14:paraId="38DE170B" w14:textId="77777777" w:rsidR="003244AE" w:rsidRPr="003244AE" w:rsidRDefault="003244AE" w:rsidP="003244AE">
      <w:pPr>
        <w:spacing w:after="200" w:line="276" w:lineRule="auto"/>
        <w:rPr>
          <w:rFonts w:asciiTheme="minorHAnsi" w:eastAsiaTheme="minorHAnsi" w:hAnsiTheme="minorHAnsi" w:cs="Arial"/>
          <w:sz w:val="22"/>
          <w:szCs w:val="22"/>
        </w:rPr>
      </w:pPr>
    </w:p>
    <w:p w14:paraId="3B26C315" w14:textId="77777777" w:rsidR="003244AE" w:rsidRPr="003244AE" w:rsidRDefault="003244AE" w:rsidP="003244AE">
      <w:pPr>
        <w:spacing w:after="200" w:line="276" w:lineRule="auto"/>
        <w:rPr>
          <w:rFonts w:asciiTheme="minorHAnsi" w:eastAsiaTheme="minorHAnsi" w:hAnsiTheme="minorHAnsi" w:cs="Arial"/>
          <w:sz w:val="22"/>
          <w:szCs w:val="22"/>
        </w:rPr>
      </w:pPr>
    </w:p>
    <w:p w14:paraId="5916DE69" w14:textId="77777777" w:rsidR="003244AE" w:rsidRPr="003244AE" w:rsidRDefault="003244AE" w:rsidP="003244AE">
      <w:pPr>
        <w:spacing w:after="200" w:line="276" w:lineRule="auto"/>
        <w:rPr>
          <w:rFonts w:asciiTheme="minorHAnsi" w:eastAsiaTheme="minorHAnsi" w:hAnsiTheme="minorHAnsi" w:cs="Arial"/>
          <w:sz w:val="22"/>
          <w:szCs w:val="22"/>
        </w:rPr>
      </w:pPr>
    </w:p>
    <w:p w14:paraId="5D5F3D8E" w14:textId="77777777" w:rsidR="003244AE" w:rsidRPr="003244AE" w:rsidRDefault="003244AE" w:rsidP="003244AE">
      <w:pPr>
        <w:spacing w:after="200" w:line="276" w:lineRule="auto"/>
        <w:rPr>
          <w:rFonts w:asciiTheme="minorHAnsi" w:eastAsiaTheme="minorHAnsi" w:hAnsiTheme="minorHAnsi" w:cs="Arial"/>
          <w:sz w:val="22"/>
          <w:szCs w:val="22"/>
        </w:rPr>
      </w:pPr>
    </w:p>
    <w:p w14:paraId="29C96181" w14:textId="77777777" w:rsidR="003244AE" w:rsidRPr="003244AE" w:rsidRDefault="003244AE" w:rsidP="003244AE">
      <w:pPr>
        <w:spacing w:line="276" w:lineRule="auto"/>
        <w:rPr>
          <w:rFonts w:asciiTheme="minorHAnsi" w:eastAsiaTheme="minorHAnsi" w:hAnsiTheme="minorHAnsi" w:cstheme="minorBidi"/>
          <w:sz w:val="22"/>
          <w:szCs w:val="22"/>
        </w:rPr>
      </w:pPr>
      <w:r w:rsidRPr="003244AE">
        <w:rPr>
          <w:rFonts w:asciiTheme="minorHAnsi" w:eastAsiaTheme="minorHAnsi" w:hAnsiTheme="minorHAnsi" w:cstheme="minorBidi"/>
          <w:sz w:val="22"/>
          <w:szCs w:val="22"/>
        </w:rPr>
        <w:t>Narelle Pamplin</w:t>
      </w:r>
    </w:p>
    <w:p w14:paraId="2DAE6170" w14:textId="77777777" w:rsidR="003244AE" w:rsidRPr="003244AE" w:rsidRDefault="003244AE" w:rsidP="003244AE">
      <w:pPr>
        <w:spacing w:line="276" w:lineRule="auto"/>
        <w:rPr>
          <w:rFonts w:asciiTheme="minorHAnsi" w:eastAsiaTheme="minorHAnsi" w:hAnsiTheme="minorHAnsi" w:cstheme="minorBidi"/>
          <w:sz w:val="22"/>
          <w:szCs w:val="22"/>
        </w:rPr>
      </w:pPr>
      <w:r w:rsidRPr="003244AE">
        <w:rPr>
          <w:rFonts w:asciiTheme="minorHAnsi" w:eastAsiaTheme="minorHAnsi" w:hAnsiTheme="minorHAnsi" w:cstheme="minorBidi"/>
          <w:sz w:val="22"/>
          <w:szCs w:val="22"/>
        </w:rPr>
        <w:t>Assistant Commissioner Offender Reintegration</w:t>
      </w:r>
      <w:r w:rsidRPr="003244AE">
        <w:rPr>
          <w:rFonts w:asciiTheme="minorHAnsi" w:eastAsiaTheme="minorHAnsi" w:hAnsiTheme="minorHAnsi" w:cstheme="minorBidi"/>
          <w:sz w:val="22"/>
          <w:szCs w:val="22"/>
        </w:rPr>
        <w:br/>
        <w:t xml:space="preserve">ACT Corrective Services </w:t>
      </w:r>
    </w:p>
    <w:p w14:paraId="15DCDBC8" w14:textId="77777777" w:rsidR="003244AE" w:rsidRPr="003244AE" w:rsidRDefault="003244AE" w:rsidP="003244AE">
      <w:pPr>
        <w:spacing w:line="276" w:lineRule="auto"/>
        <w:rPr>
          <w:rFonts w:asciiTheme="minorHAnsi" w:eastAsiaTheme="minorHAnsi" w:hAnsiTheme="minorHAnsi" w:cstheme="minorBidi"/>
          <w:sz w:val="22"/>
          <w:szCs w:val="22"/>
        </w:rPr>
      </w:pPr>
      <w:r w:rsidRPr="003244AE">
        <w:rPr>
          <w:rFonts w:asciiTheme="minorHAnsi" w:eastAsiaTheme="minorHAnsi" w:hAnsiTheme="minorHAnsi" w:cstheme="minorBidi"/>
          <w:sz w:val="22"/>
          <w:szCs w:val="22"/>
        </w:rPr>
        <w:t xml:space="preserve">     January 2023</w:t>
      </w:r>
    </w:p>
    <w:p w14:paraId="54E8562E" w14:textId="77777777" w:rsidR="003244AE" w:rsidRPr="003244AE" w:rsidRDefault="003244AE" w:rsidP="003244AE">
      <w:pPr>
        <w:spacing w:after="200" w:line="276" w:lineRule="auto"/>
        <w:rPr>
          <w:rFonts w:asciiTheme="minorHAnsi" w:eastAsiaTheme="minorHAnsi" w:hAnsiTheme="minorHAnsi" w:cs="Arial"/>
          <w:sz w:val="22"/>
          <w:szCs w:val="22"/>
        </w:rPr>
      </w:pPr>
    </w:p>
    <w:p w14:paraId="64462016" w14:textId="15997894" w:rsidR="003244AE" w:rsidRPr="003244AE" w:rsidRDefault="003244AE" w:rsidP="003244AE">
      <w:pPr>
        <w:spacing w:after="200" w:line="276" w:lineRule="auto"/>
        <w:rPr>
          <w:rFonts w:asciiTheme="minorHAnsi" w:eastAsiaTheme="minorHAnsi" w:hAnsiTheme="minorHAnsi" w:cstheme="minorBidi"/>
          <w:b/>
          <w:bCs/>
          <w:sz w:val="20"/>
        </w:rPr>
      </w:pPr>
      <w:r w:rsidRPr="003244AE">
        <w:rPr>
          <w:rFonts w:asciiTheme="minorHAnsi" w:eastAsiaTheme="minorHAnsi" w:hAnsiTheme="minorHAnsi" w:cstheme="minorBidi"/>
          <w:b/>
          <w:bCs/>
          <w:sz w:val="20"/>
        </w:rPr>
        <w:t>Document details</w:t>
      </w:r>
    </w:p>
    <w:tbl>
      <w:tblPr>
        <w:tblW w:w="4862" w:type="pct"/>
        <w:tblInd w:w="250" w:type="dxa"/>
        <w:tblCellMar>
          <w:left w:w="0" w:type="dxa"/>
          <w:right w:w="0" w:type="dxa"/>
        </w:tblCellMar>
        <w:tblLook w:val="04A0" w:firstRow="1" w:lastRow="0" w:firstColumn="1" w:lastColumn="0" w:noHBand="0" w:noVBand="1"/>
      </w:tblPr>
      <w:tblGrid>
        <w:gridCol w:w="2769"/>
        <w:gridCol w:w="6013"/>
      </w:tblGrid>
      <w:tr w:rsidR="003244AE" w:rsidRPr="00586F66" w14:paraId="41500345" w14:textId="77777777" w:rsidTr="003244A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7F330E97" w14:textId="77777777" w:rsidR="003244AE" w:rsidRPr="00586F66" w:rsidRDefault="003244AE" w:rsidP="005A1EF1">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4C3A9A5" w14:textId="77777777" w:rsidR="003244AE" w:rsidRPr="00586F66" w:rsidRDefault="003244AE" w:rsidP="005A1EF1">
            <w:pPr>
              <w:pStyle w:val="TableHeader"/>
              <w:rPr>
                <w:rFonts w:ascii="Calibri" w:hAnsi="Calibri"/>
              </w:rPr>
            </w:pPr>
            <w:r w:rsidRPr="00586F66">
              <w:rPr>
                <w:rFonts w:ascii="Calibri" w:hAnsi="Calibri"/>
              </w:rPr>
              <w:t>Details</w:t>
            </w:r>
          </w:p>
        </w:tc>
      </w:tr>
      <w:tr w:rsidR="003244AE" w:rsidRPr="00586F66" w14:paraId="51AD33E5" w14:textId="77777777" w:rsidTr="003244A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359A5039" w14:textId="77777777" w:rsidR="003244AE" w:rsidRPr="00586F66" w:rsidRDefault="003244AE" w:rsidP="005A1EF1">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C047298" w14:textId="77777777" w:rsidR="003244AE" w:rsidRPr="00A81503" w:rsidRDefault="003244AE" w:rsidP="005A1EF1">
            <w:pPr>
              <w:pStyle w:val="TableText"/>
              <w:rPr>
                <w:rFonts w:ascii="Calibri" w:hAnsi="Calibri"/>
                <w:i/>
                <w:iCs/>
                <w:sz w:val="20"/>
                <w:szCs w:val="20"/>
              </w:rPr>
            </w:pPr>
            <w:r>
              <w:rPr>
                <w:rFonts w:ascii="Calibri" w:hAnsi="Calibri"/>
                <w:i/>
                <w:iCs/>
                <w:sz w:val="20"/>
                <w:szCs w:val="20"/>
              </w:rPr>
              <w:t xml:space="preserve">Transitional Release Sponsors (Family and Kinship) </w:t>
            </w:r>
            <w:r w:rsidRPr="00A81503">
              <w:rPr>
                <w:rFonts w:ascii="Calibri" w:hAnsi="Calibri"/>
                <w:i/>
                <w:iCs/>
                <w:sz w:val="20"/>
                <w:szCs w:val="20"/>
              </w:rPr>
              <w:t>Operating Procedure 202</w:t>
            </w:r>
            <w:r>
              <w:rPr>
                <w:rFonts w:ascii="Calibri" w:hAnsi="Calibri"/>
                <w:i/>
                <w:iCs/>
                <w:sz w:val="20"/>
                <w:szCs w:val="20"/>
              </w:rPr>
              <w:t>3</w:t>
            </w:r>
          </w:p>
        </w:tc>
      </w:tr>
      <w:tr w:rsidR="003244AE" w:rsidRPr="00586F66" w14:paraId="7605E98C" w14:textId="77777777" w:rsidTr="003244A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CACA9A3" w14:textId="77777777" w:rsidR="003244AE" w:rsidRPr="00586F66" w:rsidRDefault="003244AE" w:rsidP="005A1EF1">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06F4BD11" w14:textId="77777777" w:rsidR="003244AE" w:rsidRPr="00586F66" w:rsidRDefault="003244AE" w:rsidP="005A1EF1">
            <w:pPr>
              <w:pStyle w:val="TableText"/>
              <w:rPr>
                <w:rFonts w:ascii="Calibri" w:hAnsi="Calibri"/>
                <w:sz w:val="20"/>
                <w:szCs w:val="20"/>
              </w:rPr>
            </w:pPr>
            <w:r>
              <w:rPr>
                <w:rFonts w:ascii="Calibri" w:hAnsi="Calibri"/>
                <w:sz w:val="20"/>
                <w:szCs w:val="20"/>
              </w:rPr>
              <w:t>Assistant Commissioner Offender Reintegration</w:t>
            </w:r>
            <w:r w:rsidRPr="00586F66">
              <w:rPr>
                <w:rFonts w:ascii="Calibri" w:hAnsi="Calibri"/>
                <w:sz w:val="20"/>
                <w:szCs w:val="20"/>
              </w:rPr>
              <w:t>, ACT Corrective Services</w:t>
            </w:r>
          </w:p>
        </w:tc>
      </w:tr>
      <w:tr w:rsidR="003244AE" w:rsidRPr="00586F66" w14:paraId="7F4BC108" w14:textId="77777777" w:rsidTr="003244A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BDD9EC9" w14:textId="77777777" w:rsidR="003244AE" w:rsidRPr="00586F66" w:rsidRDefault="003244AE" w:rsidP="005A1EF1">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02179D5" w14:textId="77777777" w:rsidR="003244AE" w:rsidRPr="00586F66" w:rsidRDefault="003244AE" w:rsidP="005A1EF1">
            <w:pPr>
              <w:pStyle w:val="TableText"/>
              <w:rPr>
                <w:rFonts w:ascii="Calibri" w:hAnsi="Calibri"/>
                <w:sz w:val="20"/>
                <w:szCs w:val="20"/>
              </w:rPr>
            </w:pPr>
            <w:r>
              <w:rPr>
                <w:rFonts w:ascii="Calibri" w:hAnsi="Calibri"/>
                <w:sz w:val="20"/>
                <w:szCs w:val="20"/>
              </w:rPr>
              <w:t>The day after the notification date</w:t>
            </w:r>
          </w:p>
        </w:tc>
      </w:tr>
      <w:tr w:rsidR="003244AE" w:rsidRPr="00586F66" w14:paraId="446F0104" w14:textId="77777777" w:rsidTr="003244A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8395C40" w14:textId="77777777" w:rsidR="003244AE" w:rsidRPr="00586F66" w:rsidRDefault="003244AE" w:rsidP="005A1EF1">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B94BEF7" w14:textId="77777777" w:rsidR="003244AE" w:rsidRPr="00586F66" w:rsidRDefault="003244AE" w:rsidP="005A1EF1">
            <w:pPr>
              <w:pStyle w:val="TableText"/>
              <w:rPr>
                <w:rFonts w:ascii="Calibri" w:hAnsi="Calibri"/>
                <w:sz w:val="20"/>
                <w:szCs w:val="20"/>
              </w:rPr>
            </w:pPr>
            <w:r>
              <w:rPr>
                <w:rFonts w:ascii="Calibri" w:hAnsi="Calibri"/>
                <w:sz w:val="20"/>
                <w:szCs w:val="20"/>
              </w:rPr>
              <w:t>3</w:t>
            </w:r>
            <w:r w:rsidRPr="00586F66">
              <w:rPr>
                <w:rFonts w:ascii="Calibri" w:hAnsi="Calibri"/>
                <w:sz w:val="20"/>
                <w:szCs w:val="20"/>
              </w:rPr>
              <w:t xml:space="preserve"> years after </w:t>
            </w:r>
            <w:r>
              <w:rPr>
                <w:rFonts w:ascii="Calibri" w:hAnsi="Calibri"/>
                <w:sz w:val="20"/>
                <w:szCs w:val="20"/>
              </w:rPr>
              <w:t>the notification date</w:t>
            </w:r>
          </w:p>
        </w:tc>
      </w:tr>
      <w:tr w:rsidR="003244AE" w:rsidRPr="00586F66" w14:paraId="479EDD4A" w14:textId="77777777" w:rsidTr="003244A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186D6E2" w14:textId="77777777" w:rsidR="003244AE" w:rsidRPr="00586F66" w:rsidRDefault="003244AE" w:rsidP="005A1EF1">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CEE9389" w14:textId="77777777" w:rsidR="003244AE" w:rsidRPr="00586F66" w:rsidRDefault="003244AE" w:rsidP="005A1EF1">
            <w:pPr>
              <w:pStyle w:val="TableText"/>
              <w:rPr>
                <w:rFonts w:ascii="Calibri" w:hAnsi="Calibri"/>
                <w:sz w:val="20"/>
                <w:szCs w:val="20"/>
              </w:rPr>
            </w:pPr>
            <w:r>
              <w:rPr>
                <w:rFonts w:ascii="Calibri" w:hAnsi="Calibri"/>
                <w:sz w:val="20"/>
                <w:szCs w:val="20"/>
              </w:rPr>
              <w:t>Senior Director Offender Reintegration</w:t>
            </w:r>
          </w:p>
        </w:tc>
      </w:tr>
      <w:tr w:rsidR="003244AE" w:rsidRPr="00586F66" w14:paraId="7FDB7E9B" w14:textId="77777777" w:rsidTr="003244A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349C36A7" w14:textId="77777777" w:rsidR="003244AE" w:rsidRPr="00586F66" w:rsidRDefault="003244AE" w:rsidP="005A1EF1">
            <w:pPr>
              <w:pStyle w:val="TableText"/>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7E9652E" w14:textId="77777777" w:rsidR="003244AE" w:rsidRPr="00586F66" w:rsidRDefault="003244AE" w:rsidP="005A1EF1">
            <w:pPr>
              <w:pStyle w:val="TableText"/>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Corrections Management (Policy</w:t>
            </w:r>
            <w:r>
              <w:rPr>
                <w:rFonts w:asciiTheme="minorHAnsi" w:hAnsiTheme="minorHAnsi"/>
                <w:i/>
                <w:iCs/>
                <w:sz w:val="20"/>
                <w:szCs w:val="20"/>
              </w:rPr>
              <w:t xml:space="preserve"> Framework) Policy</w:t>
            </w:r>
            <w:r w:rsidRPr="00780A2D">
              <w:rPr>
                <w:rFonts w:asciiTheme="minorHAnsi" w:hAnsiTheme="minorHAnsi"/>
                <w:i/>
                <w:iCs/>
                <w:sz w:val="20"/>
                <w:szCs w:val="20"/>
              </w:rPr>
              <w:t xml:space="preserve"> 20</w:t>
            </w:r>
            <w:r>
              <w:rPr>
                <w:rFonts w:asciiTheme="minorHAnsi" w:hAnsiTheme="minorHAnsi"/>
                <w:i/>
                <w:iCs/>
                <w:sz w:val="20"/>
                <w:szCs w:val="20"/>
              </w:rPr>
              <w:t>22</w:t>
            </w:r>
          </w:p>
        </w:tc>
      </w:tr>
      <w:tr w:rsidR="003244AE" w:rsidRPr="00586F66" w14:paraId="2EF7E402" w14:textId="77777777" w:rsidTr="003244AE">
        <w:trPr>
          <w:cantSplit/>
        </w:trPr>
        <w:tc>
          <w:tcPr>
            <w:tcW w:w="5000" w:type="pct"/>
            <w:gridSpan w:val="2"/>
            <w:tcBorders>
              <w:top w:val="nil"/>
              <w:left w:val="nil"/>
              <w:bottom w:val="nil"/>
              <w:right w:val="nil"/>
            </w:tcBorders>
            <w:tcMar>
              <w:top w:w="57" w:type="dxa"/>
              <w:left w:w="108" w:type="dxa"/>
              <w:bottom w:w="57" w:type="dxa"/>
              <w:right w:w="108" w:type="dxa"/>
            </w:tcMar>
            <w:hideMark/>
          </w:tcPr>
          <w:p w14:paraId="22950BE7" w14:textId="77777777" w:rsidR="003244AE" w:rsidRDefault="003244AE" w:rsidP="005A1EF1">
            <w:pPr>
              <w:pStyle w:val="BodyText"/>
              <w:spacing w:after="0"/>
              <w:rPr>
                <w:sz w:val="20"/>
                <w:szCs w:val="20"/>
              </w:rPr>
            </w:pPr>
          </w:p>
          <w:tbl>
            <w:tblPr>
              <w:tblStyle w:val="TableGrid"/>
              <w:tblW w:w="85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70"/>
              <w:gridCol w:w="2569"/>
              <w:gridCol w:w="2177"/>
              <w:gridCol w:w="1640"/>
            </w:tblGrid>
            <w:tr w:rsidR="003244AE" w:rsidRPr="00B11C0C" w14:paraId="68C169FB" w14:textId="77777777" w:rsidTr="005A1EF1">
              <w:trPr>
                <w:trHeight w:val="395"/>
              </w:trPr>
              <w:tc>
                <w:tcPr>
                  <w:tcW w:w="0" w:type="auto"/>
                  <w:gridSpan w:val="4"/>
                  <w:shd w:val="clear" w:color="auto" w:fill="F2F2F2" w:themeFill="background1" w:themeFillShade="F2"/>
                </w:tcPr>
                <w:p w14:paraId="4AF65FAE" w14:textId="77777777" w:rsidR="003244AE" w:rsidRPr="00B11C0C" w:rsidRDefault="003244AE" w:rsidP="005A1EF1">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3244AE" w:rsidRPr="00B11C0C" w14:paraId="743511C4" w14:textId="77777777" w:rsidTr="005A1EF1">
              <w:trPr>
                <w:trHeight w:val="395"/>
              </w:trPr>
              <w:tc>
                <w:tcPr>
                  <w:tcW w:w="0" w:type="auto"/>
                </w:tcPr>
                <w:p w14:paraId="5F0B9EDE" w14:textId="77777777" w:rsidR="003244AE" w:rsidRPr="00B11C0C" w:rsidRDefault="003244AE" w:rsidP="005A1EF1">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5BDA9EF0" w14:textId="77777777" w:rsidR="003244AE" w:rsidRPr="00B11C0C" w:rsidRDefault="003244AE" w:rsidP="005A1EF1">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6D10336D" w14:textId="77777777" w:rsidR="003244AE" w:rsidRPr="00B11C0C" w:rsidRDefault="003244AE" w:rsidP="005A1EF1">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2191DF6D" w14:textId="77777777" w:rsidR="003244AE" w:rsidRPr="00B11C0C" w:rsidRDefault="003244AE" w:rsidP="005A1EF1">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3244AE" w:rsidRPr="00B11C0C" w14:paraId="743493E3" w14:textId="77777777" w:rsidTr="005A1EF1">
              <w:trPr>
                <w:trHeight w:val="395"/>
              </w:trPr>
              <w:tc>
                <w:tcPr>
                  <w:tcW w:w="0" w:type="auto"/>
                </w:tcPr>
                <w:p w14:paraId="32F77CBF" w14:textId="77777777" w:rsidR="003244AE" w:rsidRPr="00B11C0C" w:rsidRDefault="003244AE" w:rsidP="005A1EF1">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5B797EA1" w14:textId="77777777" w:rsidR="003244AE" w:rsidRPr="00B11C0C" w:rsidRDefault="003244AE" w:rsidP="005A1EF1">
                  <w:pPr>
                    <w:spacing w:line="360" w:lineRule="auto"/>
                    <w:outlineLvl w:val="1"/>
                    <w:rPr>
                      <w:rFonts w:eastAsia="Calibri" w:cs="Times New Roman"/>
                      <w:sz w:val="20"/>
                      <w:szCs w:val="24"/>
                    </w:rPr>
                  </w:pPr>
                  <w:r>
                    <w:rPr>
                      <w:rFonts w:eastAsia="Calibri" w:cs="Times New Roman"/>
                      <w:sz w:val="20"/>
                      <w:szCs w:val="24"/>
                    </w:rPr>
                    <w:t>September-22</w:t>
                  </w:r>
                </w:p>
              </w:tc>
              <w:tc>
                <w:tcPr>
                  <w:tcW w:w="0" w:type="auto"/>
                </w:tcPr>
                <w:p w14:paraId="5EFBDF1F" w14:textId="77777777" w:rsidR="003244AE" w:rsidRPr="00B11C0C" w:rsidRDefault="003244AE" w:rsidP="005A1EF1">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7FAB9308" w14:textId="77777777" w:rsidR="003244AE" w:rsidRPr="00B11C0C" w:rsidRDefault="003244AE" w:rsidP="005A1EF1">
                  <w:pPr>
                    <w:spacing w:line="360" w:lineRule="auto"/>
                    <w:outlineLvl w:val="1"/>
                    <w:rPr>
                      <w:rFonts w:eastAsia="Calibri" w:cs="Times New Roman"/>
                      <w:sz w:val="20"/>
                      <w:szCs w:val="24"/>
                    </w:rPr>
                  </w:pPr>
                  <w:r>
                    <w:rPr>
                      <w:rFonts w:eastAsia="Calibri" w:cs="Times New Roman"/>
                      <w:sz w:val="20"/>
                      <w:szCs w:val="24"/>
                    </w:rPr>
                    <w:t>L Spulak</w:t>
                  </w:r>
                </w:p>
              </w:tc>
            </w:tr>
          </w:tbl>
          <w:p w14:paraId="201A6094" w14:textId="77777777" w:rsidR="003244AE" w:rsidRPr="00586F66" w:rsidRDefault="003244AE" w:rsidP="005A1EF1">
            <w:pPr>
              <w:pStyle w:val="BodyText"/>
              <w:spacing w:after="0"/>
              <w:rPr>
                <w:sz w:val="20"/>
                <w:szCs w:val="20"/>
              </w:rPr>
            </w:pPr>
          </w:p>
        </w:tc>
      </w:tr>
    </w:tbl>
    <w:p w14:paraId="1630D0E3" w14:textId="77777777" w:rsidR="003244AE" w:rsidRPr="003244AE" w:rsidRDefault="003244AE" w:rsidP="003244AE">
      <w:pPr>
        <w:spacing w:after="200" w:line="276" w:lineRule="auto"/>
        <w:rPr>
          <w:rFonts w:ascii="Calibri" w:eastAsiaTheme="minorHAnsi" w:hAnsi="Calibri" w:cstheme="minorBidi"/>
          <w:sz w:val="20"/>
        </w:rPr>
      </w:pPr>
    </w:p>
    <w:p w14:paraId="69CA4C36" w14:textId="77777777" w:rsidR="003244AE" w:rsidRPr="003244AE" w:rsidRDefault="003244AE" w:rsidP="003244AE">
      <w:pPr>
        <w:spacing w:after="200" w:line="276" w:lineRule="auto"/>
        <w:rPr>
          <w:rFonts w:ascii="Arial" w:eastAsiaTheme="minorHAnsi" w:hAnsi="Arial" w:cs="Arial"/>
          <w:szCs w:val="24"/>
        </w:rPr>
      </w:pPr>
    </w:p>
    <w:sectPr w:rsidR="003244AE" w:rsidRPr="003244AE" w:rsidSect="003244AE">
      <w:footerReference w:type="default" r:id="rId14"/>
      <w:footerReference w:type="first" r:id="rId15"/>
      <w:pgSz w:w="11907" w:h="16839" w:code="9"/>
      <w:pgMar w:top="1440" w:right="1440" w:bottom="1440" w:left="1440"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D8DB" w14:textId="77777777" w:rsidR="006B1222" w:rsidRDefault="006B1222" w:rsidP="001440B3">
      <w:r>
        <w:separator/>
      </w:r>
    </w:p>
  </w:endnote>
  <w:endnote w:type="continuationSeparator" w:id="0">
    <w:p w14:paraId="77254DEF" w14:textId="77777777" w:rsidR="006B1222" w:rsidRDefault="006B1222"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989B" w14:textId="77777777" w:rsidR="007D005D" w:rsidRDefault="007D0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2CFD" w14:textId="1995117E" w:rsidR="007D005D" w:rsidRPr="007D005D" w:rsidRDefault="007D005D" w:rsidP="007D005D">
    <w:pPr>
      <w:pStyle w:val="Footer"/>
      <w:jc w:val="center"/>
      <w:rPr>
        <w:rFonts w:cs="Arial"/>
        <w:sz w:val="14"/>
      </w:rPr>
    </w:pPr>
    <w:r w:rsidRPr="007D005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3557" w14:textId="77777777" w:rsidR="007D005D" w:rsidRDefault="007D00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heme="minorHAnsi" w:hAnsi="Calibri" w:cstheme="minorBidi"/>
        <w:sz w:val="22"/>
        <w:szCs w:val="22"/>
      </w:rPr>
      <w:id w:val="1854766705"/>
      <w:docPartObj>
        <w:docPartGallery w:val="Page Numbers (Bottom of Page)"/>
        <w:docPartUnique/>
      </w:docPartObj>
    </w:sdtPr>
    <w:sdtEndPr>
      <w:rPr>
        <w:sz w:val="20"/>
        <w:szCs w:val="20"/>
      </w:rPr>
    </w:sdtEndPr>
    <w:sdtContent>
      <w:sdt>
        <w:sdtPr>
          <w:rPr>
            <w:rFonts w:ascii="Calibri" w:eastAsiaTheme="minorHAnsi" w:hAnsi="Calibri" w:cstheme="minorBidi"/>
            <w:sz w:val="22"/>
            <w:szCs w:val="22"/>
          </w:rPr>
          <w:id w:val="548889890"/>
          <w:docPartObj>
            <w:docPartGallery w:val="Page Numbers (Top of Page)"/>
            <w:docPartUnique/>
          </w:docPartObj>
        </w:sdtPr>
        <w:sdtEndPr>
          <w:rPr>
            <w:sz w:val="20"/>
            <w:szCs w:val="20"/>
          </w:rPr>
        </w:sdtEndPr>
        <w:sdtContent>
          <w:p w14:paraId="0F855024" w14:textId="77777777" w:rsidR="003244AE" w:rsidRPr="003244AE" w:rsidRDefault="003244AE" w:rsidP="003244AE">
            <w:pPr>
              <w:tabs>
                <w:tab w:val="center" w:pos="4513"/>
                <w:tab w:val="right" w:pos="9026"/>
              </w:tabs>
              <w:jc w:val="right"/>
              <w:rPr>
                <w:rFonts w:ascii="Calibri" w:eastAsiaTheme="minorHAnsi" w:hAnsi="Calibri" w:cstheme="minorBidi"/>
                <w:sz w:val="22"/>
                <w:szCs w:val="18"/>
              </w:rPr>
            </w:pPr>
            <w:r w:rsidRPr="003244AE">
              <w:rPr>
                <w:rFonts w:ascii="Calibri" w:eastAsiaTheme="minorHAnsi" w:hAnsi="Calibri" w:cstheme="minorBidi"/>
                <w:sz w:val="22"/>
                <w:szCs w:val="18"/>
              </w:rPr>
              <w:t xml:space="preserve">Page </w:t>
            </w:r>
            <w:r w:rsidRPr="003244AE">
              <w:rPr>
                <w:rFonts w:ascii="Calibri" w:eastAsiaTheme="minorHAnsi" w:hAnsi="Calibri" w:cstheme="minorBidi"/>
                <w:sz w:val="22"/>
                <w:szCs w:val="18"/>
              </w:rPr>
              <w:fldChar w:fldCharType="begin"/>
            </w:r>
            <w:r w:rsidRPr="003244AE">
              <w:rPr>
                <w:rFonts w:ascii="Calibri" w:eastAsiaTheme="minorHAnsi" w:hAnsi="Calibri" w:cstheme="minorBidi"/>
                <w:sz w:val="22"/>
                <w:szCs w:val="18"/>
              </w:rPr>
              <w:instrText xml:space="preserve"> PAGE </w:instrText>
            </w:r>
            <w:r w:rsidRPr="003244AE">
              <w:rPr>
                <w:rFonts w:ascii="Calibri" w:eastAsiaTheme="minorHAnsi" w:hAnsi="Calibri" w:cstheme="minorBidi"/>
                <w:sz w:val="22"/>
                <w:szCs w:val="18"/>
              </w:rPr>
              <w:fldChar w:fldCharType="separate"/>
            </w:r>
            <w:r w:rsidRPr="003244AE">
              <w:rPr>
                <w:rFonts w:ascii="Calibri" w:eastAsiaTheme="minorHAnsi" w:hAnsi="Calibri" w:cstheme="minorBidi"/>
                <w:sz w:val="22"/>
                <w:szCs w:val="18"/>
              </w:rPr>
              <w:t>2</w:t>
            </w:r>
            <w:r w:rsidRPr="003244AE">
              <w:rPr>
                <w:rFonts w:ascii="Calibri" w:eastAsiaTheme="minorHAnsi" w:hAnsi="Calibri" w:cstheme="minorBidi"/>
                <w:sz w:val="22"/>
                <w:szCs w:val="18"/>
              </w:rPr>
              <w:fldChar w:fldCharType="end"/>
            </w:r>
            <w:r w:rsidRPr="003244AE">
              <w:rPr>
                <w:rFonts w:ascii="Calibri" w:eastAsiaTheme="minorHAnsi" w:hAnsi="Calibri" w:cstheme="minorBidi"/>
                <w:sz w:val="22"/>
                <w:szCs w:val="18"/>
              </w:rPr>
              <w:t xml:space="preserve"> of </w:t>
            </w:r>
            <w:r w:rsidRPr="003244AE">
              <w:rPr>
                <w:rFonts w:ascii="Calibri" w:eastAsiaTheme="minorHAnsi" w:hAnsi="Calibri" w:cstheme="minorBidi"/>
                <w:sz w:val="22"/>
                <w:szCs w:val="18"/>
              </w:rPr>
              <w:fldChar w:fldCharType="begin"/>
            </w:r>
            <w:r w:rsidRPr="003244AE">
              <w:rPr>
                <w:rFonts w:ascii="Calibri" w:eastAsiaTheme="minorHAnsi" w:hAnsi="Calibri" w:cstheme="minorBidi"/>
                <w:sz w:val="22"/>
                <w:szCs w:val="18"/>
              </w:rPr>
              <w:instrText xml:space="preserve"> NUMPAGES  </w:instrText>
            </w:r>
            <w:r w:rsidRPr="003244AE">
              <w:rPr>
                <w:rFonts w:ascii="Calibri" w:eastAsiaTheme="minorHAnsi" w:hAnsi="Calibri" w:cstheme="minorBidi"/>
                <w:sz w:val="22"/>
                <w:szCs w:val="18"/>
              </w:rPr>
              <w:fldChar w:fldCharType="separate"/>
            </w:r>
            <w:r w:rsidRPr="003244AE">
              <w:rPr>
                <w:rFonts w:ascii="Calibri" w:eastAsiaTheme="minorHAnsi" w:hAnsi="Calibri" w:cstheme="minorBidi"/>
                <w:sz w:val="22"/>
                <w:szCs w:val="18"/>
              </w:rPr>
              <w:t>5</w:t>
            </w:r>
            <w:r w:rsidRPr="003244AE">
              <w:rPr>
                <w:rFonts w:ascii="Calibri" w:eastAsiaTheme="minorHAnsi" w:hAnsi="Calibri" w:cstheme="minorBidi"/>
                <w:sz w:val="22"/>
                <w:szCs w:val="18"/>
              </w:rPr>
              <w:fldChar w:fldCharType="end"/>
            </w:r>
            <w:r w:rsidRPr="003244AE">
              <w:rPr>
                <w:rFonts w:ascii="Calibri" w:eastAsiaTheme="minorHAnsi" w:hAnsi="Calibri" w:cstheme="minorBidi"/>
                <w:sz w:val="22"/>
                <w:szCs w:val="18"/>
              </w:rPr>
              <w:t xml:space="preserve">    </w:t>
            </w:r>
          </w:p>
        </w:sdtContent>
      </w:sdt>
    </w:sdtContent>
  </w:sdt>
  <w:p w14:paraId="08601FA4" w14:textId="774DAE0A" w:rsidR="003244AE" w:rsidRPr="007D005D" w:rsidRDefault="007D005D" w:rsidP="007D005D">
    <w:pPr>
      <w:pStyle w:val="Footer"/>
      <w:jc w:val="center"/>
      <w:rPr>
        <w:rFonts w:cs="Arial"/>
        <w:sz w:val="14"/>
      </w:rPr>
    </w:pPr>
    <w:r w:rsidRPr="007D005D">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5F9C" w14:textId="10C56CED" w:rsidR="003244AE" w:rsidRDefault="003244AE">
    <w:pPr>
      <w:pStyle w:val="Footer"/>
    </w:pPr>
  </w:p>
  <w:p w14:paraId="00F07AC5" w14:textId="06CCBBCF" w:rsidR="003244AE" w:rsidRPr="007D005D" w:rsidRDefault="007D005D" w:rsidP="007D005D">
    <w:pPr>
      <w:pStyle w:val="Footer"/>
      <w:jc w:val="center"/>
      <w:rPr>
        <w:rFonts w:cs="Arial"/>
        <w:sz w:val="14"/>
      </w:rPr>
    </w:pPr>
    <w:r w:rsidRPr="007D005D">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ADED" w14:textId="77777777" w:rsidR="006B1222" w:rsidRDefault="006B1222" w:rsidP="001440B3">
      <w:r>
        <w:separator/>
      </w:r>
    </w:p>
  </w:footnote>
  <w:footnote w:type="continuationSeparator" w:id="0">
    <w:p w14:paraId="426AF5EB" w14:textId="77777777" w:rsidR="006B1222" w:rsidRDefault="006B1222"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E7CA" w14:textId="77777777" w:rsidR="007D005D" w:rsidRDefault="007D0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0D9F" w14:textId="77777777" w:rsidR="003244AE" w:rsidRPr="003244AE" w:rsidRDefault="003244AE" w:rsidP="003244AE">
    <w:pPr>
      <w:tabs>
        <w:tab w:val="center" w:pos="4513"/>
        <w:tab w:val="right" w:pos="9026"/>
      </w:tabs>
      <w:rPr>
        <w:rFonts w:asciiTheme="minorHAnsi" w:eastAsiaTheme="minorHAnsi" w:hAnsiTheme="minorHAnsi" w:cstheme="minorBid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7065" w14:textId="77777777" w:rsidR="003244AE" w:rsidRPr="003244AE" w:rsidRDefault="003244AE" w:rsidP="003244AE">
    <w:pPr>
      <w:tabs>
        <w:tab w:val="center" w:pos="4513"/>
        <w:tab w:val="right" w:pos="9026"/>
      </w:tabs>
      <w:rPr>
        <w:rFonts w:asciiTheme="minorHAnsi" w:eastAsiaTheme="minorHAnsi" w:hAnsiTheme="minorHAnsi" w:cstheme="minorBidi"/>
        <w:b/>
        <w:bCs/>
        <w:color w:val="808080"/>
        <w:spacing w:val="24"/>
        <w:sz w:val="20"/>
      </w:rPr>
    </w:pPr>
    <w:r w:rsidRPr="003244AE">
      <w:rPr>
        <w:rFonts w:asciiTheme="minorHAnsi" w:eastAsiaTheme="minorHAnsi" w:hAnsiTheme="minorHAnsi" w:cstheme="minorBidi"/>
        <w:noProof/>
        <w:sz w:val="22"/>
        <w:szCs w:val="22"/>
        <w:lang w:eastAsia="en-AU"/>
      </w:rPr>
      <w:drawing>
        <wp:inline distT="0" distB="0" distL="0" distR="0" wp14:anchorId="7CF1A290" wp14:editId="5CF66047">
          <wp:extent cx="2190750" cy="676275"/>
          <wp:effectExtent l="19050" t="0" r="0" b="0"/>
          <wp:docPr id="2"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3244AE">
      <w:rPr>
        <w:rFonts w:asciiTheme="minorHAnsi" w:eastAsiaTheme="minorHAnsi" w:hAnsiTheme="minorHAnsi" w:cstheme="minorBidi"/>
        <w:b/>
        <w:bCs/>
        <w:color w:val="808080"/>
        <w:spacing w:val="24"/>
        <w:sz w:val="20"/>
      </w:rPr>
      <w:t xml:space="preserve">                                      ACT CORRECTIVE SERVICES</w:t>
    </w:r>
    <w:r w:rsidRPr="003244AE">
      <w:rPr>
        <w:rFonts w:asciiTheme="minorHAnsi" w:eastAsiaTheme="minorHAnsi" w:hAnsiTheme="minorHAnsi" w:cstheme="minorBidi"/>
        <w:noProof/>
        <w:sz w:val="22"/>
        <w:szCs w:val="22"/>
        <w:lang w:eastAsia="en-AU"/>
      </w:rPr>
      <w:t xml:space="preserve"> </w:t>
    </w:r>
    <w:r w:rsidRPr="003244AE">
      <w:rPr>
        <w:rFonts w:asciiTheme="minorHAnsi" w:eastAsiaTheme="minorHAnsi" w:hAnsiTheme="minorHAnsi" w:cstheme="minorBidi"/>
        <w:b/>
        <w:bCs/>
        <w:color w:val="808080"/>
        <w:spacing w:val="24"/>
        <w:sz w:val="20"/>
      </w:rPr>
      <w:t> </w:t>
    </w:r>
  </w:p>
  <w:p w14:paraId="791E491C" w14:textId="77777777" w:rsidR="003244AE" w:rsidRDefault="00324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E9638C"/>
    <w:multiLevelType w:val="hybridMultilevel"/>
    <w:tmpl w:val="2C1A543E"/>
    <w:lvl w:ilvl="0" w:tplc="EA1260E2">
      <w:start w:val="1"/>
      <w:numFmt w:val="lowerLetter"/>
      <w:pStyle w:val="Indenttext2"/>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007" w:hanging="360"/>
      </w:pPr>
      <w:rPr>
        <w:rFont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E066EF"/>
    <w:multiLevelType w:val="hybridMultilevel"/>
    <w:tmpl w:val="EE3AE572"/>
    <w:lvl w:ilvl="0" w:tplc="3D4039E2">
      <w:numFmt w:val="bullet"/>
      <w:lvlText w:val=""/>
      <w:lvlJc w:val="left"/>
      <w:pPr>
        <w:ind w:left="927" w:hanging="360"/>
      </w:pPr>
      <w:rPr>
        <w:rFonts w:ascii="Symbol" w:eastAsiaTheme="minorHAnsi"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39B7037"/>
    <w:multiLevelType w:val="hybridMultilevel"/>
    <w:tmpl w:val="DC542CB6"/>
    <w:lvl w:ilvl="0" w:tplc="938261E2">
      <w:start w:val="1"/>
      <w:numFmt w:val="bullet"/>
      <w:pStyle w:val="RelatedDocume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2" w15:restartNumberingAfterBreak="0">
    <w:nsid w:val="7B512A53"/>
    <w:multiLevelType w:val="multilevel"/>
    <w:tmpl w:val="07E41428"/>
    <w:lvl w:ilvl="0">
      <w:start w:val="1"/>
      <w:numFmt w:val="decimal"/>
      <w:pStyle w:val="SectionHeading"/>
      <w:lvlText w:val="%1."/>
      <w:lvlJc w:val="left"/>
      <w:pPr>
        <w:ind w:left="360" w:hanging="360"/>
      </w:pPr>
      <w:rPr>
        <w:b/>
        <w:bCs/>
      </w:rPr>
    </w:lvl>
    <w:lvl w:ilvl="1">
      <w:start w:val="1"/>
      <w:numFmt w:val="decimal"/>
      <w:pStyle w:val="Indent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0388624">
    <w:abstractNumId w:val="3"/>
  </w:num>
  <w:num w:numId="2" w16cid:durableId="1429041931">
    <w:abstractNumId w:val="0"/>
  </w:num>
  <w:num w:numId="3" w16cid:durableId="1695769045">
    <w:abstractNumId w:val="4"/>
  </w:num>
  <w:num w:numId="4" w16cid:durableId="1275986810">
    <w:abstractNumId w:val="9"/>
  </w:num>
  <w:num w:numId="5" w16cid:durableId="1975020118">
    <w:abstractNumId w:val="10"/>
  </w:num>
  <w:num w:numId="6" w16cid:durableId="524363188">
    <w:abstractNumId w:val="2"/>
  </w:num>
  <w:num w:numId="7" w16cid:durableId="2060664753">
    <w:abstractNumId w:val="7"/>
  </w:num>
  <w:num w:numId="8" w16cid:durableId="1211841220">
    <w:abstractNumId w:val="8"/>
  </w:num>
  <w:num w:numId="9" w16cid:durableId="298850639">
    <w:abstractNumId w:val="11"/>
  </w:num>
  <w:num w:numId="10" w16cid:durableId="1871066636">
    <w:abstractNumId w:val="12"/>
  </w:num>
  <w:num w:numId="11" w16cid:durableId="669219807">
    <w:abstractNumId w:val="1"/>
  </w:num>
  <w:num w:numId="12" w16cid:durableId="221529240">
    <w:abstractNumId w:val="1"/>
    <w:lvlOverride w:ilvl="0">
      <w:startOverride w:val="1"/>
    </w:lvlOverride>
  </w:num>
  <w:num w:numId="13" w16cid:durableId="148251718">
    <w:abstractNumId w:val="1"/>
    <w:lvlOverride w:ilvl="0">
      <w:startOverride w:val="1"/>
    </w:lvlOverride>
  </w:num>
  <w:num w:numId="14" w16cid:durableId="770856165">
    <w:abstractNumId w:val="1"/>
    <w:lvlOverride w:ilvl="0">
      <w:startOverride w:val="1"/>
    </w:lvlOverride>
  </w:num>
  <w:num w:numId="15" w16cid:durableId="817722060">
    <w:abstractNumId w:val="5"/>
  </w:num>
  <w:num w:numId="16" w16cid:durableId="438261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22"/>
    <w:rsid w:val="00063DC9"/>
    <w:rsid w:val="001440B3"/>
    <w:rsid w:val="00222933"/>
    <w:rsid w:val="00283719"/>
    <w:rsid w:val="003244AE"/>
    <w:rsid w:val="0042011A"/>
    <w:rsid w:val="004C7E25"/>
    <w:rsid w:val="00504DBA"/>
    <w:rsid w:val="00525963"/>
    <w:rsid w:val="006B1222"/>
    <w:rsid w:val="007D005D"/>
    <w:rsid w:val="007F6BA4"/>
    <w:rsid w:val="00981734"/>
    <w:rsid w:val="009B1F72"/>
    <w:rsid w:val="00AA35F7"/>
    <w:rsid w:val="00CC7295"/>
    <w:rsid w:val="00D551B4"/>
    <w:rsid w:val="00DC3E46"/>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92DA3"/>
  <w15:docId w15:val="{74A35C32-3E53-4E83-A4C5-1B4946A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table" w:styleId="TableGrid">
    <w:name w:val="Table Grid"/>
    <w:basedOn w:val="TableNormal"/>
    <w:uiPriority w:val="59"/>
    <w:rsid w:val="003244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3244AE"/>
    <w:pPr>
      <w:spacing w:after="200" w:line="276" w:lineRule="auto"/>
      <w:ind w:left="720"/>
      <w:contextualSpacing/>
    </w:pPr>
    <w:rPr>
      <w:rFonts w:asciiTheme="minorHAnsi" w:eastAsiaTheme="minorHAnsi" w:hAnsiTheme="minorHAnsi" w:cstheme="minorBidi"/>
      <w:sz w:val="22"/>
      <w:szCs w:val="22"/>
    </w:rPr>
  </w:style>
  <w:style w:type="paragraph" w:customStyle="1" w:styleId="Heading11">
    <w:name w:val="Heading 11"/>
    <w:basedOn w:val="Normal"/>
    <w:link w:val="HEADING1Char"/>
    <w:qFormat/>
    <w:rsid w:val="003244AE"/>
    <w:pPr>
      <w:spacing w:before="240" w:after="200" w:line="276" w:lineRule="auto"/>
    </w:pPr>
    <w:rPr>
      <w:rFonts w:asciiTheme="minorHAnsi" w:eastAsiaTheme="minorHAnsi" w:hAnsiTheme="minorHAnsi" w:cs="Arial"/>
      <w:b/>
      <w:sz w:val="22"/>
      <w:szCs w:val="22"/>
    </w:rPr>
  </w:style>
  <w:style w:type="paragraph" w:customStyle="1" w:styleId="Normaltext">
    <w:name w:val="Normal text"/>
    <w:basedOn w:val="Normal"/>
    <w:link w:val="NormaltextChar"/>
    <w:qFormat/>
    <w:rsid w:val="003244AE"/>
    <w:pPr>
      <w:spacing w:before="240" w:after="200" w:line="276" w:lineRule="auto"/>
    </w:pPr>
    <w:rPr>
      <w:rFonts w:asciiTheme="minorHAnsi" w:eastAsiaTheme="minorHAnsi" w:hAnsiTheme="minorHAnsi" w:cs="Arial"/>
      <w:sz w:val="22"/>
      <w:szCs w:val="22"/>
    </w:rPr>
  </w:style>
  <w:style w:type="character" w:customStyle="1" w:styleId="HEADING1Char">
    <w:name w:val="HEADING 1 Char"/>
    <w:basedOn w:val="DefaultParagraphFont"/>
    <w:link w:val="Heading11"/>
    <w:rsid w:val="003244AE"/>
    <w:rPr>
      <w:rFonts w:asciiTheme="minorHAnsi" w:eastAsiaTheme="minorHAnsi" w:hAnsiTheme="minorHAnsi" w:cs="Arial"/>
      <w:b/>
      <w:sz w:val="22"/>
      <w:szCs w:val="22"/>
      <w:lang w:eastAsia="en-US"/>
    </w:rPr>
  </w:style>
  <w:style w:type="paragraph" w:customStyle="1" w:styleId="SectionHeading">
    <w:name w:val="Section Heading"/>
    <w:basedOn w:val="ListParagraph"/>
    <w:link w:val="SectionHeadingChar"/>
    <w:qFormat/>
    <w:rsid w:val="003244AE"/>
    <w:pPr>
      <w:numPr>
        <w:numId w:val="10"/>
      </w:numPr>
      <w:spacing w:before="60" w:after="0"/>
      <w:ind w:left="567" w:hanging="567"/>
      <w:contextualSpacing w:val="0"/>
    </w:pPr>
    <w:rPr>
      <w:rFonts w:cs="Arial"/>
      <w:b/>
      <w:bCs/>
    </w:rPr>
  </w:style>
  <w:style w:type="character" w:customStyle="1" w:styleId="NormaltextChar">
    <w:name w:val="Normal text Char"/>
    <w:basedOn w:val="DefaultParagraphFont"/>
    <w:link w:val="Normaltext"/>
    <w:rsid w:val="003244AE"/>
    <w:rPr>
      <w:rFonts w:asciiTheme="minorHAnsi" w:eastAsiaTheme="minorHAnsi" w:hAnsiTheme="minorHAnsi" w:cs="Arial"/>
      <w:sz w:val="22"/>
      <w:szCs w:val="22"/>
      <w:lang w:eastAsia="en-US"/>
    </w:rPr>
  </w:style>
  <w:style w:type="paragraph" w:customStyle="1" w:styleId="Indenttext1">
    <w:name w:val="Indent text 1"/>
    <w:basedOn w:val="ListParagraph"/>
    <w:link w:val="Indenttext1Char"/>
    <w:qFormat/>
    <w:rsid w:val="003244AE"/>
    <w:pPr>
      <w:numPr>
        <w:ilvl w:val="1"/>
        <w:numId w:val="10"/>
      </w:numPr>
      <w:spacing w:before="60" w:after="0"/>
      <w:ind w:left="567" w:hanging="567"/>
      <w:contextualSpacing w:val="0"/>
    </w:pPr>
    <w:rPr>
      <w:rFonts w:cs="Arial"/>
    </w:rPr>
  </w:style>
  <w:style w:type="character" w:customStyle="1" w:styleId="ListParagraphChar">
    <w:name w:val="List Paragraph Char"/>
    <w:basedOn w:val="DefaultParagraphFont"/>
    <w:link w:val="ListParagraph"/>
    <w:uiPriority w:val="34"/>
    <w:rsid w:val="003244AE"/>
    <w:rPr>
      <w:rFonts w:asciiTheme="minorHAnsi" w:eastAsiaTheme="minorHAnsi" w:hAnsiTheme="minorHAnsi" w:cstheme="minorBidi"/>
      <w:sz w:val="22"/>
      <w:szCs w:val="22"/>
      <w:lang w:eastAsia="en-US"/>
    </w:rPr>
  </w:style>
  <w:style w:type="character" w:customStyle="1" w:styleId="SectionHeadingChar">
    <w:name w:val="Section Heading Char"/>
    <w:basedOn w:val="ListParagraphChar"/>
    <w:link w:val="SectionHeading"/>
    <w:rsid w:val="003244AE"/>
    <w:rPr>
      <w:rFonts w:asciiTheme="minorHAnsi" w:eastAsiaTheme="minorHAnsi" w:hAnsiTheme="minorHAnsi" w:cs="Arial"/>
      <w:b/>
      <w:bCs/>
      <w:sz w:val="22"/>
      <w:szCs w:val="22"/>
      <w:lang w:eastAsia="en-US"/>
    </w:rPr>
  </w:style>
  <w:style w:type="paragraph" w:customStyle="1" w:styleId="Indenttext2">
    <w:name w:val="Indent text 2"/>
    <w:basedOn w:val="ListParagraph"/>
    <w:link w:val="Indenttext2Char"/>
    <w:qFormat/>
    <w:rsid w:val="003244AE"/>
    <w:pPr>
      <w:numPr>
        <w:numId w:val="11"/>
      </w:numPr>
      <w:spacing w:before="60" w:after="0"/>
      <w:contextualSpacing w:val="0"/>
    </w:pPr>
    <w:rPr>
      <w:rFonts w:cs="Arial"/>
    </w:rPr>
  </w:style>
  <w:style w:type="character" w:customStyle="1" w:styleId="Indenttext1Char">
    <w:name w:val="Indent text 1 Char"/>
    <w:basedOn w:val="ListParagraphChar"/>
    <w:link w:val="Indenttext1"/>
    <w:rsid w:val="003244AE"/>
    <w:rPr>
      <w:rFonts w:asciiTheme="minorHAnsi" w:eastAsiaTheme="minorHAnsi" w:hAnsiTheme="minorHAnsi" w:cs="Arial"/>
      <w:sz w:val="22"/>
      <w:szCs w:val="22"/>
      <w:lang w:eastAsia="en-US"/>
    </w:rPr>
  </w:style>
  <w:style w:type="character" w:customStyle="1" w:styleId="Indenttext2Char">
    <w:name w:val="Indent text 2 Char"/>
    <w:basedOn w:val="ListParagraphChar"/>
    <w:link w:val="Indenttext2"/>
    <w:rsid w:val="003244AE"/>
    <w:rPr>
      <w:rFonts w:asciiTheme="minorHAnsi" w:eastAsiaTheme="minorHAnsi" w:hAnsiTheme="minorHAnsi" w:cs="Arial"/>
      <w:sz w:val="22"/>
      <w:szCs w:val="22"/>
      <w:lang w:eastAsia="en-US"/>
    </w:rPr>
  </w:style>
  <w:style w:type="paragraph" w:styleId="BodyText">
    <w:name w:val="Body Text"/>
    <w:basedOn w:val="Normal"/>
    <w:link w:val="BodyTextChar"/>
    <w:uiPriority w:val="99"/>
    <w:unhideWhenUsed/>
    <w:rsid w:val="003244AE"/>
    <w:pPr>
      <w:spacing w:after="120" w:line="276" w:lineRule="auto"/>
    </w:pPr>
    <w:rPr>
      <w:rFonts w:ascii="Calibri" w:eastAsiaTheme="minorHAnsi" w:hAnsi="Calibri"/>
      <w:sz w:val="22"/>
      <w:szCs w:val="22"/>
      <w:lang w:eastAsia="en-AU"/>
    </w:rPr>
  </w:style>
  <w:style w:type="character" w:customStyle="1" w:styleId="BodyTextChar">
    <w:name w:val="Body Text Char"/>
    <w:basedOn w:val="DefaultParagraphFont"/>
    <w:link w:val="BodyText"/>
    <w:uiPriority w:val="99"/>
    <w:rsid w:val="003244AE"/>
    <w:rPr>
      <w:rFonts w:ascii="Calibri" w:eastAsiaTheme="minorHAnsi" w:hAnsi="Calibri"/>
      <w:sz w:val="22"/>
      <w:szCs w:val="22"/>
    </w:rPr>
  </w:style>
  <w:style w:type="paragraph" w:customStyle="1" w:styleId="TableText">
    <w:name w:val="Table Text"/>
    <w:basedOn w:val="Normal"/>
    <w:rsid w:val="003244AE"/>
    <w:pPr>
      <w:spacing w:before="40" w:after="40"/>
    </w:pPr>
    <w:rPr>
      <w:rFonts w:ascii="Arial" w:eastAsiaTheme="minorHAnsi" w:hAnsi="Arial" w:cs="Arial"/>
      <w:sz w:val="18"/>
      <w:szCs w:val="18"/>
      <w:lang w:eastAsia="en-AU"/>
    </w:rPr>
  </w:style>
  <w:style w:type="paragraph" w:customStyle="1" w:styleId="TableHeader">
    <w:name w:val="Table Header"/>
    <w:basedOn w:val="Normal"/>
    <w:rsid w:val="003244AE"/>
    <w:pPr>
      <w:keepNext/>
      <w:spacing w:before="60" w:after="20"/>
    </w:pPr>
    <w:rPr>
      <w:rFonts w:ascii="Arial" w:eastAsiaTheme="minorHAnsi" w:hAnsi="Arial" w:cs="Arial"/>
      <w:b/>
      <w:bCs/>
      <w:color w:val="FFFFFF"/>
      <w:sz w:val="20"/>
      <w:lang w:eastAsia="en-AU"/>
    </w:rPr>
  </w:style>
  <w:style w:type="paragraph" w:styleId="NoSpacing">
    <w:name w:val="No Spacing"/>
    <w:uiPriority w:val="1"/>
    <w:rsid w:val="003244AE"/>
    <w:rPr>
      <w:rFonts w:asciiTheme="minorHAnsi" w:eastAsiaTheme="minorHAnsi" w:hAnsiTheme="minorHAnsi" w:cstheme="minorBidi"/>
      <w:sz w:val="22"/>
      <w:szCs w:val="22"/>
      <w:lang w:eastAsia="en-US"/>
    </w:rPr>
  </w:style>
  <w:style w:type="paragraph" w:customStyle="1" w:styleId="RelatedDocuments">
    <w:name w:val="Related Documents"/>
    <w:basedOn w:val="ListParagraph"/>
    <w:link w:val="RelatedDocumentsChar"/>
    <w:qFormat/>
    <w:rsid w:val="003244AE"/>
    <w:pPr>
      <w:numPr>
        <w:numId w:val="16"/>
      </w:numPr>
      <w:ind w:left="567" w:hanging="567"/>
    </w:pPr>
    <w:rPr>
      <w:rFonts w:cs="Arial"/>
    </w:rPr>
  </w:style>
  <w:style w:type="character" w:customStyle="1" w:styleId="RelatedDocumentsChar">
    <w:name w:val="Related Documents Char"/>
    <w:basedOn w:val="ListParagraphChar"/>
    <w:link w:val="RelatedDocuments"/>
    <w:rsid w:val="003244AE"/>
    <w:rPr>
      <w:rFonts w:asciiTheme="minorHAnsi" w:eastAsiaTheme="minorHAnsi" w:hAnsi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cic.gov.au/our-services/national-police-checking-service/find-out-more-information/appeals-and-disput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7840</Characters>
  <Application>Microsoft Office Word</Application>
  <DocSecurity>0</DocSecurity>
  <Lines>192</Lines>
  <Paragraphs>108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Papadopoulo, Jonathon</dc:creator>
  <cp:keywords/>
  <dc:description/>
  <cp:lastModifiedBy>PCODCS</cp:lastModifiedBy>
  <cp:revision>4</cp:revision>
  <cp:lastPrinted>2004-04-05T00:37:00Z</cp:lastPrinted>
  <dcterms:created xsi:type="dcterms:W3CDTF">2023-02-17T01:44:00Z</dcterms:created>
  <dcterms:modified xsi:type="dcterms:W3CDTF">2023-02-17T01:44:00Z</dcterms:modified>
</cp:coreProperties>
</file>