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284A733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661344">
        <w:t>3</w:t>
      </w:r>
      <w:r w:rsidRPr="00B91C00">
        <w:t xml:space="preserve"> (No</w:t>
      </w:r>
      <w:r>
        <w:t xml:space="preserve"> </w:t>
      </w:r>
      <w:r w:rsidR="00F028EA">
        <w:t>30</w:t>
      </w:r>
      <w:r w:rsidRPr="00B91C00">
        <w:t>)</w:t>
      </w:r>
    </w:p>
    <w:p w14:paraId="6192023C" w14:textId="1B8678B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661344">
        <w:rPr>
          <w:rFonts w:ascii="Arial" w:hAnsi="Arial" w:cs="Arial"/>
          <w:b/>
          <w:bCs/>
        </w:rPr>
        <w:t>3</w:t>
      </w:r>
      <w:r w:rsidR="002822EB">
        <w:rPr>
          <w:rFonts w:ascii="Arial" w:hAnsi="Arial" w:cs="Arial"/>
          <w:b/>
          <w:bCs/>
        </w:rPr>
        <w:t xml:space="preserve"> - </w:t>
      </w:r>
      <w:r w:rsidR="00A14C46">
        <w:rPr>
          <w:rFonts w:ascii="Arial" w:hAnsi="Arial" w:cs="Arial"/>
          <w:b/>
          <w:bCs/>
        </w:rPr>
        <w:t>849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4FE6680A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023</w:t>
      </w:r>
      <w:r w:rsidR="00B91C00" w:rsidRPr="00B91C00">
        <w:rPr>
          <w:i/>
          <w:iCs/>
        </w:rPr>
        <w:t xml:space="preserve"> (No</w:t>
      </w:r>
      <w:r w:rsidR="00E50DEB">
        <w:rPr>
          <w:i/>
          <w:iCs/>
        </w:rPr>
        <w:t xml:space="preserve"> </w:t>
      </w:r>
      <w:r w:rsidR="00F028EA">
        <w:rPr>
          <w:i/>
          <w:iCs/>
        </w:rPr>
        <w:t>30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1CDB720C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715BA">
        <w:t>0</w:t>
      </w:r>
      <w:r w:rsidR="00A804D0">
        <w:t>2</w:t>
      </w:r>
      <w:r w:rsidR="00FC7E4B">
        <w:t>3</w:t>
      </w:r>
      <w:r w:rsidR="00F6302F">
        <w:t xml:space="preserve"> </w:t>
      </w:r>
      <w:r w:rsidR="0052425B">
        <w:t>–</w:t>
      </w:r>
      <w:r w:rsidR="007D093D">
        <w:t xml:space="preserve"> </w:t>
      </w:r>
      <w:r w:rsidR="00F028EA">
        <w:t>488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299ACA85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F028EA">
        <w:rPr>
          <w:szCs w:val="24"/>
        </w:rPr>
        <w:t>Jessica Lauc</w:t>
      </w:r>
    </w:p>
    <w:p w14:paraId="213529B6" w14:textId="77777777" w:rsidR="00302C6E" w:rsidRDefault="00302C6E" w:rsidP="00CA5647">
      <w:pPr>
        <w:ind w:right="1225"/>
        <w:rPr>
          <w:szCs w:val="24"/>
        </w:rPr>
      </w:pP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3FCFA279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CA5647">
        <w:rPr>
          <w:szCs w:val="24"/>
        </w:rPr>
        <w:t xml:space="preserve"> </w:t>
      </w:r>
      <w:r w:rsidR="00A14C46">
        <w:rPr>
          <w:szCs w:val="24"/>
        </w:rPr>
        <w:t>20</w:t>
      </w:r>
      <w:r w:rsidR="00CA5647">
        <w:rPr>
          <w:szCs w:val="24"/>
        </w:rPr>
        <w:t xml:space="preserve"> </w:t>
      </w:r>
      <w:r w:rsidR="00F028EA">
        <w:rPr>
          <w:szCs w:val="24"/>
        </w:rPr>
        <w:t xml:space="preserve">December </w:t>
      </w:r>
      <w:r w:rsidR="003B18C8">
        <w:rPr>
          <w:szCs w:val="24"/>
        </w:rPr>
        <w:t>202</w:t>
      </w:r>
      <w:r w:rsidR="00F65F00">
        <w:rPr>
          <w:szCs w:val="24"/>
        </w:rPr>
        <w:t>3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520E" w14:textId="77777777" w:rsidR="00FB1D92" w:rsidRDefault="00FB1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4EF6C" w14:textId="04CD14DF" w:rsidR="00FB1D92" w:rsidRPr="00FB1D92" w:rsidRDefault="00FB1D92" w:rsidP="00FB1D92">
    <w:pPr>
      <w:pStyle w:val="Footer"/>
      <w:jc w:val="center"/>
      <w:rPr>
        <w:rFonts w:cs="Arial"/>
        <w:sz w:val="14"/>
      </w:rPr>
    </w:pPr>
    <w:r w:rsidRPr="00FB1D9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672" w14:textId="77777777" w:rsidR="00FB1D92" w:rsidRDefault="00FB1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58C7" w14:textId="77777777" w:rsidR="00FB1D92" w:rsidRDefault="00FB1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314C" w14:textId="77777777" w:rsidR="00FB1D92" w:rsidRDefault="00FB1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7CA7" w14:textId="77777777" w:rsidR="00FB1D92" w:rsidRDefault="00FB1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600"/>
    <w:rsid w:val="00020120"/>
    <w:rsid w:val="00057C16"/>
    <w:rsid w:val="00082083"/>
    <w:rsid w:val="000966CC"/>
    <w:rsid w:val="000B7F95"/>
    <w:rsid w:val="001221B6"/>
    <w:rsid w:val="00124019"/>
    <w:rsid w:val="001440B3"/>
    <w:rsid w:val="001505BA"/>
    <w:rsid w:val="00165A2B"/>
    <w:rsid w:val="001A27FB"/>
    <w:rsid w:val="001A2F67"/>
    <w:rsid w:val="001D3410"/>
    <w:rsid w:val="001E16FD"/>
    <w:rsid w:val="00217D0E"/>
    <w:rsid w:val="0022258A"/>
    <w:rsid w:val="00222933"/>
    <w:rsid w:val="00227690"/>
    <w:rsid w:val="002563CB"/>
    <w:rsid w:val="002632CC"/>
    <w:rsid w:val="002822EB"/>
    <w:rsid w:val="00283719"/>
    <w:rsid w:val="00297997"/>
    <w:rsid w:val="002A3950"/>
    <w:rsid w:val="00302C6E"/>
    <w:rsid w:val="00321C0B"/>
    <w:rsid w:val="003578F3"/>
    <w:rsid w:val="003B18C8"/>
    <w:rsid w:val="003B68BB"/>
    <w:rsid w:val="003E6E6C"/>
    <w:rsid w:val="0042011A"/>
    <w:rsid w:val="00420BD8"/>
    <w:rsid w:val="004331E7"/>
    <w:rsid w:val="00487A09"/>
    <w:rsid w:val="004C3424"/>
    <w:rsid w:val="005113E9"/>
    <w:rsid w:val="005134CF"/>
    <w:rsid w:val="00514CF2"/>
    <w:rsid w:val="0052425B"/>
    <w:rsid w:val="00525963"/>
    <w:rsid w:val="00534D3D"/>
    <w:rsid w:val="005500CD"/>
    <w:rsid w:val="00551150"/>
    <w:rsid w:val="005635CC"/>
    <w:rsid w:val="00573693"/>
    <w:rsid w:val="005847AA"/>
    <w:rsid w:val="005B380E"/>
    <w:rsid w:val="005C77ED"/>
    <w:rsid w:val="005E5935"/>
    <w:rsid w:val="005F04A0"/>
    <w:rsid w:val="006549B0"/>
    <w:rsid w:val="00661344"/>
    <w:rsid w:val="006A3897"/>
    <w:rsid w:val="006B0D13"/>
    <w:rsid w:val="006C6893"/>
    <w:rsid w:val="006E60F2"/>
    <w:rsid w:val="007046ED"/>
    <w:rsid w:val="00764A73"/>
    <w:rsid w:val="00765754"/>
    <w:rsid w:val="00796E9F"/>
    <w:rsid w:val="007D093D"/>
    <w:rsid w:val="008145AE"/>
    <w:rsid w:val="00816600"/>
    <w:rsid w:val="00851CB4"/>
    <w:rsid w:val="008D5E5D"/>
    <w:rsid w:val="00972BA0"/>
    <w:rsid w:val="009E298B"/>
    <w:rsid w:val="00A14C46"/>
    <w:rsid w:val="00A47DF1"/>
    <w:rsid w:val="00A518AE"/>
    <w:rsid w:val="00A531A3"/>
    <w:rsid w:val="00A767ED"/>
    <w:rsid w:val="00A804D0"/>
    <w:rsid w:val="00A92A80"/>
    <w:rsid w:val="00A97FA6"/>
    <w:rsid w:val="00AA35F7"/>
    <w:rsid w:val="00B01743"/>
    <w:rsid w:val="00B11813"/>
    <w:rsid w:val="00B91C00"/>
    <w:rsid w:val="00B92621"/>
    <w:rsid w:val="00B94D2A"/>
    <w:rsid w:val="00B95DDF"/>
    <w:rsid w:val="00BC3558"/>
    <w:rsid w:val="00BD24A0"/>
    <w:rsid w:val="00C3182C"/>
    <w:rsid w:val="00C74479"/>
    <w:rsid w:val="00CA5647"/>
    <w:rsid w:val="00CB080D"/>
    <w:rsid w:val="00CF1275"/>
    <w:rsid w:val="00D502E1"/>
    <w:rsid w:val="00D715BA"/>
    <w:rsid w:val="00D924E0"/>
    <w:rsid w:val="00D9674C"/>
    <w:rsid w:val="00DB021E"/>
    <w:rsid w:val="00DD673B"/>
    <w:rsid w:val="00E30773"/>
    <w:rsid w:val="00E50DEB"/>
    <w:rsid w:val="00E72F32"/>
    <w:rsid w:val="00E74B57"/>
    <w:rsid w:val="00E93857"/>
    <w:rsid w:val="00EF6744"/>
    <w:rsid w:val="00F028EA"/>
    <w:rsid w:val="00F25872"/>
    <w:rsid w:val="00F50F1E"/>
    <w:rsid w:val="00F6302F"/>
    <w:rsid w:val="00F65F00"/>
    <w:rsid w:val="00F90023"/>
    <w:rsid w:val="00FA07CA"/>
    <w:rsid w:val="00FB1D92"/>
    <w:rsid w:val="00FC7B48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2023-12-20T06:06:00Z</cp:lastPrinted>
  <dcterms:created xsi:type="dcterms:W3CDTF">2023-12-20T23:41:00Z</dcterms:created>
  <dcterms:modified xsi:type="dcterms:W3CDTF">2023-12-20T23:41:00Z</dcterms:modified>
</cp:coreProperties>
</file>