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9A90" w14:textId="77777777" w:rsidR="002D6151" w:rsidRPr="002D6151" w:rsidRDefault="002D6151" w:rsidP="002D6151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2D6151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1401573D" w14:textId="77777777" w:rsidR="002D6151" w:rsidRPr="002D6151" w:rsidRDefault="002D6151" w:rsidP="002D6151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2D6151">
        <w:rPr>
          <w:rFonts w:ascii="Arial" w:eastAsia="Times New Roman" w:hAnsi="Arial" w:cs="Times New Roman"/>
          <w:b/>
          <w:sz w:val="40"/>
          <w:szCs w:val="20"/>
        </w:rPr>
        <w:t>Corrections Management (Transitional Release Community-based Employment) Operating Procedure 2023</w:t>
      </w:r>
    </w:p>
    <w:p w14:paraId="127C793C" w14:textId="77777777" w:rsidR="002D6151" w:rsidRPr="002D6151" w:rsidRDefault="002D6151" w:rsidP="002D6151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2D6151">
        <w:rPr>
          <w:rFonts w:ascii="Arial" w:eastAsia="Times New Roman" w:hAnsi="Arial" w:cs="Arial"/>
          <w:b/>
          <w:bCs/>
          <w:sz w:val="24"/>
          <w:szCs w:val="20"/>
        </w:rPr>
        <w:t>Notifiable instrument NI2023–88</w:t>
      </w:r>
    </w:p>
    <w:p w14:paraId="4C439D81" w14:textId="77777777" w:rsidR="002D6151" w:rsidRPr="002D6151" w:rsidRDefault="002D6151" w:rsidP="002D615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6151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8FE4C3B" w14:textId="77777777" w:rsidR="002D6151" w:rsidRPr="002D6151" w:rsidRDefault="002D6151" w:rsidP="002D6151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D6151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EBF62A1" w14:textId="77777777" w:rsidR="002D6151" w:rsidRPr="002D6151" w:rsidRDefault="002D6151" w:rsidP="002D615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37833D" w14:textId="77777777" w:rsidR="002D6151" w:rsidRPr="002D6151" w:rsidRDefault="002D6151" w:rsidP="002D615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B2C9AD" w14:textId="77777777" w:rsidR="002D6151" w:rsidRPr="002D6151" w:rsidRDefault="002D6151" w:rsidP="002D6151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615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D615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8EFB7E8" w14:textId="77777777" w:rsidR="002D6151" w:rsidRPr="002D6151" w:rsidRDefault="002D6151" w:rsidP="002D615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D615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2D6151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(Transitional Release Community-based Employment) Operating Procedure 2023</w:t>
      </w:r>
      <w:r w:rsidRPr="002D615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F6F12BF" w14:textId="77777777" w:rsidR="002D6151" w:rsidRPr="002D6151" w:rsidRDefault="002D6151" w:rsidP="002D615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615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2D615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32F36ED" w14:textId="77777777" w:rsidR="002D6151" w:rsidRPr="002D6151" w:rsidRDefault="002D6151" w:rsidP="002D615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D6151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255B0096" w14:textId="77777777" w:rsidR="002D6151" w:rsidRPr="002D6151" w:rsidRDefault="002D6151" w:rsidP="002D6151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D615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D615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2F322FD8" w14:textId="77777777" w:rsidR="002D6151" w:rsidRPr="002D6151" w:rsidRDefault="002D6151" w:rsidP="002D6151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2D6151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2D615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33623189" w14:textId="77777777" w:rsidR="002D6151" w:rsidRPr="002D6151" w:rsidRDefault="002D6151" w:rsidP="002D6151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1313DC" w14:textId="77777777" w:rsidR="002D6151" w:rsidRPr="002D6151" w:rsidRDefault="002D6151" w:rsidP="002D6151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D6151">
        <w:rPr>
          <w:rFonts w:ascii="Times New Roman" w:eastAsia="Times New Roman" w:hAnsi="Times New Roman" w:cs="Times New Roman"/>
          <w:sz w:val="24"/>
          <w:szCs w:val="20"/>
        </w:rPr>
        <w:t xml:space="preserve">Ray Johnson </w:t>
      </w:r>
      <w:r w:rsidRPr="002D6151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APM</w:t>
      </w:r>
      <w:r w:rsidRPr="002D6151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2D6151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2D6151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2D6151">
        <w:rPr>
          <w:rFonts w:ascii="Times New Roman" w:eastAsia="Times New Roman" w:hAnsi="Times New Roman" w:cs="Times New Roman"/>
          <w:sz w:val="24"/>
          <w:szCs w:val="20"/>
        </w:rPr>
        <w:t>15 February 2023</w:t>
      </w:r>
    </w:p>
    <w:p w14:paraId="11FCB9D3" w14:textId="77777777" w:rsidR="002D6151" w:rsidRDefault="002D6151" w:rsidP="004D1932">
      <w:pPr>
        <w:spacing w:before="120" w:after="120"/>
        <w:rPr>
          <w:rFonts w:cs="Arial"/>
          <w:b/>
        </w:rPr>
        <w:sectPr w:rsidR="002D6151" w:rsidSect="00221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1C1501F7" w:rsidR="007B3718" w:rsidRPr="00202B3A" w:rsidRDefault="00167598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Transitional Release Community-based Employment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5447D617" w:rsidR="003A3CF7" w:rsidRPr="00586F66" w:rsidRDefault="009B232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D26.8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3923AE77" w:rsidR="00510017" w:rsidRPr="00A4017C" w:rsidRDefault="009B2326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Transitional Release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303EAE83" w14:textId="0D8F15F6" w:rsidR="00167598" w:rsidRDefault="00CA5293" w:rsidP="00167598">
      <w:pPr>
        <w:pStyle w:val="NormalWeb"/>
        <w:spacing w:before="240" w:beforeAutospacing="0" w:after="15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167598">
        <w:rPr>
          <w:rStyle w:val="ms-rtethemefontface-1"/>
          <w:rFonts w:asciiTheme="minorHAnsi" w:hAnsiTheme="minorHAnsi" w:cstheme="minorHAnsi"/>
          <w:sz w:val="22"/>
          <w:szCs w:val="22"/>
        </w:rPr>
        <w:t>To provide instructions to</w:t>
      </w:r>
      <w:r w:rsidR="00522D99" w:rsidRP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staff working in Transitional Release, namely </w:t>
      </w:r>
      <w:r w:rsidR="00692E10">
        <w:rPr>
          <w:rStyle w:val="ms-rtethemefontface-1"/>
          <w:rFonts w:asciiTheme="minorHAnsi" w:hAnsiTheme="minorHAnsi" w:cstheme="minorHAnsi"/>
          <w:sz w:val="22"/>
          <w:szCs w:val="22"/>
        </w:rPr>
        <w:t xml:space="preserve">Offender Reintegration (OR) 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>Employment</w:t>
      </w:r>
      <w:r w:rsidR="00692E10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Officers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, on how to conduct a Workplace Assessment for an employer of a Transitional Release detainee and how to engage with an employer providing employment opportunities. </w:t>
      </w:r>
    </w:p>
    <w:p w14:paraId="6FB9B732" w14:textId="137CA912" w:rsidR="00167598" w:rsidRDefault="00692E10" w:rsidP="00167598">
      <w:pPr>
        <w:pStyle w:val="NormalWeb"/>
        <w:spacing w:before="240" w:beforeAutospacing="0" w:after="15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>An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s-rtethemefontface-1"/>
          <w:rFonts w:asciiTheme="minorHAnsi" w:hAnsiTheme="minorHAnsi" w:cstheme="minorHAnsi"/>
          <w:sz w:val="22"/>
          <w:szCs w:val="22"/>
        </w:rPr>
        <w:t xml:space="preserve">OR Employment Officer 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is responsible for ensuring the processes within this Operating Procedure and </w:t>
      </w:r>
      <w:r w:rsidR="00167598">
        <w:rPr>
          <w:rStyle w:val="ms-rtethemefontface-1"/>
          <w:rFonts w:asciiTheme="minorHAnsi" w:hAnsiTheme="minorHAnsi" w:cstheme="minorHAnsi"/>
          <w:i/>
          <w:iCs/>
          <w:sz w:val="22"/>
          <w:szCs w:val="22"/>
          <w:u w:val="single"/>
        </w:rPr>
        <w:t>Transitional Release Policy</w:t>
      </w:r>
      <w:r w:rsidR="00167598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are undertaken for all community-based work providers identified to provide work placements for detainees, whether paid or work experience. </w:t>
      </w:r>
    </w:p>
    <w:p w14:paraId="42B5F0AD" w14:textId="4764220C" w:rsidR="00167598" w:rsidRPr="00167598" w:rsidRDefault="00167598" w:rsidP="00167598">
      <w:pPr>
        <w:pStyle w:val="NormalWeb"/>
        <w:spacing w:before="240" w:beforeAutospacing="0" w:after="150" w:afterAutospacing="0"/>
        <w:rPr>
          <w:rStyle w:val="ms-rtethemefontface-1"/>
          <w:rFonts w:asciiTheme="minorHAnsi" w:hAnsiTheme="minorHAnsi" w:cstheme="minorHAnsi"/>
          <w:sz w:val="22"/>
          <w:szCs w:val="22"/>
        </w:rPr>
      </w:pPr>
      <w:r>
        <w:rPr>
          <w:rStyle w:val="ms-rtethemefontface-1"/>
          <w:rFonts w:asciiTheme="minorHAnsi" w:hAnsiTheme="minorHAnsi" w:cstheme="minorHAnsi"/>
          <w:sz w:val="22"/>
          <w:szCs w:val="22"/>
        </w:rPr>
        <w:t xml:space="preserve">Only those detainees engaged in stage three of Transitional Release can engage in community-based work. Detainees engaged in stage one and stage two of Transitional Release must participate in AMC-based work or work crew (unless exempt as in receipt of an AMC pension). Refer to the </w:t>
      </w:r>
      <w:r w:rsidR="00692E10" w:rsidRPr="00692E10">
        <w:rPr>
          <w:rStyle w:val="ms-rtethemefontface-1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D26.5 </w:t>
      </w:r>
      <w:r>
        <w:rPr>
          <w:rStyle w:val="ms-rtethemefontface-1"/>
          <w:rFonts w:asciiTheme="minorHAnsi" w:hAnsiTheme="minorHAnsi" w:cstheme="minorHAnsi"/>
          <w:i/>
          <w:iCs/>
          <w:sz w:val="22"/>
          <w:szCs w:val="22"/>
          <w:u w:val="single"/>
        </w:rPr>
        <w:t>Transitional Release Staged Approach to Reintegration Operating Procedure</w:t>
      </w:r>
      <w:r>
        <w:rPr>
          <w:rStyle w:val="ms-rtethemefontface-1"/>
          <w:rFonts w:asciiTheme="minorHAnsi" w:hAnsiTheme="minorHAnsi" w:cstheme="minorHAnsi"/>
          <w:sz w:val="22"/>
          <w:szCs w:val="22"/>
        </w:rPr>
        <w:t xml:space="preserve"> for more information.</w:t>
      </w:r>
    </w:p>
    <w:p w14:paraId="4849DAC3" w14:textId="58DEEBE5" w:rsidR="00152D5E" w:rsidRPr="00167598" w:rsidRDefault="004D1932" w:rsidP="00167598">
      <w:pPr>
        <w:pStyle w:val="Normaltext"/>
        <w:rPr>
          <w:b/>
          <w:bCs/>
        </w:rPr>
      </w:pPr>
      <w:r w:rsidRPr="00167598">
        <w:rPr>
          <w:b/>
          <w:bCs/>
        </w:rPr>
        <w:t>PROCEDURE</w:t>
      </w:r>
      <w:r w:rsidR="007B3718" w:rsidRPr="00167598">
        <w:rPr>
          <w:b/>
          <w:bCs/>
        </w:rPr>
        <w:t>S</w:t>
      </w:r>
    </w:p>
    <w:p w14:paraId="42C3272F" w14:textId="7810905C" w:rsidR="00167598" w:rsidRDefault="00167598" w:rsidP="00167598">
      <w:pPr>
        <w:pStyle w:val="SectionHeading"/>
        <w:rPr>
          <w:lang w:eastAsia="en-AU"/>
        </w:rPr>
      </w:pPr>
      <w:r>
        <w:rPr>
          <w:lang w:eastAsia="en-AU"/>
        </w:rPr>
        <w:t>Prior to engaging in employment </w:t>
      </w:r>
    </w:p>
    <w:p w14:paraId="53C31E13" w14:textId="1BC8EE42" w:rsidR="00167598" w:rsidRDefault="00167598" w:rsidP="00167598">
      <w:pPr>
        <w:pStyle w:val="Indenttext1"/>
        <w:rPr>
          <w:lang w:eastAsia="en-AU"/>
        </w:rPr>
      </w:pPr>
      <w:r>
        <w:rPr>
          <w:lang w:eastAsia="en-AU"/>
        </w:rPr>
        <w:t xml:space="preserve">Either a detainee or </w:t>
      </w:r>
      <w:r w:rsidR="00692E10">
        <w:rPr>
          <w:rStyle w:val="ms-rtethemefontface-1"/>
          <w:rFonts w:cstheme="minorHAnsi"/>
        </w:rPr>
        <w:t xml:space="preserve">OR Employment Officer </w:t>
      </w:r>
      <w:r>
        <w:rPr>
          <w:lang w:eastAsia="en-AU"/>
        </w:rPr>
        <w:t>may identify a community-based work opportunity.</w:t>
      </w:r>
    </w:p>
    <w:p w14:paraId="7F659D3C" w14:textId="23388BEA" w:rsidR="00167598" w:rsidRDefault="00167598" w:rsidP="00167598">
      <w:pPr>
        <w:pStyle w:val="Indenttext1"/>
        <w:rPr>
          <w:lang w:eastAsia="en-AU"/>
        </w:rPr>
      </w:pPr>
      <w:r>
        <w:rPr>
          <w:lang w:eastAsia="en-AU"/>
        </w:rPr>
        <w:t xml:space="preserve">The potential employer must be contacted </w:t>
      </w:r>
      <w:r w:rsidR="00BB5B6C">
        <w:rPr>
          <w:lang w:eastAsia="en-AU"/>
        </w:rPr>
        <w:t xml:space="preserve">by an </w:t>
      </w:r>
      <w:r w:rsidR="00BB5B6C">
        <w:rPr>
          <w:rStyle w:val="ms-rtethemefontface-1"/>
          <w:rFonts w:cstheme="minorHAnsi"/>
        </w:rPr>
        <w:t>OR Employment Officer</w:t>
      </w:r>
      <w:r w:rsidR="00BB5B6C">
        <w:rPr>
          <w:lang w:eastAsia="en-AU"/>
        </w:rPr>
        <w:t xml:space="preserve">. </w:t>
      </w:r>
      <w:r>
        <w:rPr>
          <w:lang w:eastAsia="en-AU"/>
        </w:rPr>
        <w:t xml:space="preserve">to complete and submit a </w:t>
      </w:r>
      <w:r>
        <w:rPr>
          <w:i/>
          <w:iCs/>
          <w:u w:val="single"/>
          <w:lang w:eastAsia="en-AU"/>
        </w:rPr>
        <w:t>D26.F6: Work provider application</w:t>
      </w:r>
      <w:r w:rsidR="00BB5B6C">
        <w:rPr>
          <w:lang w:eastAsia="en-AU"/>
        </w:rPr>
        <w:t xml:space="preserve">. </w:t>
      </w:r>
    </w:p>
    <w:p w14:paraId="784DFAEF" w14:textId="5F9035EB" w:rsidR="00167598" w:rsidRDefault="00167598" w:rsidP="00167598">
      <w:pPr>
        <w:pStyle w:val="Indenttext1"/>
        <w:rPr>
          <w:rStyle w:val="ms-rtethemefontface-1"/>
        </w:rPr>
      </w:pPr>
      <w:r>
        <w:rPr>
          <w:lang w:eastAsia="en-AU"/>
        </w:rPr>
        <w:t xml:space="preserve">Once an employer receives the </w:t>
      </w:r>
      <w:r>
        <w:rPr>
          <w:i/>
          <w:iCs/>
          <w:u w:val="single"/>
          <w:lang w:eastAsia="en-AU"/>
        </w:rPr>
        <w:t>D26.F6: Work provider application</w:t>
      </w:r>
      <w:r>
        <w:rPr>
          <w:lang w:eastAsia="en-AU"/>
        </w:rPr>
        <w:t xml:space="preserve">, </w:t>
      </w:r>
      <w:r w:rsidR="00692E10">
        <w:rPr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lang w:eastAsia="en-AU"/>
        </w:rPr>
        <w:t>must confirm their ABN via the website </w:t>
      </w:r>
      <w:hyperlink r:id="rId14" w:history="1">
        <w:r>
          <w:rPr>
            <w:rStyle w:val="Hyperlink"/>
            <w:rFonts w:eastAsia="Times New Roman" w:cstheme="minorHAnsi"/>
            <w:color w:val="0070C0"/>
            <w:lang w:eastAsia="en-AU"/>
          </w:rPr>
          <w:t>https://abr.business.gov.au/</w:t>
        </w:r>
      </w:hyperlink>
      <w:r>
        <w:rPr>
          <w:lang w:eastAsia="en-AU"/>
        </w:rPr>
        <w:t xml:space="preserve">. If the </w:t>
      </w:r>
      <w:r w:rsidR="00692E10">
        <w:rPr>
          <w:rStyle w:val="ms-rtethemefontface-1"/>
          <w:rFonts w:cstheme="minorHAnsi"/>
        </w:rPr>
        <w:t>OR Employment Officer</w:t>
      </w:r>
      <w:r>
        <w:rPr>
          <w:lang w:eastAsia="en-AU"/>
        </w:rPr>
        <w:t xml:space="preserve"> is unable to confirm the business is a compliant tax abiding business in Australia, the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lang w:eastAsia="en-AU"/>
        </w:rPr>
        <w:t xml:space="preserve">is unable to proceed with the workplace assessment or work provider agreement.  </w:t>
      </w:r>
    </w:p>
    <w:p w14:paraId="62A091A4" w14:textId="48CD8DB8" w:rsidR="00167598" w:rsidRDefault="00167598" w:rsidP="00167598">
      <w:pPr>
        <w:pStyle w:val="Indenttext1"/>
      </w:pPr>
      <w:r>
        <w:rPr>
          <w:lang w:eastAsia="en-AU"/>
        </w:rPr>
        <w:t xml:space="preserve">With the detainee’s consent, </w:t>
      </w:r>
      <w:r w:rsidR="00692E10">
        <w:rPr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lang w:eastAsia="en-AU"/>
        </w:rPr>
        <w:t xml:space="preserve">must engage with a job service provider to assist the detainee with employment related expenses and support them into employment. </w:t>
      </w:r>
    </w:p>
    <w:p w14:paraId="3497DE36" w14:textId="77777777" w:rsidR="00167598" w:rsidRDefault="00167598" w:rsidP="00167598">
      <w:pPr>
        <w:pStyle w:val="Indenttext1"/>
        <w:numPr>
          <w:ilvl w:val="0"/>
          <w:numId w:val="0"/>
        </w:numPr>
        <w:ind w:left="567"/>
      </w:pPr>
    </w:p>
    <w:p w14:paraId="4500334B" w14:textId="6CEDA17B" w:rsidR="00167598" w:rsidRDefault="00167598" w:rsidP="00167598">
      <w:pPr>
        <w:pStyle w:val="SectionHeading"/>
        <w:rPr>
          <w:rFonts w:eastAsia="Times New Roman"/>
          <w:sz w:val="20"/>
          <w:szCs w:val="20"/>
          <w:lang w:eastAsia="en-AU"/>
        </w:rPr>
      </w:pPr>
      <w:r w:rsidRPr="00167598">
        <w:rPr>
          <w:rStyle w:val="Strong"/>
          <w:rFonts w:cstheme="minorHAnsi"/>
          <w:b/>
          <w:bCs/>
        </w:rPr>
        <w:t>Workplace Assessment</w:t>
      </w:r>
      <w:r>
        <w:rPr>
          <w:rStyle w:val="Strong"/>
          <w:rFonts w:cstheme="minorHAnsi"/>
        </w:rPr>
        <w:t> </w:t>
      </w:r>
    </w:p>
    <w:p w14:paraId="33BCA19C" w14:textId="7D762C61" w:rsidR="00167598" w:rsidRDefault="00167598" w:rsidP="00167598">
      <w:pPr>
        <w:pStyle w:val="Indenttext1"/>
        <w:rPr>
          <w:sz w:val="20"/>
          <w:szCs w:val="20"/>
        </w:rPr>
      </w:pPr>
      <w:r>
        <w:rPr>
          <w:rStyle w:val="ms-rtethemefontface-1"/>
          <w:rFonts w:cstheme="minorHAnsi"/>
        </w:rPr>
        <w:t xml:space="preserve">Once the </w:t>
      </w:r>
      <w:r>
        <w:rPr>
          <w:i/>
          <w:iCs/>
          <w:u w:val="single"/>
        </w:rPr>
        <w:t>D26.F6: Work provider application</w:t>
      </w:r>
      <w:r>
        <w:t xml:space="preserve"> has been received and the ABN confirmed, </w:t>
      </w:r>
      <w:r w:rsidR="00692E10"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rStyle w:val="ms-rtethemefontface-1"/>
          <w:rFonts w:cstheme="minorHAnsi"/>
        </w:rPr>
        <w:t>must complete </w:t>
      </w:r>
      <w:r>
        <w:rPr>
          <w:rStyle w:val="Emphasis"/>
          <w:rFonts w:cstheme="minorHAnsi"/>
          <w:u w:val="single"/>
        </w:rPr>
        <w:t>the D26.F10: Workplace Assessment</w:t>
      </w:r>
      <w:r>
        <w:rPr>
          <w:rStyle w:val="Emphasis"/>
          <w:rFonts w:cstheme="minorHAnsi"/>
        </w:rPr>
        <w:t> </w:t>
      </w:r>
      <w:r>
        <w:rPr>
          <w:rStyle w:val="ms-rtethemefontface-1"/>
          <w:rFonts w:cstheme="minorHAnsi"/>
        </w:rPr>
        <w:t xml:space="preserve">for potential community-based work providers. This assessment must be conducted at the site of employment at a mutually agreed time by </w:t>
      </w:r>
      <w:r w:rsidR="00692E10">
        <w:rPr>
          <w:rStyle w:val="ms-rtethemefontface-1"/>
          <w:rFonts w:cstheme="minorHAnsi"/>
        </w:rPr>
        <w:t>an OR Employment Officer</w:t>
      </w:r>
      <w:r w:rsidR="00692E10">
        <w:rPr>
          <w:lang w:eastAsia="en-AU"/>
        </w:rPr>
        <w:t xml:space="preserve"> </w:t>
      </w:r>
      <w:r>
        <w:rPr>
          <w:rStyle w:val="ms-rtethemefontface-1"/>
          <w:rFonts w:cstheme="minorHAnsi"/>
        </w:rPr>
        <w:t>and the Workplace Provider.</w:t>
      </w:r>
    </w:p>
    <w:p w14:paraId="66909D95" w14:textId="123E58C7" w:rsidR="00167598" w:rsidRDefault="00167598" w:rsidP="00167598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The potential employer must also submit a copy of the following as part of the </w:t>
      </w:r>
      <w:r>
        <w:rPr>
          <w:rFonts w:eastAsia="Times New Roman"/>
          <w:i/>
          <w:iCs/>
          <w:u w:val="single"/>
          <w:lang w:eastAsia="en-AU"/>
        </w:rPr>
        <w:t>D26.F10: Workplace Assessment</w:t>
      </w:r>
      <w:r>
        <w:rPr>
          <w:rFonts w:eastAsia="Times New Roman"/>
          <w:lang w:eastAsia="en-AU"/>
        </w:rPr>
        <w:t xml:space="preserve">: </w:t>
      </w:r>
    </w:p>
    <w:p w14:paraId="54FA5B02" w14:textId="0658B017" w:rsidR="00167598" w:rsidRDefault="00167598" w:rsidP="00167598">
      <w:pPr>
        <w:pStyle w:val="Indenttext2"/>
        <w:rPr>
          <w:lang w:eastAsia="en-AU"/>
        </w:rPr>
      </w:pPr>
      <w:r>
        <w:rPr>
          <w:lang w:eastAsia="en-AU"/>
        </w:rPr>
        <w:t>current Workplace Health and Safety Policy</w:t>
      </w:r>
    </w:p>
    <w:p w14:paraId="23823B90" w14:textId="77777777" w:rsidR="00167598" w:rsidRDefault="00167598" w:rsidP="00167598">
      <w:pPr>
        <w:pStyle w:val="Indenttext2"/>
        <w:rPr>
          <w:lang w:eastAsia="en-AU"/>
        </w:rPr>
      </w:pPr>
      <w:r>
        <w:rPr>
          <w:lang w:eastAsia="en-AU"/>
        </w:rPr>
        <w:t>Public Liability Insurance</w:t>
      </w:r>
    </w:p>
    <w:p w14:paraId="5633C300" w14:textId="693C6F98" w:rsidR="00167598" w:rsidRDefault="00167598" w:rsidP="00167598">
      <w:pPr>
        <w:pStyle w:val="Indenttext2"/>
        <w:rPr>
          <w:lang w:eastAsia="en-AU"/>
        </w:rPr>
      </w:pPr>
      <w:r>
        <w:rPr>
          <w:lang w:eastAsia="en-AU"/>
        </w:rPr>
        <w:t xml:space="preserve">Workers Compensation Cover </w:t>
      </w:r>
    </w:p>
    <w:p w14:paraId="4E91FB66" w14:textId="77777777" w:rsidR="00167598" w:rsidRDefault="00167598" w:rsidP="00167598">
      <w:pPr>
        <w:pStyle w:val="Indenttext2"/>
        <w:numPr>
          <w:ilvl w:val="0"/>
          <w:numId w:val="0"/>
        </w:numPr>
        <w:ind w:left="1287"/>
        <w:rPr>
          <w:lang w:eastAsia="en-AU"/>
        </w:rPr>
      </w:pPr>
    </w:p>
    <w:p w14:paraId="1ACCBFFA" w14:textId="00BA061B" w:rsidR="00167598" w:rsidRPr="00167598" w:rsidRDefault="00167598" w:rsidP="00167598">
      <w:pPr>
        <w:pStyle w:val="SectionHeading"/>
        <w:rPr>
          <w:rFonts w:eastAsia="Times New Roman"/>
          <w:b w:val="0"/>
          <w:bCs w:val="0"/>
          <w:sz w:val="20"/>
          <w:szCs w:val="20"/>
          <w:lang w:eastAsia="en-AU"/>
        </w:rPr>
      </w:pPr>
      <w:r w:rsidRPr="00167598">
        <w:rPr>
          <w:rStyle w:val="Strong"/>
          <w:rFonts w:cstheme="minorHAnsi"/>
          <w:b/>
          <w:bCs/>
        </w:rPr>
        <w:t>Work provider agreement</w:t>
      </w:r>
    </w:p>
    <w:p w14:paraId="3BED9FA7" w14:textId="735A78DD" w:rsidR="00167598" w:rsidRDefault="00167598" w:rsidP="00167598">
      <w:pPr>
        <w:pStyle w:val="Indenttext1"/>
        <w:rPr>
          <w:rStyle w:val="ms-rtethemefontface-1"/>
        </w:rPr>
      </w:pPr>
      <w:r>
        <w:rPr>
          <w:rStyle w:val="ms-rtethemefontface-1"/>
          <w:rFonts w:cstheme="minorHAnsi"/>
        </w:rPr>
        <w:t xml:space="preserve">If the Workplace Assessment is satisfactory, </w:t>
      </w:r>
      <w:r w:rsidR="00692E10">
        <w:rPr>
          <w:rStyle w:val="ms-rtethemefontface-1"/>
          <w:rFonts w:cstheme="minorHAnsi"/>
        </w:rPr>
        <w:t>an OR Employment Officer</w:t>
      </w:r>
      <w:r>
        <w:rPr>
          <w:rStyle w:val="ms-rtethemefontface-1"/>
          <w:rFonts w:cstheme="minorHAnsi"/>
        </w:rPr>
        <w:t xml:space="preserve"> must then provide the community-based work provider with a </w:t>
      </w:r>
      <w:r>
        <w:rPr>
          <w:rStyle w:val="ms-rtethemefontface-1"/>
          <w:rFonts w:cstheme="minorHAnsi"/>
          <w:i/>
          <w:iCs/>
          <w:u w:val="single"/>
        </w:rPr>
        <w:t>D26.F7: Work Provider Agreement</w:t>
      </w:r>
      <w:r>
        <w:rPr>
          <w:rStyle w:val="ms-rtethemefontface-1"/>
          <w:rFonts w:cstheme="minorHAnsi"/>
        </w:rPr>
        <w:t xml:space="preserve"> for their review, agreement and signature. Work placements must not commence without the community-based work provider signing the </w:t>
      </w:r>
      <w:r>
        <w:rPr>
          <w:rStyle w:val="ms-rtethemefontface-1"/>
          <w:rFonts w:cstheme="minorHAnsi"/>
          <w:i/>
          <w:iCs/>
          <w:u w:val="single"/>
        </w:rPr>
        <w:t>D26.F7: Work Provider Agreement</w:t>
      </w:r>
      <w:r>
        <w:rPr>
          <w:rStyle w:val="ms-rtethemefontface-1"/>
          <w:rFonts w:cstheme="minorHAnsi"/>
        </w:rPr>
        <w:t xml:space="preserve"> relevant to the specific detainee. </w:t>
      </w:r>
    </w:p>
    <w:p w14:paraId="2612AE99" w14:textId="0845F9DB" w:rsidR="00167598" w:rsidRDefault="00692E10" w:rsidP="00167598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An </w:t>
      </w:r>
      <w:r>
        <w:rPr>
          <w:rStyle w:val="ms-rtethemefontface-1"/>
          <w:rFonts w:cstheme="minorHAnsi"/>
        </w:rPr>
        <w:t>OR Employment Officer</w:t>
      </w:r>
      <w:r w:rsidR="00167598">
        <w:rPr>
          <w:rFonts w:eastAsia="Times New Roman"/>
          <w:lang w:eastAsia="en-AU"/>
        </w:rPr>
        <w:t xml:space="preserve"> must also provide the potential employer with the information sheet </w:t>
      </w:r>
      <w:r w:rsidR="00167598">
        <w:rPr>
          <w:rFonts w:eastAsia="Times New Roman"/>
          <w:i/>
          <w:iCs/>
          <w:u w:val="single"/>
          <w:lang w:eastAsia="en-AU"/>
        </w:rPr>
        <w:t>Employing a detainee or offender in your business</w:t>
      </w:r>
      <w:r w:rsidR="00167598">
        <w:rPr>
          <w:rFonts w:eastAsia="Times New Roman"/>
          <w:lang w:eastAsia="en-AU"/>
        </w:rPr>
        <w:t xml:space="preserve"> which addresses the support provided to the employer and detainee during the period of employment, following the Australian Taxation Laws and other business considerations. </w:t>
      </w:r>
    </w:p>
    <w:p w14:paraId="35C0F0C2" w14:textId="366A428F" w:rsidR="00167598" w:rsidRDefault="00167598" w:rsidP="00167598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The community-based work provider must nominate a Workplace Sponsor/s who must complete all requirements as outlined in the </w:t>
      </w:r>
      <w:r w:rsidR="00BB5B6C">
        <w:rPr>
          <w:rFonts w:eastAsia="Times New Roman"/>
          <w:i/>
          <w:iCs/>
          <w:u w:val="single"/>
          <w:lang w:eastAsia="en-AU"/>
        </w:rPr>
        <w:t>D26.10 T</w:t>
      </w:r>
      <w:r>
        <w:rPr>
          <w:rFonts w:eastAsia="Times New Roman"/>
          <w:i/>
          <w:iCs/>
          <w:u w:val="single"/>
          <w:lang w:eastAsia="en-AU"/>
        </w:rPr>
        <w:t>ransitional Release Sponsors (Community-based Employment) Operating Procedure.</w:t>
      </w:r>
      <w:r>
        <w:rPr>
          <w:rFonts w:eastAsia="Times New Roman"/>
          <w:lang w:eastAsia="en-AU"/>
        </w:rPr>
        <w:t xml:space="preserve"> The proposed employer does not have to be a sponsor but must be the person to complete the Work Provider Agreement.   </w:t>
      </w:r>
    </w:p>
    <w:p w14:paraId="62D79398" w14:textId="77777777" w:rsidR="002C1979" w:rsidRDefault="002C1979" w:rsidP="002C1979">
      <w:pPr>
        <w:pStyle w:val="Indenttext1"/>
        <w:numPr>
          <w:ilvl w:val="0"/>
          <w:numId w:val="0"/>
        </w:numPr>
        <w:ind w:left="567"/>
        <w:rPr>
          <w:rFonts w:eastAsia="Times New Roman"/>
          <w:lang w:eastAsia="en-AU"/>
        </w:rPr>
      </w:pPr>
    </w:p>
    <w:p w14:paraId="45E11FC3" w14:textId="511C117A" w:rsidR="00167598" w:rsidRPr="002C1979" w:rsidRDefault="00167598" w:rsidP="002C1979">
      <w:pPr>
        <w:pStyle w:val="SectionHeading"/>
        <w:rPr>
          <w:rFonts w:eastAsia="Times New Roman"/>
          <w:b w:val="0"/>
          <w:bCs w:val="0"/>
          <w:sz w:val="20"/>
          <w:szCs w:val="20"/>
          <w:lang w:eastAsia="en-AU"/>
        </w:rPr>
      </w:pPr>
      <w:r w:rsidRPr="002C1979">
        <w:rPr>
          <w:rStyle w:val="Strong"/>
          <w:rFonts w:cstheme="minorHAnsi"/>
          <w:b/>
          <w:bCs/>
        </w:rPr>
        <w:t>Recommendation and Outcome</w:t>
      </w:r>
    </w:p>
    <w:p w14:paraId="688C5B25" w14:textId="11547475" w:rsidR="00167598" w:rsidRDefault="00692E10" w:rsidP="002C1979">
      <w:pPr>
        <w:pStyle w:val="Indenttext1"/>
        <w:rPr>
          <w:rStyle w:val="ms-rtethemefontface-1"/>
        </w:rPr>
      </w:pPr>
      <w:r>
        <w:rPr>
          <w:rStyle w:val="ms-rtethemefontface-1"/>
          <w:rFonts w:cstheme="minorHAnsi"/>
        </w:rPr>
        <w:t>An OR Employment Officer</w:t>
      </w:r>
      <w:r>
        <w:rPr>
          <w:lang w:eastAsia="en-AU"/>
        </w:rPr>
        <w:t xml:space="preserve"> </w:t>
      </w:r>
      <w:r w:rsidR="002C1979">
        <w:rPr>
          <w:rStyle w:val="ms-rtethemefontface-1"/>
          <w:rFonts w:cstheme="minorHAnsi"/>
        </w:rPr>
        <w:t>must</w:t>
      </w:r>
      <w:r w:rsidR="00167598">
        <w:rPr>
          <w:rStyle w:val="ms-rtethemefontface-1"/>
          <w:rFonts w:cstheme="minorHAnsi"/>
        </w:rPr>
        <w:t xml:space="preserve"> make a recommendation and provide the following completed documents to the Director Reintegration to approve or refuse the community-based work provider:</w:t>
      </w:r>
    </w:p>
    <w:p w14:paraId="6B919C71" w14:textId="0E39FF5C" w:rsidR="00167598" w:rsidRPr="002C1979" w:rsidRDefault="00167598" w:rsidP="002C1979">
      <w:pPr>
        <w:pStyle w:val="Indenttext2"/>
        <w:numPr>
          <w:ilvl w:val="0"/>
          <w:numId w:val="9"/>
        </w:numPr>
        <w:rPr>
          <w:i/>
          <w:iCs/>
          <w:sz w:val="20"/>
          <w:szCs w:val="20"/>
          <w:u w:val="single"/>
          <w:lang w:eastAsia="en-AU"/>
        </w:rPr>
      </w:pPr>
      <w:r w:rsidRPr="002C1979">
        <w:rPr>
          <w:i/>
          <w:iCs/>
          <w:u w:val="single"/>
          <w:lang w:eastAsia="en-AU"/>
        </w:rPr>
        <w:t>D26.F7</w:t>
      </w:r>
      <w:r w:rsidR="002C1979" w:rsidRPr="002C1979">
        <w:rPr>
          <w:i/>
          <w:iCs/>
          <w:u w:val="single"/>
          <w:lang w:eastAsia="en-AU"/>
        </w:rPr>
        <w:t>:</w:t>
      </w:r>
      <w:r w:rsidRPr="002C1979">
        <w:rPr>
          <w:i/>
          <w:iCs/>
          <w:u w:val="single"/>
          <w:lang w:eastAsia="en-AU"/>
        </w:rPr>
        <w:t xml:space="preserve"> Work Provider Agreement </w:t>
      </w:r>
    </w:p>
    <w:p w14:paraId="4C2B7A82" w14:textId="620617CE" w:rsidR="00167598" w:rsidRPr="002C1979" w:rsidRDefault="00167598" w:rsidP="002C1979">
      <w:pPr>
        <w:pStyle w:val="Indenttext2"/>
        <w:rPr>
          <w:i/>
          <w:iCs/>
          <w:sz w:val="20"/>
          <w:szCs w:val="20"/>
          <w:u w:val="single"/>
          <w:lang w:eastAsia="en-AU"/>
        </w:rPr>
      </w:pPr>
      <w:r w:rsidRPr="002C1979">
        <w:rPr>
          <w:i/>
          <w:iCs/>
          <w:u w:val="single"/>
          <w:lang w:eastAsia="en-AU"/>
        </w:rPr>
        <w:t>D26.F10</w:t>
      </w:r>
      <w:r w:rsidR="002C1979" w:rsidRPr="002C1979">
        <w:rPr>
          <w:i/>
          <w:iCs/>
          <w:u w:val="single"/>
          <w:lang w:eastAsia="en-AU"/>
        </w:rPr>
        <w:t>:</w:t>
      </w:r>
      <w:r w:rsidRPr="002C1979">
        <w:rPr>
          <w:i/>
          <w:iCs/>
          <w:u w:val="single"/>
          <w:lang w:eastAsia="en-AU"/>
        </w:rPr>
        <w:t xml:space="preserve"> Workplace Assessments</w:t>
      </w:r>
    </w:p>
    <w:p w14:paraId="3B07B6F3" w14:textId="739249F7" w:rsidR="00167598" w:rsidRDefault="00167598" w:rsidP="002C1979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The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rFonts w:eastAsia="Times New Roman"/>
          <w:lang w:eastAsia="en-AU"/>
        </w:rPr>
        <w:t>must declare to the Director Reintegration if there are any known associations to criminal behaviour or past offenders that own or run the business.</w:t>
      </w:r>
    </w:p>
    <w:p w14:paraId="32026D6F" w14:textId="698248C0" w:rsidR="00167598" w:rsidRDefault="00167598" w:rsidP="002C1979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The detainee </w:t>
      </w:r>
      <w:r w:rsidR="002C1979">
        <w:rPr>
          <w:rFonts w:eastAsia="Times New Roman"/>
          <w:lang w:eastAsia="en-AU"/>
        </w:rPr>
        <w:t>must</w:t>
      </w:r>
      <w:r>
        <w:rPr>
          <w:rFonts w:eastAsia="Times New Roman"/>
          <w:lang w:eastAsia="en-AU"/>
        </w:rPr>
        <w:t xml:space="preserve"> be advised of the outcome by </w:t>
      </w:r>
      <w:r w:rsidR="00692E10">
        <w:rPr>
          <w:rFonts w:eastAsia="Times New Roman"/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>
        <w:rPr>
          <w:rFonts w:eastAsia="Times New Roman"/>
          <w:lang w:eastAsia="en-AU"/>
        </w:rPr>
        <w:t>.</w:t>
      </w:r>
    </w:p>
    <w:p w14:paraId="222CF70B" w14:textId="31567ECA" w:rsidR="00167598" w:rsidRDefault="00167598" w:rsidP="002C1979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Where an employer has been rejected, reasons </w:t>
      </w:r>
      <w:r w:rsidR="002C1979">
        <w:rPr>
          <w:rFonts w:eastAsia="Times New Roman"/>
          <w:lang w:eastAsia="en-AU"/>
        </w:rPr>
        <w:t>must</w:t>
      </w:r>
      <w:r>
        <w:rPr>
          <w:rFonts w:eastAsia="Times New Roman"/>
          <w:lang w:eastAsia="en-AU"/>
        </w:rPr>
        <w:t xml:space="preserve"> not be provided to the detainee or the nominated sponsor</w:t>
      </w:r>
      <w:r w:rsidR="002C1979">
        <w:rPr>
          <w:rFonts w:eastAsia="Times New Roman"/>
          <w:lang w:eastAsia="en-AU"/>
        </w:rPr>
        <w:t>,</w:t>
      </w:r>
      <w:r>
        <w:rPr>
          <w:rFonts w:eastAsia="Times New Roman"/>
          <w:lang w:eastAsia="en-AU"/>
        </w:rPr>
        <w:t xml:space="preserve"> where doing so may jeopardise the safety of any person, or security or good order at the correctional centre. </w:t>
      </w:r>
    </w:p>
    <w:p w14:paraId="320E31EB" w14:textId="58C6F641" w:rsidR="00167598" w:rsidRDefault="00167598" w:rsidP="002C1979">
      <w:pPr>
        <w:pStyle w:val="Indenttext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If approved, </w:t>
      </w:r>
      <w:r w:rsidR="00692E10">
        <w:rPr>
          <w:rFonts w:eastAsia="Times New Roman"/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>
        <w:rPr>
          <w:rFonts w:eastAsia="Times New Roman"/>
          <w:lang w:eastAsia="en-AU"/>
        </w:rPr>
        <w:t xml:space="preserve"> </w:t>
      </w:r>
      <w:r w:rsidR="002C1979">
        <w:rPr>
          <w:rFonts w:eastAsia="Times New Roman"/>
          <w:lang w:eastAsia="en-AU"/>
        </w:rPr>
        <w:t>must</w:t>
      </w:r>
      <w:r>
        <w:rPr>
          <w:rFonts w:eastAsia="Times New Roman"/>
          <w:lang w:eastAsia="en-AU"/>
        </w:rPr>
        <w:t xml:space="preserve"> liaise with the community-based work provider to determine whether an interview or work trial is appropriate and/or required to fill each identified position. </w:t>
      </w:r>
    </w:p>
    <w:p w14:paraId="659DE4CD" w14:textId="6ACB9D02" w:rsidR="00167598" w:rsidRPr="002C1979" w:rsidRDefault="00167598" w:rsidP="002C1979">
      <w:pPr>
        <w:pStyle w:val="Indenttext1"/>
        <w:rPr>
          <w:rStyle w:val="ms-rtethemefontface-1"/>
        </w:rPr>
      </w:pPr>
      <w:r>
        <w:rPr>
          <w:rStyle w:val="ms-rtethemefontface-1"/>
          <w:rFonts w:cstheme="minorHAnsi"/>
        </w:rPr>
        <w:t>Where relevant</w:t>
      </w:r>
      <w:r w:rsidR="002C1979">
        <w:rPr>
          <w:rStyle w:val="ms-rtethemefontface-1"/>
          <w:rFonts w:cstheme="minorHAnsi"/>
        </w:rPr>
        <w:t>,</w:t>
      </w:r>
      <w:r>
        <w:rPr>
          <w:rStyle w:val="ms-rtethemefontface-1"/>
          <w:rFonts w:cstheme="minorHAnsi"/>
        </w:rPr>
        <w:t xml:space="preserve"> and with the detainee’s consent as confirmed on an </w:t>
      </w:r>
      <w:r>
        <w:rPr>
          <w:rStyle w:val="ms-rtethemefontface-1"/>
          <w:rFonts w:cstheme="minorHAnsi"/>
          <w:i/>
          <w:iCs/>
          <w:u w:val="single"/>
        </w:rPr>
        <w:t xml:space="preserve">ACTCS Consent to Release Information </w:t>
      </w:r>
      <w:r>
        <w:rPr>
          <w:rStyle w:val="ms-rtethemefontface-1"/>
          <w:rFonts w:cstheme="minorHAnsi"/>
        </w:rPr>
        <w:t xml:space="preserve">form, </w:t>
      </w:r>
      <w:r w:rsidR="00692E10">
        <w:rPr>
          <w:rStyle w:val="ms-rtethemefontface-1"/>
          <w:rFonts w:cstheme="minorHAnsi"/>
        </w:rPr>
        <w:t>an OR Employment Officer</w:t>
      </w:r>
      <w:r>
        <w:rPr>
          <w:rStyle w:val="ms-rtethemefontface-1"/>
          <w:rFonts w:cstheme="minorHAnsi"/>
        </w:rPr>
        <w:t xml:space="preserve"> </w:t>
      </w:r>
      <w:r w:rsidR="002C1979">
        <w:rPr>
          <w:rStyle w:val="ms-rtethemefontface-1"/>
          <w:rFonts w:cstheme="minorHAnsi"/>
        </w:rPr>
        <w:t>m</w:t>
      </w:r>
      <w:r w:rsidR="00BB5B6C">
        <w:rPr>
          <w:rStyle w:val="ms-rtethemefontface-1"/>
          <w:rFonts w:cstheme="minorHAnsi"/>
        </w:rPr>
        <w:t>ay</w:t>
      </w:r>
      <w:r>
        <w:rPr>
          <w:rStyle w:val="ms-rtethemefontface-1"/>
          <w:rFonts w:cstheme="minorHAnsi"/>
        </w:rPr>
        <w:t xml:space="preserve"> provide an overview only of the detainee’s criminal history to the community-based work provider. The </w:t>
      </w:r>
      <w:r w:rsidR="00692E10">
        <w:rPr>
          <w:rStyle w:val="ms-rtethemefontface-1"/>
          <w:rFonts w:cstheme="minorHAnsi"/>
        </w:rPr>
        <w:t>OR Employment Officer</w:t>
      </w:r>
      <w:r w:rsidR="00692E10">
        <w:rPr>
          <w:lang w:eastAsia="en-AU"/>
        </w:rPr>
        <w:t xml:space="preserve"> </w:t>
      </w:r>
      <w:r>
        <w:rPr>
          <w:rStyle w:val="ms-rtethemefontface-1"/>
          <w:rFonts w:cstheme="minorHAnsi"/>
        </w:rPr>
        <w:t xml:space="preserve">is not to provide a copy of the detainee’s criminal history record. </w:t>
      </w:r>
    </w:p>
    <w:p w14:paraId="028187E3" w14:textId="77777777" w:rsidR="002C1979" w:rsidRDefault="002C1979" w:rsidP="002C1979">
      <w:pPr>
        <w:pStyle w:val="Indenttext1"/>
        <w:numPr>
          <w:ilvl w:val="0"/>
          <w:numId w:val="0"/>
        </w:numPr>
        <w:ind w:left="567"/>
        <w:rPr>
          <w:rStyle w:val="ms-rtethemefontface-1"/>
        </w:rPr>
      </w:pPr>
    </w:p>
    <w:p w14:paraId="755F83E8" w14:textId="61D0C500" w:rsidR="00167598" w:rsidRDefault="00167598" w:rsidP="002C1979">
      <w:pPr>
        <w:pStyle w:val="SectionHeading"/>
      </w:pPr>
      <w:r>
        <w:lastRenderedPageBreak/>
        <w:t>Work experience placement</w:t>
      </w:r>
    </w:p>
    <w:p w14:paraId="6C5449A6" w14:textId="4A716A0A" w:rsidR="00167598" w:rsidRDefault="00167598" w:rsidP="002C1979">
      <w:pPr>
        <w:pStyle w:val="Indenttext1"/>
        <w:rPr>
          <w:lang w:eastAsia="en-AU"/>
        </w:rPr>
      </w:pPr>
      <w:r>
        <w:rPr>
          <w:lang w:eastAsia="en-AU"/>
        </w:rPr>
        <w:t xml:space="preserve">Detainees may participate in unpaid work experience placements with community work providers if supported by </w:t>
      </w:r>
      <w:r w:rsidR="00692E10">
        <w:rPr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>
        <w:rPr>
          <w:lang w:eastAsia="en-AU"/>
        </w:rPr>
        <w:t>.</w:t>
      </w:r>
    </w:p>
    <w:p w14:paraId="20923A99" w14:textId="77777777" w:rsidR="002C1979" w:rsidRDefault="00167598" w:rsidP="002C1979">
      <w:pPr>
        <w:pStyle w:val="Indenttext1"/>
        <w:rPr>
          <w:lang w:eastAsia="en-AU"/>
        </w:rPr>
      </w:pPr>
      <w:r>
        <w:rPr>
          <w:lang w:eastAsia="en-AU"/>
        </w:rPr>
        <w:t xml:space="preserve">Unpaid work experience </w:t>
      </w:r>
      <w:r w:rsidR="002C1979">
        <w:rPr>
          <w:lang w:eastAsia="en-AU"/>
        </w:rPr>
        <w:t>must</w:t>
      </w:r>
      <w:r>
        <w:rPr>
          <w:lang w:eastAsia="en-AU"/>
        </w:rPr>
        <w:t xml:space="preserve"> be time limited to a maximum of 10 days and provide job-ready skills that will enhance a detainee’s employment opportunities in the community.</w:t>
      </w:r>
    </w:p>
    <w:p w14:paraId="789A5492" w14:textId="2CC8708A" w:rsidR="00167598" w:rsidRDefault="00167598" w:rsidP="002C1979">
      <w:pPr>
        <w:pStyle w:val="Indenttext1"/>
        <w:numPr>
          <w:ilvl w:val="0"/>
          <w:numId w:val="0"/>
        </w:numPr>
        <w:ind w:left="567"/>
        <w:rPr>
          <w:lang w:eastAsia="en-AU"/>
        </w:rPr>
      </w:pPr>
      <w:r>
        <w:rPr>
          <w:lang w:eastAsia="en-AU"/>
        </w:rPr>
        <w:t> </w:t>
      </w:r>
    </w:p>
    <w:p w14:paraId="53AB5B33" w14:textId="226613EC" w:rsidR="00167598" w:rsidRDefault="00167598" w:rsidP="002C1979">
      <w:pPr>
        <w:pStyle w:val="SectionHeading"/>
        <w:rPr>
          <w:lang w:eastAsia="en-AU"/>
        </w:rPr>
      </w:pPr>
      <w:r>
        <w:rPr>
          <w:lang w:eastAsia="en-AU"/>
        </w:rPr>
        <w:t>Paid work placement</w:t>
      </w:r>
    </w:p>
    <w:p w14:paraId="6FD69E99" w14:textId="601E8DB0" w:rsidR="00167598" w:rsidRDefault="00167598" w:rsidP="002C1979">
      <w:pPr>
        <w:pStyle w:val="Indenttext1"/>
        <w:rPr>
          <w:lang w:eastAsia="en-AU"/>
        </w:rPr>
      </w:pPr>
      <w:r>
        <w:rPr>
          <w:lang w:eastAsia="en-AU"/>
        </w:rPr>
        <w:t xml:space="preserve">All detainees engaged in community-based work must be </w:t>
      </w:r>
      <w:r w:rsidR="00096BF0">
        <w:rPr>
          <w:lang w:eastAsia="en-AU"/>
        </w:rPr>
        <w:t>remunerated at the same rate as an employee who is not a detainee</w:t>
      </w:r>
      <w:r>
        <w:rPr>
          <w:lang w:eastAsia="en-AU"/>
        </w:rPr>
        <w:t>.</w:t>
      </w:r>
    </w:p>
    <w:p w14:paraId="178F4314" w14:textId="27291177" w:rsidR="00167598" w:rsidRDefault="00167598" w:rsidP="002C1979">
      <w:pPr>
        <w:pStyle w:val="Indenttext1"/>
        <w:rPr>
          <w:lang w:eastAsia="en-AU"/>
        </w:rPr>
      </w:pPr>
      <w:r>
        <w:rPr>
          <w:lang w:eastAsia="en-AU"/>
        </w:rPr>
        <w:t xml:space="preserve">The community-based work provider must ensure the detainee’s remuneration is deposited into the detainee’s AMC Trust Fund account listed in the </w:t>
      </w:r>
      <w:r>
        <w:rPr>
          <w:rStyle w:val="ms-rtethemefontface-1"/>
          <w:rFonts w:cstheme="minorHAnsi"/>
          <w:i/>
          <w:iCs/>
          <w:u w:val="single"/>
        </w:rPr>
        <w:t>D26</w:t>
      </w:r>
      <w:r w:rsidR="00096BF0">
        <w:rPr>
          <w:rStyle w:val="ms-rtethemefontface-1"/>
          <w:rFonts w:cstheme="minorHAnsi"/>
          <w:i/>
          <w:iCs/>
          <w:u w:val="single"/>
        </w:rPr>
        <w:t>.</w:t>
      </w:r>
      <w:r>
        <w:rPr>
          <w:rStyle w:val="ms-rtethemefontface-1"/>
          <w:rFonts w:cstheme="minorHAnsi"/>
          <w:i/>
          <w:iCs/>
          <w:u w:val="single"/>
        </w:rPr>
        <w:t>F7</w:t>
      </w:r>
      <w:r w:rsidR="00096BF0">
        <w:rPr>
          <w:rStyle w:val="ms-rtethemefontface-1"/>
          <w:rFonts w:cstheme="minorHAnsi"/>
          <w:i/>
          <w:iCs/>
          <w:u w:val="single"/>
        </w:rPr>
        <w:t>:</w:t>
      </w:r>
      <w:r>
        <w:rPr>
          <w:rStyle w:val="ms-rtethemefontface-1"/>
          <w:rFonts w:cstheme="minorHAnsi"/>
          <w:i/>
          <w:iCs/>
          <w:u w:val="single"/>
        </w:rPr>
        <w:t xml:space="preserve"> Work Provider Agreement</w:t>
      </w:r>
    </w:p>
    <w:p w14:paraId="6E0D1487" w14:textId="64BD4329" w:rsidR="00167598" w:rsidRDefault="00167598" w:rsidP="002C1979">
      <w:pPr>
        <w:pStyle w:val="Indenttext1"/>
        <w:rPr>
          <w:lang w:eastAsia="en-AU"/>
        </w:rPr>
      </w:pPr>
      <w:r>
        <w:rPr>
          <w:lang w:eastAsia="en-AU"/>
        </w:rPr>
        <w:t>Detainees are required to meet the cost of any meals and travel to and from their community-based employment where applicable.</w:t>
      </w:r>
    </w:p>
    <w:p w14:paraId="4BC67ABF" w14:textId="77777777" w:rsidR="00096BF0" w:rsidRDefault="00096BF0" w:rsidP="00096BF0">
      <w:pPr>
        <w:pStyle w:val="Indenttext1"/>
        <w:numPr>
          <w:ilvl w:val="0"/>
          <w:numId w:val="0"/>
        </w:numPr>
        <w:ind w:left="567"/>
        <w:rPr>
          <w:lang w:eastAsia="en-AU"/>
        </w:rPr>
      </w:pPr>
    </w:p>
    <w:p w14:paraId="06D97D14" w14:textId="4B9D1862" w:rsidR="00167598" w:rsidRDefault="00167598" w:rsidP="00096BF0">
      <w:pPr>
        <w:pStyle w:val="SectionHeading"/>
        <w:rPr>
          <w:lang w:eastAsia="en-AU"/>
        </w:rPr>
      </w:pPr>
      <w:r>
        <w:rPr>
          <w:lang w:eastAsia="en-AU"/>
        </w:rPr>
        <w:t>Management of income for detainees employed in paid work placements</w:t>
      </w:r>
    </w:p>
    <w:p w14:paraId="60A00975" w14:textId="3D7B1A91" w:rsidR="00167598" w:rsidRPr="00096BF0" w:rsidRDefault="00167598" w:rsidP="00096BF0">
      <w:pPr>
        <w:pStyle w:val="Indenttext1"/>
        <w:rPr>
          <w:lang w:eastAsia="en-AU"/>
        </w:rPr>
      </w:pPr>
      <w:r>
        <w:rPr>
          <w:lang w:eastAsia="en-AU"/>
        </w:rPr>
        <w:t xml:space="preserve">Detainee’s engaged in paid community-based work </w:t>
      </w:r>
      <w:r w:rsidR="00096BF0">
        <w:rPr>
          <w:lang w:eastAsia="en-AU"/>
        </w:rPr>
        <w:t>must</w:t>
      </w:r>
      <w:r>
        <w:rPr>
          <w:lang w:eastAsia="en-AU"/>
        </w:rPr>
        <w:t xml:space="preserve"> have board monies deducted from their income in accordance with the </w:t>
      </w:r>
      <w:r>
        <w:rPr>
          <w:i/>
          <w:iCs/>
          <w:u w:val="single"/>
          <w:lang w:eastAsia="en-AU"/>
        </w:rPr>
        <w:t>Detainee Trust Fund Management Policy</w:t>
      </w:r>
    </w:p>
    <w:p w14:paraId="36B6EF83" w14:textId="77777777" w:rsidR="00096BF0" w:rsidRDefault="00096BF0" w:rsidP="00096BF0">
      <w:pPr>
        <w:pStyle w:val="Indenttext1"/>
        <w:numPr>
          <w:ilvl w:val="0"/>
          <w:numId w:val="0"/>
        </w:numPr>
        <w:ind w:left="567"/>
        <w:rPr>
          <w:lang w:eastAsia="en-AU"/>
        </w:rPr>
      </w:pPr>
    </w:p>
    <w:p w14:paraId="7697B93F" w14:textId="342CF2B7" w:rsidR="00167598" w:rsidRDefault="00167598" w:rsidP="00096BF0">
      <w:pPr>
        <w:pStyle w:val="SectionHeading"/>
        <w:rPr>
          <w:lang w:eastAsia="en-AU"/>
        </w:rPr>
      </w:pPr>
      <w:r>
        <w:rPr>
          <w:lang w:eastAsia="en-AU"/>
        </w:rPr>
        <w:t>Records Management</w:t>
      </w:r>
    </w:p>
    <w:p w14:paraId="35AAADBC" w14:textId="40811AFD" w:rsidR="00167598" w:rsidRDefault="00167598" w:rsidP="00096BF0">
      <w:pPr>
        <w:pStyle w:val="Indenttext1"/>
        <w:rPr>
          <w:lang w:eastAsia="en-AU"/>
        </w:rPr>
      </w:pPr>
      <w:r>
        <w:rPr>
          <w:lang w:eastAsia="en-AU"/>
        </w:rPr>
        <w:t xml:space="preserve">All forms and documents relating to both the offender and the community-based work provider </w:t>
      </w:r>
      <w:r w:rsidR="00096BF0">
        <w:rPr>
          <w:lang w:eastAsia="en-AU"/>
        </w:rPr>
        <w:t>must</w:t>
      </w:r>
      <w:r>
        <w:rPr>
          <w:lang w:eastAsia="en-AU"/>
        </w:rPr>
        <w:t xml:space="preserve"> be recorded on CORIS by </w:t>
      </w:r>
      <w:r w:rsidR="00692E10">
        <w:rPr>
          <w:lang w:eastAsia="en-AU"/>
        </w:rPr>
        <w:t xml:space="preserve">an </w:t>
      </w:r>
      <w:r w:rsidR="00692E10">
        <w:rPr>
          <w:rStyle w:val="ms-rtethemefontface-1"/>
          <w:rFonts w:cstheme="minorHAnsi"/>
        </w:rPr>
        <w:t>OR Employment Officer</w:t>
      </w:r>
      <w:r w:rsidR="00096BF0">
        <w:rPr>
          <w:lang w:eastAsia="en-AU"/>
        </w:rPr>
        <w:t xml:space="preserve">, in accordance with the </w:t>
      </w:r>
      <w:r w:rsidR="00096BF0">
        <w:rPr>
          <w:i/>
          <w:iCs/>
          <w:u w:val="single"/>
          <w:lang w:eastAsia="en-AU"/>
        </w:rPr>
        <w:t>Case Notes Policy.</w:t>
      </w:r>
    </w:p>
    <w:p w14:paraId="440CC225" w14:textId="77777777" w:rsidR="00641860" w:rsidRPr="007D6976" w:rsidRDefault="00641860" w:rsidP="007D6976">
      <w:pPr>
        <w:rPr>
          <w:rFonts w:cs="Arial"/>
        </w:rPr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7FCA861A" w14:textId="4E94571B" w:rsidR="007D6976" w:rsidRDefault="00096BF0" w:rsidP="00096BF0">
      <w:pPr>
        <w:pStyle w:val="RelatedDocuments"/>
      </w:pPr>
      <w:r>
        <w:t>Transitional Release Policy</w:t>
      </w:r>
    </w:p>
    <w:p w14:paraId="2BDE9688" w14:textId="481C2F76" w:rsidR="00096BF0" w:rsidRDefault="00096BF0" w:rsidP="00096BF0">
      <w:pPr>
        <w:pStyle w:val="RelatedDocuments"/>
      </w:pPr>
      <w:r w:rsidRPr="00096BF0">
        <w:t>Transitional Release Staged Approach to Reintegration Operating Procedure</w:t>
      </w:r>
    </w:p>
    <w:p w14:paraId="7C5594E2" w14:textId="6FD49D8D" w:rsidR="00096BF0" w:rsidRPr="007D6976" w:rsidRDefault="00096BF0" w:rsidP="00096BF0">
      <w:pPr>
        <w:pStyle w:val="RelatedDocuments"/>
      </w:pPr>
      <w:r w:rsidRPr="00096BF0">
        <w:t>Transitional Release Sponsors (Community-based Employment) Operating Procedure</w:t>
      </w:r>
    </w:p>
    <w:p w14:paraId="18463D30" w14:textId="0A14E890" w:rsidR="00B84A5B" w:rsidRDefault="00B84A5B" w:rsidP="00B84A5B">
      <w:pPr>
        <w:rPr>
          <w:rFonts w:cs="Arial"/>
        </w:rPr>
      </w:pPr>
    </w:p>
    <w:p w14:paraId="5F2A818D" w14:textId="7CB8E2A0" w:rsidR="009B2326" w:rsidRDefault="009B2326" w:rsidP="00B84A5B">
      <w:pPr>
        <w:rPr>
          <w:rFonts w:cs="Arial"/>
        </w:rPr>
      </w:pPr>
    </w:p>
    <w:p w14:paraId="5BDAFD3F" w14:textId="7B325417" w:rsidR="009B2326" w:rsidRDefault="009B2326" w:rsidP="00B84A5B">
      <w:pPr>
        <w:rPr>
          <w:rFonts w:cs="Arial"/>
        </w:rPr>
      </w:pPr>
    </w:p>
    <w:p w14:paraId="59A607D8" w14:textId="73BDDDCF" w:rsidR="00B84A5B" w:rsidRDefault="009922EB" w:rsidP="00B84A5B">
      <w:pPr>
        <w:rPr>
          <w:rFonts w:cs="Arial"/>
        </w:rPr>
      </w:pPr>
      <w:r>
        <w:rPr>
          <w:noProof/>
        </w:rPr>
        <w:drawing>
          <wp:inline distT="0" distB="0" distL="0" distR="0" wp14:anchorId="2F7B4B5A" wp14:editId="2806959C">
            <wp:extent cx="847725" cy="69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9202" cy="7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C628" w14:textId="07E94372" w:rsidR="00B84A5B" w:rsidRDefault="00096BF0" w:rsidP="00E4484A">
      <w:pPr>
        <w:pStyle w:val="NoSpacing"/>
        <w:spacing w:line="276" w:lineRule="auto"/>
      </w:pPr>
      <w:r>
        <w:t>Narelle Pamplin</w:t>
      </w:r>
    </w:p>
    <w:p w14:paraId="60C9BA74" w14:textId="70032508" w:rsidR="00925989" w:rsidRDefault="00096BF0" w:rsidP="00E4484A">
      <w:pPr>
        <w:pStyle w:val="NoSpacing"/>
        <w:spacing w:line="276" w:lineRule="auto"/>
      </w:pPr>
      <w:r>
        <w:t>Assistant Commissioner Offender Reintegration</w:t>
      </w:r>
      <w:r w:rsidR="00202B3A">
        <w:br/>
        <w:t xml:space="preserve">ACT Corrective Services </w:t>
      </w:r>
    </w:p>
    <w:p w14:paraId="3602F0BF" w14:textId="0A36FE9D" w:rsidR="00925989" w:rsidRDefault="009922EB" w:rsidP="00E4484A">
      <w:pPr>
        <w:pStyle w:val="NoSpacing"/>
        <w:spacing w:line="276" w:lineRule="auto"/>
      </w:pPr>
      <w:r>
        <w:t>25</w:t>
      </w:r>
      <w:r w:rsidR="009B2326">
        <w:t xml:space="preserve"> January 2023</w:t>
      </w:r>
    </w:p>
    <w:p w14:paraId="3A33F3D6" w14:textId="77777777" w:rsidR="00096BF0" w:rsidRDefault="00096BF0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3235FAA8" w:rsidR="005E011D" w:rsidRPr="00A81503" w:rsidRDefault="00096BF0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Transitional Release Community-based Employment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9B2326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4FA96404" w:rsidR="005E011D" w:rsidRPr="00586F66" w:rsidRDefault="00096BF0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Offender Reintegration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0243B073" w:rsidR="00CF03FA" w:rsidRPr="00586F66" w:rsidRDefault="00096BF0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Offender Reintegration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73E4F08C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096BF0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189"/>
              <w:gridCol w:w="2517"/>
              <w:gridCol w:w="2196"/>
              <w:gridCol w:w="1654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29E52FE0" w:rsidR="00EF4141" w:rsidRPr="00B11C0C" w:rsidRDefault="009B232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November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37DDCD1D" w:rsidR="00EF4141" w:rsidRPr="00B11C0C" w:rsidRDefault="00096BF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L Spulak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221539">
      <w:headerReference w:type="first" r:id="rId16"/>
      <w:footerReference w:type="first" r:id="rId17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843" w14:textId="77777777" w:rsidR="00E14FAF" w:rsidRDefault="00E14FAF" w:rsidP="00152D5E">
      <w:pPr>
        <w:spacing w:after="0" w:line="240" w:lineRule="auto"/>
      </w:pPr>
      <w:r>
        <w:separator/>
      </w:r>
    </w:p>
  </w:endnote>
  <w:endnote w:type="continuationSeparator" w:id="0">
    <w:p w14:paraId="61B03809" w14:textId="77777777" w:rsidR="00E14FAF" w:rsidRDefault="00E14FA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E897" w14:textId="77777777" w:rsidR="002D6151" w:rsidRDefault="002D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184CD10" w14:textId="699A0DE7" w:rsidR="00FB2C79" w:rsidRDefault="00FB2C79" w:rsidP="002C1979">
            <w:pPr>
              <w:pStyle w:val="Footer"/>
              <w:jc w:val="right"/>
              <w:rPr>
                <w:rFonts w:ascii="Calibri" w:hAnsi="Calibri"/>
                <w:sz w:val="20"/>
                <w:szCs w:val="20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56144583" w14:textId="62BB9053" w:rsidR="00AF7BD6" w:rsidRPr="00AF7BD6" w:rsidRDefault="00AF7BD6" w:rsidP="00AF7BD6">
    <w:pPr>
      <w:pStyle w:val="Footer"/>
      <w:jc w:val="center"/>
      <w:rPr>
        <w:rFonts w:ascii="Arial" w:hAnsi="Arial" w:cs="Arial"/>
        <w:sz w:val="14"/>
        <w:szCs w:val="18"/>
      </w:rPr>
    </w:pPr>
    <w:r w:rsidRPr="00AF7BD6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BA2E" w14:textId="0A61EBA7" w:rsidR="008A36D1" w:rsidRPr="00AF7BD6" w:rsidRDefault="00AF7BD6" w:rsidP="00AF7BD6">
    <w:pPr>
      <w:pStyle w:val="Footer"/>
      <w:jc w:val="center"/>
      <w:rPr>
        <w:rFonts w:ascii="Arial" w:hAnsi="Arial" w:cs="Arial"/>
        <w:sz w:val="14"/>
        <w:szCs w:val="14"/>
      </w:rPr>
    </w:pPr>
    <w:r w:rsidRPr="00AF7BD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320F" w14:textId="592CC1B2" w:rsidR="002D6151" w:rsidRPr="00AF7BD6" w:rsidRDefault="00AF7BD6" w:rsidP="00AF7BD6">
    <w:pPr>
      <w:pStyle w:val="Footer"/>
      <w:jc w:val="center"/>
      <w:rPr>
        <w:rFonts w:ascii="Arial" w:hAnsi="Arial" w:cs="Arial"/>
        <w:sz w:val="14"/>
        <w:szCs w:val="14"/>
      </w:rPr>
    </w:pPr>
    <w:r w:rsidRPr="00AF7BD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EA0" w14:textId="77777777" w:rsidR="00E14FAF" w:rsidRDefault="00E14FAF" w:rsidP="00152D5E">
      <w:pPr>
        <w:spacing w:after="0" w:line="240" w:lineRule="auto"/>
      </w:pPr>
      <w:r>
        <w:separator/>
      </w:r>
    </w:p>
  </w:footnote>
  <w:footnote w:type="continuationSeparator" w:id="0">
    <w:p w14:paraId="2FB1E155" w14:textId="77777777" w:rsidR="00E14FAF" w:rsidRDefault="00E14FA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80D4" w14:textId="77777777" w:rsidR="002D6151" w:rsidRDefault="002D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03C" w14:textId="48CE50D7" w:rsidR="00FB2C79" w:rsidRPr="00221539" w:rsidRDefault="00FB2C79" w:rsidP="00221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B68" w14:textId="77777777" w:rsidR="00FB2C79" w:rsidRPr="002D6151" w:rsidRDefault="00FB2C79" w:rsidP="002D61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9340" w14:textId="77777777" w:rsidR="002D6151" w:rsidRDefault="002D6151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9C6FE5C" wp14:editId="3218BFE7">
          <wp:extent cx="2190750" cy="676275"/>
          <wp:effectExtent l="19050" t="0" r="0" b="0"/>
          <wp:docPr id="3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7FCD6BE" w14:textId="77777777" w:rsidR="002D6151" w:rsidRDefault="002D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6105B0"/>
    <w:multiLevelType w:val="multilevel"/>
    <w:tmpl w:val="C652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04E4"/>
    <w:multiLevelType w:val="hybridMultilevel"/>
    <w:tmpl w:val="9480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7349234">
    <w:abstractNumId w:val="5"/>
  </w:num>
  <w:num w:numId="2" w16cid:durableId="1582907474">
    <w:abstractNumId w:val="0"/>
  </w:num>
  <w:num w:numId="3" w16cid:durableId="1699233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611421">
    <w:abstractNumId w:val="0"/>
  </w:num>
  <w:num w:numId="5" w16cid:durableId="1751662053">
    <w:abstractNumId w:val="0"/>
    <w:lvlOverride w:ilvl="0">
      <w:startOverride w:val="1"/>
    </w:lvlOverride>
  </w:num>
  <w:num w:numId="6" w16cid:durableId="1664897618">
    <w:abstractNumId w:val="3"/>
  </w:num>
  <w:num w:numId="7" w16cid:durableId="653605712">
    <w:abstractNumId w:val="4"/>
  </w:num>
  <w:num w:numId="8" w16cid:durableId="1108550255">
    <w:abstractNumId w:val="2"/>
  </w:num>
  <w:num w:numId="9" w16cid:durableId="636766463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71198"/>
    <w:rsid w:val="00082663"/>
    <w:rsid w:val="00096BF0"/>
    <w:rsid w:val="000B7E7B"/>
    <w:rsid w:val="000C15FB"/>
    <w:rsid w:val="000C7B6F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67598"/>
    <w:rsid w:val="001764CE"/>
    <w:rsid w:val="001853B3"/>
    <w:rsid w:val="001A50E7"/>
    <w:rsid w:val="001A677B"/>
    <w:rsid w:val="001B6520"/>
    <w:rsid w:val="001E0DC9"/>
    <w:rsid w:val="00202B3A"/>
    <w:rsid w:val="0021108E"/>
    <w:rsid w:val="00215BD6"/>
    <w:rsid w:val="00221539"/>
    <w:rsid w:val="00221FA3"/>
    <w:rsid w:val="00224981"/>
    <w:rsid w:val="00252E13"/>
    <w:rsid w:val="00272CE7"/>
    <w:rsid w:val="002826FB"/>
    <w:rsid w:val="00283EE0"/>
    <w:rsid w:val="00287266"/>
    <w:rsid w:val="0029414B"/>
    <w:rsid w:val="002A2DE1"/>
    <w:rsid w:val="002A59E1"/>
    <w:rsid w:val="002B3CE1"/>
    <w:rsid w:val="002C1979"/>
    <w:rsid w:val="002C7846"/>
    <w:rsid w:val="002D1603"/>
    <w:rsid w:val="002D6151"/>
    <w:rsid w:val="002E31A9"/>
    <w:rsid w:val="002F6E5A"/>
    <w:rsid w:val="00302352"/>
    <w:rsid w:val="00302B09"/>
    <w:rsid w:val="0031239E"/>
    <w:rsid w:val="00314A6D"/>
    <w:rsid w:val="00327284"/>
    <w:rsid w:val="00335431"/>
    <w:rsid w:val="00340868"/>
    <w:rsid w:val="003449F8"/>
    <w:rsid w:val="00345311"/>
    <w:rsid w:val="003517F3"/>
    <w:rsid w:val="00353E50"/>
    <w:rsid w:val="003845D9"/>
    <w:rsid w:val="00390390"/>
    <w:rsid w:val="003964A5"/>
    <w:rsid w:val="00397232"/>
    <w:rsid w:val="003A2E5D"/>
    <w:rsid w:val="003A3CF7"/>
    <w:rsid w:val="003A6D9E"/>
    <w:rsid w:val="003A7DC3"/>
    <w:rsid w:val="003B0384"/>
    <w:rsid w:val="003B2F7D"/>
    <w:rsid w:val="003C4C1C"/>
    <w:rsid w:val="003C5E5F"/>
    <w:rsid w:val="003C6EB2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1C8B"/>
    <w:rsid w:val="0046695A"/>
    <w:rsid w:val="00471864"/>
    <w:rsid w:val="004740A6"/>
    <w:rsid w:val="00484860"/>
    <w:rsid w:val="004A0E69"/>
    <w:rsid w:val="004B121B"/>
    <w:rsid w:val="004B2F47"/>
    <w:rsid w:val="004B64FC"/>
    <w:rsid w:val="004C28FE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2DD2"/>
    <w:rsid w:val="00586F66"/>
    <w:rsid w:val="005A4376"/>
    <w:rsid w:val="005A6F4E"/>
    <w:rsid w:val="005A794E"/>
    <w:rsid w:val="005C4C28"/>
    <w:rsid w:val="005D2BB7"/>
    <w:rsid w:val="005D504A"/>
    <w:rsid w:val="005E011D"/>
    <w:rsid w:val="005E33B4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7063B"/>
    <w:rsid w:val="00685F05"/>
    <w:rsid w:val="00686CE7"/>
    <w:rsid w:val="00692E10"/>
    <w:rsid w:val="006A5E20"/>
    <w:rsid w:val="006F301F"/>
    <w:rsid w:val="006F3F09"/>
    <w:rsid w:val="00707A71"/>
    <w:rsid w:val="007104EA"/>
    <w:rsid w:val="007122C1"/>
    <w:rsid w:val="00725E8F"/>
    <w:rsid w:val="0073253B"/>
    <w:rsid w:val="00737195"/>
    <w:rsid w:val="00737D4C"/>
    <w:rsid w:val="00741C56"/>
    <w:rsid w:val="0076023F"/>
    <w:rsid w:val="00767337"/>
    <w:rsid w:val="00780A2D"/>
    <w:rsid w:val="00782A7B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40B46"/>
    <w:rsid w:val="008501F8"/>
    <w:rsid w:val="00853BE2"/>
    <w:rsid w:val="00856433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C07D5"/>
    <w:rsid w:val="008C1D7D"/>
    <w:rsid w:val="008D7964"/>
    <w:rsid w:val="008E2F14"/>
    <w:rsid w:val="008E7151"/>
    <w:rsid w:val="008F18E1"/>
    <w:rsid w:val="009040AE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922EB"/>
    <w:rsid w:val="009A1FBC"/>
    <w:rsid w:val="009B2326"/>
    <w:rsid w:val="009B765D"/>
    <w:rsid w:val="009C50FE"/>
    <w:rsid w:val="009E4E29"/>
    <w:rsid w:val="00A14F8C"/>
    <w:rsid w:val="00A373D9"/>
    <w:rsid w:val="00A4017C"/>
    <w:rsid w:val="00A81503"/>
    <w:rsid w:val="00A93ED3"/>
    <w:rsid w:val="00A95B39"/>
    <w:rsid w:val="00AB0381"/>
    <w:rsid w:val="00AB4372"/>
    <w:rsid w:val="00AC0BF3"/>
    <w:rsid w:val="00AC365D"/>
    <w:rsid w:val="00AF7BD6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3A18"/>
    <w:rsid w:val="00BB5B6C"/>
    <w:rsid w:val="00BD0E7C"/>
    <w:rsid w:val="00BD7AAD"/>
    <w:rsid w:val="00BF5695"/>
    <w:rsid w:val="00C067A2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4114"/>
    <w:rsid w:val="00D9493E"/>
    <w:rsid w:val="00D95E71"/>
    <w:rsid w:val="00DB6273"/>
    <w:rsid w:val="00DC4D38"/>
    <w:rsid w:val="00E01795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6F61"/>
    <w:rsid w:val="00E9504E"/>
    <w:rsid w:val="00EB09A1"/>
    <w:rsid w:val="00EB7FD8"/>
    <w:rsid w:val="00EC08D9"/>
    <w:rsid w:val="00ED0F79"/>
    <w:rsid w:val="00EF4141"/>
    <w:rsid w:val="00F14697"/>
    <w:rsid w:val="00F33976"/>
    <w:rsid w:val="00F35DEF"/>
    <w:rsid w:val="00F47FCC"/>
    <w:rsid w:val="00F622EA"/>
    <w:rsid w:val="00F64FF8"/>
    <w:rsid w:val="00F744B4"/>
    <w:rsid w:val="00F81FF3"/>
    <w:rsid w:val="00F85168"/>
    <w:rsid w:val="00FB2C79"/>
    <w:rsid w:val="00FB6330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,Normal + Dash,L,Bullets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aliases w:val="List Paragraph1 Char,Recommendation Char,List Paragraph11 Char,1 Recommendation Char,Normal + Dash Char,L Char,Bullets Char,FooterText Char,numbered Char,Paragraphe de liste1 Char,Bulletr List Paragraph Char,列出段落 Char,列出段落1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16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ntface-1">
    <w:name w:val="ms-rtethemefontface-1"/>
    <w:basedOn w:val="DefaultParagraphFont"/>
    <w:rsid w:val="00167598"/>
  </w:style>
  <w:style w:type="character" w:styleId="Strong">
    <w:name w:val="Strong"/>
    <w:basedOn w:val="DefaultParagraphFont"/>
    <w:uiPriority w:val="22"/>
    <w:qFormat/>
    <w:rsid w:val="00167598"/>
    <w:rPr>
      <w:b/>
      <w:bCs/>
    </w:rPr>
  </w:style>
  <w:style w:type="character" w:styleId="Emphasis">
    <w:name w:val="Emphasis"/>
    <w:basedOn w:val="DefaultParagraphFont"/>
    <w:uiPriority w:val="20"/>
    <w:qFormat/>
    <w:rsid w:val="00167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br.business.gov.au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6618</Characters>
  <Application>Microsoft Office Word</Application>
  <DocSecurity>0</DocSecurity>
  <Lines>168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2023-02-20T01:00:00Z</dcterms:created>
  <dcterms:modified xsi:type="dcterms:W3CDTF">2023-02-20T01:00:00Z</dcterms:modified>
</cp:coreProperties>
</file>