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5FC2" w14:textId="77777777" w:rsidR="00C75C19" w:rsidRPr="00C75C19" w:rsidRDefault="00C75C19" w:rsidP="00C75C19">
      <w:pPr>
        <w:spacing w:before="120" w:after="0" w:line="240" w:lineRule="auto"/>
        <w:rPr>
          <w:rFonts w:ascii="Arial" w:eastAsia="Times New Roman" w:hAnsi="Arial" w:cs="Arial"/>
          <w:sz w:val="24"/>
          <w:szCs w:val="20"/>
        </w:rPr>
      </w:pPr>
      <w:bookmarkStart w:id="0" w:name="_Toc44738651"/>
      <w:r w:rsidRPr="00C75C19">
        <w:rPr>
          <w:rFonts w:ascii="Arial" w:eastAsia="Times New Roman" w:hAnsi="Arial" w:cs="Arial"/>
          <w:sz w:val="24"/>
          <w:szCs w:val="20"/>
        </w:rPr>
        <w:t>Australian Capital Territory</w:t>
      </w:r>
    </w:p>
    <w:p w14:paraId="39895C5C" w14:textId="77777777" w:rsidR="00C75C19" w:rsidRPr="00C75C19" w:rsidRDefault="00C75C19" w:rsidP="00C75C19">
      <w:pPr>
        <w:tabs>
          <w:tab w:val="left" w:pos="2400"/>
          <w:tab w:val="left" w:pos="2880"/>
        </w:tabs>
        <w:spacing w:before="700" w:after="100" w:line="240" w:lineRule="auto"/>
        <w:rPr>
          <w:rFonts w:ascii="Arial" w:eastAsia="Times New Roman" w:hAnsi="Arial" w:cs="Times New Roman"/>
          <w:b/>
          <w:color w:val="000000" w:themeColor="text1"/>
          <w:sz w:val="40"/>
          <w:szCs w:val="20"/>
        </w:rPr>
      </w:pPr>
      <w:r w:rsidRPr="00C75C19">
        <w:rPr>
          <w:rFonts w:ascii="Arial" w:eastAsia="Times New Roman" w:hAnsi="Arial" w:cs="Times New Roman"/>
          <w:b/>
          <w:color w:val="000000" w:themeColor="text1"/>
          <w:sz w:val="40"/>
          <w:szCs w:val="20"/>
        </w:rPr>
        <w:t>Corrections Management (Transitional Release Escorts) Operating Procedure 2023</w:t>
      </w:r>
    </w:p>
    <w:p w14:paraId="65A908D1" w14:textId="77777777" w:rsidR="00C75C19" w:rsidRPr="00C75C19" w:rsidRDefault="00C75C19" w:rsidP="00C75C19">
      <w:pPr>
        <w:spacing w:before="340" w:after="0" w:line="240" w:lineRule="auto"/>
        <w:rPr>
          <w:rFonts w:ascii="Arial" w:eastAsia="Times New Roman" w:hAnsi="Arial" w:cs="Arial"/>
          <w:b/>
          <w:bCs/>
          <w:color w:val="000000" w:themeColor="text1"/>
          <w:sz w:val="24"/>
          <w:szCs w:val="20"/>
        </w:rPr>
      </w:pPr>
      <w:r w:rsidRPr="00C75C19">
        <w:rPr>
          <w:rFonts w:ascii="Arial" w:eastAsia="Times New Roman" w:hAnsi="Arial" w:cs="Arial"/>
          <w:b/>
          <w:bCs/>
          <w:color w:val="000000" w:themeColor="text1"/>
          <w:sz w:val="24"/>
          <w:szCs w:val="20"/>
        </w:rPr>
        <w:t>Notifiable instrument NI2023–90</w:t>
      </w:r>
    </w:p>
    <w:p w14:paraId="20C41A23" w14:textId="77777777" w:rsidR="00C75C19" w:rsidRPr="00C75C19" w:rsidRDefault="00C75C19" w:rsidP="00C75C19">
      <w:pPr>
        <w:spacing w:before="300" w:after="0" w:line="240" w:lineRule="auto"/>
        <w:jc w:val="both"/>
        <w:rPr>
          <w:rFonts w:ascii="Times New Roman" w:eastAsia="Times New Roman" w:hAnsi="Times New Roman" w:cs="Times New Roman"/>
          <w:sz w:val="24"/>
          <w:szCs w:val="20"/>
        </w:rPr>
      </w:pPr>
      <w:r w:rsidRPr="00C75C19">
        <w:rPr>
          <w:rFonts w:ascii="Times New Roman" w:eastAsia="Times New Roman" w:hAnsi="Times New Roman" w:cs="Times New Roman"/>
          <w:sz w:val="24"/>
          <w:szCs w:val="20"/>
        </w:rPr>
        <w:t xml:space="preserve">made under the  </w:t>
      </w:r>
    </w:p>
    <w:p w14:paraId="1E2B6CE2" w14:textId="77777777" w:rsidR="00C75C19" w:rsidRPr="00C75C19" w:rsidRDefault="00C75C19" w:rsidP="00C75C19">
      <w:pPr>
        <w:tabs>
          <w:tab w:val="left" w:pos="2600"/>
        </w:tabs>
        <w:spacing w:before="320" w:after="0" w:line="240" w:lineRule="auto"/>
        <w:rPr>
          <w:rFonts w:ascii="Arial" w:eastAsia="Times New Roman" w:hAnsi="Arial" w:cs="Arial"/>
          <w:b/>
          <w:sz w:val="20"/>
          <w:szCs w:val="20"/>
        </w:rPr>
      </w:pPr>
      <w:r w:rsidRPr="00C75C19">
        <w:rPr>
          <w:rFonts w:ascii="Arial" w:eastAsia="Times New Roman" w:hAnsi="Arial" w:cs="Arial"/>
          <w:b/>
          <w:sz w:val="20"/>
          <w:szCs w:val="20"/>
        </w:rPr>
        <w:t xml:space="preserve">Corrections Management Act 2007, s14 (Corrections policies and operating procedures) </w:t>
      </w:r>
    </w:p>
    <w:p w14:paraId="02FCEE7A" w14:textId="77777777" w:rsidR="00C75C19" w:rsidRPr="00C75C19" w:rsidRDefault="00C75C19" w:rsidP="00C75C19">
      <w:pPr>
        <w:spacing w:before="60" w:after="0" w:line="240" w:lineRule="auto"/>
        <w:jc w:val="both"/>
        <w:rPr>
          <w:rFonts w:ascii="Times New Roman" w:eastAsia="Times New Roman" w:hAnsi="Times New Roman" w:cs="Times New Roman"/>
          <w:sz w:val="24"/>
          <w:szCs w:val="20"/>
        </w:rPr>
      </w:pPr>
    </w:p>
    <w:p w14:paraId="3C555FAA" w14:textId="77777777" w:rsidR="00C75C19" w:rsidRPr="00C75C19" w:rsidRDefault="00C75C19" w:rsidP="00C75C19">
      <w:pPr>
        <w:pBdr>
          <w:top w:val="single" w:sz="12" w:space="1" w:color="auto"/>
        </w:pBdr>
        <w:spacing w:after="0" w:line="240" w:lineRule="auto"/>
        <w:jc w:val="both"/>
        <w:rPr>
          <w:rFonts w:ascii="Times New Roman" w:eastAsia="Times New Roman" w:hAnsi="Times New Roman" w:cs="Times New Roman"/>
          <w:sz w:val="24"/>
          <w:szCs w:val="20"/>
        </w:rPr>
      </w:pPr>
    </w:p>
    <w:p w14:paraId="3243D015" w14:textId="77777777" w:rsidR="00C75C19" w:rsidRPr="00C75C19" w:rsidRDefault="00C75C19" w:rsidP="00C75C19">
      <w:pPr>
        <w:spacing w:before="60" w:after="60" w:line="240" w:lineRule="auto"/>
        <w:ind w:left="720" w:hanging="720"/>
        <w:rPr>
          <w:rFonts w:ascii="Arial" w:eastAsia="Times New Roman" w:hAnsi="Arial" w:cs="Arial"/>
          <w:b/>
          <w:bCs/>
          <w:sz w:val="24"/>
          <w:szCs w:val="20"/>
        </w:rPr>
      </w:pPr>
      <w:r w:rsidRPr="00C75C19">
        <w:rPr>
          <w:rFonts w:ascii="Arial" w:eastAsia="Times New Roman" w:hAnsi="Arial" w:cs="Arial"/>
          <w:b/>
          <w:bCs/>
          <w:sz w:val="24"/>
          <w:szCs w:val="20"/>
        </w:rPr>
        <w:t>1</w:t>
      </w:r>
      <w:r w:rsidRPr="00C75C19">
        <w:rPr>
          <w:rFonts w:ascii="Arial" w:eastAsia="Times New Roman" w:hAnsi="Arial" w:cs="Arial"/>
          <w:b/>
          <w:bCs/>
          <w:sz w:val="24"/>
          <w:szCs w:val="20"/>
        </w:rPr>
        <w:tab/>
        <w:t>Name of instrument</w:t>
      </w:r>
    </w:p>
    <w:p w14:paraId="6E927F81" w14:textId="45824994" w:rsidR="00C75C19" w:rsidRPr="00C75C19" w:rsidRDefault="00C75C19" w:rsidP="00C75C19">
      <w:pPr>
        <w:spacing w:before="140" w:after="0" w:line="240" w:lineRule="auto"/>
        <w:ind w:left="720"/>
        <w:rPr>
          <w:rFonts w:ascii="Times New Roman" w:eastAsia="Times New Roman" w:hAnsi="Times New Roman" w:cs="Times New Roman"/>
          <w:sz w:val="24"/>
          <w:szCs w:val="20"/>
        </w:rPr>
      </w:pPr>
      <w:r w:rsidRPr="00C75C19">
        <w:rPr>
          <w:rFonts w:ascii="Times New Roman" w:eastAsia="Times New Roman" w:hAnsi="Times New Roman" w:cs="Times New Roman"/>
          <w:sz w:val="24"/>
          <w:szCs w:val="20"/>
        </w:rPr>
        <w:t xml:space="preserve">This instrument is the </w:t>
      </w:r>
      <w:r w:rsidRPr="00C75C19">
        <w:rPr>
          <w:rFonts w:ascii="Times New Roman" w:eastAsia="Times New Roman" w:hAnsi="Times New Roman" w:cs="Times New Roman"/>
          <w:i/>
          <w:iCs/>
          <w:sz w:val="24"/>
          <w:szCs w:val="20"/>
        </w:rPr>
        <w:t>Corrections Management (Transitional Release Escorts) Operating Procedure</w:t>
      </w:r>
      <w:r w:rsidR="004911A2">
        <w:rPr>
          <w:rFonts w:ascii="Times New Roman" w:eastAsia="Times New Roman" w:hAnsi="Times New Roman" w:cs="Times New Roman"/>
          <w:i/>
          <w:iCs/>
          <w:sz w:val="24"/>
          <w:szCs w:val="20"/>
        </w:rPr>
        <w:t xml:space="preserve"> 2023</w:t>
      </w:r>
      <w:r w:rsidR="00940C70">
        <w:rPr>
          <w:rFonts w:ascii="Times New Roman" w:eastAsia="Times New Roman" w:hAnsi="Times New Roman" w:cs="Times New Roman"/>
          <w:i/>
          <w:iCs/>
          <w:sz w:val="24"/>
          <w:szCs w:val="20"/>
        </w:rPr>
        <w:t>*</w:t>
      </w:r>
      <w:r w:rsidRPr="00C75C19">
        <w:rPr>
          <w:rFonts w:ascii="Times New Roman" w:eastAsia="Times New Roman" w:hAnsi="Times New Roman" w:cs="Times New Roman"/>
          <w:i/>
          <w:iCs/>
          <w:sz w:val="24"/>
          <w:szCs w:val="20"/>
        </w:rPr>
        <w:t>.</w:t>
      </w:r>
    </w:p>
    <w:p w14:paraId="05327BD1" w14:textId="77777777" w:rsidR="00C75C19" w:rsidRPr="00C75C19" w:rsidRDefault="00C75C19" w:rsidP="00C75C19">
      <w:pPr>
        <w:spacing w:before="300" w:after="0" w:line="240" w:lineRule="auto"/>
        <w:ind w:left="720" w:hanging="720"/>
        <w:rPr>
          <w:rFonts w:ascii="Arial" w:eastAsia="Times New Roman" w:hAnsi="Arial" w:cs="Arial"/>
          <w:b/>
          <w:bCs/>
          <w:sz w:val="24"/>
          <w:szCs w:val="20"/>
        </w:rPr>
      </w:pPr>
      <w:r w:rsidRPr="00C75C19">
        <w:rPr>
          <w:rFonts w:ascii="Arial" w:eastAsia="Times New Roman" w:hAnsi="Arial" w:cs="Arial"/>
          <w:b/>
          <w:bCs/>
          <w:sz w:val="24"/>
          <w:szCs w:val="20"/>
        </w:rPr>
        <w:t>2</w:t>
      </w:r>
      <w:r w:rsidRPr="00C75C19">
        <w:rPr>
          <w:rFonts w:ascii="Arial" w:eastAsia="Times New Roman" w:hAnsi="Arial" w:cs="Arial"/>
          <w:b/>
          <w:bCs/>
          <w:sz w:val="24"/>
          <w:szCs w:val="20"/>
        </w:rPr>
        <w:tab/>
        <w:t xml:space="preserve">Commencement </w:t>
      </w:r>
    </w:p>
    <w:p w14:paraId="7CC4AF74" w14:textId="77777777" w:rsidR="00C75C19" w:rsidRPr="00C75C19" w:rsidRDefault="00C75C19" w:rsidP="00C75C19">
      <w:pPr>
        <w:spacing w:before="140" w:after="0" w:line="240" w:lineRule="auto"/>
        <w:ind w:left="720"/>
        <w:rPr>
          <w:rFonts w:ascii="Times New Roman" w:eastAsia="Times New Roman" w:hAnsi="Times New Roman" w:cs="Times New Roman"/>
          <w:sz w:val="24"/>
          <w:szCs w:val="20"/>
        </w:rPr>
      </w:pPr>
      <w:r w:rsidRPr="00C75C19">
        <w:rPr>
          <w:rFonts w:ascii="Times New Roman" w:eastAsia="Times New Roman" w:hAnsi="Times New Roman" w:cs="Times New Roman"/>
          <w:sz w:val="24"/>
          <w:szCs w:val="20"/>
        </w:rPr>
        <w:t xml:space="preserve">This instrument commences on the day after its notification day. </w:t>
      </w:r>
    </w:p>
    <w:p w14:paraId="208BEDA1" w14:textId="77777777" w:rsidR="00C75C19" w:rsidRPr="00C75C19" w:rsidRDefault="00C75C19" w:rsidP="00C75C19">
      <w:pPr>
        <w:spacing w:before="300" w:after="0" w:line="240" w:lineRule="auto"/>
        <w:ind w:left="720" w:hanging="720"/>
        <w:rPr>
          <w:rFonts w:ascii="Arial" w:eastAsia="Times New Roman" w:hAnsi="Arial" w:cs="Arial"/>
          <w:b/>
          <w:bCs/>
          <w:sz w:val="24"/>
          <w:szCs w:val="20"/>
        </w:rPr>
      </w:pPr>
      <w:r w:rsidRPr="00C75C19">
        <w:rPr>
          <w:rFonts w:ascii="Arial" w:eastAsia="Times New Roman" w:hAnsi="Arial" w:cs="Arial"/>
          <w:b/>
          <w:bCs/>
          <w:sz w:val="24"/>
          <w:szCs w:val="20"/>
        </w:rPr>
        <w:t>3</w:t>
      </w:r>
      <w:r w:rsidRPr="00C75C19">
        <w:rPr>
          <w:rFonts w:ascii="Arial" w:eastAsia="Times New Roman" w:hAnsi="Arial" w:cs="Arial"/>
          <w:b/>
          <w:bCs/>
          <w:sz w:val="24"/>
          <w:szCs w:val="20"/>
        </w:rPr>
        <w:tab/>
        <w:t xml:space="preserve">Operating Procedure </w:t>
      </w:r>
    </w:p>
    <w:p w14:paraId="3327EFF6" w14:textId="77777777" w:rsidR="00C75C19" w:rsidRPr="00C75C19" w:rsidRDefault="00C75C19" w:rsidP="00C75C19">
      <w:pPr>
        <w:spacing w:before="140" w:after="0" w:line="240" w:lineRule="auto"/>
        <w:ind w:left="720"/>
        <w:rPr>
          <w:rFonts w:ascii="Arial" w:eastAsia="Times New Roman" w:hAnsi="Arial" w:cs="Arial"/>
          <w:b/>
          <w:bCs/>
          <w:sz w:val="24"/>
          <w:szCs w:val="20"/>
        </w:rPr>
      </w:pPr>
      <w:r w:rsidRPr="00C75C19">
        <w:rPr>
          <w:rFonts w:ascii="Times New Roman" w:eastAsia="Times New Roman" w:hAnsi="Times New Roman" w:cs="Times New Roman"/>
          <w:sz w:val="24"/>
          <w:szCs w:val="20"/>
        </w:rPr>
        <w:t>I make this operating procedure to facilitate the effective and efficient management of corrections services.</w:t>
      </w:r>
      <w:r w:rsidRPr="00C75C19">
        <w:rPr>
          <w:rFonts w:ascii="Arial" w:eastAsia="Times New Roman" w:hAnsi="Arial" w:cs="Arial"/>
          <w:b/>
          <w:bCs/>
          <w:sz w:val="24"/>
          <w:szCs w:val="20"/>
        </w:rPr>
        <w:t xml:space="preserve"> </w:t>
      </w:r>
    </w:p>
    <w:p w14:paraId="1E2D8C3B" w14:textId="77777777" w:rsidR="00C75C19" w:rsidRPr="00C75C19" w:rsidRDefault="00C75C19" w:rsidP="00C75C19">
      <w:pPr>
        <w:tabs>
          <w:tab w:val="left" w:pos="4320"/>
        </w:tabs>
        <w:spacing w:before="720" w:after="0" w:line="240" w:lineRule="auto"/>
        <w:rPr>
          <w:rFonts w:ascii="Times New Roman" w:eastAsia="Times New Roman" w:hAnsi="Times New Roman" w:cs="Times New Roman"/>
          <w:sz w:val="24"/>
          <w:szCs w:val="20"/>
        </w:rPr>
      </w:pPr>
    </w:p>
    <w:p w14:paraId="5469816F" w14:textId="2839BC35" w:rsidR="00C75C19" w:rsidRDefault="00C75C19" w:rsidP="00C75C19">
      <w:pPr>
        <w:tabs>
          <w:tab w:val="left" w:pos="4320"/>
        </w:tabs>
        <w:spacing w:before="720" w:after="0" w:line="240" w:lineRule="auto"/>
        <w:rPr>
          <w:rFonts w:ascii="Times New Roman" w:eastAsia="Times New Roman" w:hAnsi="Times New Roman" w:cs="Times New Roman"/>
          <w:color w:val="000000" w:themeColor="text1"/>
          <w:sz w:val="24"/>
          <w:szCs w:val="20"/>
        </w:rPr>
      </w:pPr>
      <w:r w:rsidRPr="00C75C19">
        <w:rPr>
          <w:rFonts w:ascii="Times New Roman" w:eastAsia="Times New Roman" w:hAnsi="Times New Roman" w:cs="Times New Roman"/>
          <w:sz w:val="24"/>
          <w:szCs w:val="20"/>
        </w:rPr>
        <w:t xml:space="preserve">Ray Johnson </w:t>
      </w:r>
      <w:r w:rsidRPr="00C75C19">
        <w:rPr>
          <w:rFonts w:ascii="Times New Roman" w:eastAsia="Times New Roman" w:hAnsi="Times New Roman" w:cs="Times New Roman"/>
          <w:sz w:val="24"/>
          <w:szCs w:val="20"/>
          <w:vertAlign w:val="superscript"/>
        </w:rPr>
        <w:t>APM</w:t>
      </w:r>
      <w:r w:rsidRPr="00C75C19">
        <w:rPr>
          <w:rFonts w:ascii="Times New Roman" w:eastAsia="Times New Roman" w:hAnsi="Times New Roman" w:cs="Times New Roman"/>
          <w:sz w:val="24"/>
          <w:szCs w:val="20"/>
        </w:rPr>
        <w:br/>
        <w:t>Commissioner</w:t>
      </w:r>
      <w:r w:rsidRPr="00C75C19">
        <w:rPr>
          <w:rFonts w:ascii="Times New Roman" w:eastAsia="Times New Roman" w:hAnsi="Times New Roman" w:cs="Times New Roman"/>
          <w:sz w:val="24"/>
          <w:szCs w:val="20"/>
        </w:rPr>
        <w:br/>
        <w:t>ACT Corrective Services</w:t>
      </w:r>
      <w:r w:rsidRPr="00C75C19">
        <w:rPr>
          <w:rFonts w:ascii="Times New Roman" w:eastAsia="Times New Roman" w:hAnsi="Times New Roman" w:cs="Times New Roman"/>
          <w:sz w:val="24"/>
          <w:szCs w:val="20"/>
        </w:rPr>
        <w:br/>
      </w:r>
      <w:bookmarkEnd w:id="0"/>
      <w:r w:rsidRPr="00C75C19">
        <w:rPr>
          <w:rFonts w:ascii="Times New Roman" w:eastAsia="Times New Roman" w:hAnsi="Times New Roman" w:cs="Times New Roman"/>
          <w:color w:val="000000" w:themeColor="text1"/>
          <w:sz w:val="24"/>
          <w:szCs w:val="20"/>
        </w:rPr>
        <w:t>15 February 2023</w:t>
      </w:r>
    </w:p>
    <w:p w14:paraId="49F609E8" w14:textId="77777777" w:rsidR="005E7873" w:rsidRPr="00C75C19" w:rsidRDefault="005E7873" w:rsidP="005E7873">
      <w:pPr>
        <w:tabs>
          <w:tab w:val="left" w:pos="4320"/>
        </w:tabs>
        <w:spacing w:after="0" w:line="240" w:lineRule="auto"/>
        <w:rPr>
          <w:rFonts w:ascii="Times New Roman" w:eastAsia="Times New Roman" w:hAnsi="Times New Roman" w:cs="Times New Roman"/>
          <w:sz w:val="24"/>
          <w:szCs w:val="20"/>
        </w:rPr>
      </w:pPr>
    </w:p>
    <w:p w14:paraId="60260C4E" w14:textId="77777777" w:rsidR="009D6344" w:rsidRDefault="009D6344" w:rsidP="005E7873">
      <w:pPr>
        <w:spacing w:after="0"/>
        <w:rPr>
          <w:rFonts w:cs="Arial"/>
          <w:b/>
        </w:rPr>
        <w:sectPr w:rsidR="009D6344" w:rsidSect="00C75C19">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3F363F6A" w14:textId="77777777" w:rsidTr="00E4484A">
        <w:tc>
          <w:tcPr>
            <w:tcW w:w="3085" w:type="dxa"/>
            <w:shd w:val="clear" w:color="auto" w:fill="95B3D7" w:themeFill="accent1" w:themeFillTint="99"/>
          </w:tcPr>
          <w:p w14:paraId="4E8142B6"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4FE92B7D" w14:textId="2649B20C" w:rsidR="007B3718" w:rsidRPr="00202B3A" w:rsidRDefault="00E93A4F" w:rsidP="004740A6">
            <w:pPr>
              <w:spacing w:before="120" w:after="120"/>
              <w:rPr>
                <w:rFonts w:cs="Arial"/>
                <w:b/>
              </w:rPr>
            </w:pPr>
            <w:r>
              <w:rPr>
                <w:rFonts w:cs="Arial"/>
                <w:b/>
              </w:rPr>
              <w:t>Transitional Release Escorts</w:t>
            </w:r>
          </w:p>
        </w:tc>
      </w:tr>
      <w:tr w:rsidR="003A3CF7" w:rsidRPr="00586F66" w14:paraId="6738EF0F" w14:textId="77777777" w:rsidTr="00586F66">
        <w:tc>
          <w:tcPr>
            <w:tcW w:w="308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66B274D5" w14:textId="33726864" w:rsidR="003A3CF7" w:rsidRPr="00586F66" w:rsidRDefault="00E862D0" w:rsidP="00CF03FA">
            <w:pPr>
              <w:spacing w:before="120" w:after="120"/>
              <w:rPr>
                <w:rFonts w:cs="Arial"/>
                <w:b/>
              </w:rPr>
            </w:pPr>
            <w:r>
              <w:rPr>
                <w:rFonts w:cs="Arial"/>
                <w:b/>
              </w:rPr>
              <w:t>D26.6</w:t>
            </w:r>
          </w:p>
        </w:tc>
      </w:tr>
      <w:tr w:rsidR="00510017" w:rsidRPr="00586F66" w14:paraId="2AE5F983" w14:textId="77777777" w:rsidTr="008C1D7D">
        <w:tc>
          <w:tcPr>
            <w:tcW w:w="3085" w:type="dxa"/>
          </w:tcPr>
          <w:p w14:paraId="0E3810EE"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EE4551" w14:textId="745A9267" w:rsidR="00510017" w:rsidRPr="00A4017C" w:rsidRDefault="00E862D0" w:rsidP="00132DBB">
            <w:pPr>
              <w:spacing w:before="120" w:after="120"/>
              <w:rPr>
                <w:rFonts w:cs="Arial"/>
                <w:b/>
                <w:highlight w:val="lightGray"/>
              </w:rPr>
            </w:pPr>
            <w:r>
              <w:rPr>
                <w:rFonts w:cs="Arial"/>
                <w:b/>
              </w:rPr>
              <w:t>Transitional Release</w:t>
            </w:r>
          </w:p>
        </w:tc>
      </w:tr>
    </w:tbl>
    <w:p w14:paraId="53A1DC33" w14:textId="77777777" w:rsidR="008C1D7D" w:rsidRDefault="00E62FBC" w:rsidP="006268DA">
      <w:pPr>
        <w:pStyle w:val="Heading11"/>
      </w:pPr>
      <w:r w:rsidRPr="00586F66">
        <w:t>STATEMENT OF PURPOSE</w:t>
      </w:r>
    </w:p>
    <w:p w14:paraId="0389608E" w14:textId="145F9FA6" w:rsidR="00CA5293" w:rsidRPr="008C1D7D" w:rsidRDefault="00CA5293" w:rsidP="006268DA">
      <w:pPr>
        <w:pStyle w:val="Normaltext"/>
      </w:pPr>
      <w:r>
        <w:t>To provide instructions to</w:t>
      </w:r>
      <w:r w:rsidR="00522D99">
        <w:t xml:space="preserve"> </w:t>
      </w:r>
      <w:r w:rsidR="00E93A4F">
        <w:t>all staff working in Transitional Release about how escorts are to be conducted with detainees on approved temporary leave as part of the program</w:t>
      </w:r>
    </w:p>
    <w:p w14:paraId="6C28705F" w14:textId="77777777" w:rsidR="00E93A4F" w:rsidRDefault="00E93A4F" w:rsidP="00E93A4F">
      <w:pPr>
        <w:pStyle w:val="Heading11"/>
      </w:pPr>
      <w:r>
        <w:t>FLOW CHART</w:t>
      </w:r>
    </w:p>
    <w:p w14:paraId="47222569" w14:textId="6BF4837F" w:rsidR="00E93A4F" w:rsidRDefault="00E93A4F" w:rsidP="00E93A4F">
      <w:pPr>
        <w:pStyle w:val="Heading11"/>
      </w:pPr>
      <w:r>
        <w:rPr>
          <w:noProof/>
        </w:rPr>
        <w:drawing>
          <wp:inline distT="0" distB="0" distL="0" distR="0" wp14:anchorId="0C5A9EDE" wp14:editId="15941366">
            <wp:extent cx="5511165" cy="5956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1165" cy="5956300"/>
                    </a:xfrm>
                    <a:prstGeom prst="rect">
                      <a:avLst/>
                    </a:prstGeom>
                    <a:noFill/>
                  </pic:spPr>
                </pic:pic>
              </a:graphicData>
            </a:graphic>
          </wp:inline>
        </w:drawing>
      </w:r>
      <w:r>
        <w:br w:type="page"/>
      </w:r>
    </w:p>
    <w:p w14:paraId="4849DAC3" w14:textId="337C6B03" w:rsidR="00152D5E" w:rsidRPr="00586F66" w:rsidRDefault="004D1932" w:rsidP="006268DA">
      <w:pPr>
        <w:pStyle w:val="Heading11"/>
      </w:pPr>
      <w:r>
        <w:lastRenderedPageBreak/>
        <w:t>PROCEDURE</w:t>
      </w:r>
      <w:r w:rsidR="007B3718" w:rsidRPr="00586F66">
        <w:t>S</w:t>
      </w:r>
    </w:p>
    <w:p w14:paraId="531075DF" w14:textId="17757549" w:rsidR="001230CE" w:rsidRDefault="009360A6" w:rsidP="006268DA">
      <w:pPr>
        <w:pStyle w:val="SectionHeading"/>
      </w:pPr>
      <w:r>
        <w:t>Clothing</w:t>
      </w:r>
    </w:p>
    <w:p w14:paraId="4B1108D1" w14:textId="675D0A94" w:rsidR="007D6976" w:rsidRDefault="002D5261" w:rsidP="009E4E29">
      <w:pPr>
        <w:pStyle w:val="ListParagraph"/>
        <w:numPr>
          <w:ilvl w:val="1"/>
          <w:numId w:val="1"/>
        </w:numPr>
        <w:spacing w:before="60" w:after="0"/>
        <w:ind w:left="567" w:hanging="567"/>
        <w:contextualSpacing w:val="0"/>
        <w:rPr>
          <w:rFonts w:cs="Arial"/>
        </w:rPr>
      </w:pPr>
      <w:r>
        <w:rPr>
          <w:rFonts w:cs="Arial"/>
        </w:rPr>
        <w:t xml:space="preserve">Custodial </w:t>
      </w:r>
      <w:r w:rsidR="009360A6">
        <w:rPr>
          <w:rFonts w:cs="Arial"/>
        </w:rPr>
        <w:t>Officers must wear official ACTCS uniforms when escort</w:t>
      </w:r>
      <w:r>
        <w:rPr>
          <w:rFonts w:cs="Arial"/>
        </w:rPr>
        <w:t>ing</w:t>
      </w:r>
      <w:r w:rsidR="009360A6">
        <w:rPr>
          <w:rFonts w:cs="Arial"/>
        </w:rPr>
        <w:t xml:space="preserve"> detainees on leave related to </w:t>
      </w:r>
      <w:r>
        <w:rPr>
          <w:rFonts w:cs="Arial"/>
        </w:rPr>
        <w:t>employment</w:t>
      </w:r>
      <w:r w:rsidR="009360A6">
        <w:rPr>
          <w:rFonts w:cs="Arial"/>
        </w:rPr>
        <w:t xml:space="preserve"> and for hospital appointments.</w:t>
      </w:r>
    </w:p>
    <w:p w14:paraId="6C51349D" w14:textId="5DAAAB35" w:rsidR="009360A6" w:rsidRDefault="009360A6" w:rsidP="009E4E29">
      <w:pPr>
        <w:pStyle w:val="ListParagraph"/>
        <w:numPr>
          <w:ilvl w:val="1"/>
          <w:numId w:val="1"/>
        </w:numPr>
        <w:spacing w:before="60" w:after="0"/>
        <w:ind w:left="567" w:hanging="567"/>
        <w:contextualSpacing w:val="0"/>
        <w:rPr>
          <w:rFonts w:cs="Arial"/>
        </w:rPr>
      </w:pPr>
      <w:r>
        <w:rPr>
          <w:rFonts w:cs="Arial"/>
        </w:rPr>
        <w:t xml:space="preserve">For all other forms of leave, </w:t>
      </w:r>
      <w:r w:rsidR="002D5261">
        <w:rPr>
          <w:rFonts w:cs="Arial"/>
        </w:rPr>
        <w:t xml:space="preserve">Custodial Officer </w:t>
      </w:r>
      <w:r>
        <w:rPr>
          <w:rFonts w:cs="Arial"/>
        </w:rPr>
        <w:t>must wear civilian clothing.</w:t>
      </w:r>
    </w:p>
    <w:p w14:paraId="7E64D00A" w14:textId="0593210B" w:rsidR="007D6976" w:rsidRPr="007D6976" w:rsidRDefault="009360A6" w:rsidP="009E4E29">
      <w:pPr>
        <w:pStyle w:val="ListParagraph"/>
        <w:numPr>
          <w:ilvl w:val="1"/>
          <w:numId w:val="1"/>
        </w:numPr>
        <w:spacing w:before="60" w:after="0"/>
        <w:ind w:left="567" w:hanging="567"/>
        <w:contextualSpacing w:val="0"/>
        <w:rPr>
          <w:rFonts w:cs="Arial"/>
        </w:rPr>
      </w:pPr>
      <w:r>
        <w:rPr>
          <w:rFonts w:cs="Arial"/>
        </w:rPr>
        <w:t>Detainees must be allowed to change into civilian clothing appropriate for the purpose of their external leave.</w:t>
      </w:r>
    </w:p>
    <w:p w14:paraId="7066F825" w14:textId="77777777" w:rsidR="002B3CE1" w:rsidRDefault="002B3CE1" w:rsidP="005E7873">
      <w:pPr>
        <w:rPr>
          <w:rFonts w:cs="Arial"/>
        </w:rPr>
      </w:pPr>
    </w:p>
    <w:p w14:paraId="55573E6A" w14:textId="208CD764" w:rsidR="00D4683E" w:rsidRPr="00D4683E" w:rsidRDefault="009360A6" w:rsidP="009E4E29">
      <w:pPr>
        <w:pStyle w:val="ListParagraph"/>
        <w:numPr>
          <w:ilvl w:val="0"/>
          <w:numId w:val="1"/>
        </w:numPr>
        <w:spacing w:before="60" w:after="0"/>
        <w:ind w:left="567" w:hanging="567"/>
        <w:contextualSpacing w:val="0"/>
        <w:rPr>
          <w:rFonts w:cs="Arial"/>
          <w:b/>
          <w:bCs/>
        </w:rPr>
      </w:pPr>
      <w:r>
        <w:rPr>
          <w:rFonts w:cs="Arial"/>
          <w:b/>
          <w:bCs/>
        </w:rPr>
        <w:t>Prior to Escort</w:t>
      </w:r>
    </w:p>
    <w:p w14:paraId="0885555F" w14:textId="4AF1A2C7" w:rsidR="007D6976" w:rsidRDefault="009360A6" w:rsidP="009E4E29">
      <w:pPr>
        <w:pStyle w:val="ListParagraph"/>
        <w:numPr>
          <w:ilvl w:val="1"/>
          <w:numId w:val="1"/>
        </w:numPr>
        <w:spacing w:before="60" w:after="0"/>
        <w:ind w:left="567" w:hanging="567"/>
        <w:contextualSpacing w:val="0"/>
        <w:rPr>
          <w:rFonts w:cs="Arial"/>
        </w:rPr>
      </w:pPr>
      <w:r>
        <w:rPr>
          <w:rFonts w:cs="Arial"/>
        </w:rPr>
        <w:t xml:space="preserve">The escorting staff member must check the vehicle is available and has adequate fuel. If the </w:t>
      </w:r>
      <w:r w:rsidR="00DD4FFC">
        <w:rPr>
          <w:rFonts w:cs="Arial"/>
        </w:rPr>
        <w:t>Transitional Release Centre (TRC)</w:t>
      </w:r>
      <w:r>
        <w:rPr>
          <w:rFonts w:cs="Arial"/>
        </w:rPr>
        <w:t xml:space="preserve"> vans are in use, staff must contact the AMC Control Room to request use of an AMC escort vehicle. NOTE: Personal vehicles must </w:t>
      </w:r>
      <w:r>
        <w:rPr>
          <w:rFonts w:cs="Arial"/>
          <w:b/>
          <w:bCs/>
        </w:rPr>
        <w:t>NOT</w:t>
      </w:r>
      <w:r>
        <w:rPr>
          <w:rFonts w:cs="Arial"/>
        </w:rPr>
        <w:t xml:space="preserve"> be used during escorts.</w:t>
      </w:r>
    </w:p>
    <w:p w14:paraId="48DE5232" w14:textId="77777777" w:rsidR="009360A6" w:rsidRPr="009360A6" w:rsidRDefault="009360A6" w:rsidP="009360A6">
      <w:pPr>
        <w:pStyle w:val="Indenttext1"/>
      </w:pPr>
      <w:r w:rsidRPr="009360A6">
        <w:t>Hard copies of the detainee’s episode summary and current approved leave permits are found in the detainee’s blue folder at the TRC officer’s station. Uploaded documents can be found on CORIS under external documents. These documents must be carried by the staff member for the duration of the escort.</w:t>
      </w:r>
    </w:p>
    <w:p w14:paraId="19AD545F" w14:textId="295417B8" w:rsidR="009360A6" w:rsidRDefault="009360A6" w:rsidP="009360A6">
      <w:pPr>
        <w:pStyle w:val="Indenttext1"/>
      </w:pPr>
      <w:r>
        <w:t>The detainee must ensure they have what is required for the purpose of the escort. For example, if opening a bank account, the detainee will require identification and proof of residency.</w:t>
      </w:r>
    </w:p>
    <w:p w14:paraId="298A75F0" w14:textId="4EB1439D" w:rsidR="009360A6" w:rsidRDefault="009360A6" w:rsidP="009360A6">
      <w:pPr>
        <w:pStyle w:val="Indenttext1"/>
      </w:pPr>
      <w:r>
        <w:t>The escorting staff member must notify AMC Admissions of the detainee’s departure, intended destination and return time by phone or radio prior to leaving the TRC to ensure muster count is correct.</w:t>
      </w:r>
    </w:p>
    <w:p w14:paraId="3FDB3F38" w14:textId="1F66E96A" w:rsidR="009360A6" w:rsidRDefault="002D5261" w:rsidP="009360A6">
      <w:pPr>
        <w:pStyle w:val="Indenttext1"/>
      </w:pPr>
      <w:r>
        <w:t xml:space="preserve">For detainees accommodated in TRC, the </w:t>
      </w:r>
      <w:r w:rsidR="009360A6">
        <w:t xml:space="preserve">escorting staff member must record the detainee’s departure in the TRC </w:t>
      </w:r>
      <w:r w:rsidR="00146AD7">
        <w:t>logbook</w:t>
      </w:r>
      <w:r w:rsidR="009360A6">
        <w:t xml:space="preserve"> and update the muster book and board located at the TRC officer’s station.</w:t>
      </w:r>
    </w:p>
    <w:p w14:paraId="7FEB9059" w14:textId="77777777" w:rsidR="00EC18F3" w:rsidRDefault="00EC18F3" w:rsidP="00EC18F3">
      <w:pPr>
        <w:pStyle w:val="Indenttext1"/>
      </w:pPr>
      <w:r>
        <w:t xml:space="preserve">The escorting staff member must carry the TRC Escort Mobile Phone or AMC Radio whilst they are out of the centre on an escort. </w:t>
      </w:r>
    </w:p>
    <w:p w14:paraId="1B2D7EAD" w14:textId="77777777" w:rsidR="00EC18F3" w:rsidRDefault="009360A6" w:rsidP="00EC18F3">
      <w:pPr>
        <w:pStyle w:val="Indenttext2"/>
      </w:pPr>
      <w:r w:rsidRPr="00EC18F3">
        <w:rPr>
          <w:u w:val="single"/>
        </w:rPr>
        <w:t>The use of the mobile phone is preferred</w:t>
      </w:r>
      <w:r>
        <w:t xml:space="preserve"> on community escorts for discretion. </w:t>
      </w:r>
    </w:p>
    <w:p w14:paraId="210B2C27" w14:textId="6DD8C35F" w:rsidR="000551A3" w:rsidRDefault="00EC18F3" w:rsidP="00EC18F3">
      <w:pPr>
        <w:pStyle w:val="Indenttext2"/>
      </w:pPr>
      <w:r>
        <w:t xml:space="preserve">Whilst escorting a detainee to </w:t>
      </w:r>
      <w:r w:rsidR="002D5261">
        <w:t>employment</w:t>
      </w:r>
      <w:r>
        <w:t xml:space="preserve"> or the hospital, the </w:t>
      </w:r>
      <w:r w:rsidR="009360A6">
        <w:t>AMC radio</w:t>
      </w:r>
      <w:r>
        <w:t xml:space="preserve"> and </w:t>
      </w:r>
      <w:r w:rsidR="009360A6">
        <w:t xml:space="preserve">the TRC escort mobile phone </w:t>
      </w:r>
      <w:r>
        <w:t>must be</w:t>
      </w:r>
      <w:r w:rsidR="009360A6">
        <w:t xml:space="preserve"> carried</w:t>
      </w:r>
      <w:r>
        <w:t>. Both items are</w:t>
      </w:r>
      <w:r w:rsidR="009360A6">
        <w:t xml:space="preserve"> located at the TRC officer’s station.  </w:t>
      </w:r>
    </w:p>
    <w:p w14:paraId="692A0BF1" w14:textId="1A508F85" w:rsidR="009360A6" w:rsidRPr="000551A3" w:rsidRDefault="009360A6" w:rsidP="000551A3">
      <w:pPr>
        <w:pStyle w:val="Indenttext1"/>
      </w:pPr>
      <w:r>
        <w:t xml:space="preserve">The detainee </w:t>
      </w:r>
      <w:r w:rsidR="000551A3">
        <w:t>must not use the</w:t>
      </w:r>
      <w:r>
        <w:t xml:space="preserve"> mobile or radio.</w:t>
      </w:r>
    </w:p>
    <w:p w14:paraId="21B8D3FA" w14:textId="77777777" w:rsidR="004404BE" w:rsidRDefault="004404BE" w:rsidP="005E7873">
      <w:pPr>
        <w:rPr>
          <w:rFonts w:cs="Arial"/>
        </w:rPr>
      </w:pPr>
    </w:p>
    <w:p w14:paraId="2703E43F" w14:textId="7CA6D0D5" w:rsidR="004404BE" w:rsidRPr="003517F3" w:rsidRDefault="003729BE" w:rsidP="009E4E29">
      <w:pPr>
        <w:pStyle w:val="ListParagraph"/>
        <w:numPr>
          <w:ilvl w:val="0"/>
          <w:numId w:val="1"/>
        </w:numPr>
        <w:spacing w:before="60" w:after="0"/>
        <w:ind w:left="567" w:hanging="567"/>
        <w:contextualSpacing w:val="0"/>
        <w:rPr>
          <w:rFonts w:cs="Arial"/>
        </w:rPr>
      </w:pPr>
      <w:r>
        <w:rPr>
          <w:rFonts w:cs="Arial"/>
          <w:b/>
          <w:bCs/>
        </w:rPr>
        <w:t>During the Escort</w:t>
      </w:r>
    </w:p>
    <w:p w14:paraId="6FE8C4AF" w14:textId="7D3CBFCE" w:rsidR="003729BE" w:rsidRPr="001869E9" w:rsidRDefault="003729BE" w:rsidP="003729BE">
      <w:pPr>
        <w:pStyle w:val="Indenttext1"/>
        <w:rPr>
          <w:b/>
        </w:rPr>
      </w:pPr>
      <w:bookmarkStart w:id="1" w:name="_Hlk101965210"/>
      <w:r w:rsidRPr="007B5BC7">
        <w:t xml:space="preserve">The </w:t>
      </w:r>
      <w:r>
        <w:t>e</w:t>
      </w:r>
      <w:r w:rsidRPr="007B5BC7">
        <w:t xml:space="preserve">scorting staff member </w:t>
      </w:r>
      <w:r w:rsidR="002C110C">
        <w:t xml:space="preserve">must </w:t>
      </w:r>
      <w:r w:rsidRPr="007B5BC7">
        <w:t xml:space="preserve">remain in close proximity and within eyesight or hearing distance of the detainee </w:t>
      </w:r>
      <w:r>
        <w:t>for the duration of the escort.</w:t>
      </w:r>
    </w:p>
    <w:p w14:paraId="1E97359A" w14:textId="13E167EE" w:rsidR="001869E9" w:rsidRPr="007B5BC7" w:rsidRDefault="001869E9" w:rsidP="003729BE">
      <w:pPr>
        <w:pStyle w:val="Indenttext1"/>
        <w:rPr>
          <w:b/>
        </w:rPr>
      </w:pPr>
      <w:r>
        <w:t xml:space="preserve">For escorts where the detainee must be provided with a level of privacy (i.e. medical appointments, counselling etc), the escorting officer must remain within eyesight of </w:t>
      </w:r>
      <w:r w:rsidR="002D5261">
        <w:t xml:space="preserve">the </w:t>
      </w:r>
      <w:r>
        <w:t>room where the detainee is.</w:t>
      </w:r>
    </w:p>
    <w:bookmarkEnd w:id="1"/>
    <w:p w14:paraId="4FCE501B" w14:textId="77777777" w:rsidR="003729BE" w:rsidRDefault="003729BE" w:rsidP="003729BE">
      <w:pPr>
        <w:pStyle w:val="Indenttext1"/>
        <w:rPr>
          <w:b/>
        </w:rPr>
      </w:pPr>
      <w:r>
        <w:lastRenderedPageBreak/>
        <w:t>The e</w:t>
      </w:r>
      <w:r w:rsidRPr="007B5BC7">
        <w:t>scort must only be to the location stated on the Leave Permit and within the approved time frame</w:t>
      </w:r>
      <w:r>
        <w:t xml:space="preserve"> </w:t>
      </w:r>
      <w:r w:rsidRPr="007B5BC7">
        <w:t>without deviation</w:t>
      </w:r>
      <w:r>
        <w:t>. F</w:t>
      </w:r>
      <w:r w:rsidRPr="007B5BC7">
        <w:t>or example</w:t>
      </w:r>
      <w:r>
        <w:t>,</w:t>
      </w:r>
      <w:r w:rsidRPr="007B5BC7">
        <w:t xml:space="preserve"> </w:t>
      </w:r>
      <w:r>
        <w:t>stopping for fuel or drive through take-away is not permitted</w:t>
      </w:r>
      <w:r w:rsidRPr="007B5BC7">
        <w:t xml:space="preserve"> </w:t>
      </w:r>
    </w:p>
    <w:p w14:paraId="38E3F041" w14:textId="1CD257D7" w:rsidR="003729BE" w:rsidRPr="007B5BC7" w:rsidRDefault="003729BE" w:rsidP="003729BE">
      <w:pPr>
        <w:pStyle w:val="Indenttext1"/>
        <w:rPr>
          <w:b/>
        </w:rPr>
      </w:pPr>
      <w:r>
        <w:t xml:space="preserve">Unscheduled interactions with members of the general public known to the </w:t>
      </w:r>
      <w:r w:rsidR="002D5261">
        <w:t>detainee</w:t>
      </w:r>
      <w:r>
        <w:t xml:space="preserve"> are to be brief and closely monitored by the escorting staff member.</w:t>
      </w:r>
    </w:p>
    <w:p w14:paraId="7021BF35" w14:textId="29CD9983" w:rsidR="005E068A" w:rsidRPr="005E068A" w:rsidRDefault="005E068A" w:rsidP="003729BE">
      <w:pPr>
        <w:pStyle w:val="Indenttext1"/>
        <w:rPr>
          <w:b/>
        </w:rPr>
      </w:pPr>
      <w:r>
        <w:t>The escorting staff member must allow the detainee to represent themselves and conduct their business independently. For example, the escorting staff member must not speak on the detainee’s behalf.</w:t>
      </w:r>
    </w:p>
    <w:p w14:paraId="4E383215" w14:textId="5287359F" w:rsidR="003729BE" w:rsidRPr="007B5BC7" w:rsidRDefault="003729BE" w:rsidP="003729BE">
      <w:pPr>
        <w:pStyle w:val="Indenttext1"/>
        <w:rPr>
          <w:b/>
        </w:rPr>
      </w:pPr>
      <w:r w:rsidRPr="007B5BC7">
        <w:t xml:space="preserve">Escorting staff </w:t>
      </w:r>
      <w:r>
        <w:t xml:space="preserve">members </w:t>
      </w:r>
      <w:r w:rsidR="00667C8D">
        <w:t>must not</w:t>
      </w:r>
      <w:r w:rsidRPr="007B5BC7">
        <w:t xml:space="preserve"> </w:t>
      </w:r>
      <w:r>
        <w:t xml:space="preserve">use personal funds to </w:t>
      </w:r>
      <w:r w:rsidRPr="007B5BC7">
        <w:t>purchase food, beverage</w:t>
      </w:r>
      <w:r w:rsidR="00667C8D">
        <w:t>s</w:t>
      </w:r>
      <w:r w:rsidRPr="007B5BC7">
        <w:t xml:space="preserve"> or any other items for the detainee whilst out on escort.</w:t>
      </w:r>
    </w:p>
    <w:p w14:paraId="5CE6293E" w14:textId="14A455DC" w:rsidR="003729BE" w:rsidRPr="007B5BC7" w:rsidRDefault="003729BE" w:rsidP="003729BE">
      <w:pPr>
        <w:pStyle w:val="Indenttext1"/>
        <w:rPr>
          <w:b/>
        </w:rPr>
      </w:pPr>
      <w:r w:rsidRPr="007B5BC7">
        <w:t xml:space="preserve">The detainee </w:t>
      </w:r>
      <w:r w:rsidR="00667C8D">
        <w:t>must not</w:t>
      </w:r>
      <w:r w:rsidRPr="007B5BC7">
        <w:t xml:space="preserve"> use </w:t>
      </w:r>
      <w:r>
        <w:t xml:space="preserve">their own </w:t>
      </w:r>
      <w:r w:rsidRPr="007B5BC7">
        <w:t xml:space="preserve">personal funds to pay for </w:t>
      </w:r>
      <w:r>
        <w:t>any escorting staff member’s</w:t>
      </w:r>
      <w:r w:rsidRPr="007B5BC7">
        <w:t xml:space="preserve"> goods.</w:t>
      </w:r>
    </w:p>
    <w:p w14:paraId="45BBC5D1" w14:textId="77777777" w:rsidR="005E068A" w:rsidRPr="005E068A" w:rsidRDefault="005E068A" w:rsidP="003729BE">
      <w:pPr>
        <w:pStyle w:val="Indenttext1"/>
        <w:rPr>
          <w:b/>
        </w:rPr>
      </w:pPr>
      <w:r>
        <w:t>If</w:t>
      </w:r>
      <w:r w:rsidR="003729BE" w:rsidRPr="007B5BC7">
        <w:t xml:space="preserve"> the detainee’s behaviour become</w:t>
      </w:r>
      <w:r>
        <w:t>s</w:t>
      </w:r>
      <w:r w:rsidR="003729BE" w:rsidRPr="007B5BC7">
        <w:t xml:space="preserve"> disruptive</w:t>
      </w:r>
      <w:r w:rsidR="003729BE">
        <w:t xml:space="preserve"> during the escort</w:t>
      </w:r>
      <w:r>
        <w:t>,</w:t>
      </w:r>
      <w:r w:rsidR="003729BE" w:rsidRPr="007B5BC7">
        <w:t xml:space="preserve"> the staff member </w:t>
      </w:r>
      <w:r>
        <w:t>must:</w:t>
      </w:r>
    </w:p>
    <w:p w14:paraId="104E358F" w14:textId="77777777" w:rsidR="005E068A" w:rsidRPr="005E068A" w:rsidRDefault="003729BE" w:rsidP="005E068A">
      <w:pPr>
        <w:pStyle w:val="Indenttext2"/>
        <w:numPr>
          <w:ilvl w:val="0"/>
          <w:numId w:val="8"/>
        </w:numPr>
        <w:rPr>
          <w:b/>
        </w:rPr>
      </w:pPr>
      <w:r w:rsidRPr="007B5BC7">
        <w:t>immediately terminate the escort</w:t>
      </w:r>
    </w:p>
    <w:p w14:paraId="1C454908" w14:textId="1CA36589" w:rsidR="005E068A" w:rsidRPr="005E068A" w:rsidRDefault="003729BE" w:rsidP="005E068A">
      <w:pPr>
        <w:pStyle w:val="Indenttext2"/>
        <w:numPr>
          <w:ilvl w:val="0"/>
          <w:numId w:val="8"/>
        </w:numPr>
        <w:rPr>
          <w:b/>
        </w:rPr>
      </w:pPr>
      <w:r w:rsidRPr="007B5BC7">
        <w:t>advise the Transitional Release Team Leader</w:t>
      </w:r>
      <w:r w:rsidR="00DD4FFC">
        <w:t xml:space="preserve"> (TL)</w:t>
      </w:r>
      <w:r w:rsidRPr="007B5BC7">
        <w:t xml:space="preserve"> by </w:t>
      </w:r>
      <w:r>
        <w:t xml:space="preserve">mobile </w:t>
      </w:r>
      <w:r w:rsidRPr="007B5BC7">
        <w:t>phone</w:t>
      </w:r>
      <w:r w:rsidR="005E068A">
        <w:t>,</w:t>
      </w:r>
      <w:r w:rsidRPr="007B5BC7">
        <w:t xml:space="preserve"> and </w:t>
      </w:r>
    </w:p>
    <w:p w14:paraId="52158390" w14:textId="0917F4E5" w:rsidR="005E068A" w:rsidRPr="005E068A" w:rsidRDefault="003729BE" w:rsidP="005E068A">
      <w:pPr>
        <w:pStyle w:val="Indenttext2"/>
        <w:numPr>
          <w:ilvl w:val="0"/>
          <w:numId w:val="8"/>
        </w:numPr>
        <w:rPr>
          <w:b/>
        </w:rPr>
      </w:pPr>
      <w:r w:rsidRPr="007B5BC7">
        <w:t>return the detainee to the TRC</w:t>
      </w:r>
      <w:r w:rsidR="002D5261">
        <w:t xml:space="preserve"> (or AMC for TRP participants)</w:t>
      </w:r>
      <w:r w:rsidRPr="007B5BC7">
        <w:t xml:space="preserve"> immediately.</w:t>
      </w:r>
      <w:r>
        <w:t xml:space="preserve"> </w:t>
      </w:r>
    </w:p>
    <w:p w14:paraId="04C912A8" w14:textId="290F7C05" w:rsidR="003729BE" w:rsidRPr="005E068A" w:rsidRDefault="003729BE" w:rsidP="005E068A">
      <w:pPr>
        <w:pStyle w:val="Indenttext2"/>
        <w:numPr>
          <w:ilvl w:val="0"/>
          <w:numId w:val="0"/>
        </w:numPr>
        <w:ind w:left="1287" w:hanging="360"/>
        <w:rPr>
          <w:b/>
        </w:rPr>
      </w:pPr>
      <w:r>
        <w:t>Examples of disruptive behaviour includes the detainee being</w:t>
      </w:r>
      <w:r w:rsidRPr="007B5BC7">
        <w:t xml:space="preserve"> rude, abusive or dismissive</w:t>
      </w:r>
      <w:r>
        <w:t>.</w:t>
      </w:r>
    </w:p>
    <w:p w14:paraId="30DD766C" w14:textId="1B751983" w:rsidR="003729BE" w:rsidRDefault="003729BE" w:rsidP="003729BE">
      <w:pPr>
        <w:pStyle w:val="Indenttext1"/>
        <w:rPr>
          <w:b/>
        </w:rPr>
      </w:pPr>
      <w:r w:rsidRPr="007B5BC7">
        <w:t>If the detainee absconds</w:t>
      </w:r>
      <w:r>
        <w:t xml:space="preserve"> during an escort, the escorting staff member </w:t>
      </w:r>
      <w:r w:rsidR="005E068A">
        <w:t xml:space="preserve">must not </w:t>
      </w:r>
      <w:r w:rsidRPr="007B5BC7">
        <w:t xml:space="preserve">attempt to apprehend the detainee. The </w:t>
      </w:r>
      <w:r>
        <w:t xml:space="preserve">escorting staff member </w:t>
      </w:r>
      <w:r w:rsidR="005E068A">
        <w:t>must</w:t>
      </w:r>
      <w:r w:rsidRPr="007B5BC7">
        <w:t xml:space="preserve"> immediately notify the AMC Master Control Room </w:t>
      </w:r>
      <w:r>
        <w:t>(MCR) and</w:t>
      </w:r>
      <w:r w:rsidRPr="007B5BC7">
        <w:t xml:space="preserve"> </w:t>
      </w:r>
      <w:r>
        <w:t xml:space="preserve">then </w:t>
      </w:r>
      <w:r w:rsidRPr="007B5BC7">
        <w:t>the Transitional Release Team Leader</w:t>
      </w:r>
      <w:r w:rsidR="005E068A">
        <w:t>. The M</w:t>
      </w:r>
      <w:r w:rsidR="00925213">
        <w:t>CR</w:t>
      </w:r>
      <w:r w:rsidR="005E068A">
        <w:t xml:space="preserve"> must</w:t>
      </w:r>
      <w:r w:rsidRPr="007B5BC7">
        <w:t xml:space="preserve"> initiate a response in accordance with the </w:t>
      </w:r>
      <w:r w:rsidRPr="005E068A">
        <w:rPr>
          <w:rStyle w:val="Emphasis"/>
          <w:rFonts w:cstheme="minorHAnsi"/>
          <w:bCs/>
          <w:u w:val="single"/>
        </w:rPr>
        <w:t xml:space="preserve">Incident Response </w:t>
      </w:r>
      <w:r w:rsidR="001869E9">
        <w:rPr>
          <w:rStyle w:val="Emphasis"/>
          <w:rFonts w:cstheme="minorHAnsi"/>
          <w:bCs/>
          <w:u w:val="single"/>
        </w:rPr>
        <w:t>Operating</w:t>
      </w:r>
      <w:r w:rsidRPr="005E068A">
        <w:rPr>
          <w:rStyle w:val="Emphasis"/>
          <w:rFonts w:cstheme="minorHAnsi"/>
          <w:bCs/>
          <w:u w:val="single"/>
        </w:rPr>
        <w:t> Procedure</w:t>
      </w:r>
      <w:r w:rsidRPr="005E068A">
        <w:rPr>
          <w:u w:val="single"/>
        </w:rPr>
        <w:t>.</w:t>
      </w:r>
    </w:p>
    <w:p w14:paraId="3B14DA56" w14:textId="5BEC8E58" w:rsidR="003729BE" w:rsidRDefault="003729BE" w:rsidP="003729BE">
      <w:pPr>
        <w:pStyle w:val="Indenttext1"/>
        <w:rPr>
          <w:b/>
        </w:rPr>
      </w:pPr>
      <w:r w:rsidRPr="0056192F">
        <w:t xml:space="preserve">In the </w:t>
      </w:r>
      <w:r w:rsidR="00F46A76">
        <w:t>case</w:t>
      </w:r>
      <w:r>
        <w:t xml:space="preserve"> </w:t>
      </w:r>
      <w:r w:rsidRPr="0056192F">
        <w:t xml:space="preserve">of a vehicle accident or breakdown, </w:t>
      </w:r>
      <w:r>
        <w:t xml:space="preserve">the escorting staff member </w:t>
      </w:r>
      <w:r w:rsidR="00F46A76">
        <w:t>must</w:t>
      </w:r>
      <w:r>
        <w:t xml:space="preserve"> </w:t>
      </w:r>
      <w:r w:rsidRPr="0056192F">
        <w:t xml:space="preserve">seek </w:t>
      </w:r>
      <w:r>
        <w:t xml:space="preserve">appropriate </w:t>
      </w:r>
      <w:r w:rsidRPr="0056192F">
        <w:t>medical attention in the first instan</w:t>
      </w:r>
      <w:r>
        <w:t>t</w:t>
      </w:r>
      <w:r w:rsidRPr="0056192F">
        <w:t xml:space="preserve"> </w:t>
      </w:r>
      <w:r w:rsidR="00F46A76">
        <w:t>(</w:t>
      </w:r>
      <w:r w:rsidRPr="0056192F">
        <w:t>if required</w:t>
      </w:r>
      <w:r w:rsidR="00F46A76">
        <w:t>)</w:t>
      </w:r>
      <w:r w:rsidRPr="0056192F">
        <w:t xml:space="preserve"> and notify the </w:t>
      </w:r>
      <w:r w:rsidR="00DD4FFC">
        <w:t>MCR</w:t>
      </w:r>
      <w:r w:rsidRPr="0056192F">
        <w:t xml:space="preserve"> and then the Transitional Release T</w:t>
      </w:r>
      <w:r w:rsidR="00DD4FFC">
        <w:t>L</w:t>
      </w:r>
      <w:r w:rsidRPr="0056192F">
        <w:t xml:space="preserve"> as soon as practical. </w:t>
      </w:r>
    </w:p>
    <w:p w14:paraId="2A08EB90" w14:textId="77777777" w:rsidR="003729BE" w:rsidRPr="0056192F" w:rsidRDefault="003729BE" w:rsidP="003729BE">
      <w:pPr>
        <w:pStyle w:val="Indenttext1"/>
        <w:rPr>
          <w:rStyle w:val="Emphasis"/>
          <w:rFonts w:cstheme="minorHAnsi"/>
          <w:b/>
          <w:bCs/>
          <w:i w:val="0"/>
          <w:iCs w:val="0"/>
        </w:rPr>
      </w:pPr>
      <w:r w:rsidRPr="0056192F">
        <w:t xml:space="preserve">Refer to the </w:t>
      </w:r>
      <w:r w:rsidRPr="0056192F">
        <w:rPr>
          <w:rStyle w:val="Emphasis"/>
          <w:rFonts w:cstheme="minorHAnsi"/>
          <w:bCs/>
          <w:u w:val="single"/>
        </w:rPr>
        <w:t>Vehicle Accident or Breakdown Operating Procedure</w:t>
      </w:r>
      <w:r w:rsidRPr="0056192F">
        <w:rPr>
          <w:rStyle w:val="Emphasis"/>
          <w:rFonts w:cstheme="minorHAnsi"/>
          <w:bCs/>
        </w:rPr>
        <w:t xml:space="preserve"> </w:t>
      </w:r>
      <w:r w:rsidRPr="0056192F">
        <w:rPr>
          <w:rStyle w:val="Emphasis"/>
          <w:rFonts w:cstheme="minorHAnsi"/>
          <w:bCs/>
          <w:i w:val="0"/>
          <w:iCs w:val="0"/>
        </w:rPr>
        <w:t xml:space="preserve">for information about what is to occur if a detainee or staff member needs medical attention </w:t>
      </w:r>
      <w:r>
        <w:rPr>
          <w:rStyle w:val="Emphasis"/>
          <w:rFonts w:cstheme="minorHAnsi"/>
          <w:bCs/>
          <w:i w:val="0"/>
          <w:iCs w:val="0"/>
        </w:rPr>
        <w:t>or</w:t>
      </w:r>
      <w:r w:rsidRPr="0056192F">
        <w:rPr>
          <w:rStyle w:val="Emphasis"/>
          <w:rFonts w:cstheme="minorHAnsi"/>
          <w:bCs/>
          <w:i w:val="0"/>
          <w:iCs w:val="0"/>
        </w:rPr>
        <w:t xml:space="preserve"> how </w:t>
      </w:r>
      <w:r>
        <w:rPr>
          <w:rStyle w:val="Emphasis"/>
          <w:rFonts w:cstheme="minorHAnsi"/>
          <w:bCs/>
          <w:i w:val="0"/>
          <w:iCs w:val="0"/>
        </w:rPr>
        <w:t xml:space="preserve">to transport a detainee back to the centre </w:t>
      </w:r>
      <w:r w:rsidRPr="0056192F">
        <w:rPr>
          <w:rStyle w:val="Emphasis"/>
          <w:rFonts w:cstheme="minorHAnsi"/>
          <w:bCs/>
          <w:i w:val="0"/>
          <w:iCs w:val="0"/>
        </w:rPr>
        <w:t>if the car is unable to be driven</w:t>
      </w:r>
      <w:r w:rsidRPr="0056192F">
        <w:rPr>
          <w:rStyle w:val="Emphasis"/>
          <w:rFonts w:cstheme="minorHAnsi"/>
          <w:bCs/>
        </w:rPr>
        <w:t xml:space="preserve"> </w:t>
      </w:r>
    </w:p>
    <w:p w14:paraId="440CC225" w14:textId="61048A12" w:rsidR="00641860" w:rsidRDefault="00641860" w:rsidP="007D6976">
      <w:pPr>
        <w:rPr>
          <w:rFonts w:cs="Arial"/>
        </w:rPr>
      </w:pPr>
    </w:p>
    <w:p w14:paraId="3FAFFAB9" w14:textId="77777777" w:rsidR="00F46A76" w:rsidRPr="00C41E11" w:rsidRDefault="00F46A76" w:rsidP="00F46A76">
      <w:pPr>
        <w:pStyle w:val="SectionHeading"/>
      </w:pPr>
      <w:r w:rsidRPr="00C41E11">
        <w:t>On completion for escort</w:t>
      </w:r>
    </w:p>
    <w:p w14:paraId="5D326438" w14:textId="6CBFCB89" w:rsidR="00F46A76" w:rsidRPr="00C41E11" w:rsidRDefault="00F46A76" w:rsidP="00F46A76">
      <w:pPr>
        <w:pStyle w:val="Indenttext1"/>
        <w:rPr>
          <w:b/>
        </w:rPr>
      </w:pPr>
      <w:r w:rsidRPr="00C41E11">
        <w:t>Upon return to the TRC</w:t>
      </w:r>
      <w:r w:rsidR="002D5261">
        <w:t xml:space="preserve"> (or AMC for TRP participants)</w:t>
      </w:r>
      <w:r w:rsidRPr="00C41E11">
        <w:t xml:space="preserve">, the detainee </w:t>
      </w:r>
      <w:r>
        <w:t>must</w:t>
      </w:r>
      <w:r w:rsidRPr="00C41E11">
        <w:t xml:space="preserve"> remain in the eyesight of the escorting officer and immediately report to the TRC Office</w:t>
      </w:r>
      <w:r>
        <w:t>’s station</w:t>
      </w:r>
      <w:r w:rsidR="002D5261">
        <w:t xml:space="preserve"> 9or Admissions for TRP participants)</w:t>
      </w:r>
      <w:r w:rsidRPr="00C41E11">
        <w:t xml:space="preserve">. At this time the detainee </w:t>
      </w:r>
      <w:r w:rsidR="003C699A">
        <w:t>may</w:t>
      </w:r>
      <w:r w:rsidRPr="00C41E11">
        <w:t xml:space="preserve"> be searched and/or drug tested </w:t>
      </w:r>
      <w:r w:rsidR="001869E9">
        <w:t>(</w:t>
      </w:r>
      <w:r w:rsidRPr="00C41E11">
        <w:t xml:space="preserve">in </w:t>
      </w:r>
      <w:r w:rsidR="001869E9">
        <w:t>accordance</w:t>
      </w:r>
      <w:r w:rsidRPr="00C41E11">
        <w:t xml:space="preserve"> with the</w:t>
      </w:r>
      <w:r w:rsidR="001869E9">
        <w:t xml:space="preserve"> </w:t>
      </w:r>
      <w:r w:rsidR="001869E9" w:rsidRPr="001869E9">
        <w:rPr>
          <w:i/>
          <w:iCs/>
          <w:u w:val="single"/>
        </w:rPr>
        <w:t>Searching Policy</w:t>
      </w:r>
      <w:r w:rsidR="001869E9">
        <w:t xml:space="preserve"> and the </w:t>
      </w:r>
      <w:r w:rsidR="001869E9" w:rsidRPr="001869E9">
        <w:rPr>
          <w:i/>
          <w:iCs/>
          <w:u w:val="single"/>
        </w:rPr>
        <w:t>Drug Testing in Correctional Centres Policy</w:t>
      </w:r>
      <w:r w:rsidR="001869E9">
        <w:t xml:space="preserve"> respectively</w:t>
      </w:r>
      <w:r w:rsidR="001869E9">
        <w:rPr>
          <w:rStyle w:val="CommentReference"/>
          <w:rFonts w:cstheme="minorBidi"/>
        </w:rPr>
        <w:t xml:space="preserve">) </w:t>
      </w:r>
      <w:r w:rsidR="001869E9">
        <w:t>be</w:t>
      </w:r>
      <w:r w:rsidRPr="00C41E11">
        <w:t>fore returning to their accommodation area and changing back into prison</w:t>
      </w:r>
      <w:r w:rsidR="003C699A">
        <w:t>-</w:t>
      </w:r>
      <w:r w:rsidRPr="00C41E11">
        <w:t>issue</w:t>
      </w:r>
      <w:r w:rsidR="003C699A">
        <w:t>d</w:t>
      </w:r>
      <w:r w:rsidRPr="00C41E11">
        <w:t xml:space="preserve"> clothing.</w:t>
      </w:r>
    </w:p>
    <w:p w14:paraId="713BB073" w14:textId="4181431E" w:rsidR="00F46A76" w:rsidRPr="00C41E11" w:rsidRDefault="00F46A76" w:rsidP="00F46A76">
      <w:pPr>
        <w:pStyle w:val="Indenttext1"/>
        <w:rPr>
          <w:b/>
        </w:rPr>
      </w:pPr>
      <w:r>
        <w:t>All</w:t>
      </w:r>
      <w:r w:rsidRPr="00C41E11">
        <w:t xml:space="preserve"> items brought back to the centre by the detainee, must have </w:t>
      </w:r>
      <w:r>
        <w:t xml:space="preserve">prior approval from the </w:t>
      </w:r>
      <w:r w:rsidRPr="00C41E11">
        <w:t>Assistant Commissioner Custodial Operations</w:t>
      </w:r>
      <w:r w:rsidR="00DD4FFC">
        <w:t xml:space="preserve"> or Senior Director Operations</w:t>
      </w:r>
      <w:r w:rsidRPr="00C41E11">
        <w:t xml:space="preserve"> in line with the </w:t>
      </w:r>
      <w:r w:rsidRPr="00C41E11">
        <w:rPr>
          <w:i/>
          <w:iCs/>
          <w:u w:val="single"/>
        </w:rPr>
        <w:t>Transitional Release – Leaves (excluding community-based employment</w:t>
      </w:r>
      <w:r w:rsidR="001869E9">
        <w:rPr>
          <w:i/>
          <w:iCs/>
          <w:u w:val="single"/>
        </w:rPr>
        <w:t>) Operating Procedure.</w:t>
      </w:r>
      <w:r w:rsidR="001869E9" w:rsidRPr="00C41E11">
        <w:rPr>
          <w:b/>
        </w:rPr>
        <w:t xml:space="preserve"> </w:t>
      </w:r>
    </w:p>
    <w:p w14:paraId="19ED3280" w14:textId="58705B9A" w:rsidR="00F46A76" w:rsidRPr="00C41E11" w:rsidRDefault="00F46A76" w:rsidP="00F46A76">
      <w:pPr>
        <w:pStyle w:val="Indenttext1"/>
        <w:rPr>
          <w:b/>
        </w:rPr>
      </w:pPr>
      <w:r w:rsidRPr="00C41E11">
        <w:t xml:space="preserve">The escorting staff member </w:t>
      </w:r>
      <w:r w:rsidR="00146AD7">
        <w:t>must</w:t>
      </w:r>
      <w:r w:rsidRPr="00C41E11">
        <w:t xml:space="preserve"> notify </w:t>
      </w:r>
      <w:r>
        <w:t xml:space="preserve">AMC </w:t>
      </w:r>
      <w:r w:rsidRPr="00C41E11">
        <w:t>Admissions verbally, by phone or radio, immediately of the return of the detainee for inclusion in any occurring muster count.</w:t>
      </w:r>
    </w:p>
    <w:p w14:paraId="3BB722C1" w14:textId="14B1752E" w:rsidR="00F46A76" w:rsidRPr="00C41E11" w:rsidRDefault="002D5261" w:rsidP="00F46A76">
      <w:pPr>
        <w:pStyle w:val="Indenttext1"/>
        <w:rPr>
          <w:b/>
        </w:rPr>
      </w:pPr>
      <w:r>
        <w:lastRenderedPageBreak/>
        <w:t>For detainees accommodated in TRC, t</w:t>
      </w:r>
      <w:r w:rsidR="00F46A76" w:rsidRPr="00C41E11">
        <w:t xml:space="preserve">he escorting staff member </w:t>
      </w:r>
      <w:r w:rsidR="00146AD7">
        <w:t>must record</w:t>
      </w:r>
      <w:r w:rsidR="00F46A76" w:rsidRPr="00C41E11">
        <w:t xml:space="preserve"> the detainee’s return </w:t>
      </w:r>
      <w:r w:rsidR="00F46A76">
        <w:t xml:space="preserve">from the escort </w:t>
      </w:r>
      <w:r w:rsidR="00F46A76" w:rsidRPr="00C41E11">
        <w:t xml:space="preserve">in the TRC </w:t>
      </w:r>
      <w:r w:rsidR="00146AD7" w:rsidRPr="00C41E11">
        <w:t>logbook</w:t>
      </w:r>
      <w:r w:rsidR="00F46A76" w:rsidRPr="00C41E11">
        <w:t xml:space="preserve"> and update the muster board.</w:t>
      </w:r>
    </w:p>
    <w:p w14:paraId="7BBD202C" w14:textId="55083F9A" w:rsidR="00F46A76" w:rsidRDefault="00F46A76" w:rsidP="00F46A76">
      <w:pPr>
        <w:pStyle w:val="Indenttext1"/>
        <w:rPr>
          <w:b/>
        </w:rPr>
      </w:pPr>
      <w:r w:rsidRPr="00C41E11">
        <w:t xml:space="preserve">The copies of the leave permit and episode summary </w:t>
      </w:r>
      <w:r w:rsidR="00146AD7">
        <w:t>must</w:t>
      </w:r>
      <w:r w:rsidRPr="00C41E11">
        <w:t xml:space="preserve"> be securely</w:t>
      </w:r>
      <w:r>
        <w:t xml:space="preserve"> </w:t>
      </w:r>
      <w:r w:rsidRPr="00C41E11">
        <w:t>destroyed.</w:t>
      </w:r>
    </w:p>
    <w:p w14:paraId="218844ED" w14:textId="2F9347E3" w:rsidR="00F46A76" w:rsidRPr="00C41E11" w:rsidRDefault="00F46A76" w:rsidP="00F46A76">
      <w:pPr>
        <w:pStyle w:val="Indenttext1"/>
        <w:rPr>
          <w:b/>
        </w:rPr>
      </w:pPr>
      <w:r>
        <w:t>The escorting officer must place the TR</w:t>
      </w:r>
      <w:r w:rsidR="00146AD7">
        <w:t>C</w:t>
      </w:r>
      <w:r>
        <w:t xml:space="preserve"> Escort</w:t>
      </w:r>
      <w:r w:rsidR="00146AD7">
        <w:t xml:space="preserve"> mobile</w:t>
      </w:r>
      <w:r>
        <w:t xml:space="preserve"> phone on to charge. </w:t>
      </w:r>
    </w:p>
    <w:p w14:paraId="03C90534" w14:textId="2C69395E" w:rsidR="00F46A76" w:rsidRPr="00C41E11" w:rsidRDefault="00F46A76" w:rsidP="00F46A76">
      <w:pPr>
        <w:pStyle w:val="Indenttext1"/>
        <w:rPr>
          <w:b/>
        </w:rPr>
      </w:pPr>
      <w:r w:rsidRPr="00C41E11">
        <w:t xml:space="preserve">The escorting staff member must case note the details of the escort on CORIS in </w:t>
      </w:r>
      <w:r w:rsidR="00F90FE4">
        <w:t>accordance</w:t>
      </w:r>
      <w:r w:rsidRPr="00C41E11">
        <w:t xml:space="preserve"> with the </w:t>
      </w:r>
      <w:r w:rsidRPr="00F90FE4">
        <w:rPr>
          <w:i/>
          <w:iCs/>
          <w:u w:val="single"/>
        </w:rPr>
        <w:t>Case Note Policy 2021.</w:t>
      </w:r>
      <w:r w:rsidRPr="00C41E11">
        <w:rPr>
          <w:u w:val="single"/>
        </w:rPr>
        <w:t xml:space="preserve"> </w:t>
      </w:r>
      <w:r w:rsidRPr="009577C5">
        <w:t xml:space="preserve">Information about the detainee’s behaviour and personal interactions whilst under escort </w:t>
      </w:r>
      <w:r w:rsidR="00F90FE4">
        <w:t>must</w:t>
      </w:r>
      <w:r w:rsidRPr="009577C5">
        <w:t xml:space="preserve"> be included in this case note and any follow up action </w:t>
      </w:r>
      <w:r w:rsidR="00F90FE4">
        <w:t xml:space="preserve">that </w:t>
      </w:r>
      <w:r w:rsidRPr="009577C5">
        <w:t>is to be completed by the escorting staff member.</w:t>
      </w:r>
      <w:r w:rsidRPr="00C41E11">
        <w:t xml:space="preserve"> </w:t>
      </w:r>
    </w:p>
    <w:p w14:paraId="51D94BD8" w14:textId="00B37E9F" w:rsidR="00F46A76" w:rsidRPr="00C41E11" w:rsidRDefault="00F46A76" w:rsidP="00F46A76">
      <w:pPr>
        <w:pStyle w:val="Indenttext1"/>
        <w:rPr>
          <w:b/>
        </w:rPr>
      </w:pPr>
      <w:r>
        <w:t xml:space="preserve">The escorting staff member </w:t>
      </w:r>
      <w:r w:rsidR="00F90FE4">
        <w:t>must</w:t>
      </w:r>
      <w:r>
        <w:t xml:space="preserve"> r</w:t>
      </w:r>
      <w:r w:rsidRPr="00C41E11">
        <w:t>eport any concerns</w:t>
      </w:r>
      <w:r>
        <w:t xml:space="preserve">, issues and/or </w:t>
      </w:r>
      <w:r w:rsidRPr="00C41E11">
        <w:t xml:space="preserve">observations to the </w:t>
      </w:r>
      <w:r>
        <w:t xml:space="preserve">Transitional Release </w:t>
      </w:r>
      <w:r w:rsidR="00DD4FFC">
        <w:t>TL</w:t>
      </w:r>
      <w:r w:rsidR="00F90FE4">
        <w:t>,</w:t>
      </w:r>
      <w:r>
        <w:t xml:space="preserve"> who </w:t>
      </w:r>
      <w:r w:rsidR="00F90FE4">
        <w:t>must</w:t>
      </w:r>
      <w:r>
        <w:t xml:space="preserve"> make a decision about any action required in line with relevant AMC policies and procedures. </w:t>
      </w:r>
    </w:p>
    <w:p w14:paraId="0631CDC7" w14:textId="5F17BDE6" w:rsidR="00F46A76" w:rsidRDefault="00F46A76" w:rsidP="007D6976">
      <w:pPr>
        <w:rPr>
          <w:rFonts w:cs="Arial"/>
        </w:rPr>
      </w:pPr>
    </w:p>
    <w:p w14:paraId="2CDD0AE1" w14:textId="196BEC71" w:rsidR="00F90FE4" w:rsidRDefault="00F90FE4" w:rsidP="00F90FE4">
      <w:pPr>
        <w:pStyle w:val="SectionHeading"/>
      </w:pPr>
      <w:r>
        <w:t xml:space="preserve">Recording escorts </w:t>
      </w:r>
      <w:r w:rsidR="0077350C">
        <w:t>i</w:t>
      </w:r>
      <w:r>
        <w:t>n CORIS</w:t>
      </w:r>
    </w:p>
    <w:p w14:paraId="08EFA932" w14:textId="2E79BE72" w:rsidR="00F90FE4" w:rsidRDefault="00F90FE4" w:rsidP="00F90FE4">
      <w:pPr>
        <w:pStyle w:val="Indenttext1"/>
      </w:pPr>
      <w:r>
        <w:t>Find the detainee in CORIS by searching by PID, Name or through quick entry.</w:t>
      </w:r>
    </w:p>
    <w:p w14:paraId="4A36A86C" w14:textId="390B31D4" w:rsidR="00F90FE4" w:rsidRDefault="00F90FE4" w:rsidP="00F90FE4">
      <w:pPr>
        <w:pStyle w:val="Indenttext1"/>
        <w:numPr>
          <w:ilvl w:val="0"/>
          <w:numId w:val="0"/>
        </w:numPr>
        <w:ind w:left="567"/>
      </w:pPr>
      <w:r>
        <w:rPr>
          <w:noProof/>
        </w:rPr>
        <w:drawing>
          <wp:inline distT="0" distB="0" distL="0" distR="0" wp14:anchorId="3DAF975F" wp14:editId="5515DB3C">
            <wp:extent cx="5731510" cy="11620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162050"/>
                    </a:xfrm>
                    <a:prstGeom prst="rect">
                      <a:avLst/>
                    </a:prstGeom>
                  </pic:spPr>
                </pic:pic>
              </a:graphicData>
            </a:graphic>
          </wp:inline>
        </w:drawing>
      </w:r>
    </w:p>
    <w:p w14:paraId="7D835393" w14:textId="322A2C22" w:rsidR="00F90FE4" w:rsidRDefault="00F90FE4" w:rsidP="00F90FE4">
      <w:pPr>
        <w:pStyle w:val="Indenttext1"/>
        <w:numPr>
          <w:ilvl w:val="0"/>
          <w:numId w:val="0"/>
        </w:numPr>
        <w:ind w:left="567"/>
      </w:pPr>
      <w:r>
        <w:rPr>
          <w:noProof/>
        </w:rPr>
        <w:drawing>
          <wp:inline distT="0" distB="0" distL="0" distR="0" wp14:anchorId="16EBE667" wp14:editId="70699D2F">
            <wp:extent cx="5731510" cy="12573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257300"/>
                    </a:xfrm>
                    <a:prstGeom prst="rect">
                      <a:avLst/>
                    </a:prstGeom>
                  </pic:spPr>
                </pic:pic>
              </a:graphicData>
            </a:graphic>
          </wp:inline>
        </w:drawing>
      </w:r>
    </w:p>
    <w:p w14:paraId="71A61CB1" w14:textId="49F21520" w:rsidR="00F90FE4" w:rsidRPr="00F90FE4" w:rsidRDefault="00F90FE4" w:rsidP="00F90FE4">
      <w:pPr>
        <w:pStyle w:val="Indenttext1"/>
      </w:pPr>
      <w:r>
        <w:t xml:space="preserve">Once the detainee has been located, click on the </w:t>
      </w:r>
      <w:r>
        <w:rPr>
          <w:b/>
          <w:bCs/>
        </w:rPr>
        <w:t>Transfers – Escorts</w:t>
      </w:r>
      <w:r>
        <w:t xml:space="preserve"> tab and click on </w:t>
      </w:r>
      <w:r>
        <w:rPr>
          <w:b/>
          <w:bCs/>
        </w:rPr>
        <w:t>Escorts</w:t>
      </w:r>
    </w:p>
    <w:p w14:paraId="67214FC1" w14:textId="63046451" w:rsidR="00F90FE4" w:rsidRDefault="00F90FE4" w:rsidP="00F90FE4">
      <w:pPr>
        <w:pStyle w:val="Indenttext1"/>
        <w:numPr>
          <w:ilvl w:val="0"/>
          <w:numId w:val="0"/>
        </w:numPr>
        <w:ind w:left="567"/>
      </w:pPr>
      <w:r>
        <w:rPr>
          <w:noProof/>
        </w:rPr>
        <w:drawing>
          <wp:inline distT="0" distB="0" distL="0" distR="0" wp14:anchorId="2FDF05C0" wp14:editId="19EC6D12">
            <wp:extent cx="3886200" cy="2371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6200" cy="2371725"/>
                    </a:xfrm>
                    <a:prstGeom prst="rect">
                      <a:avLst/>
                    </a:prstGeom>
                  </pic:spPr>
                </pic:pic>
              </a:graphicData>
            </a:graphic>
          </wp:inline>
        </w:drawing>
      </w:r>
    </w:p>
    <w:p w14:paraId="3A895370" w14:textId="4152CBA0" w:rsidR="00CB45A3" w:rsidRDefault="00CB45A3" w:rsidP="00F90FE4">
      <w:pPr>
        <w:pStyle w:val="Indenttext1"/>
        <w:numPr>
          <w:ilvl w:val="0"/>
          <w:numId w:val="0"/>
        </w:numPr>
        <w:ind w:left="567"/>
      </w:pPr>
    </w:p>
    <w:p w14:paraId="205A8E19" w14:textId="4D0A07CF" w:rsidR="00CB45A3" w:rsidRDefault="00CB45A3" w:rsidP="00F90FE4">
      <w:pPr>
        <w:pStyle w:val="Indenttext1"/>
        <w:numPr>
          <w:ilvl w:val="0"/>
          <w:numId w:val="0"/>
        </w:numPr>
        <w:ind w:left="567"/>
      </w:pPr>
    </w:p>
    <w:p w14:paraId="14DA68EB" w14:textId="19F7B53F" w:rsidR="00CB45A3" w:rsidRDefault="00CB45A3" w:rsidP="00F90FE4">
      <w:pPr>
        <w:pStyle w:val="Indenttext1"/>
        <w:numPr>
          <w:ilvl w:val="0"/>
          <w:numId w:val="0"/>
        </w:numPr>
        <w:ind w:left="567"/>
      </w:pPr>
    </w:p>
    <w:p w14:paraId="4EF0FC5D" w14:textId="0E0E6AC2" w:rsidR="00CB45A3" w:rsidRDefault="00CB45A3" w:rsidP="00F90FE4">
      <w:pPr>
        <w:pStyle w:val="Indenttext1"/>
        <w:numPr>
          <w:ilvl w:val="0"/>
          <w:numId w:val="0"/>
        </w:numPr>
        <w:ind w:left="567"/>
      </w:pPr>
    </w:p>
    <w:p w14:paraId="5A224853" w14:textId="703D8CAA" w:rsidR="00CB45A3" w:rsidRDefault="00CB45A3" w:rsidP="00F90FE4">
      <w:pPr>
        <w:pStyle w:val="Indenttext1"/>
        <w:numPr>
          <w:ilvl w:val="0"/>
          <w:numId w:val="0"/>
        </w:numPr>
        <w:ind w:left="567"/>
      </w:pPr>
    </w:p>
    <w:p w14:paraId="044A40E9" w14:textId="2FA8D488" w:rsidR="00CB45A3" w:rsidRDefault="00CB45A3" w:rsidP="00F90FE4">
      <w:pPr>
        <w:pStyle w:val="Indenttext1"/>
        <w:numPr>
          <w:ilvl w:val="0"/>
          <w:numId w:val="0"/>
        </w:numPr>
        <w:ind w:left="567"/>
      </w:pPr>
    </w:p>
    <w:p w14:paraId="7AEE2D7C" w14:textId="77777777" w:rsidR="00CB45A3" w:rsidRDefault="00CB45A3" w:rsidP="00F90FE4">
      <w:pPr>
        <w:pStyle w:val="Indenttext1"/>
        <w:numPr>
          <w:ilvl w:val="0"/>
          <w:numId w:val="0"/>
        </w:numPr>
        <w:ind w:left="567"/>
      </w:pPr>
    </w:p>
    <w:p w14:paraId="42921ED6" w14:textId="1802B087" w:rsidR="00F90FE4" w:rsidRDefault="00F90FE4" w:rsidP="00CB45A3">
      <w:pPr>
        <w:pStyle w:val="Indenttext1"/>
      </w:pPr>
      <w:r>
        <w:t>Fill out the following details:</w:t>
      </w:r>
    </w:p>
    <w:p w14:paraId="3A3ADF6B" w14:textId="0D5DD614" w:rsidR="00F90FE4" w:rsidRDefault="00F90FE4" w:rsidP="00CB45A3">
      <w:pPr>
        <w:pStyle w:val="Indenttext2"/>
        <w:numPr>
          <w:ilvl w:val="0"/>
          <w:numId w:val="9"/>
        </w:numPr>
      </w:pPr>
      <w:r>
        <w:rPr>
          <w:b/>
          <w:bCs/>
        </w:rPr>
        <w:t xml:space="preserve">Start Date/Time: </w:t>
      </w:r>
      <w:r>
        <w:t>enter information as per the booking, including travel time</w:t>
      </w:r>
    </w:p>
    <w:p w14:paraId="63EA705D" w14:textId="291F52EA" w:rsidR="00E13F06" w:rsidRDefault="00E13F06" w:rsidP="00F90FE4">
      <w:pPr>
        <w:pStyle w:val="Indenttext2"/>
        <w:numPr>
          <w:ilvl w:val="0"/>
          <w:numId w:val="9"/>
        </w:numPr>
      </w:pPr>
      <w:r>
        <w:rPr>
          <w:b/>
          <w:bCs/>
        </w:rPr>
        <w:t xml:space="preserve">Return Date/Time: </w:t>
      </w:r>
      <w:r>
        <w:t>enter information as per the booking, including travel time</w:t>
      </w:r>
    </w:p>
    <w:p w14:paraId="31BCB359" w14:textId="1B97530E" w:rsidR="00E13F06" w:rsidRPr="00E13F06" w:rsidRDefault="00E13F06" w:rsidP="00F90FE4">
      <w:pPr>
        <w:pStyle w:val="Indenttext2"/>
        <w:numPr>
          <w:ilvl w:val="0"/>
          <w:numId w:val="9"/>
        </w:numPr>
      </w:pPr>
      <w:r>
        <w:rPr>
          <w:b/>
          <w:bCs/>
        </w:rPr>
        <w:t>Escort Type:</w:t>
      </w:r>
      <w:r>
        <w:t xml:space="preserve"> choose </w:t>
      </w:r>
      <w:r>
        <w:rPr>
          <w:b/>
          <w:bCs/>
        </w:rPr>
        <w:t>External Escort – Other</w:t>
      </w:r>
    </w:p>
    <w:p w14:paraId="4B51DECB" w14:textId="2C31CF50" w:rsidR="00E13F06" w:rsidRPr="00E13F06" w:rsidRDefault="00E13F06" w:rsidP="00F90FE4">
      <w:pPr>
        <w:pStyle w:val="Indenttext2"/>
        <w:numPr>
          <w:ilvl w:val="0"/>
          <w:numId w:val="9"/>
        </w:numPr>
      </w:pPr>
      <w:r>
        <w:rPr>
          <w:b/>
          <w:bCs/>
        </w:rPr>
        <w:t>Destination:</w:t>
      </w:r>
      <w:r>
        <w:t xml:space="preserve"> choose </w:t>
      </w:r>
      <w:r>
        <w:rPr>
          <w:b/>
          <w:bCs/>
        </w:rPr>
        <w:t>TRC</w:t>
      </w:r>
    </w:p>
    <w:p w14:paraId="5208BEEB" w14:textId="79342EFD" w:rsidR="00E13F06" w:rsidRDefault="00E13F06" w:rsidP="00E13F06">
      <w:pPr>
        <w:pStyle w:val="Indenttext2"/>
        <w:numPr>
          <w:ilvl w:val="0"/>
          <w:numId w:val="9"/>
        </w:numPr>
      </w:pPr>
      <w:r>
        <w:rPr>
          <w:b/>
          <w:bCs/>
        </w:rPr>
        <w:t>Special Transportation Instructions:</w:t>
      </w:r>
      <w:r>
        <w:t xml:space="preserve"> enter details of the escort and activities</w:t>
      </w:r>
    </w:p>
    <w:p w14:paraId="61FB8D9A" w14:textId="24795338" w:rsidR="00E13F06" w:rsidRPr="00A4003F" w:rsidRDefault="00E13F06" w:rsidP="00E13F06">
      <w:pPr>
        <w:pStyle w:val="Indenttext2"/>
        <w:numPr>
          <w:ilvl w:val="0"/>
          <w:numId w:val="9"/>
        </w:numPr>
      </w:pPr>
      <w:r>
        <w:t xml:space="preserve">Scroll down and hit </w:t>
      </w:r>
      <w:r>
        <w:rPr>
          <w:b/>
          <w:bCs/>
        </w:rPr>
        <w:t>SAVE</w:t>
      </w:r>
    </w:p>
    <w:p w14:paraId="5D7A55D2" w14:textId="77777777" w:rsidR="00A4003F" w:rsidRPr="00E13F06" w:rsidRDefault="00A4003F" w:rsidP="00A4003F">
      <w:pPr>
        <w:pStyle w:val="Indenttext2"/>
        <w:numPr>
          <w:ilvl w:val="0"/>
          <w:numId w:val="0"/>
        </w:numPr>
        <w:ind w:left="1287"/>
      </w:pPr>
    </w:p>
    <w:p w14:paraId="7A86A735" w14:textId="0D74F9D3" w:rsidR="00140B17" w:rsidRDefault="00140B17" w:rsidP="00140B17">
      <w:pPr>
        <w:pStyle w:val="Indenttext2"/>
        <w:numPr>
          <w:ilvl w:val="0"/>
          <w:numId w:val="0"/>
        </w:numPr>
        <w:ind w:left="84"/>
      </w:pPr>
      <w:r w:rsidRPr="00140B17">
        <w:rPr>
          <w:noProof/>
        </w:rPr>
        <w:drawing>
          <wp:inline distT="0" distB="0" distL="0" distR="0" wp14:anchorId="5BA0CDF2" wp14:editId="4309A2E4">
            <wp:extent cx="5624047" cy="2461473"/>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4047" cy="2461473"/>
                    </a:xfrm>
                    <a:prstGeom prst="rect">
                      <a:avLst/>
                    </a:prstGeom>
                  </pic:spPr>
                </pic:pic>
              </a:graphicData>
            </a:graphic>
          </wp:inline>
        </w:drawing>
      </w:r>
    </w:p>
    <w:p w14:paraId="03629133" w14:textId="20BA28EF" w:rsidR="00E13F06" w:rsidRDefault="00E13F06" w:rsidP="00E13F06">
      <w:pPr>
        <w:pStyle w:val="Indenttext2"/>
        <w:numPr>
          <w:ilvl w:val="0"/>
          <w:numId w:val="0"/>
        </w:numPr>
      </w:pPr>
      <w:r>
        <w:rPr>
          <w:noProof/>
        </w:rPr>
        <w:drawing>
          <wp:inline distT="0" distB="0" distL="0" distR="0" wp14:anchorId="1219F940" wp14:editId="28FB973E">
            <wp:extent cx="5731510" cy="147594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5314"/>
                    <a:stretch/>
                  </pic:blipFill>
                  <pic:spPr bwMode="auto">
                    <a:xfrm>
                      <a:off x="0" y="0"/>
                      <a:ext cx="5731510" cy="1475947"/>
                    </a:xfrm>
                    <a:prstGeom prst="rect">
                      <a:avLst/>
                    </a:prstGeom>
                    <a:ln>
                      <a:noFill/>
                    </a:ln>
                    <a:extLst>
                      <a:ext uri="{53640926-AAD7-44D8-BBD7-CCE9431645EC}">
                        <a14:shadowObscured xmlns:a14="http://schemas.microsoft.com/office/drawing/2010/main"/>
                      </a:ext>
                    </a:extLst>
                  </pic:spPr>
                </pic:pic>
              </a:graphicData>
            </a:graphic>
          </wp:inline>
        </w:drawing>
      </w:r>
    </w:p>
    <w:p w14:paraId="2CD639F3" w14:textId="21676D63" w:rsidR="00CB45A3" w:rsidRDefault="00CB45A3" w:rsidP="00CB45A3">
      <w:pPr>
        <w:pStyle w:val="SectionHeading"/>
        <w:numPr>
          <w:ilvl w:val="0"/>
          <w:numId w:val="0"/>
        </w:numPr>
        <w:ind w:left="567"/>
      </w:pPr>
    </w:p>
    <w:p w14:paraId="17DC24C4" w14:textId="737B36B6" w:rsidR="00CB45A3" w:rsidRDefault="00CB45A3" w:rsidP="00CB45A3">
      <w:pPr>
        <w:pStyle w:val="SectionHeading"/>
        <w:numPr>
          <w:ilvl w:val="0"/>
          <w:numId w:val="0"/>
        </w:numPr>
        <w:ind w:left="567"/>
      </w:pPr>
    </w:p>
    <w:p w14:paraId="58EED735" w14:textId="5DC2E617" w:rsidR="00CB45A3" w:rsidRDefault="00CB45A3" w:rsidP="00CB45A3">
      <w:pPr>
        <w:pStyle w:val="SectionHeading"/>
        <w:numPr>
          <w:ilvl w:val="0"/>
          <w:numId w:val="0"/>
        </w:numPr>
        <w:ind w:left="567"/>
      </w:pPr>
    </w:p>
    <w:p w14:paraId="1901F865" w14:textId="7BA2EDB7" w:rsidR="00CB45A3" w:rsidRDefault="00CB45A3" w:rsidP="00CB45A3">
      <w:pPr>
        <w:pStyle w:val="SectionHeading"/>
        <w:numPr>
          <w:ilvl w:val="0"/>
          <w:numId w:val="0"/>
        </w:numPr>
        <w:ind w:left="567"/>
      </w:pPr>
    </w:p>
    <w:p w14:paraId="34867A12" w14:textId="2605D04B" w:rsidR="00CB45A3" w:rsidRDefault="00CB45A3" w:rsidP="00CB45A3">
      <w:pPr>
        <w:pStyle w:val="SectionHeading"/>
        <w:numPr>
          <w:ilvl w:val="0"/>
          <w:numId w:val="0"/>
        </w:numPr>
        <w:ind w:left="567"/>
      </w:pPr>
    </w:p>
    <w:p w14:paraId="48149939" w14:textId="59470097" w:rsidR="00CB45A3" w:rsidRDefault="00CB45A3" w:rsidP="00CB45A3">
      <w:pPr>
        <w:pStyle w:val="SectionHeading"/>
        <w:numPr>
          <w:ilvl w:val="0"/>
          <w:numId w:val="0"/>
        </w:numPr>
        <w:ind w:left="567"/>
      </w:pPr>
    </w:p>
    <w:p w14:paraId="13EE7561" w14:textId="3E19B985" w:rsidR="00CB45A3" w:rsidRDefault="00CB45A3" w:rsidP="00CB45A3">
      <w:pPr>
        <w:pStyle w:val="SectionHeading"/>
        <w:numPr>
          <w:ilvl w:val="0"/>
          <w:numId w:val="0"/>
        </w:numPr>
        <w:ind w:left="567"/>
      </w:pPr>
    </w:p>
    <w:p w14:paraId="7BEEEE64" w14:textId="183C72AF" w:rsidR="00CB45A3" w:rsidRDefault="00CB45A3" w:rsidP="00CB45A3">
      <w:pPr>
        <w:pStyle w:val="SectionHeading"/>
        <w:numPr>
          <w:ilvl w:val="0"/>
          <w:numId w:val="0"/>
        </w:numPr>
        <w:ind w:left="567"/>
      </w:pPr>
    </w:p>
    <w:p w14:paraId="62085CE5" w14:textId="75E0954E" w:rsidR="00CB45A3" w:rsidRDefault="00CB45A3" w:rsidP="00CB45A3">
      <w:pPr>
        <w:pStyle w:val="SectionHeading"/>
        <w:numPr>
          <w:ilvl w:val="0"/>
          <w:numId w:val="0"/>
        </w:numPr>
        <w:ind w:left="567"/>
      </w:pPr>
    </w:p>
    <w:p w14:paraId="43CCC28D" w14:textId="215086BF" w:rsidR="00CB45A3" w:rsidRDefault="00CB45A3" w:rsidP="00CB45A3">
      <w:pPr>
        <w:pStyle w:val="SectionHeading"/>
        <w:numPr>
          <w:ilvl w:val="0"/>
          <w:numId w:val="0"/>
        </w:numPr>
        <w:ind w:left="567"/>
      </w:pPr>
    </w:p>
    <w:p w14:paraId="294E19F7" w14:textId="3446E4A2" w:rsidR="00CB45A3" w:rsidRDefault="00CB45A3" w:rsidP="00CB45A3">
      <w:pPr>
        <w:pStyle w:val="SectionHeading"/>
        <w:numPr>
          <w:ilvl w:val="0"/>
          <w:numId w:val="0"/>
        </w:numPr>
        <w:ind w:left="567"/>
      </w:pPr>
    </w:p>
    <w:p w14:paraId="1EBDF4C5" w14:textId="7863DBD7" w:rsidR="00CB45A3" w:rsidRDefault="00CB45A3" w:rsidP="00CB45A3">
      <w:pPr>
        <w:pStyle w:val="SectionHeading"/>
        <w:numPr>
          <w:ilvl w:val="0"/>
          <w:numId w:val="0"/>
        </w:numPr>
        <w:ind w:left="567"/>
      </w:pPr>
    </w:p>
    <w:p w14:paraId="29F5C2BD" w14:textId="77777777" w:rsidR="00CB45A3" w:rsidRDefault="00CB45A3" w:rsidP="00CB45A3">
      <w:pPr>
        <w:pStyle w:val="SectionHeading"/>
        <w:numPr>
          <w:ilvl w:val="0"/>
          <w:numId w:val="0"/>
        </w:numPr>
        <w:ind w:left="567"/>
      </w:pPr>
    </w:p>
    <w:p w14:paraId="18710412" w14:textId="13973D60" w:rsidR="0077350C" w:rsidRDefault="0077350C" w:rsidP="0077350C">
      <w:pPr>
        <w:pStyle w:val="SectionHeading"/>
      </w:pPr>
      <w:r>
        <w:t>Recording escorts as an appointment in CORIS</w:t>
      </w:r>
    </w:p>
    <w:p w14:paraId="2C1A53BC" w14:textId="69C066DF" w:rsidR="0077350C" w:rsidRPr="0077350C" w:rsidRDefault="0077350C" w:rsidP="0077350C">
      <w:pPr>
        <w:pStyle w:val="Indenttext1"/>
      </w:pPr>
      <w:r>
        <w:t xml:space="preserve">Locate the detainee in the system and click on </w:t>
      </w:r>
      <w:r>
        <w:rPr>
          <w:b/>
          <w:bCs/>
        </w:rPr>
        <w:t>Appointments.</w:t>
      </w:r>
    </w:p>
    <w:p w14:paraId="41F0C8F6" w14:textId="77777777" w:rsidR="0077350C" w:rsidRDefault="0077350C" w:rsidP="0077350C">
      <w:pPr>
        <w:pStyle w:val="Indenttext1"/>
      </w:pPr>
      <w:r>
        <w:t>Fill out the following details:</w:t>
      </w:r>
    </w:p>
    <w:p w14:paraId="4D5A4CD9" w14:textId="77777777" w:rsidR="0077350C" w:rsidRDefault="0077350C" w:rsidP="0077350C">
      <w:pPr>
        <w:pStyle w:val="Indenttext2"/>
        <w:numPr>
          <w:ilvl w:val="0"/>
          <w:numId w:val="10"/>
        </w:numPr>
      </w:pPr>
      <w:r w:rsidRPr="0077350C">
        <w:rPr>
          <w:b/>
          <w:bCs/>
        </w:rPr>
        <w:t xml:space="preserve">Start Date/Time: </w:t>
      </w:r>
      <w:r>
        <w:t>enter information as per the booking, including travel time</w:t>
      </w:r>
    </w:p>
    <w:p w14:paraId="1C43059D" w14:textId="14C34F17" w:rsidR="0077350C" w:rsidRDefault="0077350C" w:rsidP="0077350C">
      <w:pPr>
        <w:pStyle w:val="Indenttext2"/>
        <w:numPr>
          <w:ilvl w:val="0"/>
          <w:numId w:val="9"/>
        </w:numPr>
      </w:pPr>
      <w:r>
        <w:rPr>
          <w:b/>
          <w:bCs/>
        </w:rPr>
        <w:t xml:space="preserve">Return Date/Time: </w:t>
      </w:r>
      <w:r>
        <w:t>enter information as per the booking, including travel time</w:t>
      </w:r>
    </w:p>
    <w:p w14:paraId="23BDEE6A" w14:textId="11752168" w:rsidR="00A4003F" w:rsidRPr="00A4003F" w:rsidRDefault="00A4003F" w:rsidP="0077350C">
      <w:pPr>
        <w:pStyle w:val="Indenttext2"/>
        <w:numPr>
          <w:ilvl w:val="0"/>
          <w:numId w:val="9"/>
        </w:numPr>
        <w:rPr>
          <w:i/>
          <w:iCs/>
        </w:rPr>
      </w:pPr>
      <w:r w:rsidRPr="00A4003F">
        <w:rPr>
          <w:i/>
          <w:iCs/>
          <w:noProof/>
        </w:rPr>
        <w:t>Please note you can make this recurring as an appointment but not as an escort</w:t>
      </w:r>
    </w:p>
    <w:p w14:paraId="523B1746" w14:textId="7854F11E" w:rsidR="0077350C" w:rsidRPr="00E13F06" w:rsidRDefault="00A4003F" w:rsidP="0077350C">
      <w:pPr>
        <w:pStyle w:val="Indenttext2"/>
        <w:numPr>
          <w:ilvl w:val="0"/>
          <w:numId w:val="9"/>
        </w:numPr>
      </w:pPr>
      <w:r>
        <w:rPr>
          <w:b/>
          <w:bCs/>
        </w:rPr>
        <w:t>Appointment</w:t>
      </w:r>
      <w:r w:rsidR="0077350C">
        <w:rPr>
          <w:b/>
          <w:bCs/>
        </w:rPr>
        <w:t xml:space="preserve"> Type:</w:t>
      </w:r>
      <w:r w:rsidR="0077350C">
        <w:t xml:space="preserve"> choose </w:t>
      </w:r>
      <w:r>
        <w:rPr>
          <w:b/>
          <w:bCs/>
        </w:rPr>
        <w:t>TRC – Field Visit</w:t>
      </w:r>
    </w:p>
    <w:p w14:paraId="0604344E" w14:textId="3FFCAD03" w:rsidR="00A4003F" w:rsidRDefault="00A4003F" w:rsidP="0077350C">
      <w:pPr>
        <w:pStyle w:val="Indenttext2"/>
        <w:numPr>
          <w:ilvl w:val="0"/>
          <w:numId w:val="9"/>
        </w:numPr>
      </w:pPr>
      <w:r>
        <w:rPr>
          <w:b/>
          <w:bCs/>
        </w:rPr>
        <w:t>Agency Location:</w:t>
      </w:r>
      <w:r>
        <w:t xml:space="preserve"> Alexander Maconochie Centre</w:t>
      </w:r>
    </w:p>
    <w:p w14:paraId="5B862D32" w14:textId="3BBA51C3" w:rsidR="00A4003F" w:rsidRDefault="00A4003F" w:rsidP="0077350C">
      <w:pPr>
        <w:pStyle w:val="Indenttext2"/>
        <w:numPr>
          <w:ilvl w:val="0"/>
          <w:numId w:val="9"/>
        </w:numPr>
      </w:pPr>
      <w:r>
        <w:rPr>
          <w:b/>
          <w:bCs/>
        </w:rPr>
        <w:t>Staff:</w:t>
      </w:r>
      <w:r>
        <w:t xml:space="preserve"> you are able to assign the staff member who will be going on the escort. They will be sent a calendar invite and notification</w:t>
      </w:r>
    </w:p>
    <w:p w14:paraId="75DF6C45" w14:textId="5CBCFFA1" w:rsidR="00A4003F" w:rsidRDefault="00A4003F" w:rsidP="0077350C">
      <w:pPr>
        <w:pStyle w:val="Indenttext2"/>
        <w:numPr>
          <w:ilvl w:val="0"/>
          <w:numId w:val="9"/>
        </w:numPr>
      </w:pPr>
      <w:r>
        <w:rPr>
          <w:b/>
          <w:bCs/>
        </w:rPr>
        <w:t xml:space="preserve">Area: </w:t>
      </w:r>
      <w:r>
        <w:t>enter the appointment location as per the booking</w:t>
      </w:r>
    </w:p>
    <w:p w14:paraId="59A7BCF2" w14:textId="15D08CD8" w:rsidR="00A4003F" w:rsidRPr="00A4003F" w:rsidRDefault="00A4003F" w:rsidP="0077350C">
      <w:pPr>
        <w:pStyle w:val="Indenttext2"/>
        <w:numPr>
          <w:ilvl w:val="0"/>
          <w:numId w:val="9"/>
        </w:numPr>
      </w:pPr>
      <w:r>
        <w:rPr>
          <w:b/>
          <w:bCs/>
        </w:rPr>
        <w:t>Internal Location:</w:t>
      </w:r>
      <w:r>
        <w:t xml:space="preserve"> TRC Programs</w:t>
      </w:r>
    </w:p>
    <w:p w14:paraId="3FF8BDF5" w14:textId="1F98FC1D" w:rsidR="0077350C" w:rsidRPr="00E13F06" w:rsidRDefault="00A4003F" w:rsidP="0077350C">
      <w:pPr>
        <w:pStyle w:val="Indenttext2"/>
        <w:numPr>
          <w:ilvl w:val="0"/>
          <w:numId w:val="9"/>
        </w:numPr>
      </w:pPr>
      <w:r>
        <w:rPr>
          <w:b/>
          <w:bCs/>
        </w:rPr>
        <w:t>Comments:</w:t>
      </w:r>
      <w:r>
        <w:t xml:space="preserve"> Enter the details of the escort</w:t>
      </w:r>
    </w:p>
    <w:p w14:paraId="3918FCFE" w14:textId="1A08D14A" w:rsidR="0077350C" w:rsidRPr="00A4003F" w:rsidRDefault="0077350C" w:rsidP="0077350C">
      <w:pPr>
        <w:pStyle w:val="Indenttext2"/>
        <w:numPr>
          <w:ilvl w:val="0"/>
          <w:numId w:val="9"/>
        </w:numPr>
      </w:pPr>
      <w:r>
        <w:t xml:space="preserve">Scroll down and hit </w:t>
      </w:r>
      <w:r>
        <w:rPr>
          <w:b/>
          <w:bCs/>
        </w:rPr>
        <w:t>SAVE</w:t>
      </w:r>
    </w:p>
    <w:p w14:paraId="5F51B27D" w14:textId="0B5C0A73" w:rsidR="00A4003F" w:rsidRPr="00E13F06" w:rsidRDefault="00A4003F" w:rsidP="00A4003F">
      <w:pPr>
        <w:pStyle w:val="Indenttext2"/>
        <w:numPr>
          <w:ilvl w:val="0"/>
          <w:numId w:val="0"/>
        </w:numPr>
        <w:ind w:left="1287"/>
      </w:pPr>
    </w:p>
    <w:p w14:paraId="6571FEDF" w14:textId="18ED11F3" w:rsidR="00140B17" w:rsidRDefault="00140B17" w:rsidP="00A4003F">
      <w:pPr>
        <w:pStyle w:val="Indenttext1"/>
        <w:numPr>
          <w:ilvl w:val="0"/>
          <w:numId w:val="0"/>
        </w:numPr>
        <w:ind w:left="567" w:hanging="567"/>
      </w:pPr>
      <w:r w:rsidRPr="00140B17">
        <w:rPr>
          <w:noProof/>
        </w:rPr>
        <w:drawing>
          <wp:inline distT="0" distB="0" distL="0" distR="0" wp14:anchorId="59D64595" wp14:editId="392A8F8E">
            <wp:extent cx="5731510" cy="2613660"/>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30684"/>
                    <a:stretch/>
                  </pic:blipFill>
                  <pic:spPr bwMode="auto">
                    <a:xfrm>
                      <a:off x="0" y="0"/>
                      <a:ext cx="5731510" cy="2613660"/>
                    </a:xfrm>
                    <a:prstGeom prst="rect">
                      <a:avLst/>
                    </a:prstGeom>
                    <a:ln>
                      <a:noFill/>
                    </a:ln>
                    <a:extLst>
                      <a:ext uri="{53640926-AAD7-44D8-BBD7-CCE9431645EC}">
                        <a14:shadowObscured xmlns:a14="http://schemas.microsoft.com/office/drawing/2010/main"/>
                      </a:ext>
                    </a:extLst>
                  </pic:spPr>
                </pic:pic>
              </a:graphicData>
            </a:graphic>
          </wp:inline>
        </w:drawing>
      </w:r>
    </w:p>
    <w:p w14:paraId="1B1F8D38" w14:textId="77777777" w:rsidR="00A4003F" w:rsidRDefault="00A4003F" w:rsidP="00A4003F">
      <w:pPr>
        <w:pStyle w:val="Indenttext1"/>
        <w:numPr>
          <w:ilvl w:val="0"/>
          <w:numId w:val="0"/>
        </w:numPr>
        <w:ind w:left="567" w:hanging="567"/>
      </w:pPr>
    </w:p>
    <w:p w14:paraId="3F520122" w14:textId="3E70F022" w:rsidR="00A4003F" w:rsidRDefault="00A4003F" w:rsidP="00A4003F">
      <w:pPr>
        <w:pStyle w:val="Indenttext1"/>
        <w:numPr>
          <w:ilvl w:val="0"/>
          <w:numId w:val="0"/>
        </w:numPr>
        <w:ind w:left="567" w:hanging="567"/>
      </w:pPr>
      <w:r>
        <w:rPr>
          <w:noProof/>
        </w:rPr>
        <w:drawing>
          <wp:inline distT="0" distB="0" distL="0" distR="0" wp14:anchorId="1A9C6860" wp14:editId="0828A32E">
            <wp:extent cx="5731510" cy="928370"/>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928370"/>
                    </a:xfrm>
                    <a:prstGeom prst="rect">
                      <a:avLst/>
                    </a:prstGeom>
                  </pic:spPr>
                </pic:pic>
              </a:graphicData>
            </a:graphic>
          </wp:inline>
        </w:drawing>
      </w:r>
    </w:p>
    <w:p w14:paraId="7D669876" w14:textId="41DD57C1" w:rsidR="00A4003F" w:rsidRDefault="00A4003F" w:rsidP="00A4003F">
      <w:pPr>
        <w:pStyle w:val="SectionHeading"/>
      </w:pPr>
      <w:r>
        <w:lastRenderedPageBreak/>
        <w:t>Running escort reports on CORIS</w:t>
      </w:r>
    </w:p>
    <w:p w14:paraId="63F3D233" w14:textId="77777777" w:rsidR="00A4003F" w:rsidRDefault="00A4003F" w:rsidP="00A4003F">
      <w:pPr>
        <w:pStyle w:val="Indenttext1"/>
      </w:pPr>
      <w:r>
        <w:t>You can run reports for the day, so you know that activities are listed in CORIS.</w:t>
      </w:r>
    </w:p>
    <w:p w14:paraId="1BD3E358" w14:textId="3BD6BF8C" w:rsidR="00A4003F" w:rsidRDefault="00A4003F" w:rsidP="00A4003F">
      <w:pPr>
        <w:pStyle w:val="Indenttext1"/>
      </w:pPr>
      <w:r>
        <w:t xml:space="preserve">Select </w:t>
      </w:r>
      <w:r w:rsidRPr="00A4003F">
        <w:rPr>
          <w:b/>
          <w:bCs/>
        </w:rPr>
        <w:t>Appointments</w:t>
      </w:r>
    </w:p>
    <w:p w14:paraId="71312D51" w14:textId="78FFDC13" w:rsidR="00A4003F" w:rsidRDefault="00A4003F" w:rsidP="00A4003F">
      <w:pPr>
        <w:pStyle w:val="Indenttext1"/>
      </w:pPr>
      <w:r>
        <w:t xml:space="preserve">Select </w:t>
      </w:r>
      <w:r w:rsidR="002D5261">
        <w:rPr>
          <w:b/>
          <w:bCs/>
        </w:rPr>
        <w:t>Detainee</w:t>
      </w:r>
      <w:r w:rsidRPr="00A4003F">
        <w:rPr>
          <w:b/>
          <w:bCs/>
        </w:rPr>
        <w:t xml:space="preserve"> (with person selected)</w:t>
      </w:r>
    </w:p>
    <w:p w14:paraId="06A45E70" w14:textId="538F379B" w:rsidR="00A4003F" w:rsidRPr="00A4003F" w:rsidRDefault="00A4003F" w:rsidP="00A4003F">
      <w:pPr>
        <w:pStyle w:val="Indenttext1"/>
        <w:rPr>
          <w:b/>
          <w:bCs/>
        </w:rPr>
      </w:pPr>
      <w:r>
        <w:t xml:space="preserve">Select </w:t>
      </w:r>
      <w:r w:rsidR="002D5261">
        <w:rPr>
          <w:b/>
          <w:bCs/>
        </w:rPr>
        <w:t>Detainee</w:t>
      </w:r>
      <w:r w:rsidRPr="00A4003F">
        <w:rPr>
          <w:b/>
          <w:bCs/>
        </w:rPr>
        <w:t xml:space="preserve"> pages</w:t>
      </w:r>
    </w:p>
    <w:p w14:paraId="6AC79247" w14:textId="3629A8D3" w:rsidR="00A4003F" w:rsidRDefault="00A4003F" w:rsidP="00A4003F">
      <w:pPr>
        <w:pStyle w:val="Indenttext1"/>
      </w:pPr>
      <w:r>
        <w:t xml:space="preserve">Select </w:t>
      </w:r>
      <w:r w:rsidR="002D5261">
        <w:rPr>
          <w:b/>
          <w:bCs/>
        </w:rPr>
        <w:t>Detainee</w:t>
      </w:r>
      <w:r w:rsidRPr="00A4003F">
        <w:rPr>
          <w:b/>
          <w:bCs/>
        </w:rPr>
        <w:t xml:space="preserve"> appointments</w:t>
      </w:r>
    </w:p>
    <w:p w14:paraId="59570A6D" w14:textId="5C4CE113" w:rsidR="00A4003F" w:rsidRDefault="00A4003F" w:rsidP="006268DA">
      <w:pPr>
        <w:pStyle w:val="Heading11"/>
      </w:pPr>
      <w:r>
        <w:rPr>
          <w:noProof/>
        </w:rPr>
        <w:drawing>
          <wp:inline distT="0" distB="0" distL="0" distR="0" wp14:anchorId="2994D7F6" wp14:editId="11AD6C73">
            <wp:extent cx="5731510" cy="906780"/>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906780"/>
                    </a:xfrm>
                    <a:prstGeom prst="rect">
                      <a:avLst/>
                    </a:prstGeom>
                  </pic:spPr>
                </pic:pic>
              </a:graphicData>
            </a:graphic>
          </wp:inline>
        </w:drawing>
      </w:r>
    </w:p>
    <w:p w14:paraId="0C636EB2" w14:textId="1FBB1DC3" w:rsidR="00A4003F" w:rsidRDefault="00A4003F" w:rsidP="006268DA">
      <w:pPr>
        <w:pStyle w:val="Heading11"/>
      </w:pPr>
      <w:r>
        <w:rPr>
          <w:noProof/>
        </w:rPr>
        <w:drawing>
          <wp:inline distT="0" distB="0" distL="0" distR="0" wp14:anchorId="064EC497" wp14:editId="6CE1A589">
            <wp:extent cx="5731510" cy="14770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30484"/>
                    <a:stretch/>
                  </pic:blipFill>
                  <pic:spPr bwMode="auto">
                    <a:xfrm>
                      <a:off x="0" y="0"/>
                      <a:ext cx="5731510" cy="1477010"/>
                    </a:xfrm>
                    <a:prstGeom prst="rect">
                      <a:avLst/>
                    </a:prstGeom>
                    <a:ln>
                      <a:noFill/>
                    </a:ln>
                    <a:extLst>
                      <a:ext uri="{53640926-AAD7-44D8-BBD7-CCE9431645EC}">
                        <a14:shadowObscured xmlns:a14="http://schemas.microsoft.com/office/drawing/2010/main"/>
                      </a:ext>
                    </a:extLst>
                  </pic:spPr>
                </pic:pic>
              </a:graphicData>
            </a:graphic>
          </wp:inline>
        </w:drawing>
      </w:r>
    </w:p>
    <w:p w14:paraId="68719575" w14:textId="3763CA18" w:rsidR="00140B17" w:rsidRDefault="00140B17" w:rsidP="00140B17">
      <w:pPr>
        <w:pStyle w:val="Heading11"/>
        <w:ind w:left="84"/>
      </w:pPr>
      <w:r w:rsidRPr="00140B17">
        <w:rPr>
          <w:noProof/>
        </w:rPr>
        <w:drawing>
          <wp:inline distT="0" distB="0" distL="0" distR="0" wp14:anchorId="0A4CC5F3" wp14:editId="489288F3">
            <wp:extent cx="5607685" cy="203454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 b="-13149"/>
                    <a:stretch/>
                  </pic:blipFill>
                  <pic:spPr bwMode="auto">
                    <a:xfrm>
                      <a:off x="0" y="0"/>
                      <a:ext cx="5608319" cy="2034770"/>
                    </a:xfrm>
                    <a:prstGeom prst="rect">
                      <a:avLst/>
                    </a:prstGeom>
                    <a:ln>
                      <a:noFill/>
                    </a:ln>
                    <a:extLst>
                      <a:ext uri="{53640926-AAD7-44D8-BBD7-CCE9431645EC}">
                        <a14:shadowObscured xmlns:a14="http://schemas.microsoft.com/office/drawing/2010/main"/>
                      </a:ext>
                    </a:extLst>
                  </pic:spPr>
                </pic:pic>
              </a:graphicData>
            </a:graphic>
          </wp:inline>
        </w:drawing>
      </w:r>
    </w:p>
    <w:p w14:paraId="72DCD8FA" w14:textId="655EB7B4" w:rsidR="00A4003F" w:rsidRDefault="00A4003F" w:rsidP="006268DA">
      <w:pPr>
        <w:pStyle w:val="Heading11"/>
      </w:pPr>
      <w:r>
        <w:rPr>
          <w:noProof/>
        </w:rPr>
        <w:drawing>
          <wp:inline distT="0" distB="0" distL="0" distR="0" wp14:anchorId="0900353E" wp14:editId="33A96B5A">
            <wp:extent cx="4494538" cy="1180465"/>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6"/>
                    <a:stretch/>
                  </pic:blipFill>
                  <pic:spPr bwMode="auto">
                    <a:xfrm>
                      <a:off x="0" y="0"/>
                      <a:ext cx="4509427" cy="1184376"/>
                    </a:xfrm>
                    <a:prstGeom prst="rect">
                      <a:avLst/>
                    </a:prstGeom>
                    <a:ln>
                      <a:noFill/>
                    </a:ln>
                    <a:extLst>
                      <a:ext uri="{53640926-AAD7-44D8-BBD7-CCE9431645EC}">
                        <a14:shadowObscured xmlns:a14="http://schemas.microsoft.com/office/drawing/2010/main"/>
                      </a:ext>
                    </a:extLst>
                  </pic:spPr>
                </pic:pic>
              </a:graphicData>
            </a:graphic>
          </wp:inline>
        </w:drawing>
      </w:r>
    </w:p>
    <w:p w14:paraId="7DBA4EC0" w14:textId="07A35E3F" w:rsidR="00140B17" w:rsidRDefault="00140B17" w:rsidP="006268DA">
      <w:pPr>
        <w:pStyle w:val="Heading11"/>
      </w:pPr>
      <w:r w:rsidRPr="00140B17">
        <w:rPr>
          <w:noProof/>
        </w:rPr>
        <w:lastRenderedPageBreak/>
        <w:drawing>
          <wp:inline distT="0" distB="0" distL="0" distR="0" wp14:anchorId="21635082" wp14:editId="3647D731">
            <wp:extent cx="5066030" cy="3558540"/>
            <wp:effectExtent l="0" t="0" r="127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2384" b="4839"/>
                    <a:stretch/>
                  </pic:blipFill>
                  <pic:spPr bwMode="auto">
                    <a:xfrm>
                      <a:off x="0" y="0"/>
                      <a:ext cx="5078230" cy="3567110"/>
                    </a:xfrm>
                    <a:prstGeom prst="rect">
                      <a:avLst/>
                    </a:prstGeom>
                    <a:ln>
                      <a:noFill/>
                    </a:ln>
                    <a:extLst>
                      <a:ext uri="{53640926-AAD7-44D8-BBD7-CCE9431645EC}">
                        <a14:shadowObscured xmlns:a14="http://schemas.microsoft.com/office/drawing/2010/main"/>
                      </a:ext>
                    </a:extLst>
                  </pic:spPr>
                </pic:pic>
              </a:graphicData>
            </a:graphic>
          </wp:inline>
        </w:drawing>
      </w:r>
    </w:p>
    <w:p w14:paraId="0CD6A50F" w14:textId="6BDF00C1" w:rsidR="00A4003F" w:rsidRPr="005E7873" w:rsidRDefault="00A4003F" w:rsidP="00CB45A3">
      <w:pPr>
        <w:pStyle w:val="Heading11"/>
        <w:spacing w:before="60" w:after="0"/>
        <w:ind w:left="567"/>
      </w:pPr>
    </w:p>
    <w:p w14:paraId="1C3CF6F4" w14:textId="317EF914" w:rsidR="00A4003F" w:rsidRPr="00A4003F" w:rsidRDefault="00A4003F" w:rsidP="00A4003F">
      <w:pPr>
        <w:pStyle w:val="SectionHeading"/>
      </w:pPr>
      <w:r w:rsidRPr="00A4003F">
        <w:t>Escorts:</w:t>
      </w:r>
    </w:p>
    <w:p w14:paraId="69DAC03C" w14:textId="77777777" w:rsidR="00A4003F" w:rsidRPr="00A4003F" w:rsidRDefault="00A4003F" w:rsidP="00A4003F">
      <w:pPr>
        <w:pStyle w:val="Indenttext1"/>
      </w:pPr>
      <w:r w:rsidRPr="00A4003F">
        <w:t>Once entered in escorts, the appointment is easily viewable on the AMC daily escort plan.  To view the daily escorts (this will show the whole AMC):</w:t>
      </w:r>
    </w:p>
    <w:p w14:paraId="11E371AA" w14:textId="77777777" w:rsidR="00A4003F" w:rsidRDefault="00A4003F">
      <w:r>
        <w:rPr>
          <w:noProof/>
        </w:rPr>
        <w:drawing>
          <wp:inline distT="0" distB="0" distL="0" distR="0" wp14:anchorId="1B7FC2BC" wp14:editId="0F5E6E4E">
            <wp:extent cx="2054564" cy="25908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66068" cy="2605306"/>
                    </a:xfrm>
                    <a:prstGeom prst="rect">
                      <a:avLst/>
                    </a:prstGeom>
                  </pic:spPr>
                </pic:pic>
              </a:graphicData>
            </a:graphic>
          </wp:inline>
        </w:drawing>
      </w:r>
    </w:p>
    <w:p w14:paraId="566593AB" w14:textId="7C7F4BB9" w:rsidR="00A4003F" w:rsidRDefault="00A4003F">
      <w:r>
        <w:rPr>
          <w:noProof/>
        </w:rPr>
        <w:drawing>
          <wp:inline distT="0" distB="0" distL="0" distR="0" wp14:anchorId="6B51B70C" wp14:editId="3FD33F9F">
            <wp:extent cx="5731510" cy="1043940"/>
            <wp:effectExtent l="0" t="0" r="254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1043940"/>
                    </a:xfrm>
                    <a:prstGeom prst="rect">
                      <a:avLst/>
                    </a:prstGeom>
                  </pic:spPr>
                </pic:pic>
              </a:graphicData>
            </a:graphic>
          </wp:inline>
        </w:drawing>
      </w:r>
    </w:p>
    <w:p w14:paraId="48AEA175" w14:textId="4DFF5F47" w:rsidR="005E7873" w:rsidRDefault="00140B17" w:rsidP="00A4003F">
      <w:pPr>
        <w:rPr>
          <w:b/>
          <w:bCs/>
        </w:rPr>
      </w:pPr>
      <w:r w:rsidRPr="00140B17">
        <w:rPr>
          <w:noProof/>
        </w:rPr>
        <w:lastRenderedPageBreak/>
        <w:drawing>
          <wp:inline distT="0" distB="0" distL="0" distR="0" wp14:anchorId="3C7A487E" wp14:editId="19376B8D">
            <wp:extent cx="5731510" cy="3651250"/>
            <wp:effectExtent l="0" t="0" r="254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3651250"/>
                    </a:xfrm>
                    <a:prstGeom prst="rect">
                      <a:avLst/>
                    </a:prstGeom>
                  </pic:spPr>
                </pic:pic>
              </a:graphicData>
            </a:graphic>
          </wp:inline>
        </w:drawing>
      </w:r>
    </w:p>
    <w:p w14:paraId="44B4AB4D" w14:textId="147431FE" w:rsidR="00CF03FA" w:rsidRPr="00A4003F" w:rsidRDefault="007B3718" w:rsidP="00A4003F">
      <w:pPr>
        <w:rPr>
          <w:rFonts w:cs="Arial"/>
          <w:b/>
        </w:rPr>
      </w:pPr>
      <w:r w:rsidRPr="00A4003F">
        <w:rPr>
          <w:b/>
          <w:bCs/>
        </w:rPr>
        <w:t>RELATED DOCUMENTS</w:t>
      </w:r>
      <w:r w:rsidRPr="00F81FF3">
        <w:t xml:space="preserve"> </w:t>
      </w:r>
    </w:p>
    <w:p w14:paraId="0FE501B0" w14:textId="512CD560" w:rsidR="00B84A5B" w:rsidRDefault="00A4003F" w:rsidP="007D6976">
      <w:pPr>
        <w:pStyle w:val="RelatedDocuments"/>
      </w:pPr>
      <w:r>
        <w:t>Transitional Release Policy</w:t>
      </w:r>
    </w:p>
    <w:p w14:paraId="0C000FD2" w14:textId="79D87E9D" w:rsidR="007D6976" w:rsidRDefault="00A4003F" w:rsidP="007D6976">
      <w:pPr>
        <w:pStyle w:val="RelatedDocuments"/>
      </w:pPr>
      <w:r>
        <w:t xml:space="preserve">Incident Response </w:t>
      </w:r>
      <w:r w:rsidR="00B71A6A">
        <w:t>Operating Procedure</w:t>
      </w:r>
    </w:p>
    <w:p w14:paraId="03DFE3CB" w14:textId="2FD42039" w:rsidR="007D6976" w:rsidRDefault="00A4003F" w:rsidP="007D6976">
      <w:pPr>
        <w:pStyle w:val="RelatedDocuments"/>
      </w:pPr>
      <w:r>
        <w:t>Vehicle Accident or Breakdown Operating Procedure</w:t>
      </w:r>
    </w:p>
    <w:p w14:paraId="77E4E945" w14:textId="3E39E787" w:rsidR="00A4003F" w:rsidRDefault="00A4003F" w:rsidP="007D6976">
      <w:pPr>
        <w:pStyle w:val="RelatedDocuments"/>
      </w:pPr>
      <w:r>
        <w:t xml:space="preserve">Transitional Release Leaves </w:t>
      </w:r>
      <w:r w:rsidR="00B71A6A">
        <w:t xml:space="preserve">(excluding community-based employment) </w:t>
      </w:r>
      <w:r>
        <w:t>Operating Procedure</w:t>
      </w:r>
    </w:p>
    <w:p w14:paraId="1AF49F71" w14:textId="4941B580" w:rsidR="00A4003F" w:rsidRDefault="00A4003F" w:rsidP="007D6976">
      <w:pPr>
        <w:pStyle w:val="RelatedDocuments"/>
      </w:pPr>
      <w:r>
        <w:t>Case Note Policy 2021</w:t>
      </w:r>
    </w:p>
    <w:p w14:paraId="7FCA861A" w14:textId="77777777" w:rsidR="007D6976" w:rsidRPr="007D6976" w:rsidRDefault="007D6976" w:rsidP="007D6976">
      <w:pPr>
        <w:pStyle w:val="ListParagraph"/>
        <w:ind w:left="567"/>
        <w:rPr>
          <w:rFonts w:cs="Arial"/>
        </w:rPr>
      </w:pPr>
    </w:p>
    <w:p w14:paraId="18463D30" w14:textId="77777777" w:rsidR="00B84A5B" w:rsidRDefault="00B84A5B" w:rsidP="00B84A5B">
      <w:pPr>
        <w:rPr>
          <w:rFonts w:cs="Arial"/>
        </w:rPr>
      </w:pPr>
    </w:p>
    <w:p w14:paraId="7E5AEB50" w14:textId="6FB4E41E" w:rsidR="00E51CD0" w:rsidRDefault="004F4BCE" w:rsidP="00B84A5B">
      <w:pPr>
        <w:rPr>
          <w:rFonts w:cs="Arial"/>
        </w:rPr>
      </w:pPr>
      <w:r>
        <w:rPr>
          <w:noProof/>
        </w:rPr>
        <w:drawing>
          <wp:inline distT="0" distB="0" distL="0" distR="0" wp14:anchorId="7E7EBD12" wp14:editId="5F2856CB">
            <wp:extent cx="847725" cy="6951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59202" cy="704546"/>
                    </a:xfrm>
                    <a:prstGeom prst="rect">
                      <a:avLst/>
                    </a:prstGeom>
                  </pic:spPr>
                </pic:pic>
              </a:graphicData>
            </a:graphic>
          </wp:inline>
        </w:drawing>
      </w:r>
    </w:p>
    <w:p w14:paraId="5187C628" w14:textId="40A46454" w:rsidR="00B84A5B" w:rsidRDefault="00E93A4F" w:rsidP="00E4484A">
      <w:pPr>
        <w:pStyle w:val="NoSpacing"/>
        <w:spacing w:line="276" w:lineRule="auto"/>
      </w:pPr>
      <w:r>
        <w:t>Narelle Pamplin</w:t>
      </w:r>
    </w:p>
    <w:p w14:paraId="60C9BA74" w14:textId="3438CEEC" w:rsidR="00925989" w:rsidRDefault="00E93A4F" w:rsidP="00E4484A">
      <w:pPr>
        <w:pStyle w:val="NoSpacing"/>
        <w:spacing w:line="276" w:lineRule="auto"/>
      </w:pPr>
      <w:r>
        <w:t xml:space="preserve">Assistant Commissioner </w:t>
      </w:r>
      <w:r w:rsidR="002D5261">
        <w:t>Detainee</w:t>
      </w:r>
      <w:r>
        <w:t xml:space="preserve"> Reintegration</w:t>
      </w:r>
      <w:r w:rsidR="00202B3A">
        <w:br/>
        <w:t xml:space="preserve">ACT Corrective Services </w:t>
      </w:r>
    </w:p>
    <w:p w14:paraId="3602F0BF" w14:textId="333E09A5" w:rsidR="00925989" w:rsidRDefault="004F4BCE" w:rsidP="00E4484A">
      <w:pPr>
        <w:pStyle w:val="NoSpacing"/>
        <w:spacing w:line="276" w:lineRule="auto"/>
      </w:pPr>
      <w:r>
        <w:t>25</w:t>
      </w:r>
      <w:r w:rsidR="00E51CD0">
        <w:t xml:space="preserve"> January 2023</w:t>
      </w:r>
    </w:p>
    <w:p w14:paraId="1959B797" w14:textId="7D1742F8" w:rsidR="00E4484A" w:rsidRDefault="00E4484A" w:rsidP="00B84A5B">
      <w:pPr>
        <w:rPr>
          <w:rFonts w:cs="Arial"/>
        </w:rPr>
      </w:pPr>
    </w:p>
    <w:p w14:paraId="007131F0" w14:textId="119571D2" w:rsidR="00CB45A3" w:rsidRDefault="00CB45A3" w:rsidP="00B84A5B">
      <w:pPr>
        <w:rPr>
          <w:rFonts w:cs="Arial"/>
        </w:rPr>
      </w:pPr>
    </w:p>
    <w:p w14:paraId="2D3C5085" w14:textId="7DE9CB60" w:rsidR="00CB45A3" w:rsidRDefault="00CB45A3" w:rsidP="00B84A5B">
      <w:pPr>
        <w:rPr>
          <w:rFonts w:cs="Arial"/>
        </w:rPr>
      </w:pPr>
    </w:p>
    <w:p w14:paraId="0D2C2E42" w14:textId="77777777" w:rsidR="00CB45A3" w:rsidRDefault="00CB45A3" w:rsidP="00B84A5B">
      <w:pPr>
        <w:rPr>
          <w:rFonts w:cs="Arial"/>
        </w:rPr>
      </w:pPr>
    </w:p>
    <w:p w14:paraId="1E210D08" w14:textId="74FDBE06" w:rsidR="00E51CD0" w:rsidRDefault="00E51CD0" w:rsidP="00B84A5B">
      <w:pPr>
        <w:rPr>
          <w:rFonts w:cs="Arial"/>
        </w:rPr>
      </w:pPr>
    </w:p>
    <w:p w14:paraId="456FEF61" w14:textId="77777777" w:rsidR="00E51CD0" w:rsidRDefault="00E51CD0" w:rsidP="00B84A5B">
      <w:pPr>
        <w:rPr>
          <w:rFonts w:cs="Arial"/>
        </w:rPr>
      </w:pPr>
    </w:p>
    <w:p w14:paraId="21E4D0D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7350F363" w:rsidR="005E011D" w:rsidRPr="00A81503" w:rsidRDefault="00E51CD0" w:rsidP="000C15FB">
            <w:pPr>
              <w:pStyle w:val="TableText"/>
              <w:rPr>
                <w:rFonts w:ascii="Calibri" w:hAnsi="Calibri"/>
                <w:i/>
                <w:iCs/>
                <w:sz w:val="20"/>
                <w:szCs w:val="20"/>
              </w:rPr>
            </w:pPr>
            <w:r>
              <w:rPr>
                <w:rFonts w:ascii="Calibri" w:hAnsi="Calibri"/>
                <w:i/>
                <w:iCs/>
                <w:sz w:val="20"/>
                <w:szCs w:val="20"/>
              </w:rPr>
              <w:t>Transitional Release Escorts</w:t>
            </w:r>
            <w:r w:rsidR="007D6976">
              <w:rPr>
                <w:rFonts w:ascii="Calibri" w:hAnsi="Calibri"/>
                <w:i/>
                <w:iCs/>
                <w:sz w:val="20"/>
                <w:szCs w:val="20"/>
              </w:rPr>
              <w:t xml:space="preserve"> </w:t>
            </w:r>
            <w:r w:rsidR="00641860" w:rsidRPr="00A81503">
              <w:rPr>
                <w:rFonts w:ascii="Calibri" w:hAnsi="Calibri"/>
                <w:i/>
                <w:iCs/>
                <w:sz w:val="20"/>
                <w:szCs w:val="20"/>
              </w:rPr>
              <w:t xml:space="preserve">Operating </w:t>
            </w:r>
            <w:r w:rsidR="004D1932" w:rsidRPr="00A81503">
              <w:rPr>
                <w:rFonts w:ascii="Calibri" w:hAnsi="Calibri"/>
                <w:i/>
                <w:iCs/>
                <w:sz w:val="20"/>
                <w:szCs w:val="20"/>
              </w:rPr>
              <w:t>Procedure</w:t>
            </w:r>
            <w:r w:rsidR="00895F9F" w:rsidRPr="00A81503">
              <w:rPr>
                <w:rFonts w:ascii="Calibri" w:hAnsi="Calibri"/>
                <w:i/>
                <w:iCs/>
                <w:sz w:val="20"/>
                <w:szCs w:val="20"/>
              </w:rPr>
              <w:t xml:space="preserve"> </w:t>
            </w:r>
            <w:r w:rsidR="00C629AB" w:rsidRPr="00A81503">
              <w:rPr>
                <w:rFonts w:ascii="Calibri" w:hAnsi="Calibri"/>
                <w:i/>
                <w:iCs/>
                <w:sz w:val="20"/>
                <w:szCs w:val="20"/>
              </w:rPr>
              <w:t>202</w:t>
            </w:r>
            <w:r w:rsidR="007D6976">
              <w:rPr>
                <w:rFonts w:ascii="Calibri" w:hAnsi="Calibri"/>
                <w:i/>
                <w:iCs/>
                <w:sz w:val="20"/>
                <w:szCs w:val="20"/>
              </w:rPr>
              <w:t>2</w:t>
            </w:r>
          </w:p>
        </w:tc>
      </w:tr>
      <w:tr w:rsidR="005E011D" w:rsidRPr="00586F66" w14:paraId="2D66ECD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42140507" w:rsidR="005E011D" w:rsidRPr="00586F66" w:rsidRDefault="00E51CD0" w:rsidP="004135BE">
            <w:pPr>
              <w:pStyle w:val="TableText"/>
              <w:rPr>
                <w:rFonts w:ascii="Calibri" w:hAnsi="Calibri"/>
                <w:sz w:val="20"/>
                <w:szCs w:val="20"/>
              </w:rPr>
            </w:pPr>
            <w:r>
              <w:rPr>
                <w:rFonts w:ascii="Calibri" w:hAnsi="Calibri"/>
                <w:sz w:val="20"/>
                <w:szCs w:val="20"/>
              </w:rPr>
              <w:t xml:space="preserve">Senior Director </w:t>
            </w:r>
            <w:r w:rsidR="002D5261">
              <w:rPr>
                <w:rFonts w:ascii="Calibri" w:hAnsi="Calibri"/>
                <w:sz w:val="20"/>
                <w:szCs w:val="20"/>
              </w:rPr>
              <w:t>Detainee</w:t>
            </w:r>
            <w:r>
              <w:rPr>
                <w:rFonts w:ascii="Calibri" w:hAnsi="Calibri"/>
                <w:sz w:val="20"/>
                <w:szCs w:val="20"/>
              </w:rPr>
              <w:t xml:space="preserve"> Reintegration</w:t>
            </w:r>
            <w:r w:rsidR="005E011D" w:rsidRPr="00586F66">
              <w:rPr>
                <w:rFonts w:ascii="Calibri" w:hAnsi="Calibri"/>
                <w:sz w:val="20"/>
                <w:szCs w:val="20"/>
              </w:rPr>
              <w:t>, ACT Corrective Services</w:t>
            </w:r>
          </w:p>
        </w:tc>
      </w:tr>
      <w:tr w:rsidR="005E011D" w:rsidRPr="00586F66" w14:paraId="2A82A3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6580FE95" w:rsidR="00CF03FA" w:rsidRPr="00586F66" w:rsidRDefault="00E93A4F" w:rsidP="007B3718">
            <w:pPr>
              <w:pStyle w:val="TableText"/>
              <w:rPr>
                <w:rFonts w:ascii="Calibri" w:hAnsi="Calibri"/>
                <w:sz w:val="20"/>
                <w:szCs w:val="20"/>
              </w:rPr>
            </w:pPr>
            <w:r>
              <w:rPr>
                <w:rFonts w:ascii="Calibri" w:hAnsi="Calibri"/>
                <w:sz w:val="20"/>
                <w:szCs w:val="20"/>
              </w:rPr>
              <w:t xml:space="preserve">Senior Director </w:t>
            </w:r>
            <w:r w:rsidR="002D5261">
              <w:rPr>
                <w:rFonts w:ascii="Calibri" w:hAnsi="Calibri"/>
                <w:sz w:val="20"/>
                <w:szCs w:val="20"/>
              </w:rPr>
              <w:t>Detainee</w:t>
            </w:r>
            <w:r>
              <w:rPr>
                <w:rFonts w:ascii="Calibri" w:hAnsi="Calibri"/>
                <w:sz w:val="20"/>
                <w:szCs w:val="20"/>
              </w:rPr>
              <w:t xml:space="preserve"> Reintegration</w:t>
            </w:r>
          </w:p>
        </w:tc>
      </w:tr>
      <w:tr w:rsidR="007B3718" w:rsidRPr="00586F66" w14:paraId="7A48392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2AAD536F"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E93A4F">
              <w:rPr>
                <w:rFonts w:asciiTheme="minorHAnsi" w:hAnsiTheme="minorHAnsi"/>
                <w:i/>
                <w:iCs/>
                <w:sz w:val="20"/>
                <w:szCs w:val="20"/>
              </w:rPr>
              <w:t>2</w:t>
            </w:r>
          </w:p>
        </w:tc>
      </w:tr>
      <w:tr w:rsidR="005E011D" w:rsidRPr="00586F66" w14:paraId="27FE4371"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68"/>
              <w:gridCol w:w="2095"/>
              <w:gridCol w:w="2560"/>
              <w:gridCol w:w="2133"/>
            </w:tblGrid>
            <w:tr w:rsidR="00EF4141" w:rsidRPr="00B11C0C" w14:paraId="26B7955B" w14:textId="77777777" w:rsidTr="00EF4141">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00EF4141">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00EF4141">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2EB086B6" w:rsidR="00EF4141" w:rsidRPr="00B11C0C" w:rsidRDefault="00E93A4F" w:rsidP="00EF4141">
                  <w:pPr>
                    <w:spacing w:line="360" w:lineRule="auto"/>
                    <w:outlineLvl w:val="1"/>
                    <w:rPr>
                      <w:rFonts w:eastAsia="Calibri" w:cs="Times New Roman"/>
                      <w:sz w:val="20"/>
                      <w:szCs w:val="24"/>
                    </w:rPr>
                  </w:pPr>
                  <w:r>
                    <w:rPr>
                      <w:rFonts w:eastAsia="Calibri" w:cs="Times New Roman"/>
                      <w:sz w:val="20"/>
                      <w:szCs w:val="24"/>
                    </w:rPr>
                    <w:t>September</w:t>
                  </w:r>
                  <w:r w:rsidR="009E4E29">
                    <w:rPr>
                      <w:rFonts w:eastAsia="Calibri" w:cs="Times New Roman"/>
                      <w:sz w:val="20"/>
                      <w:szCs w:val="24"/>
                    </w:rPr>
                    <w:t>-22</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7A1FA16A" w:rsidR="00EF4141" w:rsidRPr="00B11C0C" w:rsidRDefault="00E93A4F" w:rsidP="00EF4141">
                  <w:pPr>
                    <w:spacing w:line="360" w:lineRule="auto"/>
                    <w:outlineLvl w:val="1"/>
                    <w:rPr>
                      <w:rFonts w:eastAsia="Calibri" w:cs="Times New Roman"/>
                      <w:sz w:val="20"/>
                      <w:szCs w:val="24"/>
                    </w:rPr>
                  </w:pPr>
                  <w:r>
                    <w:rPr>
                      <w:rFonts w:eastAsia="Calibri" w:cs="Times New Roman"/>
                      <w:sz w:val="20"/>
                      <w:szCs w:val="24"/>
                    </w:rPr>
                    <w:t>L Spulak</w:t>
                  </w:r>
                </w:p>
              </w:tc>
            </w:tr>
            <w:tr w:rsidR="00E51CD0" w:rsidRPr="00B11C0C" w14:paraId="0F512063" w14:textId="77777777" w:rsidTr="00EF4141">
              <w:trPr>
                <w:trHeight w:val="395"/>
              </w:trPr>
              <w:tc>
                <w:tcPr>
                  <w:tcW w:w="0" w:type="auto"/>
                </w:tcPr>
                <w:p w14:paraId="0D5751E6" w14:textId="56D7B970" w:rsidR="00E51CD0" w:rsidRPr="00B11C0C" w:rsidRDefault="00E51CD0" w:rsidP="00EF4141">
                  <w:pPr>
                    <w:spacing w:line="360" w:lineRule="auto"/>
                    <w:outlineLvl w:val="1"/>
                    <w:rPr>
                      <w:rFonts w:eastAsia="Calibri" w:cs="Times New Roman"/>
                      <w:sz w:val="20"/>
                      <w:szCs w:val="24"/>
                    </w:rPr>
                  </w:pPr>
                  <w:r>
                    <w:rPr>
                      <w:rFonts w:eastAsia="Calibri" w:cs="Times New Roman"/>
                      <w:sz w:val="20"/>
                      <w:szCs w:val="24"/>
                    </w:rPr>
                    <w:t>V2</w:t>
                  </w:r>
                </w:p>
              </w:tc>
              <w:tc>
                <w:tcPr>
                  <w:tcW w:w="0" w:type="auto"/>
                </w:tcPr>
                <w:p w14:paraId="69EDAE6F" w14:textId="5BE6F5EF" w:rsidR="00E51CD0" w:rsidRDefault="00E51CD0" w:rsidP="00EF4141">
                  <w:pPr>
                    <w:spacing w:line="360" w:lineRule="auto"/>
                    <w:outlineLvl w:val="1"/>
                    <w:rPr>
                      <w:rFonts w:eastAsia="Calibri" w:cs="Times New Roman"/>
                      <w:sz w:val="20"/>
                      <w:szCs w:val="24"/>
                    </w:rPr>
                  </w:pPr>
                  <w:r>
                    <w:rPr>
                      <w:rFonts w:eastAsia="Calibri" w:cs="Times New Roman"/>
                      <w:sz w:val="20"/>
                      <w:szCs w:val="24"/>
                    </w:rPr>
                    <w:t>December-22</w:t>
                  </w:r>
                </w:p>
              </w:tc>
              <w:tc>
                <w:tcPr>
                  <w:tcW w:w="0" w:type="auto"/>
                </w:tcPr>
                <w:p w14:paraId="5E49B5E8" w14:textId="2158221E" w:rsidR="00E51CD0" w:rsidRPr="00B11C0C" w:rsidRDefault="00E51CD0" w:rsidP="00EF4141">
                  <w:pPr>
                    <w:spacing w:line="360" w:lineRule="auto"/>
                    <w:outlineLvl w:val="1"/>
                    <w:rPr>
                      <w:rFonts w:eastAsia="Calibri" w:cs="Times New Roman"/>
                      <w:sz w:val="20"/>
                      <w:szCs w:val="24"/>
                    </w:rPr>
                  </w:pPr>
                  <w:r>
                    <w:rPr>
                      <w:rFonts w:eastAsia="Calibri" w:cs="Times New Roman"/>
                      <w:sz w:val="20"/>
                      <w:szCs w:val="24"/>
                    </w:rPr>
                    <w:t>Continual revision</w:t>
                  </w:r>
                </w:p>
              </w:tc>
              <w:tc>
                <w:tcPr>
                  <w:tcW w:w="0" w:type="auto"/>
                </w:tcPr>
                <w:p w14:paraId="4CD48077" w14:textId="623188C0" w:rsidR="00E51CD0" w:rsidRDefault="00E51CD0" w:rsidP="00EF4141">
                  <w:pPr>
                    <w:spacing w:line="360" w:lineRule="auto"/>
                    <w:outlineLvl w:val="1"/>
                    <w:rPr>
                      <w:rFonts w:eastAsia="Calibri" w:cs="Times New Roman"/>
                      <w:sz w:val="20"/>
                      <w:szCs w:val="24"/>
                    </w:rPr>
                  </w:pPr>
                  <w:r>
                    <w:rPr>
                      <w:rFonts w:eastAsia="Calibri" w:cs="Times New Roman"/>
                      <w:sz w:val="20"/>
                      <w:szCs w:val="24"/>
                    </w:rPr>
                    <w:t>J Papadopoulo</w:t>
                  </w:r>
                </w:p>
              </w:tc>
            </w:tr>
          </w:tbl>
          <w:p w14:paraId="087913EE" w14:textId="1B33ECCB" w:rsidR="00EF4141" w:rsidRPr="00586F66" w:rsidRDefault="00EF4141" w:rsidP="0041603D">
            <w:pPr>
              <w:pStyle w:val="BodyText"/>
              <w:spacing w:after="0"/>
              <w:rPr>
                <w:sz w:val="20"/>
                <w:szCs w:val="20"/>
              </w:rPr>
            </w:pPr>
          </w:p>
        </w:tc>
      </w:tr>
    </w:tbl>
    <w:p w14:paraId="76ED977F" w14:textId="77777777" w:rsidR="005E011D" w:rsidRDefault="005E011D" w:rsidP="005E011D">
      <w:pPr>
        <w:rPr>
          <w:rFonts w:ascii="Arial" w:hAnsi="Arial" w:cs="Arial"/>
          <w:sz w:val="24"/>
          <w:szCs w:val="24"/>
        </w:rPr>
      </w:pPr>
    </w:p>
    <w:sectPr w:rsidR="005E011D" w:rsidSect="00C75C19">
      <w:headerReference w:type="first" r:id="rId31"/>
      <w:footerReference w:type="first" r:id="rId32"/>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FD38" w14:textId="77777777" w:rsidR="00482A8B" w:rsidRDefault="00482A8B" w:rsidP="00152D5E">
      <w:pPr>
        <w:spacing w:after="0" w:line="240" w:lineRule="auto"/>
      </w:pPr>
      <w:r>
        <w:separator/>
      </w:r>
    </w:p>
  </w:endnote>
  <w:endnote w:type="continuationSeparator" w:id="0">
    <w:p w14:paraId="5557A126" w14:textId="77777777" w:rsidR="00482A8B" w:rsidRDefault="00482A8B"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ABEE" w14:textId="77777777" w:rsidR="00495F98" w:rsidRDefault="00495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20"/>
        <w:szCs w:val="20"/>
      </w:rPr>
    </w:sdtEndPr>
    <w:sdtContent>
      <w:sdt>
        <w:sdtPr>
          <w:rPr>
            <w:rFonts w:ascii="Calibri" w:hAnsi="Calibri"/>
          </w:rPr>
          <w:id w:val="565050523"/>
          <w:docPartObj>
            <w:docPartGallery w:val="Page Numbers (Top of Page)"/>
            <w:docPartUnique/>
          </w:docPartObj>
        </w:sdtPr>
        <w:sdtEndPr>
          <w:rPr>
            <w:sz w:val="20"/>
            <w:szCs w:val="20"/>
          </w:rPr>
        </w:sdtEndPr>
        <w:sdtContent>
          <w:p w14:paraId="4184CD10" w14:textId="10263D38" w:rsidR="00FB2C79" w:rsidRDefault="00FB2C79" w:rsidP="00E93A4F">
            <w:pPr>
              <w:pStyle w:val="Footer"/>
              <w:jc w:val="right"/>
              <w:rPr>
                <w:rFonts w:ascii="Calibri" w:hAnsi="Calibri"/>
                <w:sz w:val="20"/>
                <w:szCs w:val="20"/>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p>
        </w:sdtContent>
      </w:sdt>
    </w:sdtContent>
  </w:sdt>
  <w:p w14:paraId="2607470A" w14:textId="00430B4A" w:rsidR="002870A1" w:rsidRPr="00495F98" w:rsidRDefault="00495F98" w:rsidP="00495F98">
    <w:pPr>
      <w:pStyle w:val="Footer"/>
      <w:jc w:val="center"/>
      <w:rPr>
        <w:rFonts w:ascii="Arial" w:hAnsi="Arial" w:cs="Arial"/>
        <w:sz w:val="14"/>
        <w:szCs w:val="18"/>
      </w:rPr>
    </w:pPr>
    <w:r w:rsidRPr="00495F98">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F2C5" w14:textId="35944E64" w:rsidR="004911A2" w:rsidRDefault="004911A2" w:rsidP="004911A2">
    <w:pPr>
      <w:pStyle w:val="Footer"/>
      <w:spacing w:after="120"/>
      <w:rPr>
        <w:rFonts w:ascii="Arial" w:hAnsi="Arial" w:cs="Arial"/>
        <w:sz w:val="18"/>
      </w:rPr>
    </w:pPr>
    <w:r w:rsidRPr="005842C0">
      <w:rPr>
        <w:rFonts w:ascii="Arial" w:hAnsi="Arial" w:cs="Arial"/>
        <w:sz w:val="18"/>
      </w:rPr>
      <w:t>*Name amended under Legislation Act, s 60</w:t>
    </w:r>
  </w:p>
  <w:p w14:paraId="1590110C" w14:textId="1D4F24CA" w:rsidR="002870A1" w:rsidRPr="00495F98" w:rsidRDefault="00495F98" w:rsidP="00495F98">
    <w:pPr>
      <w:pStyle w:val="Footer"/>
      <w:spacing w:after="120"/>
      <w:jc w:val="center"/>
      <w:rPr>
        <w:rFonts w:ascii="Arial" w:hAnsi="Arial" w:cs="Arial"/>
        <w:sz w:val="14"/>
      </w:rPr>
    </w:pPr>
    <w:r w:rsidRPr="00495F9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FBBB" w14:textId="33006AB3" w:rsidR="009D6344" w:rsidRPr="00495F98" w:rsidRDefault="00495F98" w:rsidP="00495F98">
    <w:pPr>
      <w:pStyle w:val="Footer"/>
      <w:jc w:val="center"/>
      <w:rPr>
        <w:rFonts w:ascii="Arial" w:hAnsi="Arial" w:cs="Arial"/>
        <w:sz w:val="14"/>
      </w:rPr>
    </w:pPr>
    <w:r w:rsidRPr="00495F9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03E1" w14:textId="77777777" w:rsidR="00482A8B" w:rsidRDefault="00482A8B" w:rsidP="00152D5E">
      <w:pPr>
        <w:spacing w:after="0" w:line="240" w:lineRule="auto"/>
      </w:pPr>
      <w:r>
        <w:separator/>
      </w:r>
    </w:p>
  </w:footnote>
  <w:footnote w:type="continuationSeparator" w:id="0">
    <w:p w14:paraId="24F40EBD" w14:textId="77777777" w:rsidR="00482A8B" w:rsidRDefault="00482A8B"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5EE0" w14:textId="77777777" w:rsidR="00495F98" w:rsidRDefault="00495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D03C" w14:textId="22BD8CFC" w:rsidR="00FB2C79" w:rsidRPr="00B13060" w:rsidRDefault="00FB2C79" w:rsidP="004C28FE">
    <w:pPr>
      <w:pStyle w:val="Header"/>
      <w:jc w:val="center"/>
      <w:rPr>
        <w:color w:val="808080"/>
        <w:spacing w:val="2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75C0" w14:textId="77777777" w:rsidR="00495F98" w:rsidRDefault="00495F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0FA" w14:textId="77777777" w:rsidR="009D6344" w:rsidRDefault="009D6344">
    <w:pPr>
      <w:pStyle w:val="Header"/>
      <w:rPr>
        <w:b/>
        <w:bCs/>
        <w:color w:val="808080"/>
        <w:spacing w:val="24"/>
        <w:sz w:val="20"/>
        <w:szCs w:val="20"/>
      </w:rPr>
    </w:pPr>
    <w:r w:rsidRPr="00D94114">
      <w:rPr>
        <w:noProof/>
        <w:lang w:eastAsia="en-AU"/>
      </w:rPr>
      <w:drawing>
        <wp:inline distT="0" distB="0" distL="0" distR="0" wp14:anchorId="7C2D386D" wp14:editId="6DDAA568">
          <wp:extent cx="2190750" cy="676275"/>
          <wp:effectExtent l="19050" t="0" r="0" b="0"/>
          <wp:docPr id="42"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13DC0EB7" w14:textId="77777777" w:rsidR="009D6344" w:rsidRDefault="009D6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38C"/>
    <w:multiLevelType w:val="hybridMultilevel"/>
    <w:tmpl w:val="2C1A543E"/>
    <w:lvl w:ilvl="0" w:tplc="EA1260E2">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8D42EE"/>
    <w:multiLevelType w:val="hybridMultilevel"/>
    <w:tmpl w:val="9572B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B512A53"/>
    <w:multiLevelType w:val="multilevel"/>
    <w:tmpl w:val="5C62B678"/>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90457453">
    <w:abstractNumId w:val="4"/>
  </w:num>
  <w:num w:numId="2" w16cid:durableId="566183578">
    <w:abstractNumId w:val="0"/>
  </w:num>
  <w:num w:numId="3" w16cid:durableId="1155872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255603">
    <w:abstractNumId w:val="0"/>
  </w:num>
  <w:num w:numId="5" w16cid:durableId="1062287199">
    <w:abstractNumId w:val="0"/>
    <w:lvlOverride w:ilvl="0">
      <w:startOverride w:val="1"/>
    </w:lvlOverride>
  </w:num>
  <w:num w:numId="6" w16cid:durableId="187715776">
    <w:abstractNumId w:val="2"/>
  </w:num>
  <w:num w:numId="7" w16cid:durableId="1378163172">
    <w:abstractNumId w:val="3"/>
  </w:num>
  <w:num w:numId="8" w16cid:durableId="1314413901">
    <w:abstractNumId w:val="0"/>
    <w:lvlOverride w:ilvl="0">
      <w:startOverride w:val="1"/>
    </w:lvlOverride>
  </w:num>
  <w:num w:numId="9" w16cid:durableId="1343781745">
    <w:abstractNumId w:val="0"/>
    <w:lvlOverride w:ilvl="0">
      <w:startOverride w:val="1"/>
    </w:lvlOverride>
  </w:num>
  <w:num w:numId="10" w16cid:durableId="616109406">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100D2"/>
    <w:rsid w:val="00012A69"/>
    <w:rsid w:val="00033447"/>
    <w:rsid w:val="000458C7"/>
    <w:rsid w:val="000551A3"/>
    <w:rsid w:val="00071198"/>
    <w:rsid w:val="000B7E7B"/>
    <w:rsid w:val="000C15FB"/>
    <w:rsid w:val="000C7B6F"/>
    <w:rsid w:val="000F21C2"/>
    <w:rsid w:val="0010638B"/>
    <w:rsid w:val="001127C2"/>
    <w:rsid w:val="00115ACD"/>
    <w:rsid w:val="001230CE"/>
    <w:rsid w:val="00132DBB"/>
    <w:rsid w:val="00140B17"/>
    <w:rsid w:val="00140DA4"/>
    <w:rsid w:val="00141BD0"/>
    <w:rsid w:val="00141E42"/>
    <w:rsid w:val="00146AD7"/>
    <w:rsid w:val="001504B0"/>
    <w:rsid w:val="00152066"/>
    <w:rsid w:val="00152D5E"/>
    <w:rsid w:val="00162B50"/>
    <w:rsid w:val="001764CE"/>
    <w:rsid w:val="001853B3"/>
    <w:rsid w:val="001869E9"/>
    <w:rsid w:val="001A50E7"/>
    <w:rsid w:val="001A677B"/>
    <w:rsid w:val="001B6520"/>
    <w:rsid w:val="001E0DC9"/>
    <w:rsid w:val="00202B3A"/>
    <w:rsid w:val="0021108E"/>
    <w:rsid w:val="00215BD6"/>
    <w:rsid w:val="00221FA3"/>
    <w:rsid w:val="00224981"/>
    <w:rsid w:val="00252E13"/>
    <w:rsid w:val="00272CE7"/>
    <w:rsid w:val="002826FB"/>
    <w:rsid w:val="00283EE0"/>
    <w:rsid w:val="002870A1"/>
    <w:rsid w:val="00287266"/>
    <w:rsid w:val="002A2DE1"/>
    <w:rsid w:val="002A59E1"/>
    <w:rsid w:val="002B3CE1"/>
    <w:rsid w:val="002C110C"/>
    <w:rsid w:val="002C7846"/>
    <w:rsid w:val="002D1603"/>
    <w:rsid w:val="002D5261"/>
    <w:rsid w:val="002E31A9"/>
    <w:rsid w:val="002F6E5A"/>
    <w:rsid w:val="00302352"/>
    <w:rsid w:val="00302B09"/>
    <w:rsid w:val="0031239E"/>
    <w:rsid w:val="00314A6D"/>
    <w:rsid w:val="00326B71"/>
    <w:rsid w:val="00327284"/>
    <w:rsid w:val="00335431"/>
    <w:rsid w:val="00340868"/>
    <w:rsid w:val="003449F8"/>
    <w:rsid w:val="00345311"/>
    <w:rsid w:val="003517F3"/>
    <w:rsid w:val="00353E50"/>
    <w:rsid w:val="003729BE"/>
    <w:rsid w:val="003845D9"/>
    <w:rsid w:val="00390390"/>
    <w:rsid w:val="003964A5"/>
    <w:rsid w:val="00397232"/>
    <w:rsid w:val="003A2E5D"/>
    <w:rsid w:val="003A3CF7"/>
    <w:rsid w:val="003A6D9E"/>
    <w:rsid w:val="003A7DC3"/>
    <w:rsid w:val="003B0384"/>
    <w:rsid w:val="003B2F7D"/>
    <w:rsid w:val="003C4C1C"/>
    <w:rsid w:val="003C5E5F"/>
    <w:rsid w:val="003C699A"/>
    <w:rsid w:val="003C6EB2"/>
    <w:rsid w:val="003F5C7D"/>
    <w:rsid w:val="00402430"/>
    <w:rsid w:val="00405E0B"/>
    <w:rsid w:val="00407EE1"/>
    <w:rsid w:val="004135BE"/>
    <w:rsid w:val="0041603D"/>
    <w:rsid w:val="004175E0"/>
    <w:rsid w:val="00425558"/>
    <w:rsid w:val="004404BE"/>
    <w:rsid w:val="004410CF"/>
    <w:rsid w:val="00461C8B"/>
    <w:rsid w:val="0046695A"/>
    <w:rsid w:val="00471864"/>
    <w:rsid w:val="004740A6"/>
    <w:rsid w:val="00482A8B"/>
    <w:rsid w:val="00484860"/>
    <w:rsid w:val="004911A2"/>
    <w:rsid w:val="004941C3"/>
    <w:rsid w:val="00495F98"/>
    <w:rsid w:val="004A0E69"/>
    <w:rsid w:val="004B121B"/>
    <w:rsid w:val="004B2F47"/>
    <w:rsid w:val="004B64FC"/>
    <w:rsid w:val="004C28FE"/>
    <w:rsid w:val="004D108E"/>
    <w:rsid w:val="004D1932"/>
    <w:rsid w:val="004E2B2A"/>
    <w:rsid w:val="004F4BCE"/>
    <w:rsid w:val="00500EAE"/>
    <w:rsid w:val="005020AB"/>
    <w:rsid w:val="00510017"/>
    <w:rsid w:val="00510235"/>
    <w:rsid w:val="005167F7"/>
    <w:rsid w:val="00516FDD"/>
    <w:rsid w:val="00522D99"/>
    <w:rsid w:val="00532730"/>
    <w:rsid w:val="005359F3"/>
    <w:rsid w:val="00537C32"/>
    <w:rsid w:val="005506B4"/>
    <w:rsid w:val="00552D95"/>
    <w:rsid w:val="00562826"/>
    <w:rsid w:val="00563752"/>
    <w:rsid w:val="0057029F"/>
    <w:rsid w:val="00582DD2"/>
    <w:rsid w:val="00586F66"/>
    <w:rsid w:val="005A1858"/>
    <w:rsid w:val="005A4376"/>
    <w:rsid w:val="005A6F4E"/>
    <w:rsid w:val="005A794E"/>
    <w:rsid w:val="005C4C28"/>
    <w:rsid w:val="005D2BB7"/>
    <w:rsid w:val="005D504A"/>
    <w:rsid w:val="005E011D"/>
    <w:rsid w:val="005E068A"/>
    <w:rsid w:val="005E33B4"/>
    <w:rsid w:val="005E7873"/>
    <w:rsid w:val="005F51C6"/>
    <w:rsid w:val="005F70A8"/>
    <w:rsid w:val="00610DF9"/>
    <w:rsid w:val="00615102"/>
    <w:rsid w:val="00620BBF"/>
    <w:rsid w:val="00622D3C"/>
    <w:rsid w:val="006268DA"/>
    <w:rsid w:val="00634849"/>
    <w:rsid w:val="00641860"/>
    <w:rsid w:val="00667C8D"/>
    <w:rsid w:val="0067063B"/>
    <w:rsid w:val="00685F05"/>
    <w:rsid w:val="00686CE7"/>
    <w:rsid w:val="006A432A"/>
    <w:rsid w:val="006A5E20"/>
    <w:rsid w:val="006F301F"/>
    <w:rsid w:val="006F3F09"/>
    <w:rsid w:val="00707A71"/>
    <w:rsid w:val="007104EA"/>
    <w:rsid w:val="007122C1"/>
    <w:rsid w:val="00725E8F"/>
    <w:rsid w:val="0073253B"/>
    <w:rsid w:val="00737195"/>
    <w:rsid w:val="00737D4C"/>
    <w:rsid w:val="00741C56"/>
    <w:rsid w:val="0076023F"/>
    <w:rsid w:val="00767337"/>
    <w:rsid w:val="0077350C"/>
    <w:rsid w:val="00780A2D"/>
    <w:rsid w:val="00782A7B"/>
    <w:rsid w:val="00783EF0"/>
    <w:rsid w:val="00791154"/>
    <w:rsid w:val="007A4B84"/>
    <w:rsid w:val="007A55E0"/>
    <w:rsid w:val="007B2D71"/>
    <w:rsid w:val="007B3718"/>
    <w:rsid w:val="007C4FCB"/>
    <w:rsid w:val="007D1D59"/>
    <w:rsid w:val="007D6976"/>
    <w:rsid w:val="007D6F72"/>
    <w:rsid w:val="007E7ADC"/>
    <w:rsid w:val="008027A9"/>
    <w:rsid w:val="00803CCC"/>
    <w:rsid w:val="00804E3A"/>
    <w:rsid w:val="00820911"/>
    <w:rsid w:val="00820C1B"/>
    <w:rsid w:val="00822096"/>
    <w:rsid w:val="0082259A"/>
    <w:rsid w:val="00840B46"/>
    <w:rsid w:val="008501F8"/>
    <w:rsid w:val="00853BE2"/>
    <w:rsid w:val="00856433"/>
    <w:rsid w:val="00865278"/>
    <w:rsid w:val="00881556"/>
    <w:rsid w:val="00882AB2"/>
    <w:rsid w:val="00883B30"/>
    <w:rsid w:val="00887315"/>
    <w:rsid w:val="00892211"/>
    <w:rsid w:val="00895845"/>
    <w:rsid w:val="00895F9F"/>
    <w:rsid w:val="008A2CFA"/>
    <w:rsid w:val="008A36D1"/>
    <w:rsid w:val="008B3ABC"/>
    <w:rsid w:val="008C07D5"/>
    <w:rsid w:val="008C1D7D"/>
    <w:rsid w:val="008D7964"/>
    <w:rsid w:val="008E2F14"/>
    <w:rsid w:val="008E7151"/>
    <w:rsid w:val="008F18E1"/>
    <w:rsid w:val="009040AE"/>
    <w:rsid w:val="009227D3"/>
    <w:rsid w:val="00925213"/>
    <w:rsid w:val="00925989"/>
    <w:rsid w:val="009360A6"/>
    <w:rsid w:val="00936397"/>
    <w:rsid w:val="00940C70"/>
    <w:rsid w:val="00947E61"/>
    <w:rsid w:val="00951D8F"/>
    <w:rsid w:val="0095393D"/>
    <w:rsid w:val="009545D4"/>
    <w:rsid w:val="00963282"/>
    <w:rsid w:val="00970387"/>
    <w:rsid w:val="00974E7D"/>
    <w:rsid w:val="009839B3"/>
    <w:rsid w:val="009A1FBC"/>
    <w:rsid w:val="009B765D"/>
    <w:rsid w:val="009C50FE"/>
    <w:rsid w:val="009D6344"/>
    <w:rsid w:val="009D760A"/>
    <w:rsid w:val="009E4E29"/>
    <w:rsid w:val="009F3B6B"/>
    <w:rsid w:val="00A0718F"/>
    <w:rsid w:val="00A14F8C"/>
    <w:rsid w:val="00A373D9"/>
    <w:rsid w:val="00A4003F"/>
    <w:rsid w:val="00A4017C"/>
    <w:rsid w:val="00A81503"/>
    <w:rsid w:val="00A93ED3"/>
    <w:rsid w:val="00A95B39"/>
    <w:rsid w:val="00AB0381"/>
    <w:rsid w:val="00AB4372"/>
    <w:rsid w:val="00AC0BF3"/>
    <w:rsid w:val="00AC365D"/>
    <w:rsid w:val="00B00C75"/>
    <w:rsid w:val="00B0453C"/>
    <w:rsid w:val="00B13060"/>
    <w:rsid w:val="00B14115"/>
    <w:rsid w:val="00B41869"/>
    <w:rsid w:val="00B5255E"/>
    <w:rsid w:val="00B71A6A"/>
    <w:rsid w:val="00B73389"/>
    <w:rsid w:val="00B84A5B"/>
    <w:rsid w:val="00B90283"/>
    <w:rsid w:val="00BA3A18"/>
    <w:rsid w:val="00BD0E7C"/>
    <w:rsid w:val="00BD7AAD"/>
    <w:rsid w:val="00BF5695"/>
    <w:rsid w:val="00C067A2"/>
    <w:rsid w:val="00C20E16"/>
    <w:rsid w:val="00C20E72"/>
    <w:rsid w:val="00C402F7"/>
    <w:rsid w:val="00C40A3A"/>
    <w:rsid w:val="00C446AD"/>
    <w:rsid w:val="00C4585B"/>
    <w:rsid w:val="00C46EA3"/>
    <w:rsid w:val="00C618E2"/>
    <w:rsid w:val="00C629AB"/>
    <w:rsid w:val="00C64BD0"/>
    <w:rsid w:val="00C75C19"/>
    <w:rsid w:val="00C81049"/>
    <w:rsid w:val="00C82283"/>
    <w:rsid w:val="00C84375"/>
    <w:rsid w:val="00C84F2C"/>
    <w:rsid w:val="00C9322B"/>
    <w:rsid w:val="00C95B2E"/>
    <w:rsid w:val="00CA16DE"/>
    <w:rsid w:val="00CA5293"/>
    <w:rsid w:val="00CA573D"/>
    <w:rsid w:val="00CA6FE9"/>
    <w:rsid w:val="00CB45A3"/>
    <w:rsid w:val="00CD0D17"/>
    <w:rsid w:val="00CD35DF"/>
    <w:rsid w:val="00CD581E"/>
    <w:rsid w:val="00CE129E"/>
    <w:rsid w:val="00CF03FA"/>
    <w:rsid w:val="00CF3FF5"/>
    <w:rsid w:val="00D060AE"/>
    <w:rsid w:val="00D07C57"/>
    <w:rsid w:val="00D124A1"/>
    <w:rsid w:val="00D16BFE"/>
    <w:rsid w:val="00D4683E"/>
    <w:rsid w:val="00D5452A"/>
    <w:rsid w:val="00D6123C"/>
    <w:rsid w:val="00D94114"/>
    <w:rsid w:val="00D9493E"/>
    <w:rsid w:val="00D95E71"/>
    <w:rsid w:val="00DA3A5B"/>
    <w:rsid w:val="00DB6273"/>
    <w:rsid w:val="00DC4D38"/>
    <w:rsid w:val="00DD4FFC"/>
    <w:rsid w:val="00E01795"/>
    <w:rsid w:val="00E13F06"/>
    <w:rsid w:val="00E14FAF"/>
    <w:rsid w:val="00E152FC"/>
    <w:rsid w:val="00E17860"/>
    <w:rsid w:val="00E17BC8"/>
    <w:rsid w:val="00E3576D"/>
    <w:rsid w:val="00E4484A"/>
    <w:rsid w:val="00E51219"/>
    <w:rsid w:val="00E51CD0"/>
    <w:rsid w:val="00E62838"/>
    <w:rsid w:val="00E62FBC"/>
    <w:rsid w:val="00E76F61"/>
    <w:rsid w:val="00E862D0"/>
    <w:rsid w:val="00E93A4F"/>
    <w:rsid w:val="00E9504E"/>
    <w:rsid w:val="00EB09A1"/>
    <w:rsid w:val="00EB7FD8"/>
    <w:rsid w:val="00EC08D9"/>
    <w:rsid w:val="00EC18F3"/>
    <w:rsid w:val="00ED0F79"/>
    <w:rsid w:val="00EF4141"/>
    <w:rsid w:val="00F14697"/>
    <w:rsid w:val="00F33976"/>
    <w:rsid w:val="00F35DEF"/>
    <w:rsid w:val="00F46A76"/>
    <w:rsid w:val="00F47FCC"/>
    <w:rsid w:val="00F622EA"/>
    <w:rsid w:val="00F64FF8"/>
    <w:rsid w:val="00F744B4"/>
    <w:rsid w:val="00F81FF3"/>
    <w:rsid w:val="00F85168"/>
    <w:rsid w:val="00F90FE4"/>
    <w:rsid w:val="00FA475D"/>
    <w:rsid w:val="00FB2C79"/>
    <w:rsid w:val="00FB6330"/>
    <w:rsid w:val="00FC5257"/>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rsid w:val="003517F3"/>
    <w:pPr>
      <w:keepNext/>
      <w:numPr>
        <w:numId w:val="3"/>
      </w:numPr>
      <w:spacing w:before="240" w:after="60" w:line="360" w:lineRule="auto"/>
      <w:outlineLvl w:val="0"/>
    </w:pPr>
    <w:rPr>
      <w:rFonts w:ascii="Calibri" w:eastAsia="Times New Roman" w:hAnsi="Calibri" w:cs="Arial"/>
      <w:b/>
      <w:color w:val="000000" w:themeColor="text1"/>
      <w:sz w:val="28"/>
      <w:szCs w:val="28"/>
    </w:rPr>
  </w:style>
  <w:style w:type="paragraph" w:styleId="Heading2">
    <w:name w:val="heading 2"/>
    <w:basedOn w:val="Normal"/>
    <w:next w:val="Normal"/>
    <w:link w:val="Heading2Char"/>
    <w:uiPriority w:val="9"/>
    <w:semiHidden/>
    <w:unhideWhenUsed/>
    <w:rsid w:val="00A400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Text"/>
    <w:link w:val="Heading3Char"/>
    <w:semiHidden/>
    <w:unhideWhenUsed/>
    <w:qFormat/>
    <w:rsid w:val="003517F3"/>
    <w:pPr>
      <w:keepNext/>
      <w:numPr>
        <w:ilvl w:val="2"/>
        <w:numId w:val="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3"/>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1"/>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1"/>
      </w:numPr>
      <w:spacing w:before="60" w:after="0"/>
      <w:ind w:left="567" w:hanging="567"/>
      <w:contextualSpacing w:val="0"/>
    </w:pPr>
    <w:rPr>
      <w:rFonts w:cs="Arial"/>
    </w:rPr>
  </w:style>
  <w:style w:type="character" w:customStyle="1" w:styleId="ListParagraphChar">
    <w:name w:val="List Paragraph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2"/>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6"/>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 w:type="character" w:styleId="Emphasis">
    <w:name w:val="Emphasis"/>
    <w:basedOn w:val="DefaultParagraphFont"/>
    <w:uiPriority w:val="20"/>
    <w:qFormat/>
    <w:rsid w:val="003729BE"/>
    <w:rPr>
      <w:i/>
      <w:iCs/>
    </w:rPr>
  </w:style>
  <w:style w:type="character" w:customStyle="1" w:styleId="Heading2Char">
    <w:name w:val="Heading 2 Char"/>
    <w:basedOn w:val="DefaultParagraphFont"/>
    <w:link w:val="Heading2"/>
    <w:uiPriority w:val="9"/>
    <w:semiHidden/>
    <w:rsid w:val="00A4003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364943243">
      <w:bodyDiv w:val="1"/>
      <w:marLeft w:val="0"/>
      <w:marRight w:val="0"/>
      <w:marTop w:val="0"/>
      <w:marBottom w:val="0"/>
      <w:divBdr>
        <w:top w:val="none" w:sz="0" w:space="0" w:color="auto"/>
        <w:left w:val="none" w:sz="0" w:space="0" w:color="auto"/>
        <w:bottom w:val="none" w:sz="0" w:space="0" w:color="auto"/>
        <w:right w:val="none" w:sz="0" w:space="0" w:color="auto"/>
      </w:divBdr>
      <w:divsChild>
        <w:div w:id="18739603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_rels/header4.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1549</Words>
  <Characters>8404</Characters>
  <Application>Microsoft Office Word</Application>
  <DocSecurity>0</DocSecurity>
  <Lines>250</Lines>
  <Paragraphs>129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PCODCS</cp:lastModifiedBy>
  <cp:revision>4</cp:revision>
  <cp:lastPrinted>2019-11-21T21:21:00Z</cp:lastPrinted>
  <dcterms:created xsi:type="dcterms:W3CDTF">2023-02-20T04:25:00Z</dcterms:created>
  <dcterms:modified xsi:type="dcterms:W3CDTF">2023-02-20T04:25:00Z</dcterms:modified>
</cp:coreProperties>
</file>