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B223" w14:textId="77777777" w:rsidR="00F04ECF" w:rsidRPr="00F04ECF" w:rsidRDefault="00F04ECF" w:rsidP="00F04ECF">
      <w:pPr>
        <w:spacing w:before="120" w:after="0" w:line="240" w:lineRule="auto"/>
        <w:rPr>
          <w:rFonts w:ascii="Arial" w:eastAsia="Times New Roman" w:hAnsi="Arial" w:cs="Arial"/>
          <w:sz w:val="24"/>
          <w:szCs w:val="20"/>
        </w:rPr>
      </w:pPr>
      <w:bookmarkStart w:id="0" w:name="_Toc44738651"/>
      <w:r w:rsidRPr="00F04ECF">
        <w:rPr>
          <w:rFonts w:ascii="Arial" w:eastAsia="Times New Roman" w:hAnsi="Arial" w:cs="Arial"/>
          <w:sz w:val="24"/>
          <w:szCs w:val="20"/>
        </w:rPr>
        <w:t>Australian Capital Territory</w:t>
      </w:r>
    </w:p>
    <w:p w14:paraId="4319DE6D" w14:textId="77777777" w:rsidR="00F04ECF" w:rsidRPr="00F04ECF" w:rsidRDefault="00F04ECF" w:rsidP="00F04ECF">
      <w:pPr>
        <w:tabs>
          <w:tab w:val="left" w:pos="2400"/>
          <w:tab w:val="left" w:pos="2880"/>
        </w:tabs>
        <w:spacing w:before="700" w:after="100" w:line="240" w:lineRule="auto"/>
        <w:rPr>
          <w:rFonts w:ascii="Arial" w:eastAsia="Times New Roman" w:hAnsi="Arial" w:cs="Times New Roman"/>
          <w:b/>
          <w:color w:val="000000" w:themeColor="text1"/>
          <w:sz w:val="40"/>
          <w:szCs w:val="20"/>
        </w:rPr>
      </w:pPr>
      <w:r w:rsidRPr="00F04ECF">
        <w:rPr>
          <w:rFonts w:ascii="Arial" w:eastAsia="Times New Roman" w:hAnsi="Arial" w:cs="Times New Roman"/>
          <w:b/>
          <w:color w:val="000000" w:themeColor="text1"/>
          <w:sz w:val="40"/>
          <w:szCs w:val="20"/>
        </w:rPr>
        <w:t>Corrections Management (Transitional Release Leave (ex Community-based Employment)) Operating Procedure 2023</w:t>
      </w:r>
    </w:p>
    <w:p w14:paraId="5276E326" w14:textId="77777777" w:rsidR="00F04ECF" w:rsidRPr="00F04ECF" w:rsidRDefault="00F04ECF" w:rsidP="00F04ECF">
      <w:pPr>
        <w:spacing w:before="340" w:after="0" w:line="240" w:lineRule="auto"/>
        <w:rPr>
          <w:rFonts w:ascii="Arial" w:eastAsia="Times New Roman" w:hAnsi="Arial" w:cs="Arial"/>
          <w:b/>
          <w:bCs/>
          <w:color w:val="000000" w:themeColor="text1"/>
          <w:sz w:val="24"/>
          <w:szCs w:val="20"/>
        </w:rPr>
      </w:pPr>
      <w:r w:rsidRPr="00F04ECF">
        <w:rPr>
          <w:rFonts w:ascii="Arial" w:eastAsia="Times New Roman" w:hAnsi="Arial" w:cs="Arial"/>
          <w:b/>
          <w:bCs/>
          <w:color w:val="000000" w:themeColor="text1"/>
          <w:sz w:val="24"/>
          <w:szCs w:val="20"/>
        </w:rPr>
        <w:t>Notifiable instrument NI2023–92</w:t>
      </w:r>
    </w:p>
    <w:p w14:paraId="35F503B2" w14:textId="77777777" w:rsidR="00F04ECF" w:rsidRPr="00F04ECF" w:rsidRDefault="00F04ECF" w:rsidP="00F04ECF">
      <w:pPr>
        <w:spacing w:before="300" w:after="0" w:line="240" w:lineRule="auto"/>
        <w:jc w:val="both"/>
        <w:rPr>
          <w:rFonts w:ascii="Times New Roman" w:eastAsia="Times New Roman" w:hAnsi="Times New Roman" w:cs="Times New Roman"/>
          <w:sz w:val="24"/>
          <w:szCs w:val="20"/>
        </w:rPr>
      </w:pPr>
      <w:r w:rsidRPr="00F04ECF">
        <w:rPr>
          <w:rFonts w:ascii="Times New Roman" w:eastAsia="Times New Roman" w:hAnsi="Times New Roman" w:cs="Times New Roman"/>
          <w:sz w:val="24"/>
          <w:szCs w:val="20"/>
        </w:rPr>
        <w:t xml:space="preserve">made under the  </w:t>
      </w:r>
    </w:p>
    <w:p w14:paraId="139B83CE" w14:textId="77777777" w:rsidR="00F04ECF" w:rsidRPr="00F04ECF" w:rsidRDefault="00F04ECF" w:rsidP="00F04ECF">
      <w:pPr>
        <w:tabs>
          <w:tab w:val="left" w:pos="2600"/>
        </w:tabs>
        <w:spacing w:before="320" w:after="0" w:line="240" w:lineRule="auto"/>
        <w:rPr>
          <w:rFonts w:ascii="Arial" w:eastAsia="Times New Roman" w:hAnsi="Arial" w:cs="Arial"/>
          <w:b/>
          <w:sz w:val="20"/>
          <w:szCs w:val="20"/>
        </w:rPr>
      </w:pPr>
      <w:r w:rsidRPr="00F04ECF">
        <w:rPr>
          <w:rFonts w:ascii="Arial" w:eastAsia="Times New Roman" w:hAnsi="Arial" w:cs="Arial"/>
          <w:b/>
          <w:sz w:val="20"/>
          <w:szCs w:val="20"/>
        </w:rPr>
        <w:t xml:space="preserve">Corrections Management Act 2007, s14 (Corrections policies and operating procedures) </w:t>
      </w:r>
    </w:p>
    <w:p w14:paraId="501C3BE5" w14:textId="77777777" w:rsidR="00F04ECF" w:rsidRPr="00F04ECF" w:rsidRDefault="00F04ECF" w:rsidP="00F04ECF">
      <w:pPr>
        <w:spacing w:before="60" w:after="0" w:line="240" w:lineRule="auto"/>
        <w:jc w:val="both"/>
        <w:rPr>
          <w:rFonts w:ascii="Times New Roman" w:eastAsia="Times New Roman" w:hAnsi="Times New Roman" w:cs="Times New Roman"/>
          <w:sz w:val="24"/>
          <w:szCs w:val="20"/>
        </w:rPr>
      </w:pPr>
    </w:p>
    <w:p w14:paraId="663293A9" w14:textId="77777777" w:rsidR="00F04ECF" w:rsidRPr="00F04ECF" w:rsidRDefault="00F04ECF" w:rsidP="00F04ECF">
      <w:pPr>
        <w:pBdr>
          <w:top w:val="single" w:sz="12" w:space="1" w:color="auto"/>
        </w:pBdr>
        <w:spacing w:after="0" w:line="240" w:lineRule="auto"/>
        <w:jc w:val="both"/>
        <w:rPr>
          <w:rFonts w:ascii="Times New Roman" w:eastAsia="Times New Roman" w:hAnsi="Times New Roman" w:cs="Times New Roman"/>
          <w:sz w:val="24"/>
          <w:szCs w:val="20"/>
        </w:rPr>
      </w:pPr>
    </w:p>
    <w:p w14:paraId="3D57A192" w14:textId="77777777" w:rsidR="00F04ECF" w:rsidRPr="00F04ECF" w:rsidRDefault="00F04ECF" w:rsidP="00F04ECF">
      <w:pPr>
        <w:spacing w:before="60" w:after="60" w:line="240" w:lineRule="auto"/>
        <w:ind w:left="720" w:hanging="720"/>
        <w:rPr>
          <w:rFonts w:ascii="Arial" w:eastAsia="Times New Roman" w:hAnsi="Arial" w:cs="Arial"/>
          <w:b/>
          <w:bCs/>
          <w:sz w:val="24"/>
          <w:szCs w:val="20"/>
        </w:rPr>
      </w:pPr>
      <w:r w:rsidRPr="00F04ECF">
        <w:rPr>
          <w:rFonts w:ascii="Arial" w:eastAsia="Times New Roman" w:hAnsi="Arial" w:cs="Arial"/>
          <w:b/>
          <w:bCs/>
          <w:sz w:val="24"/>
          <w:szCs w:val="20"/>
        </w:rPr>
        <w:t>1</w:t>
      </w:r>
      <w:r w:rsidRPr="00F04ECF">
        <w:rPr>
          <w:rFonts w:ascii="Arial" w:eastAsia="Times New Roman" w:hAnsi="Arial" w:cs="Arial"/>
          <w:b/>
          <w:bCs/>
          <w:sz w:val="24"/>
          <w:szCs w:val="20"/>
        </w:rPr>
        <w:tab/>
        <w:t>Name of instrument</w:t>
      </w:r>
    </w:p>
    <w:p w14:paraId="65DE3C72" w14:textId="124EA4C6" w:rsidR="00F04ECF" w:rsidRPr="00F04ECF" w:rsidRDefault="00F04ECF" w:rsidP="00F04ECF">
      <w:pPr>
        <w:spacing w:before="140" w:after="0" w:line="240" w:lineRule="auto"/>
        <w:ind w:left="720"/>
        <w:rPr>
          <w:rFonts w:ascii="Times New Roman" w:eastAsia="Times New Roman" w:hAnsi="Times New Roman" w:cs="Times New Roman"/>
          <w:i/>
          <w:iCs/>
          <w:sz w:val="24"/>
          <w:szCs w:val="20"/>
        </w:rPr>
      </w:pPr>
      <w:r w:rsidRPr="00F04ECF">
        <w:rPr>
          <w:rFonts w:ascii="Times New Roman" w:eastAsia="Times New Roman" w:hAnsi="Times New Roman" w:cs="Times New Roman"/>
          <w:sz w:val="24"/>
          <w:szCs w:val="20"/>
        </w:rPr>
        <w:t xml:space="preserve">This instrument is the </w:t>
      </w:r>
      <w:r w:rsidRPr="00F04ECF">
        <w:rPr>
          <w:rFonts w:ascii="Times New Roman" w:eastAsia="Times New Roman" w:hAnsi="Times New Roman" w:cs="Times New Roman"/>
          <w:i/>
          <w:iCs/>
          <w:sz w:val="24"/>
          <w:szCs w:val="20"/>
        </w:rPr>
        <w:t>Corrections Management (Transitional Release Leave (ex Community-based Employment</w:t>
      </w:r>
      <w:r w:rsidR="00CB3FE8">
        <w:rPr>
          <w:rFonts w:ascii="Times New Roman" w:eastAsia="Times New Roman" w:hAnsi="Times New Roman" w:cs="Times New Roman"/>
          <w:i/>
          <w:iCs/>
          <w:sz w:val="24"/>
          <w:szCs w:val="20"/>
        </w:rPr>
        <w:t>)</w:t>
      </w:r>
      <w:r w:rsidRPr="00F04ECF">
        <w:rPr>
          <w:rFonts w:ascii="Times New Roman" w:eastAsia="Times New Roman" w:hAnsi="Times New Roman" w:cs="Times New Roman"/>
          <w:i/>
          <w:iCs/>
          <w:sz w:val="24"/>
          <w:szCs w:val="20"/>
        </w:rPr>
        <w:t>) Operating Procedure 2023</w:t>
      </w:r>
      <w:r w:rsidR="00CB3FE8">
        <w:rPr>
          <w:rFonts w:ascii="Times New Roman" w:eastAsia="Times New Roman" w:hAnsi="Times New Roman" w:cs="Times New Roman"/>
          <w:i/>
          <w:iCs/>
          <w:sz w:val="24"/>
          <w:szCs w:val="20"/>
        </w:rPr>
        <w:t>*</w:t>
      </w:r>
      <w:r w:rsidRPr="00F04ECF">
        <w:rPr>
          <w:rFonts w:ascii="Times New Roman" w:eastAsia="Times New Roman" w:hAnsi="Times New Roman" w:cs="Times New Roman"/>
          <w:i/>
          <w:iCs/>
          <w:sz w:val="24"/>
          <w:szCs w:val="20"/>
        </w:rPr>
        <w:t>.</w:t>
      </w:r>
    </w:p>
    <w:p w14:paraId="19C1DC86" w14:textId="77777777" w:rsidR="00F04ECF" w:rsidRPr="00F04ECF" w:rsidRDefault="00F04ECF" w:rsidP="00F04ECF">
      <w:pPr>
        <w:spacing w:before="300" w:after="0" w:line="240" w:lineRule="auto"/>
        <w:ind w:left="720" w:hanging="720"/>
        <w:rPr>
          <w:rFonts w:ascii="Arial" w:eastAsia="Times New Roman" w:hAnsi="Arial" w:cs="Arial"/>
          <w:b/>
          <w:bCs/>
          <w:sz w:val="24"/>
          <w:szCs w:val="20"/>
        </w:rPr>
      </w:pPr>
      <w:r w:rsidRPr="00F04ECF">
        <w:rPr>
          <w:rFonts w:ascii="Arial" w:eastAsia="Times New Roman" w:hAnsi="Arial" w:cs="Arial"/>
          <w:b/>
          <w:bCs/>
          <w:sz w:val="24"/>
          <w:szCs w:val="20"/>
        </w:rPr>
        <w:t>2</w:t>
      </w:r>
      <w:r w:rsidRPr="00F04ECF">
        <w:rPr>
          <w:rFonts w:ascii="Arial" w:eastAsia="Times New Roman" w:hAnsi="Arial" w:cs="Arial"/>
          <w:b/>
          <w:bCs/>
          <w:sz w:val="24"/>
          <w:szCs w:val="20"/>
        </w:rPr>
        <w:tab/>
        <w:t xml:space="preserve">Commencement </w:t>
      </w:r>
    </w:p>
    <w:p w14:paraId="3D35C4DD" w14:textId="77777777" w:rsidR="00F04ECF" w:rsidRPr="00F04ECF" w:rsidRDefault="00F04ECF" w:rsidP="00F04ECF">
      <w:pPr>
        <w:spacing w:before="140" w:after="0" w:line="240" w:lineRule="auto"/>
        <w:ind w:left="720"/>
        <w:rPr>
          <w:rFonts w:ascii="Times New Roman" w:eastAsia="Times New Roman" w:hAnsi="Times New Roman" w:cs="Times New Roman"/>
          <w:sz w:val="24"/>
          <w:szCs w:val="20"/>
        </w:rPr>
      </w:pPr>
      <w:r w:rsidRPr="00F04ECF">
        <w:rPr>
          <w:rFonts w:ascii="Times New Roman" w:eastAsia="Times New Roman" w:hAnsi="Times New Roman" w:cs="Times New Roman"/>
          <w:sz w:val="24"/>
          <w:szCs w:val="20"/>
        </w:rPr>
        <w:t xml:space="preserve">This instrument commences on the day after its notification day. </w:t>
      </w:r>
    </w:p>
    <w:p w14:paraId="52CE375D" w14:textId="77777777" w:rsidR="00F04ECF" w:rsidRPr="00F04ECF" w:rsidRDefault="00F04ECF" w:rsidP="00F04ECF">
      <w:pPr>
        <w:spacing w:before="300" w:after="0" w:line="240" w:lineRule="auto"/>
        <w:ind w:left="720" w:hanging="720"/>
        <w:rPr>
          <w:rFonts w:ascii="Arial" w:eastAsia="Times New Roman" w:hAnsi="Arial" w:cs="Arial"/>
          <w:b/>
          <w:bCs/>
          <w:sz w:val="24"/>
          <w:szCs w:val="20"/>
        </w:rPr>
      </w:pPr>
      <w:r w:rsidRPr="00F04ECF">
        <w:rPr>
          <w:rFonts w:ascii="Arial" w:eastAsia="Times New Roman" w:hAnsi="Arial" w:cs="Arial"/>
          <w:b/>
          <w:bCs/>
          <w:sz w:val="24"/>
          <w:szCs w:val="20"/>
        </w:rPr>
        <w:t>3</w:t>
      </w:r>
      <w:r w:rsidRPr="00F04ECF">
        <w:rPr>
          <w:rFonts w:ascii="Arial" w:eastAsia="Times New Roman" w:hAnsi="Arial" w:cs="Arial"/>
          <w:b/>
          <w:bCs/>
          <w:sz w:val="24"/>
          <w:szCs w:val="20"/>
        </w:rPr>
        <w:tab/>
        <w:t xml:space="preserve">Operating Procedure </w:t>
      </w:r>
    </w:p>
    <w:p w14:paraId="4C2EC5E6" w14:textId="77777777" w:rsidR="00F04ECF" w:rsidRPr="00F04ECF" w:rsidRDefault="00F04ECF" w:rsidP="00F04ECF">
      <w:pPr>
        <w:spacing w:before="140" w:after="0" w:line="240" w:lineRule="auto"/>
        <w:ind w:left="720"/>
        <w:rPr>
          <w:rFonts w:ascii="Arial" w:eastAsia="Times New Roman" w:hAnsi="Arial" w:cs="Arial"/>
          <w:b/>
          <w:bCs/>
          <w:sz w:val="24"/>
          <w:szCs w:val="20"/>
        </w:rPr>
      </w:pPr>
      <w:r w:rsidRPr="00F04ECF">
        <w:rPr>
          <w:rFonts w:ascii="Times New Roman" w:eastAsia="Times New Roman" w:hAnsi="Times New Roman" w:cs="Times New Roman"/>
          <w:sz w:val="24"/>
          <w:szCs w:val="20"/>
        </w:rPr>
        <w:t>I make this operating procedure to facilitate the effective and efficient management of corrections services.</w:t>
      </w:r>
      <w:r w:rsidRPr="00F04ECF">
        <w:rPr>
          <w:rFonts w:ascii="Arial" w:eastAsia="Times New Roman" w:hAnsi="Arial" w:cs="Arial"/>
          <w:b/>
          <w:bCs/>
          <w:sz w:val="24"/>
          <w:szCs w:val="20"/>
        </w:rPr>
        <w:t xml:space="preserve"> </w:t>
      </w:r>
    </w:p>
    <w:p w14:paraId="396ADD99" w14:textId="77777777" w:rsidR="00F04ECF" w:rsidRPr="00F04ECF" w:rsidRDefault="00F04ECF" w:rsidP="00F04ECF">
      <w:pPr>
        <w:tabs>
          <w:tab w:val="left" w:pos="4320"/>
        </w:tabs>
        <w:spacing w:before="720" w:after="0" w:line="240" w:lineRule="auto"/>
        <w:rPr>
          <w:rFonts w:ascii="Times New Roman" w:eastAsia="Times New Roman" w:hAnsi="Times New Roman" w:cs="Times New Roman"/>
          <w:sz w:val="24"/>
          <w:szCs w:val="20"/>
        </w:rPr>
      </w:pPr>
    </w:p>
    <w:p w14:paraId="53C416A4" w14:textId="77777777" w:rsidR="00F04ECF" w:rsidRPr="00F04ECF" w:rsidRDefault="00F04ECF" w:rsidP="00F04ECF">
      <w:pPr>
        <w:tabs>
          <w:tab w:val="left" w:pos="4320"/>
        </w:tabs>
        <w:spacing w:before="720" w:after="0" w:line="240" w:lineRule="auto"/>
        <w:rPr>
          <w:rFonts w:ascii="Times New Roman" w:eastAsia="Times New Roman" w:hAnsi="Times New Roman" w:cs="Times New Roman"/>
          <w:sz w:val="24"/>
          <w:szCs w:val="20"/>
        </w:rPr>
      </w:pPr>
      <w:bookmarkStart w:id="1" w:name="_Hlk127540384"/>
      <w:r w:rsidRPr="00F04ECF">
        <w:rPr>
          <w:rFonts w:ascii="Times New Roman" w:eastAsia="Times New Roman" w:hAnsi="Times New Roman" w:cs="Times New Roman"/>
          <w:sz w:val="24"/>
          <w:szCs w:val="20"/>
        </w:rPr>
        <w:t xml:space="preserve">Ray Johnson </w:t>
      </w:r>
      <w:r w:rsidRPr="00F04ECF">
        <w:rPr>
          <w:rFonts w:ascii="Times New Roman" w:eastAsia="Times New Roman" w:hAnsi="Times New Roman" w:cs="Times New Roman"/>
          <w:sz w:val="24"/>
          <w:szCs w:val="20"/>
          <w:vertAlign w:val="superscript"/>
        </w:rPr>
        <w:t>APM</w:t>
      </w:r>
      <w:bookmarkEnd w:id="1"/>
      <w:r w:rsidRPr="00F04ECF">
        <w:rPr>
          <w:rFonts w:ascii="Times New Roman" w:eastAsia="Times New Roman" w:hAnsi="Times New Roman" w:cs="Times New Roman"/>
          <w:sz w:val="24"/>
          <w:szCs w:val="20"/>
        </w:rPr>
        <w:br/>
        <w:t>Commissioner</w:t>
      </w:r>
      <w:r w:rsidRPr="00F04ECF">
        <w:rPr>
          <w:rFonts w:ascii="Times New Roman" w:eastAsia="Times New Roman" w:hAnsi="Times New Roman" w:cs="Times New Roman"/>
          <w:sz w:val="24"/>
          <w:szCs w:val="20"/>
        </w:rPr>
        <w:br/>
        <w:t>ACT Corrective Services</w:t>
      </w:r>
      <w:r w:rsidRPr="00F04ECF">
        <w:rPr>
          <w:rFonts w:ascii="Times New Roman" w:eastAsia="Times New Roman" w:hAnsi="Times New Roman" w:cs="Times New Roman"/>
          <w:sz w:val="24"/>
          <w:szCs w:val="20"/>
        </w:rPr>
        <w:br/>
      </w:r>
      <w:bookmarkEnd w:id="0"/>
      <w:r w:rsidRPr="00F04ECF">
        <w:rPr>
          <w:rFonts w:ascii="Times New Roman" w:eastAsia="Times New Roman" w:hAnsi="Times New Roman" w:cs="Times New Roman"/>
          <w:color w:val="000000" w:themeColor="text1"/>
          <w:sz w:val="24"/>
          <w:szCs w:val="20"/>
        </w:rPr>
        <w:t>15 February 2023</w:t>
      </w:r>
    </w:p>
    <w:p w14:paraId="674CB3A7" w14:textId="77777777" w:rsidR="00F04ECF" w:rsidRDefault="00F04ECF" w:rsidP="004D1932">
      <w:pPr>
        <w:spacing w:before="120" w:after="120"/>
        <w:rPr>
          <w:rFonts w:cs="Arial"/>
          <w:b/>
        </w:rPr>
        <w:sectPr w:rsidR="00F04ECF" w:rsidSect="00CB3FE8">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titlePg/>
          <w:docGrid w:linePitch="360"/>
        </w:sectPr>
      </w:pPr>
    </w:p>
    <w:tbl>
      <w:tblPr>
        <w:tblStyle w:val="TableGrid"/>
        <w:tblW w:w="0" w:type="auto"/>
        <w:tblLook w:val="04A0" w:firstRow="1" w:lastRow="0" w:firstColumn="1" w:lastColumn="0" w:noHBand="0" w:noVBand="1"/>
      </w:tblPr>
      <w:tblGrid>
        <w:gridCol w:w="3024"/>
        <w:gridCol w:w="5992"/>
      </w:tblGrid>
      <w:tr w:rsidR="007B3718" w:rsidRPr="00586F66" w14:paraId="3F363F6A" w14:textId="77777777" w:rsidTr="00E4484A">
        <w:tc>
          <w:tcPr>
            <w:tcW w:w="3085" w:type="dxa"/>
            <w:shd w:val="clear" w:color="auto" w:fill="95B3D7" w:themeFill="accent1" w:themeFillTint="99"/>
          </w:tcPr>
          <w:p w14:paraId="4E8142B6" w14:textId="77777777" w:rsidR="007B3718" w:rsidRPr="00202B3A" w:rsidRDefault="00B84A5B" w:rsidP="004D1932">
            <w:pPr>
              <w:spacing w:before="120" w:after="120"/>
              <w:rPr>
                <w:rFonts w:cs="Arial"/>
                <w:b/>
              </w:rPr>
            </w:pPr>
            <w:r w:rsidRPr="00202B3A">
              <w:rPr>
                <w:rFonts w:cs="Arial"/>
                <w:b/>
              </w:rPr>
              <w:lastRenderedPageBreak/>
              <w:t xml:space="preserve">OPERATING </w:t>
            </w:r>
            <w:r w:rsidR="004D1932" w:rsidRPr="00202B3A">
              <w:rPr>
                <w:rFonts w:cs="Arial"/>
                <w:b/>
              </w:rPr>
              <w:t>PROCEDURE</w:t>
            </w:r>
          </w:p>
        </w:tc>
        <w:tc>
          <w:tcPr>
            <w:tcW w:w="6157" w:type="dxa"/>
            <w:shd w:val="clear" w:color="auto" w:fill="95B3D7" w:themeFill="accent1" w:themeFillTint="99"/>
          </w:tcPr>
          <w:p w14:paraId="4FE92B7D" w14:textId="0E3E322F" w:rsidR="007B3718" w:rsidRPr="00202B3A" w:rsidRDefault="00EF5513" w:rsidP="004740A6">
            <w:pPr>
              <w:spacing w:before="120" w:after="120"/>
              <w:rPr>
                <w:rFonts w:cs="Arial"/>
                <w:b/>
              </w:rPr>
            </w:pPr>
            <w:r>
              <w:rPr>
                <w:rFonts w:cs="Arial"/>
                <w:b/>
              </w:rPr>
              <w:t>Transitional Release Leave (</w:t>
            </w:r>
            <w:r w:rsidR="00292762">
              <w:rPr>
                <w:rFonts w:cs="Arial"/>
                <w:b/>
              </w:rPr>
              <w:t>ex</w:t>
            </w:r>
            <w:r>
              <w:rPr>
                <w:rFonts w:cs="Arial"/>
                <w:b/>
              </w:rPr>
              <w:t xml:space="preserve"> Community-based Employment)</w:t>
            </w:r>
          </w:p>
        </w:tc>
      </w:tr>
      <w:tr w:rsidR="003A3CF7" w:rsidRPr="00586F66" w14:paraId="6738EF0F" w14:textId="77777777" w:rsidTr="00586F66">
        <w:tc>
          <w:tcPr>
            <w:tcW w:w="3085" w:type="dxa"/>
          </w:tcPr>
          <w:p w14:paraId="1F2B99A8" w14:textId="77777777" w:rsidR="003A3CF7" w:rsidRPr="00586F66" w:rsidRDefault="00586F66" w:rsidP="004D1932">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66B274D5" w14:textId="6AB548FA" w:rsidR="003A3CF7" w:rsidRPr="00586F66" w:rsidRDefault="00292762" w:rsidP="00CF03FA">
            <w:pPr>
              <w:spacing w:before="120" w:after="120"/>
              <w:rPr>
                <w:rFonts w:cs="Arial"/>
                <w:b/>
              </w:rPr>
            </w:pPr>
            <w:r>
              <w:rPr>
                <w:rFonts w:cs="Arial"/>
                <w:b/>
              </w:rPr>
              <w:t>D26.12</w:t>
            </w:r>
          </w:p>
        </w:tc>
      </w:tr>
      <w:tr w:rsidR="00510017" w:rsidRPr="00586F66" w14:paraId="2AE5F983" w14:textId="77777777" w:rsidTr="008C1D7D">
        <w:tc>
          <w:tcPr>
            <w:tcW w:w="3085" w:type="dxa"/>
          </w:tcPr>
          <w:p w14:paraId="0E3810EE" w14:textId="77777777" w:rsidR="00510017" w:rsidRPr="00586F66" w:rsidRDefault="00586F66" w:rsidP="00510017">
            <w:pPr>
              <w:spacing w:before="120" w:after="120"/>
              <w:rPr>
                <w:rFonts w:cs="Arial"/>
                <w:b/>
              </w:rPr>
            </w:pPr>
            <w:r>
              <w:rPr>
                <w:rFonts w:cs="Arial"/>
                <w:b/>
              </w:rPr>
              <w:t>SCOPE</w:t>
            </w:r>
          </w:p>
        </w:tc>
        <w:tc>
          <w:tcPr>
            <w:tcW w:w="6157" w:type="dxa"/>
            <w:shd w:val="clear" w:color="auto" w:fill="auto"/>
          </w:tcPr>
          <w:p w14:paraId="17EE4551" w14:textId="00A43969" w:rsidR="00510017" w:rsidRPr="00A4017C" w:rsidRDefault="00292762" w:rsidP="00132DBB">
            <w:pPr>
              <w:spacing w:before="120" w:after="120"/>
              <w:rPr>
                <w:rFonts w:cs="Arial"/>
                <w:b/>
                <w:highlight w:val="lightGray"/>
              </w:rPr>
            </w:pPr>
            <w:r>
              <w:rPr>
                <w:rFonts w:cs="Arial"/>
                <w:b/>
                <w:highlight w:val="lightGray"/>
              </w:rPr>
              <w:t>Transitional Release</w:t>
            </w:r>
          </w:p>
        </w:tc>
      </w:tr>
    </w:tbl>
    <w:p w14:paraId="53A1DC33" w14:textId="77777777" w:rsidR="008C1D7D" w:rsidRDefault="00E62FBC" w:rsidP="006268DA">
      <w:pPr>
        <w:pStyle w:val="Heading11"/>
      </w:pPr>
      <w:r w:rsidRPr="00586F66">
        <w:t>STATEMENT OF PURPOSE</w:t>
      </w:r>
    </w:p>
    <w:p w14:paraId="0389608E" w14:textId="5E9085F7" w:rsidR="00CA5293" w:rsidRPr="00481ABA" w:rsidRDefault="00CA5293" w:rsidP="006268DA">
      <w:pPr>
        <w:pStyle w:val="Normaltext"/>
        <w:rPr>
          <w:i/>
          <w:iCs/>
          <w:u w:val="single"/>
        </w:rPr>
      </w:pPr>
      <w:r>
        <w:t>To provide instructions to</w:t>
      </w:r>
      <w:r w:rsidR="00522D99">
        <w:t xml:space="preserve"> </w:t>
      </w:r>
      <w:r w:rsidR="002D13BC">
        <w:t>Transitional Release staff regarding the processing of detainee Transitional Release Leave Applications. Note: for information regarding Leave relating to Community-based Employment, please s</w:t>
      </w:r>
      <w:r w:rsidR="00481ABA">
        <w:t xml:space="preserve">ee </w:t>
      </w:r>
      <w:r w:rsidR="00B57B50">
        <w:rPr>
          <w:i/>
          <w:iCs/>
          <w:u w:val="single"/>
        </w:rPr>
        <w:t>D26.11 T</w:t>
      </w:r>
      <w:r w:rsidR="00481ABA">
        <w:rPr>
          <w:i/>
          <w:iCs/>
          <w:u w:val="single"/>
        </w:rPr>
        <w:t>ransitional Release Leaves (Community-based Employment) Operating Procedure.</w:t>
      </w:r>
    </w:p>
    <w:p w14:paraId="4849DAC3" w14:textId="77777777" w:rsidR="00152D5E" w:rsidRPr="00586F66" w:rsidRDefault="004D1932" w:rsidP="006268DA">
      <w:pPr>
        <w:pStyle w:val="Heading11"/>
      </w:pPr>
      <w:r>
        <w:t>PROCEDURE</w:t>
      </w:r>
      <w:r w:rsidR="007B3718" w:rsidRPr="00586F66">
        <w:t>S</w:t>
      </w:r>
    </w:p>
    <w:p w14:paraId="531075DF" w14:textId="0DC942DD" w:rsidR="001230CE" w:rsidRDefault="00F47E82" w:rsidP="006268DA">
      <w:pPr>
        <w:pStyle w:val="SectionHeading"/>
      </w:pPr>
      <w:r>
        <w:t>Access to Leave</w:t>
      </w:r>
    </w:p>
    <w:p w14:paraId="7066F825" w14:textId="225893EE" w:rsidR="002B3CE1" w:rsidRDefault="00F47E82" w:rsidP="00F47E82">
      <w:pPr>
        <w:pStyle w:val="Indenttext1"/>
      </w:pPr>
      <w:r>
        <w:t>Detainees approved for Transitional Release may access leave for the following reasons:</w:t>
      </w:r>
    </w:p>
    <w:p w14:paraId="3B2FCB62" w14:textId="5FD755E3" w:rsidR="00F47E82" w:rsidRDefault="00F47E82" w:rsidP="00F47E82">
      <w:pPr>
        <w:pStyle w:val="Indenttext2"/>
      </w:pPr>
      <w:r>
        <w:t>community reintegration</w:t>
      </w:r>
    </w:p>
    <w:p w14:paraId="20309D0E" w14:textId="5C2F8ECD" w:rsidR="00F47E82" w:rsidRDefault="00F47E82" w:rsidP="00522660">
      <w:pPr>
        <w:pStyle w:val="Style1"/>
      </w:pPr>
      <w:r>
        <w:t>accessing government and community services</w:t>
      </w:r>
    </w:p>
    <w:p w14:paraId="278645C3" w14:textId="3BA9B013" w:rsidR="00F47E82" w:rsidRDefault="00F47E82" w:rsidP="00F47E82">
      <w:pPr>
        <w:pStyle w:val="Indenttext2"/>
        <w:numPr>
          <w:ilvl w:val="1"/>
          <w:numId w:val="2"/>
        </w:numPr>
      </w:pPr>
      <w:r>
        <w:t>participating in rehabilitation programs in the community</w:t>
      </w:r>
    </w:p>
    <w:p w14:paraId="77D4A68F" w14:textId="2C2D3DFE" w:rsidR="00F47E82" w:rsidRDefault="00F47E82" w:rsidP="00F47E82">
      <w:pPr>
        <w:pStyle w:val="Indenttext2"/>
        <w:numPr>
          <w:ilvl w:val="1"/>
          <w:numId w:val="2"/>
        </w:numPr>
      </w:pPr>
      <w:r>
        <w:t>familiarisation activities in the community</w:t>
      </w:r>
    </w:p>
    <w:p w14:paraId="5EAFF477" w14:textId="63C399FE" w:rsidR="00F47E82" w:rsidRDefault="00F47E82" w:rsidP="00F47E82">
      <w:pPr>
        <w:pStyle w:val="Indenttext2"/>
        <w:numPr>
          <w:ilvl w:val="1"/>
          <w:numId w:val="2"/>
        </w:numPr>
      </w:pPr>
      <w:r>
        <w:t>access to religious worship and events in the community where it is identified as supporting the detainee’s reintegration</w:t>
      </w:r>
    </w:p>
    <w:p w14:paraId="523A9B03" w14:textId="4CFA7633" w:rsidR="00F47E82" w:rsidRDefault="00F47E82" w:rsidP="00F47E82">
      <w:pPr>
        <w:pStyle w:val="Indenttext2"/>
      </w:pPr>
      <w:r>
        <w:t>family and kinship connections</w:t>
      </w:r>
    </w:p>
    <w:p w14:paraId="3B4C17ED" w14:textId="04AD666C" w:rsidR="00F47E82" w:rsidRDefault="00F47E82" w:rsidP="00F47E82">
      <w:pPr>
        <w:pStyle w:val="Indenttext2"/>
        <w:numPr>
          <w:ilvl w:val="1"/>
          <w:numId w:val="2"/>
        </w:numPr>
      </w:pPr>
      <w:r>
        <w:t xml:space="preserve">allowing detainees to spend time with family and kinship members, or those with whom the detainee will be residing with upon </w:t>
      </w:r>
      <w:r w:rsidR="00B57B50">
        <w:t xml:space="preserve">their </w:t>
      </w:r>
      <w:r>
        <w:t>return to the community</w:t>
      </w:r>
    </w:p>
    <w:p w14:paraId="7CE78415" w14:textId="188FC485" w:rsidR="00F47E82" w:rsidRDefault="00F47E82" w:rsidP="00F47E82">
      <w:pPr>
        <w:pStyle w:val="Indenttext2"/>
        <w:numPr>
          <w:ilvl w:val="1"/>
          <w:numId w:val="2"/>
        </w:numPr>
      </w:pPr>
      <w:r>
        <w:t xml:space="preserve">detainees must have an approved sponsor in accordance with the </w:t>
      </w:r>
      <w:r w:rsidR="00B57B50">
        <w:rPr>
          <w:i/>
          <w:iCs/>
          <w:u w:val="single"/>
        </w:rPr>
        <w:t>D26.9 T</w:t>
      </w:r>
      <w:r>
        <w:rPr>
          <w:i/>
          <w:iCs/>
          <w:u w:val="single"/>
        </w:rPr>
        <w:t>ransitional Release Sponsors (Family and Kinship) Operating Procedure</w:t>
      </w:r>
      <w:r>
        <w:t xml:space="preserve"> to access this type of leave (alternatively, detainees may receive visits at the TRC</w:t>
      </w:r>
      <w:r w:rsidR="00B57B50">
        <w:t xml:space="preserve"> in line with </w:t>
      </w:r>
      <w:r w:rsidR="00B57B50" w:rsidRPr="00B57B50">
        <w:rPr>
          <w:i/>
          <w:iCs/>
          <w:u w:val="single"/>
        </w:rPr>
        <w:t>D26.14 Transitional Release Centre Visits Operating Procedure.</w:t>
      </w:r>
    </w:p>
    <w:p w14:paraId="1BBF7DD5" w14:textId="3F955B2B" w:rsidR="00F47E82" w:rsidRDefault="00F47E82" w:rsidP="00F47E82">
      <w:pPr>
        <w:pStyle w:val="Indenttext2"/>
      </w:pPr>
      <w:r>
        <w:t>education and vocational study</w:t>
      </w:r>
    </w:p>
    <w:p w14:paraId="73FC3BC4" w14:textId="049C9FC1" w:rsidR="00481ABA" w:rsidRDefault="00481ABA" w:rsidP="00481ABA">
      <w:pPr>
        <w:pStyle w:val="Indenttext2"/>
        <w:numPr>
          <w:ilvl w:val="1"/>
          <w:numId w:val="2"/>
        </w:numPr>
      </w:pPr>
      <w:r>
        <w:t>participating in education and vocational study in the community</w:t>
      </w:r>
    </w:p>
    <w:p w14:paraId="07A97001" w14:textId="2BFE249B" w:rsidR="00481ABA" w:rsidRDefault="00481ABA" w:rsidP="00481ABA">
      <w:pPr>
        <w:pStyle w:val="Indenttext2"/>
        <w:numPr>
          <w:ilvl w:val="1"/>
          <w:numId w:val="2"/>
        </w:numPr>
      </w:pPr>
      <w:r>
        <w:t>tertiary or vocational education providers must approve a detainee’s attendance prior to participation to access this leave</w:t>
      </w:r>
    </w:p>
    <w:p w14:paraId="02DFCAFF" w14:textId="4FCF06E1" w:rsidR="00F47E82" w:rsidRDefault="00F47E82" w:rsidP="00F47E82">
      <w:pPr>
        <w:pStyle w:val="Indenttext2"/>
      </w:pPr>
      <w:r>
        <w:t>employment</w:t>
      </w:r>
    </w:p>
    <w:p w14:paraId="5447C4E5" w14:textId="4E12A64D" w:rsidR="00481ABA" w:rsidRDefault="00481ABA" w:rsidP="00481ABA">
      <w:pPr>
        <w:pStyle w:val="Indenttext2"/>
        <w:numPr>
          <w:ilvl w:val="1"/>
          <w:numId w:val="2"/>
        </w:numPr>
      </w:pPr>
      <w:r>
        <w:t xml:space="preserve">refer to the </w:t>
      </w:r>
      <w:r w:rsidR="00B57B50">
        <w:rPr>
          <w:i/>
          <w:iCs/>
          <w:u w:val="single"/>
        </w:rPr>
        <w:t>D26.11 T</w:t>
      </w:r>
      <w:r>
        <w:rPr>
          <w:i/>
          <w:iCs/>
          <w:u w:val="single"/>
        </w:rPr>
        <w:t>ransitional Release Leaves (Community-based Employment) Operating Procedure</w:t>
      </w:r>
    </w:p>
    <w:p w14:paraId="5158D02A" w14:textId="1E97CA18" w:rsidR="00F47E82" w:rsidRDefault="00F47E82" w:rsidP="00F47E82">
      <w:pPr>
        <w:pStyle w:val="Indenttext2"/>
      </w:pPr>
      <w:r>
        <w:t>medical/health</w:t>
      </w:r>
    </w:p>
    <w:p w14:paraId="4030CEDD" w14:textId="4264C552" w:rsidR="006C0044" w:rsidRDefault="006C0044" w:rsidP="006C0044">
      <w:pPr>
        <w:pStyle w:val="Indenttext2"/>
        <w:numPr>
          <w:ilvl w:val="1"/>
          <w:numId w:val="2"/>
        </w:numPr>
      </w:pPr>
      <w:r>
        <w:t>accessing medical/health appointments in the community</w:t>
      </w:r>
    </w:p>
    <w:p w14:paraId="2EF2BF6B" w14:textId="723E5722" w:rsidR="006C0044" w:rsidRDefault="006C0044" w:rsidP="006C0044">
      <w:pPr>
        <w:pStyle w:val="Indenttext2"/>
        <w:numPr>
          <w:ilvl w:val="1"/>
          <w:numId w:val="2"/>
        </w:numPr>
      </w:pPr>
      <w:r>
        <w:lastRenderedPageBreak/>
        <w:t>accessing dental appointments in the community</w:t>
      </w:r>
    </w:p>
    <w:p w14:paraId="5CA19CC6" w14:textId="5B81A936" w:rsidR="00522660" w:rsidRDefault="00522660" w:rsidP="00522660">
      <w:pPr>
        <w:pStyle w:val="Indenttext1"/>
      </w:pPr>
      <w:r>
        <w:t xml:space="preserve">Detainees may access leave in relation to their </w:t>
      </w:r>
      <w:r w:rsidR="00B57B50">
        <w:t>s</w:t>
      </w:r>
      <w:r>
        <w:t xml:space="preserve">tage within Transitional Release (as per the </w:t>
      </w:r>
      <w:r w:rsidR="00B57B50">
        <w:rPr>
          <w:i/>
          <w:iCs/>
          <w:u w:val="single"/>
        </w:rPr>
        <w:t>D26.5 T</w:t>
      </w:r>
      <w:r w:rsidRPr="00522660">
        <w:rPr>
          <w:i/>
          <w:iCs/>
          <w:u w:val="single"/>
        </w:rPr>
        <w:t>ransitional Release Staged Approach to Reintegration Operating Procedure</w:t>
      </w:r>
      <w:r>
        <w:t>):</w:t>
      </w:r>
    </w:p>
    <w:p w14:paraId="4C1FAF53" w14:textId="3C0C28A2" w:rsidR="00522660" w:rsidRPr="00522660" w:rsidRDefault="00522660" w:rsidP="00522660">
      <w:pPr>
        <w:pStyle w:val="Indenttext2"/>
        <w:numPr>
          <w:ilvl w:val="0"/>
          <w:numId w:val="8"/>
        </w:numPr>
        <w:rPr>
          <w:b/>
          <w:bCs/>
          <w:lang w:eastAsia="en-AU"/>
        </w:rPr>
      </w:pPr>
      <w:r w:rsidRPr="00522660">
        <w:rPr>
          <w:b/>
          <w:bCs/>
          <w:lang w:eastAsia="en-AU"/>
        </w:rPr>
        <w:t>Stage 1</w:t>
      </w:r>
    </w:p>
    <w:p w14:paraId="7695CF6D" w14:textId="77777777" w:rsidR="00522660" w:rsidRDefault="00522660" w:rsidP="00522660">
      <w:pPr>
        <w:pStyle w:val="Style1"/>
        <w:rPr>
          <w:lang w:eastAsia="en-AU"/>
        </w:rPr>
      </w:pPr>
      <w:r>
        <w:rPr>
          <w:lang w:eastAsia="en-AU"/>
        </w:rPr>
        <w:t>no family and kinship leave</w:t>
      </w:r>
    </w:p>
    <w:p w14:paraId="6C43855A" w14:textId="77777777" w:rsidR="00522660" w:rsidRDefault="00522660" w:rsidP="00522660">
      <w:pPr>
        <w:pStyle w:val="Style1"/>
        <w:rPr>
          <w:rFonts w:eastAsia="Times New Roman" w:cstheme="minorHAnsi"/>
          <w:lang w:eastAsia="en-AU"/>
        </w:rPr>
      </w:pPr>
      <w:r>
        <w:t xml:space="preserve">external leaves for identified interventions only (ACTCS staff escort only) </w:t>
      </w:r>
    </w:p>
    <w:p w14:paraId="755FB82A" w14:textId="397F9B6E" w:rsidR="00522660" w:rsidRPr="00522660" w:rsidRDefault="00522660" w:rsidP="00522660">
      <w:pPr>
        <w:pStyle w:val="Indenttext2"/>
        <w:rPr>
          <w:b/>
          <w:bCs/>
          <w:lang w:eastAsia="en-AU"/>
        </w:rPr>
      </w:pPr>
      <w:r w:rsidRPr="00522660">
        <w:rPr>
          <w:b/>
          <w:bCs/>
          <w:lang w:eastAsia="en-AU"/>
        </w:rPr>
        <w:t>Stage 2</w:t>
      </w:r>
    </w:p>
    <w:p w14:paraId="742927CE" w14:textId="77777777" w:rsidR="00522660" w:rsidRDefault="00522660" w:rsidP="00522660">
      <w:pPr>
        <w:pStyle w:val="Style1"/>
        <w:rPr>
          <w:lang w:eastAsia="en-AU"/>
        </w:rPr>
      </w:pPr>
      <w:r>
        <w:rPr>
          <w:lang w:eastAsia="en-AU"/>
        </w:rPr>
        <w:t>family and kinship leave as approved in the Transitional Release Plan but no overnight or weekend leaves</w:t>
      </w:r>
    </w:p>
    <w:p w14:paraId="69E8F01C" w14:textId="77777777" w:rsidR="00522660" w:rsidRDefault="00522660" w:rsidP="00522660">
      <w:pPr>
        <w:pStyle w:val="Style1"/>
        <w:rPr>
          <w:rFonts w:eastAsia="Times New Roman" w:cstheme="minorHAnsi"/>
          <w:lang w:eastAsia="en-AU"/>
        </w:rPr>
      </w:pPr>
      <w:r>
        <w:t>external leaves for identified interventions and rehabilitation needs only (i.e. banking, housing, religious)</w:t>
      </w:r>
    </w:p>
    <w:p w14:paraId="28506021" w14:textId="77777777" w:rsidR="00522660" w:rsidRDefault="00522660" w:rsidP="00522660">
      <w:pPr>
        <w:pStyle w:val="Style1"/>
        <w:rPr>
          <w:rFonts w:eastAsia="Times New Roman" w:cstheme="minorHAnsi"/>
          <w:lang w:eastAsia="en-AU"/>
        </w:rPr>
      </w:pPr>
      <w:r>
        <w:t>no external leaves for personal needs (i.e. shopping for clothes, haircuts)</w:t>
      </w:r>
    </w:p>
    <w:p w14:paraId="2E84926E" w14:textId="6F7A96DC" w:rsidR="00522660" w:rsidRPr="00522660" w:rsidRDefault="00522660" w:rsidP="00522660">
      <w:pPr>
        <w:pStyle w:val="Indenttext2"/>
        <w:rPr>
          <w:b/>
          <w:bCs/>
          <w:lang w:eastAsia="en-AU"/>
        </w:rPr>
      </w:pPr>
      <w:r w:rsidRPr="00522660">
        <w:rPr>
          <w:b/>
          <w:bCs/>
          <w:lang w:eastAsia="en-AU"/>
        </w:rPr>
        <w:t>Stage 3</w:t>
      </w:r>
    </w:p>
    <w:p w14:paraId="2EF24188" w14:textId="43031469" w:rsidR="00522660" w:rsidRDefault="00522660" w:rsidP="00522660">
      <w:pPr>
        <w:pStyle w:val="Style1"/>
        <w:rPr>
          <w:lang w:eastAsia="en-AU"/>
        </w:rPr>
      </w:pPr>
      <w:r>
        <w:rPr>
          <w:lang w:eastAsia="en-AU"/>
        </w:rPr>
        <w:t xml:space="preserve">family and kinship leave as approved in the Transitional Release Plan, including overnight </w:t>
      </w:r>
      <w:r w:rsidR="00B57B50">
        <w:rPr>
          <w:lang w:eastAsia="en-AU"/>
        </w:rPr>
        <w:t>and/</w:t>
      </w:r>
      <w:r>
        <w:rPr>
          <w:lang w:eastAsia="en-AU"/>
        </w:rPr>
        <w:t>or weekend leaves</w:t>
      </w:r>
    </w:p>
    <w:p w14:paraId="1EC8C165" w14:textId="77777777" w:rsidR="00522660" w:rsidRDefault="00522660" w:rsidP="00522660">
      <w:pPr>
        <w:pStyle w:val="Style1"/>
        <w:rPr>
          <w:rFonts w:cstheme="minorBidi"/>
        </w:rPr>
      </w:pPr>
      <w:r>
        <w:t xml:space="preserve">external leaves for identified interventions, rehabilitation needs and personal needs </w:t>
      </w:r>
    </w:p>
    <w:p w14:paraId="144522DF" w14:textId="65657CD1" w:rsidR="00522660" w:rsidRDefault="00522660" w:rsidP="00522660">
      <w:pPr>
        <w:pStyle w:val="Indenttext1"/>
        <w:rPr>
          <w:lang w:eastAsia="en-AU"/>
        </w:rPr>
      </w:pPr>
      <w:r>
        <w:rPr>
          <w:lang w:eastAsia="en-AU"/>
        </w:rPr>
        <w:t>The amount of leave in each month required to meet the detainee’s goals is determined by the </w:t>
      </w:r>
      <w:r>
        <w:rPr>
          <w:i/>
          <w:iCs/>
          <w:u w:val="single"/>
          <w:lang w:eastAsia="en-AU"/>
        </w:rPr>
        <w:t>D26.F3: Transitional Release Case Plan</w:t>
      </w:r>
      <w:r>
        <w:rPr>
          <w:lang w:eastAsia="en-AU"/>
        </w:rPr>
        <w:t>.</w:t>
      </w:r>
    </w:p>
    <w:p w14:paraId="3B5773FE" w14:textId="77777777" w:rsidR="00522660" w:rsidRDefault="00522660" w:rsidP="00522660">
      <w:pPr>
        <w:pStyle w:val="Indenttext1"/>
        <w:rPr>
          <w:lang w:eastAsia="en-AU"/>
        </w:rPr>
      </w:pPr>
      <w:r>
        <w:rPr>
          <w:lang w:eastAsia="en-AU"/>
        </w:rPr>
        <w:t xml:space="preserve">Where a detainee’s </w:t>
      </w:r>
      <w:r>
        <w:rPr>
          <w:i/>
          <w:iCs/>
          <w:u w:val="single"/>
          <w:lang w:eastAsia="en-AU"/>
        </w:rPr>
        <w:t>D26.F3: Transitional Release Case Plan</w:t>
      </w:r>
      <w:r>
        <w:rPr>
          <w:lang w:eastAsia="en-AU"/>
        </w:rPr>
        <w:t xml:space="preserve"> includes interstate leave, the Assistant Commissioner Custodial Operations must provide a recommendation to the Commissioner regarding the application.</w:t>
      </w:r>
    </w:p>
    <w:p w14:paraId="4B873E00" w14:textId="0EADE578" w:rsidR="00522660" w:rsidRDefault="00522660" w:rsidP="00A849F5">
      <w:pPr>
        <w:pStyle w:val="Indenttext1"/>
        <w:rPr>
          <w:lang w:eastAsia="en-AU"/>
        </w:rPr>
      </w:pPr>
      <w:r>
        <w:rPr>
          <w:lang w:eastAsia="en-AU"/>
        </w:rPr>
        <w:t xml:space="preserve">The Commissioner must consider the relevant risk factors and identified mitigation strategies before approving or refusing the leave. </w:t>
      </w:r>
    </w:p>
    <w:p w14:paraId="4048E83D" w14:textId="77777777" w:rsidR="00A849F5" w:rsidRDefault="00A849F5" w:rsidP="00A849F5">
      <w:pPr>
        <w:pStyle w:val="Indenttext1"/>
        <w:numPr>
          <w:ilvl w:val="0"/>
          <w:numId w:val="0"/>
        </w:numPr>
        <w:ind w:left="567"/>
        <w:rPr>
          <w:lang w:eastAsia="en-AU"/>
        </w:rPr>
      </w:pPr>
    </w:p>
    <w:p w14:paraId="12A6FCDC" w14:textId="77777777" w:rsidR="00A849F5" w:rsidRDefault="00A849F5" w:rsidP="00A849F5">
      <w:pPr>
        <w:pStyle w:val="SectionHeading"/>
        <w:rPr>
          <w:sz w:val="20"/>
          <w:szCs w:val="20"/>
          <w:lang w:eastAsia="en-AU"/>
        </w:rPr>
      </w:pPr>
      <w:r>
        <w:rPr>
          <w:lang w:eastAsia="en-AU"/>
        </w:rPr>
        <w:t>2.     Leave application process</w:t>
      </w:r>
    </w:p>
    <w:p w14:paraId="2B3F4410" w14:textId="7DBF9D5E" w:rsidR="00A849F5" w:rsidRDefault="00A849F5" w:rsidP="00A849F5">
      <w:pPr>
        <w:pStyle w:val="Indenttext1"/>
        <w:rPr>
          <w:sz w:val="20"/>
          <w:szCs w:val="20"/>
          <w:lang w:eastAsia="en-AU"/>
        </w:rPr>
      </w:pPr>
      <w:r>
        <w:rPr>
          <w:lang w:eastAsia="en-AU"/>
        </w:rPr>
        <w:t xml:space="preserve">Following the approval of their </w:t>
      </w:r>
      <w:r>
        <w:rPr>
          <w:i/>
          <w:iCs/>
          <w:u w:val="single"/>
          <w:lang w:eastAsia="en-AU"/>
        </w:rPr>
        <w:t>D26.F3: Transitional Release Case Plan</w:t>
      </w:r>
      <w:r>
        <w:rPr>
          <w:lang w:eastAsia="en-AU"/>
        </w:rPr>
        <w:t>, a detainee may complete a </w:t>
      </w:r>
      <w:r>
        <w:rPr>
          <w:i/>
          <w:iCs/>
          <w:u w:val="single"/>
          <w:lang w:eastAsia="en-AU"/>
        </w:rPr>
        <w:t>D26.F5: Transitional Release Leave Application &amp; Permit</w:t>
      </w:r>
      <w:r>
        <w:rPr>
          <w:lang w:eastAsia="en-AU"/>
        </w:rPr>
        <w:t> to identify their reason for leave.</w:t>
      </w:r>
    </w:p>
    <w:p w14:paraId="3522DFDF" w14:textId="7F970BBB" w:rsidR="00A849F5" w:rsidRDefault="00A849F5" w:rsidP="00A849F5">
      <w:pPr>
        <w:pStyle w:val="Indenttext1"/>
        <w:rPr>
          <w:lang w:eastAsia="en-AU"/>
        </w:rPr>
      </w:pPr>
      <w:r>
        <w:rPr>
          <w:lang w:eastAsia="en-AU"/>
        </w:rPr>
        <w:t xml:space="preserve">All Applications must be submitted to the Transitional Release Centre Operations Support Officer (TRCOSO) by the detainee a minimum of seven (7) business days prior to the date of </w:t>
      </w:r>
      <w:r w:rsidR="00B57B50">
        <w:rPr>
          <w:lang w:eastAsia="en-AU"/>
        </w:rPr>
        <w:t xml:space="preserve">the </w:t>
      </w:r>
      <w:r>
        <w:rPr>
          <w:lang w:eastAsia="en-AU"/>
        </w:rPr>
        <w:t xml:space="preserve">proposed leave. </w:t>
      </w:r>
    </w:p>
    <w:p w14:paraId="15F3417C" w14:textId="7C513133" w:rsidR="00A849F5" w:rsidRDefault="00A849F5" w:rsidP="00A849F5">
      <w:pPr>
        <w:pStyle w:val="Indenttext1"/>
        <w:rPr>
          <w:lang w:eastAsia="en-AU"/>
        </w:rPr>
      </w:pPr>
      <w:r>
        <w:rPr>
          <w:lang w:eastAsia="en-AU"/>
        </w:rPr>
        <w:t xml:space="preserve">The TRCOSO must ensure the </w:t>
      </w:r>
      <w:bookmarkStart w:id="2" w:name="_Hlk115163452"/>
      <w:r>
        <w:rPr>
          <w:i/>
          <w:iCs/>
          <w:u w:val="single"/>
          <w:lang w:eastAsia="en-AU"/>
        </w:rPr>
        <w:t>D26.F5: Transitional Release Leave Application &amp; Permit</w:t>
      </w:r>
      <w:r>
        <w:rPr>
          <w:lang w:eastAsia="en-AU"/>
        </w:rPr>
        <w:t xml:space="preserve"> </w:t>
      </w:r>
      <w:bookmarkEnd w:id="2"/>
      <w:r>
        <w:rPr>
          <w:lang w:eastAsia="en-AU"/>
        </w:rPr>
        <w:t xml:space="preserve">relates to the goals for reintegration identified in the detainee’s </w:t>
      </w:r>
      <w:r>
        <w:rPr>
          <w:i/>
          <w:iCs/>
          <w:u w:val="single"/>
          <w:lang w:eastAsia="en-AU"/>
        </w:rPr>
        <w:t>D26.F3: Transitional Release Case Plan</w:t>
      </w:r>
      <w:r>
        <w:rPr>
          <w:lang w:eastAsia="en-AU"/>
        </w:rPr>
        <w:t>.</w:t>
      </w:r>
    </w:p>
    <w:p w14:paraId="3023F2DC" w14:textId="494493A6" w:rsidR="00A849F5" w:rsidRDefault="00E43B5A" w:rsidP="00A849F5">
      <w:pPr>
        <w:pStyle w:val="Indenttext1"/>
        <w:rPr>
          <w:sz w:val="20"/>
          <w:szCs w:val="20"/>
          <w:lang w:eastAsia="en-AU"/>
        </w:rPr>
      </w:pPr>
      <w:r>
        <w:rPr>
          <w:lang w:eastAsia="en-AU"/>
        </w:rPr>
        <w:t>For detainees who have not accessed a</w:t>
      </w:r>
      <w:r w:rsidR="0085196C">
        <w:rPr>
          <w:lang w:eastAsia="en-AU"/>
        </w:rPr>
        <w:t xml:space="preserve"> related</w:t>
      </w:r>
      <w:r>
        <w:rPr>
          <w:lang w:eastAsia="en-AU"/>
        </w:rPr>
        <w:t xml:space="preserve"> leave previously (or where Transitional Release staff have concerns), t</w:t>
      </w:r>
      <w:r w:rsidR="00A849F5">
        <w:rPr>
          <w:lang w:eastAsia="en-AU"/>
        </w:rPr>
        <w:t>he TRCOSO must then request information regarding the suitability of the leave occurring from the following parties:</w:t>
      </w:r>
    </w:p>
    <w:p w14:paraId="6E28C054" w14:textId="77777777" w:rsidR="00A849F5" w:rsidRPr="00A849F5" w:rsidRDefault="00A849F5" w:rsidP="00A849F5">
      <w:pPr>
        <w:pStyle w:val="Indenttext2"/>
        <w:numPr>
          <w:ilvl w:val="0"/>
          <w:numId w:val="15"/>
        </w:numPr>
        <w:rPr>
          <w:sz w:val="20"/>
          <w:szCs w:val="20"/>
          <w:lang w:eastAsia="en-AU"/>
        </w:rPr>
      </w:pPr>
      <w:r>
        <w:rPr>
          <w:lang w:eastAsia="en-AU"/>
        </w:rPr>
        <w:t>ACTCS Intelligence Unit</w:t>
      </w:r>
    </w:p>
    <w:p w14:paraId="2C6751A0" w14:textId="77777777" w:rsidR="00A849F5" w:rsidRDefault="00A849F5" w:rsidP="00A849F5">
      <w:pPr>
        <w:pStyle w:val="Indenttext2"/>
        <w:rPr>
          <w:sz w:val="20"/>
          <w:szCs w:val="20"/>
          <w:lang w:eastAsia="en-AU"/>
        </w:rPr>
      </w:pPr>
      <w:r>
        <w:rPr>
          <w:lang w:eastAsia="en-AU"/>
        </w:rPr>
        <w:t>Victim Liaison Office (VLO)</w:t>
      </w:r>
    </w:p>
    <w:p w14:paraId="12B32B63" w14:textId="77777777" w:rsidR="00A849F5" w:rsidRDefault="00A849F5" w:rsidP="00A849F5">
      <w:pPr>
        <w:pStyle w:val="Indenttext2"/>
        <w:rPr>
          <w:sz w:val="20"/>
          <w:szCs w:val="20"/>
          <w:lang w:eastAsia="en-AU"/>
        </w:rPr>
      </w:pPr>
      <w:r>
        <w:rPr>
          <w:lang w:eastAsia="en-AU"/>
        </w:rPr>
        <w:lastRenderedPageBreak/>
        <w:t>the detainee’s allocated Case Manager</w:t>
      </w:r>
    </w:p>
    <w:p w14:paraId="7E943AA5" w14:textId="3569F241" w:rsidR="00A849F5" w:rsidRDefault="00A849F5" w:rsidP="00A849F5">
      <w:pPr>
        <w:pStyle w:val="Indenttext2"/>
        <w:rPr>
          <w:sz w:val="20"/>
          <w:szCs w:val="20"/>
          <w:lang w:eastAsia="en-AU"/>
        </w:rPr>
      </w:pPr>
      <w:r>
        <w:rPr>
          <w:lang w:eastAsia="en-AU"/>
        </w:rPr>
        <w:t xml:space="preserve">ACT Child and Youth Protection Service </w:t>
      </w:r>
      <w:r w:rsidR="00B57B50">
        <w:rPr>
          <w:lang w:eastAsia="en-AU"/>
        </w:rPr>
        <w:t>(</w:t>
      </w:r>
      <w:r>
        <w:rPr>
          <w:lang w:eastAsia="en-AU"/>
        </w:rPr>
        <w:t>ACT CYPS</w:t>
      </w:r>
      <w:r w:rsidR="00B57B50">
        <w:rPr>
          <w:lang w:eastAsia="en-AU"/>
        </w:rPr>
        <w:t>)</w:t>
      </w:r>
      <w:r>
        <w:rPr>
          <w:lang w:eastAsia="en-AU"/>
        </w:rPr>
        <w:t xml:space="preserve"> </w:t>
      </w:r>
      <w:r w:rsidR="00B57B50">
        <w:rPr>
          <w:lang w:eastAsia="en-AU"/>
        </w:rPr>
        <w:t>(</w:t>
      </w:r>
      <w:r>
        <w:rPr>
          <w:lang w:eastAsia="en-AU"/>
        </w:rPr>
        <w:t>or equivalent interstate child protection authority) where a detainee intends spending leave in the company of any child under the care of ACT CYPS (or equivalent interstate child protection authority).</w:t>
      </w:r>
    </w:p>
    <w:p w14:paraId="1645CF8C" w14:textId="36EF55A6" w:rsidR="00E43B5A" w:rsidRPr="00E43B5A" w:rsidRDefault="00E43B5A" w:rsidP="00A849F5">
      <w:pPr>
        <w:pStyle w:val="Indenttext1"/>
        <w:rPr>
          <w:sz w:val="20"/>
          <w:szCs w:val="20"/>
          <w:lang w:eastAsia="en-AU"/>
        </w:rPr>
      </w:pPr>
      <w:r>
        <w:rPr>
          <w:sz w:val="20"/>
          <w:szCs w:val="20"/>
          <w:lang w:eastAsia="en-AU"/>
        </w:rPr>
        <w:t xml:space="preserve">The </w:t>
      </w:r>
      <w:r w:rsidRPr="00E43B5A">
        <w:rPr>
          <w:lang w:eastAsia="en-AU"/>
        </w:rPr>
        <w:t xml:space="preserve">sharing of information between Transitional Release and the ACTCS Intelligence Unit has been built into the </w:t>
      </w:r>
      <w:r w:rsidRPr="00E43B5A">
        <w:rPr>
          <w:i/>
          <w:iCs/>
          <w:u w:val="single"/>
          <w:lang w:eastAsia="en-AU"/>
        </w:rPr>
        <w:t xml:space="preserve">D26.5 Transitional Release Staged Approach to Reintegration Operating Procedure </w:t>
      </w:r>
      <w:r w:rsidRPr="00E43B5A">
        <w:rPr>
          <w:lang w:eastAsia="en-AU"/>
        </w:rPr>
        <w:t>to ensure information is readily shared, including regular communication between the Transitional Release Team Leader and ACTCS Intelligence Unit Team Leader.</w:t>
      </w:r>
    </w:p>
    <w:p w14:paraId="179AC94D" w14:textId="47F47A3B" w:rsidR="00A849F5" w:rsidRDefault="00A849F5" w:rsidP="00A849F5">
      <w:pPr>
        <w:pStyle w:val="Indenttext1"/>
        <w:rPr>
          <w:sz w:val="20"/>
          <w:szCs w:val="20"/>
          <w:lang w:eastAsia="en-AU"/>
        </w:rPr>
      </w:pPr>
      <w:r>
        <w:rPr>
          <w:lang w:eastAsia="en-AU"/>
        </w:rPr>
        <w:t>The TRCOSO must provide the following information to the Transitional Release Team Leader</w:t>
      </w:r>
      <w:r w:rsidR="0085196C">
        <w:rPr>
          <w:lang w:eastAsia="en-AU"/>
        </w:rPr>
        <w:t xml:space="preserve"> (TL)</w:t>
      </w:r>
      <w:r>
        <w:rPr>
          <w:lang w:eastAsia="en-AU"/>
        </w:rPr>
        <w:t>, who must make a recommendation based on the information gathered and return back to the TRCOSO to provide the same information to the delegate for a decision: </w:t>
      </w:r>
    </w:p>
    <w:p w14:paraId="28293E1B" w14:textId="77777777" w:rsidR="00A849F5" w:rsidRPr="00A849F5" w:rsidRDefault="00A849F5" w:rsidP="00A849F5">
      <w:pPr>
        <w:pStyle w:val="Indenttext2"/>
        <w:numPr>
          <w:ilvl w:val="0"/>
          <w:numId w:val="16"/>
        </w:numPr>
        <w:rPr>
          <w:sz w:val="20"/>
          <w:szCs w:val="20"/>
          <w:lang w:eastAsia="en-AU"/>
        </w:rPr>
      </w:pPr>
      <w:bookmarkStart w:id="3" w:name="_Hlk115163579"/>
      <w:r>
        <w:rPr>
          <w:lang w:eastAsia="en-AU"/>
        </w:rPr>
        <w:t>D26.F5: Transitional Release Leave Application &amp; Permit</w:t>
      </w:r>
    </w:p>
    <w:bookmarkEnd w:id="3"/>
    <w:p w14:paraId="51404EF3" w14:textId="77777777" w:rsidR="00A849F5" w:rsidRDefault="00A849F5" w:rsidP="00A849F5">
      <w:pPr>
        <w:pStyle w:val="Indenttext2"/>
        <w:rPr>
          <w:sz w:val="20"/>
          <w:szCs w:val="20"/>
          <w:lang w:eastAsia="en-AU"/>
        </w:rPr>
      </w:pPr>
      <w:r>
        <w:rPr>
          <w:lang w:eastAsia="en-AU"/>
        </w:rPr>
        <w:t xml:space="preserve">D26.F3: Transitional Release Case Plan </w:t>
      </w:r>
    </w:p>
    <w:p w14:paraId="2B21A283" w14:textId="5DC38B27" w:rsidR="00A849F5" w:rsidRDefault="00A849F5" w:rsidP="00A849F5">
      <w:pPr>
        <w:pStyle w:val="Indenttext1"/>
        <w:rPr>
          <w:lang w:eastAsia="en-AU"/>
        </w:rPr>
      </w:pPr>
      <w:bookmarkStart w:id="4" w:name="_Hlk115163647"/>
      <w:r>
        <w:rPr>
          <w:lang w:eastAsia="en-AU"/>
        </w:rPr>
        <w:t xml:space="preserve">The </w:t>
      </w:r>
      <w:r>
        <w:rPr>
          <w:i/>
          <w:iCs/>
          <w:u w:val="single"/>
          <w:lang w:eastAsia="en-AU"/>
        </w:rPr>
        <w:t>D26.F5: Transitional Release Leave Application &amp; Permit</w:t>
      </w:r>
      <w:r>
        <w:rPr>
          <w:lang w:eastAsia="en-AU"/>
        </w:rPr>
        <w:t xml:space="preserve"> must be approved at the following levels:</w:t>
      </w:r>
    </w:p>
    <w:p w14:paraId="44643416" w14:textId="77777777" w:rsidR="00A849F5" w:rsidRDefault="00A849F5" w:rsidP="00A849F5">
      <w:pPr>
        <w:pStyle w:val="Indenttext2"/>
        <w:numPr>
          <w:ilvl w:val="0"/>
          <w:numId w:val="17"/>
        </w:numPr>
        <w:rPr>
          <w:lang w:eastAsia="en-AU"/>
        </w:rPr>
      </w:pPr>
      <w:r>
        <w:rPr>
          <w:lang w:eastAsia="en-AU"/>
        </w:rPr>
        <w:t>for leave within the ACT – Assistant Commissioner Custodial Operations</w:t>
      </w:r>
    </w:p>
    <w:p w14:paraId="532F082F" w14:textId="77777777" w:rsidR="00A849F5" w:rsidRDefault="00A849F5" w:rsidP="00A849F5">
      <w:pPr>
        <w:pStyle w:val="Indenttext2"/>
        <w:rPr>
          <w:lang w:eastAsia="en-AU"/>
        </w:rPr>
      </w:pPr>
      <w:r>
        <w:rPr>
          <w:lang w:eastAsia="en-AU"/>
        </w:rPr>
        <w:t>for interstate leave – Commissioner, ACT Corrective Services</w:t>
      </w:r>
    </w:p>
    <w:p w14:paraId="4E59C4E5" w14:textId="304B84BF" w:rsidR="00A849F5" w:rsidRDefault="00A849F5" w:rsidP="00A849F5">
      <w:pPr>
        <w:pStyle w:val="Indenttext1"/>
        <w:rPr>
          <w:lang w:eastAsia="en-AU"/>
        </w:rPr>
      </w:pPr>
      <w:r>
        <w:rPr>
          <w:lang w:eastAsia="en-AU"/>
        </w:rPr>
        <w:t xml:space="preserve">The approved </w:t>
      </w:r>
      <w:r>
        <w:rPr>
          <w:i/>
          <w:iCs/>
          <w:u w:val="single"/>
          <w:lang w:eastAsia="en-AU"/>
        </w:rPr>
        <w:t>D26.F5: Transitional Release Leave Application &amp; Permit</w:t>
      </w:r>
      <w:r>
        <w:rPr>
          <w:lang w:eastAsia="en-AU"/>
        </w:rPr>
        <w:t xml:space="preserve"> must be uploaded to CORIS by </w:t>
      </w:r>
      <w:r w:rsidR="00CE68B8">
        <w:rPr>
          <w:lang w:eastAsia="en-AU"/>
        </w:rPr>
        <w:t>the TRCOSO</w:t>
      </w:r>
      <w:r>
        <w:rPr>
          <w:lang w:eastAsia="en-AU"/>
        </w:rPr>
        <w:t>.</w:t>
      </w:r>
    </w:p>
    <w:bookmarkEnd w:id="4"/>
    <w:p w14:paraId="64E36C84" w14:textId="1DA71726" w:rsidR="00A849F5" w:rsidRDefault="00A849F5" w:rsidP="00A849F5">
      <w:pPr>
        <w:pStyle w:val="Indenttext1"/>
        <w:rPr>
          <w:lang w:eastAsia="en-AU"/>
        </w:rPr>
      </w:pPr>
      <w:r>
        <w:rPr>
          <w:lang w:eastAsia="en-AU"/>
        </w:rPr>
        <w:t>Detainees participating in Transitional Release may be approved for leave with sponsors, subject to a risk assessment and approval.</w:t>
      </w:r>
    </w:p>
    <w:p w14:paraId="6F421818" w14:textId="7D6287F9" w:rsidR="00F47E82" w:rsidRDefault="00A849F5" w:rsidP="002D0977">
      <w:pPr>
        <w:pStyle w:val="Indenttext1"/>
        <w:rPr>
          <w:lang w:eastAsia="en-AU"/>
        </w:rPr>
      </w:pPr>
      <w:r>
        <w:rPr>
          <w:lang w:eastAsia="en-AU"/>
        </w:rPr>
        <w:t xml:space="preserve">Detainees must not be approved to spend time with a former detainee, unless special circumstances can be demonstrated in writing and approval granted from the Assistant Commissioner Custodial Operations prior to application for leave. </w:t>
      </w:r>
    </w:p>
    <w:p w14:paraId="3DD9C090" w14:textId="77777777" w:rsidR="002D0977" w:rsidRPr="002D0977" w:rsidRDefault="002D0977" w:rsidP="002D0977">
      <w:pPr>
        <w:pStyle w:val="SectionHeading"/>
        <w:numPr>
          <w:ilvl w:val="0"/>
          <w:numId w:val="0"/>
        </w:numPr>
        <w:ind w:left="567"/>
        <w:rPr>
          <w:sz w:val="20"/>
          <w:szCs w:val="20"/>
          <w:lang w:eastAsia="en-AU"/>
        </w:rPr>
      </w:pPr>
    </w:p>
    <w:p w14:paraId="61D9287D" w14:textId="05F5B2D1" w:rsidR="002D0977" w:rsidRDefault="002D0977" w:rsidP="002D0977">
      <w:pPr>
        <w:pStyle w:val="SectionHeading"/>
        <w:rPr>
          <w:sz w:val="20"/>
          <w:szCs w:val="20"/>
          <w:lang w:eastAsia="en-AU"/>
        </w:rPr>
      </w:pPr>
      <w:r>
        <w:rPr>
          <w:lang w:eastAsia="en-AU"/>
        </w:rPr>
        <w:t>Prior to Leave</w:t>
      </w:r>
    </w:p>
    <w:p w14:paraId="3E255B1E" w14:textId="6F60385D" w:rsidR="002D0977" w:rsidRDefault="002D0977" w:rsidP="002D0977">
      <w:pPr>
        <w:pStyle w:val="Indenttext1"/>
        <w:rPr>
          <w:lang w:eastAsia="en-AU"/>
        </w:rPr>
      </w:pPr>
      <w:r>
        <w:rPr>
          <w:lang w:eastAsia="en-AU"/>
        </w:rPr>
        <w:t xml:space="preserve">All </w:t>
      </w:r>
      <w:r>
        <w:rPr>
          <w:i/>
          <w:iCs/>
          <w:u w:val="single"/>
          <w:lang w:eastAsia="en-AU"/>
        </w:rPr>
        <w:t>D26.F5: Transitional Release Leave Application &amp;</w:t>
      </w:r>
      <w:r w:rsidRPr="002A14AD">
        <w:rPr>
          <w:i/>
          <w:iCs/>
          <w:u w:val="single"/>
          <w:lang w:eastAsia="en-AU"/>
        </w:rPr>
        <w:t xml:space="preserve"> Permit</w:t>
      </w:r>
      <w:r>
        <w:rPr>
          <w:lang w:eastAsia="en-AU"/>
        </w:rPr>
        <w:t xml:space="preserve"> must </w:t>
      </w:r>
      <w:r w:rsidRPr="002D0977">
        <w:rPr>
          <w:lang w:eastAsia="en-AU"/>
        </w:rPr>
        <w:t>be</w:t>
      </w:r>
      <w:r>
        <w:rPr>
          <w:lang w:eastAsia="en-AU"/>
        </w:rPr>
        <w:t xml:space="preserve"> uploaded to CORIS, distributed by email to relevant parties and a copy given to the detainee prior to their approved leave commencing. Relevant parties include all Transitional Release staff and AMC Operations Managers, with the email being cc’d to the Assistant Commissioner, Custodial Operations, Senior Director </w:t>
      </w:r>
      <w:r w:rsidR="00B57B50">
        <w:rPr>
          <w:lang w:eastAsia="en-AU"/>
        </w:rPr>
        <w:t>Operations, Director Reintegration</w:t>
      </w:r>
      <w:r>
        <w:rPr>
          <w:lang w:eastAsia="en-AU"/>
        </w:rPr>
        <w:t xml:space="preserve"> and ACTCS Intel Unit. </w:t>
      </w:r>
    </w:p>
    <w:p w14:paraId="440CC225" w14:textId="6B971A10" w:rsidR="00641860" w:rsidRDefault="002D0977" w:rsidP="007D6976">
      <w:pPr>
        <w:pStyle w:val="Indenttext1"/>
        <w:rPr>
          <w:lang w:eastAsia="en-AU"/>
        </w:rPr>
      </w:pPr>
      <w:r>
        <w:rPr>
          <w:lang w:eastAsia="en-AU"/>
        </w:rPr>
        <w:t>Transitional Release staff must ensure the detainee understands their obligations under the leave permit prior to leave</w:t>
      </w:r>
    </w:p>
    <w:p w14:paraId="1ECFBA0C" w14:textId="77777777" w:rsidR="0018130E" w:rsidRPr="0018130E" w:rsidRDefault="0018130E" w:rsidP="0018130E">
      <w:pPr>
        <w:pStyle w:val="Indenttext1"/>
        <w:numPr>
          <w:ilvl w:val="0"/>
          <w:numId w:val="0"/>
        </w:numPr>
        <w:ind w:left="567"/>
        <w:rPr>
          <w:lang w:eastAsia="en-AU"/>
        </w:rPr>
      </w:pPr>
    </w:p>
    <w:p w14:paraId="75EEF79A" w14:textId="451ED941" w:rsidR="00857070" w:rsidRDefault="00857070" w:rsidP="00857070">
      <w:pPr>
        <w:pStyle w:val="SectionHeading"/>
        <w:rPr>
          <w:lang w:eastAsia="en-AU"/>
        </w:rPr>
      </w:pPr>
      <w:r>
        <w:rPr>
          <w:lang w:eastAsia="en-AU"/>
        </w:rPr>
        <w:t>Escorted Leave</w:t>
      </w:r>
    </w:p>
    <w:p w14:paraId="6B9DCB8C" w14:textId="0F349E85" w:rsidR="00857070" w:rsidRDefault="00857070" w:rsidP="00857070">
      <w:pPr>
        <w:pStyle w:val="Indenttext1"/>
        <w:rPr>
          <w:b/>
          <w:bCs/>
          <w:lang w:eastAsia="en-AU"/>
        </w:rPr>
      </w:pPr>
      <w:r>
        <w:rPr>
          <w:lang w:eastAsia="en-AU"/>
        </w:rPr>
        <w:t xml:space="preserve">Refer to the </w:t>
      </w:r>
      <w:r w:rsidR="00B57B50">
        <w:rPr>
          <w:i/>
          <w:iCs/>
          <w:u w:val="single"/>
          <w:lang w:eastAsia="en-AU"/>
        </w:rPr>
        <w:t>D26.6 T</w:t>
      </w:r>
      <w:r>
        <w:rPr>
          <w:i/>
          <w:iCs/>
          <w:u w:val="single"/>
          <w:lang w:eastAsia="en-AU"/>
        </w:rPr>
        <w:t>ransitional Release Escorts Operating Procedure.</w:t>
      </w:r>
      <w:r>
        <w:rPr>
          <w:b/>
          <w:bCs/>
          <w:lang w:eastAsia="en-AU"/>
        </w:rPr>
        <w:t xml:space="preserve"> </w:t>
      </w:r>
    </w:p>
    <w:p w14:paraId="1EFAA5AF" w14:textId="77777777" w:rsidR="0018130E" w:rsidRDefault="0018130E" w:rsidP="0018130E">
      <w:pPr>
        <w:pStyle w:val="SectionHeading"/>
        <w:numPr>
          <w:ilvl w:val="0"/>
          <w:numId w:val="0"/>
        </w:numPr>
        <w:rPr>
          <w:lang w:eastAsia="en-AU"/>
        </w:rPr>
      </w:pPr>
    </w:p>
    <w:p w14:paraId="1F96BCC3" w14:textId="2EA8DB87" w:rsidR="00857070" w:rsidRDefault="00857070" w:rsidP="0018130E">
      <w:pPr>
        <w:pStyle w:val="SectionHeading"/>
        <w:rPr>
          <w:lang w:eastAsia="en-AU"/>
        </w:rPr>
      </w:pPr>
      <w:r>
        <w:rPr>
          <w:lang w:eastAsia="en-AU"/>
        </w:rPr>
        <w:t>Leave with a sponsor</w:t>
      </w:r>
    </w:p>
    <w:p w14:paraId="74D444E7" w14:textId="6548A634" w:rsidR="00857070" w:rsidRDefault="00857070" w:rsidP="0018130E">
      <w:pPr>
        <w:pStyle w:val="Indenttext1"/>
        <w:rPr>
          <w:lang w:eastAsia="en-AU"/>
        </w:rPr>
      </w:pPr>
      <w:r>
        <w:rPr>
          <w:lang w:eastAsia="en-AU"/>
        </w:rPr>
        <w:t>A detainee must be collected from the correctional centre by their sponsor where required under their leave permit.</w:t>
      </w:r>
    </w:p>
    <w:p w14:paraId="0E643760" w14:textId="7DA9CA86" w:rsidR="00857070" w:rsidRDefault="00857070" w:rsidP="0018130E">
      <w:pPr>
        <w:pStyle w:val="Indenttext1"/>
        <w:rPr>
          <w:rFonts w:eastAsia="Times New Roman" w:cstheme="minorHAnsi"/>
          <w:color w:val="000000" w:themeColor="text1"/>
          <w:lang w:eastAsia="en-AU"/>
        </w:rPr>
      </w:pPr>
      <w:r w:rsidRPr="0018130E">
        <w:rPr>
          <w:rStyle w:val="Indenttext1Char"/>
        </w:rPr>
        <w:lastRenderedPageBreak/>
        <w:t>Prior to the detainee and sponsor leaving the correctional centre, Transitional Release staff must be</w:t>
      </w:r>
      <w:r>
        <w:rPr>
          <w:rFonts w:eastAsia="Times New Roman" w:cstheme="minorHAnsi"/>
          <w:color w:val="000000" w:themeColor="text1"/>
          <w:lang w:eastAsia="en-AU"/>
        </w:rPr>
        <w:t xml:space="preserve"> satisfied that the:</w:t>
      </w:r>
    </w:p>
    <w:p w14:paraId="35AD0F41" w14:textId="77777777" w:rsidR="00857070" w:rsidRDefault="00857070" w:rsidP="0018130E">
      <w:pPr>
        <w:pStyle w:val="Indenttext2"/>
        <w:numPr>
          <w:ilvl w:val="0"/>
          <w:numId w:val="20"/>
        </w:numPr>
        <w:rPr>
          <w:lang w:eastAsia="en-AU"/>
        </w:rPr>
      </w:pPr>
      <w:r>
        <w:rPr>
          <w:lang w:eastAsia="en-AU"/>
        </w:rPr>
        <w:t>identity of the sponsor is confirmed</w:t>
      </w:r>
    </w:p>
    <w:p w14:paraId="4B2EFEFD" w14:textId="77777777" w:rsidR="00857070" w:rsidRDefault="00857070" w:rsidP="0018130E">
      <w:pPr>
        <w:pStyle w:val="Indenttext2"/>
        <w:rPr>
          <w:lang w:eastAsia="en-AU"/>
        </w:rPr>
      </w:pPr>
      <w:r>
        <w:rPr>
          <w:lang w:eastAsia="en-AU"/>
        </w:rPr>
        <w:t xml:space="preserve">sponsor understands their responsibilities under the </w:t>
      </w:r>
      <w:r>
        <w:rPr>
          <w:i/>
          <w:iCs/>
          <w:u w:val="single"/>
          <w:lang w:eastAsia="en-AU"/>
        </w:rPr>
        <w:t>D26.F9: Sponsor Agreement</w:t>
      </w:r>
    </w:p>
    <w:p w14:paraId="5009E8C7" w14:textId="77777777" w:rsidR="0018130E" w:rsidRDefault="0018130E" w:rsidP="0018130E">
      <w:pPr>
        <w:pStyle w:val="SectionHeading"/>
        <w:numPr>
          <w:ilvl w:val="0"/>
          <w:numId w:val="0"/>
        </w:numPr>
        <w:ind w:left="567"/>
        <w:rPr>
          <w:lang w:eastAsia="en-AU"/>
        </w:rPr>
      </w:pPr>
    </w:p>
    <w:p w14:paraId="64F90999" w14:textId="32144E3B" w:rsidR="00857070" w:rsidRDefault="00857070" w:rsidP="0018130E">
      <w:pPr>
        <w:pStyle w:val="SectionHeading"/>
        <w:rPr>
          <w:lang w:eastAsia="en-AU"/>
        </w:rPr>
      </w:pPr>
      <w:r>
        <w:rPr>
          <w:lang w:eastAsia="en-AU"/>
        </w:rPr>
        <w:t>Unsponsored and unescorted leave</w:t>
      </w:r>
    </w:p>
    <w:p w14:paraId="40F21CAE" w14:textId="13B5161D" w:rsidR="00857070" w:rsidRDefault="00857070" w:rsidP="0018130E">
      <w:pPr>
        <w:pStyle w:val="Indenttext1"/>
        <w:rPr>
          <w:lang w:eastAsia="en-AU"/>
        </w:rPr>
      </w:pPr>
      <w:r>
        <w:rPr>
          <w:lang w:eastAsia="en-AU"/>
        </w:rPr>
        <w:t>In some circumstances the Assistant Commissioner Custodial Operations may approve leave without a sponsor or staff escort. An example of these circumstances includes when a detainee has requested transitional leave to attend education or vocational study.</w:t>
      </w:r>
    </w:p>
    <w:p w14:paraId="234320D8" w14:textId="74C73F30" w:rsidR="00857070" w:rsidRDefault="00857070" w:rsidP="0018130E">
      <w:pPr>
        <w:pStyle w:val="Indenttext1"/>
        <w:rPr>
          <w:lang w:eastAsia="en-AU"/>
        </w:rPr>
      </w:pPr>
      <w:r>
        <w:rPr>
          <w:lang w:eastAsia="en-AU"/>
        </w:rPr>
        <w:t>The Assistant Commissioner Custodial Operations must specify the frequency and method of compliance checks to be completed by Transitional Release staff, when approving unsponsored or unescorted leave.</w:t>
      </w:r>
    </w:p>
    <w:p w14:paraId="614FCBF1" w14:textId="3A6B2DE8" w:rsidR="00857070" w:rsidRDefault="00857070" w:rsidP="0018130E">
      <w:pPr>
        <w:pStyle w:val="Indenttext1"/>
        <w:rPr>
          <w:lang w:eastAsia="en-AU"/>
        </w:rPr>
      </w:pPr>
      <w:r>
        <w:rPr>
          <w:lang w:eastAsia="en-AU"/>
        </w:rPr>
        <w:t>The Transitional Release T</w:t>
      </w:r>
      <w:r w:rsidR="0085196C">
        <w:rPr>
          <w:lang w:eastAsia="en-AU"/>
        </w:rPr>
        <w:t>L</w:t>
      </w:r>
      <w:r>
        <w:rPr>
          <w:lang w:eastAsia="en-AU"/>
        </w:rPr>
        <w:t xml:space="preserve"> </w:t>
      </w:r>
      <w:r w:rsidR="0018130E">
        <w:rPr>
          <w:lang w:eastAsia="en-AU"/>
        </w:rPr>
        <w:t xml:space="preserve">must ensure </w:t>
      </w:r>
      <w:r>
        <w:rPr>
          <w:lang w:eastAsia="en-AU"/>
        </w:rPr>
        <w:t>the compliance checks specified by the Assistant Commissioner Custodial Operations are conducted.</w:t>
      </w:r>
    </w:p>
    <w:p w14:paraId="4D4FD5B6" w14:textId="1A061D1F" w:rsidR="00857070" w:rsidRDefault="00857070" w:rsidP="0018130E">
      <w:pPr>
        <w:pStyle w:val="Indenttext1"/>
        <w:rPr>
          <w:lang w:eastAsia="en-AU"/>
        </w:rPr>
      </w:pPr>
      <w:r>
        <w:rPr>
          <w:lang w:eastAsia="en-AU"/>
        </w:rPr>
        <w:t xml:space="preserve">All compliance checks are to be recorded on CORIS. </w:t>
      </w:r>
    </w:p>
    <w:p w14:paraId="7797F00C" w14:textId="77777777" w:rsidR="0018130E" w:rsidRDefault="0018130E" w:rsidP="0018130E">
      <w:pPr>
        <w:pStyle w:val="Indenttext1"/>
        <w:numPr>
          <w:ilvl w:val="0"/>
          <w:numId w:val="0"/>
        </w:numPr>
        <w:ind w:left="567"/>
        <w:rPr>
          <w:lang w:eastAsia="en-AU"/>
        </w:rPr>
      </w:pPr>
    </w:p>
    <w:p w14:paraId="0AC675F2" w14:textId="08281FD3" w:rsidR="00857070" w:rsidRDefault="00857070" w:rsidP="0018130E">
      <w:pPr>
        <w:pStyle w:val="SectionHeading"/>
        <w:rPr>
          <w:sz w:val="20"/>
          <w:szCs w:val="20"/>
          <w:lang w:eastAsia="en-AU"/>
        </w:rPr>
      </w:pPr>
      <w:r>
        <w:rPr>
          <w:lang w:eastAsia="en-AU"/>
        </w:rPr>
        <w:t>Spending money</w:t>
      </w:r>
    </w:p>
    <w:p w14:paraId="7AA77BAF" w14:textId="353A02E4" w:rsidR="00857070" w:rsidRDefault="0018130E" w:rsidP="0018130E">
      <w:pPr>
        <w:pStyle w:val="Indenttext1"/>
        <w:rPr>
          <w:lang w:eastAsia="en-AU"/>
        </w:rPr>
      </w:pPr>
      <w:r>
        <w:rPr>
          <w:lang w:eastAsia="en-AU"/>
        </w:rPr>
        <w:t>Detainees</w:t>
      </w:r>
      <w:r w:rsidR="00857070">
        <w:rPr>
          <w:lang w:eastAsia="en-AU"/>
        </w:rPr>
        <w:t xml:space="preserve"> with sufficient funds in their trust accounts may request to transfer funds into an external bank account for spending during leave using the </w:t>
      </w:r>
      <w:r w:rsidR="00857070">
        <w:rPr>
          <w:i/>
          <w:iCs/>
          <w:u w:val="single"/>
          <w:lang w:eastAsia="en-AU"/>
        </w:rPr>
        <w:t>F1.F2</w:t>
      </w:r>
      <w:r>
        <w:rPr>
          <w:i/>
          <w:iCs/>
          <w:u w:val="single"/>
          <w:lang w:eastAsia="en-AU"/>
        </w:rPr>
        <w:t>:</w:t>
      </w:r>
      <w:r w:rsidR="00857070">
        <w:rPr>
          <w:i/>
          <w:iCs/>
          <w:u w:val="single"/>
          <w:lang w:eastAsia="en-AU"/>
        </w:rPr>
        <w:t xml:space="preserve"> External Payment Request</w:t>
      </w:r>
      <w:r w:rsidR="00857070">
        <w:rPr>
          <w:lang w:eastAsia="en-AU"/>
        </w:rPr>
        <w:t xml:space="preserve"> form and outlining the reasons for the request. The only restriction on the amount a detainee can transfer is having sufficient funds in the detainee’s AMC trust account. </w:t>
      </w:r>
    </w:p>
    <w:p w14:paraId="0640E050" w14:textId="11CCF850" w:rsidR="00857070" w:rsidRDefault="00857070" w:rsidP="0018130E">
      <w:pPr>
        <w:pStyle w:val="Indenttext1"/>
        <w:rPr>
          <w:lang w:eastAsia="en-AU"/>
        </w:rPr>
      </w:pPr>
      <w:r>
        <w:rPr>
          <w:lang w:eastAsia="en-AU"/>
        </w:rPr>
        <w:t xml:space="preserve">The </w:t>
      </w:r>
      <w:r>
        <w:rPr>
          <w:i/>
          <w:iCs/>
          <w:u w:val="single"/>
          <w:lang w:eastAsia="en-AU"/>
        </w:rPr>
        <w:t>F1.F2</w:t>
      </w:r>
      <w:r w:rsidR="0018130E">
        <w:rPr>
          <w:i/>
          <w:iCs/>
          <w:u w:val="single"/>
          <w:lang w:eastAsia="en-AU"/>
        </w:rPr>
        <w:t>:</w:t>
      </w:r>
      <w:r>
        <w:rPr>
          <w:i/>
          <w:iCs/>
          <w:u w:val="single"/>
          <w:lang w:eastAsia="en-AU"/>
        </w:rPr>
        <w:t xml:space="preserve"> External Payment Request </w:t>
      </w:r>
      <w:r>
        <w:rPr>
          <w:lang w:eastAsia="en-AU"/>
        </w:rPr>
        <w:t>form is emailed to JACS AMC Finance</w:t>
      </w:r>
      <w:r w:rsidR="0018130E">
        <w:rPr>
          <w:lang w:eastAsia="en-AU"/>
        </w:rPr>
        <w:t>,</w:t>
      </w:r>
      <w:r>
        <w:rPr>
          <w:lang w:eastAsia="en-AU"/>
        </w:rPr>
        <w:t xml:space="preserve"> who forward the request onto a Custodial Officer Grade 4 (CO4) for approval for spending during the detainee’s Transitional Release Leave.  </w:t>
      </w:r>
    </w:p>
    <w:p w14:paraId="56DDF2BC" w14:textId="7513ED73" w:rsidR="00E079A8" w:rsidRDefault="00857070" w:rsidP="00E079A8">
      <w:pPr>
        <w:pStyle w:val="Indenttext1"/>
        <w:rPr>
          <w:lang w:eastAsia="en-AU"/>
        </w:rPr>
      </w:pPr>
      <w:r>
        <w:rPr>
          <w:lang w:eastAsia="en-AU"/>
        </w:rPr>
        <w:t xml:space="preserve">Requests under section 7.2 </w:t>
      </w:r>
      <w:r w:rsidR="0018130E">
        <w:rPr>
          <w:lang w:eastAsia="en-AU"/>
        </w:rPr>
        <w:t>must</w:t>
      </w:r>
      <w:r>
        <w:rPr>
          <w:lang w:eastAsia="en-AU"/>
        </w:rPr>
        <w:t xml:space="preserve"> be managed </w:t>
      </w:r>
      <w:r w:rsidR="0018130E">
        <w:rPr>
          <w:lang w:eastAsia="en-AU"/>
        </w:rPr>
        <w:t>in accordance with</w:t>
      </w:r>
      <w:r>
        <w:rPr>
          <w:lang w:eastAsia="en-AU"/>
        </w:rPr>
        <w:t xml:space="preserve"> the </w:t>
      </w:r>
      <w:r>
        <w:rPr>
          <w:i/>
          <w:iCs/>
          <w:u w:val="single"/>
          <w:lang w:eastAsia="en-AU"/>
        </w:rPr>
        <w:t>Detainee Trust Fund Management Policy</w:t>
      </w:r>
      <w:r>
        <w:rPr>
          <w:lang w:eastAsia="en-AU"/>
        </w:rPr>
        <w:t xml:space="preserve"> for special external payment requests.</w:t>
      </w:r>
    </w:p>
    <w:p w14:paraId="18894519" w14:textId="77777777" w:rsidR="00E079A8" w:rsidRPr="00E079A8" w:rsidRDefault="00E079A8" w:rsidP="00E079A8">
      <w:pPr>
        <w:pStyle w:val="Indenttext1"/>
        <w:numPr>
          <w:ilvl w:val="0"/>
          <w:numId w:val="0"/>
        </w:numPr>
        <w:ind w:left="567"/>
        <w:rPr>
          <w:lang w:eastAsia="en-AU"/>
        </w:rPr>
      </w:pPr>
    </w:p>
    <w:p w14:paraId="5626BA4E" w14:textId="69275707" w:rsidR="00E079A8" w:rsidRPr="00B57B50" w:rsidRDefault="00E079A8" w:rsidP="00E079A8">
      <w:pPr>
        <w:pStyle w:val="SectionHeading"/>
        <w:rPr>
          <w:lang w:eastAsia="en-AU"/>
        </w:rPr>
      </w:pPr>
      <w:r w:rsidRPr="00B57B50">
        <w:rPr>
          <w:lang w:eastAsia="en-AU"/>
        </w:rPr>
        <w:t>On the Detainee’s return from leave</w:t>
      </w:r>
    </w:p>
    <w:p w14:paraId="16F410DE" w14:textId="173BF3A9" w:rsidR="00857070" w:rsidRPr="00E079A8" w:rsidRDefault="00122FF1" w:rsidP="00E079A8">
      <w:pPr>
        <w:pStyle w:val="Indenttext1"/>
        <w:rPr>
          <w:sz w:val="20"/>
          <w:szCs w:val="20"/>
          <w:lang w:eastAsia="en-AU"/>
        </w:rPr>
      </w:pPr>
      <w:r>
        <w:rPr>
          <w:lang w:eastAsia="en-AU"/>
        </w:rPr>
        <w:t>Detainees and their property may be searched upon</w:t>
      </w:r>
      <w:r w:rsidR="00857070" w:rsidRPr="00E079A8">
        <w:rPr>
          <w:lang w:eastAsia="en-AU"/>
        </w:rPr>
        <w:t xml:space="preserve"> return from leave in accordance with the </w:t>
      </w:r>
      <w:r w:rsidR="00857070" w:rsidRPr="00E079A8">
        <w:rPr>
          <w:i/>
          <w:iCs/>
          <w:u w:val="single"/>
          <w:lang w:eastAsia="en-AU"/>
        </w:rPr>
        <w:t>Transitional Release Policy</w:t>
      </w:r>
      <w:r w:rsidR="00857070" w:rsidRPr="00E079A8">
        <w:rPr>
          <w:lang w:eastAsia="en-AU"/>
        </w:rPr>
        <w:t xml:space="preserve"> and the </w:t>
      </w:r>
      <w:r w:rsidR="00857070" w:rsidRPr="00122FF1">
        <w:rPr>
          <w:i/>
          <w:iCs/>
          <w:u w:val="single"/>
          <w:lang w:eastAsia="en-AU"/>
        </w:rPr>
        <w:t>Searching Policy</w:t>
      </w:r>
      <w:r w:rsidR="00857070" w:rsidRPr="00E079A8">
        <w:rPr>
          <w:lang w:eastAsia="en-AU"/>
        </w:rPr>
        <w:t>.</w:t>
      </w:r>
    </w:p>
    <w:p w14:paraId="75F94348" w14:textId="1FD36338" w:rsidR="00857070" w:rsidRPr="00E079A8" w:rsidRDefault="00857070" w:rsidP="00E079A8">
      <w:pPr>
        <w:pStyle w:val="Indenttext1"/>
        <w:rPr>
          <w:lang w:eastAsia="en-AU"/>
        </w:rPr>
      </w:pPr>
      <w:bookmarkStart w:id="5" w:name="_Hlk122095649"/>
      <w:r w:rsidRPr="00E079A8">
        <w:rPr>
          <w:lang w:eastAsia="en-AU"/>
        </w:rPr>
        <w:t>Only items approved during the leave application</w:t>
      </w:r>
      <w:r w:rsidR="00B57B50">
        <w:rPr>
          <w:lang w:eastAsia="en-AU"/>
        </w:rPr>
        <w:t xml:space="preserve"> process</w:t>
      </w:r>
      <w:r w:rsidRPr="00E079A8">
        <w:rPr>
          <w:lang w:eastAsia="en-AU"/>
        </w:rPr>
        <w:t xml:space="preserve"> by the Assistant Commissioner Custodial Operations </w:t>
      </w:r>
      <w:r w:rsidR="00B57B50">
        <w:rPr>
          <w:lang w:eastAsia="en-AU"/>
        </w:rPr>
        <w:t>or the Senior Director Operations</w:t>
      </w:r>
      <w:r w:rsidRPr="00E079A8">
        <w:rPr>
          <w:lang w:eastAsia="en-AU"/>
        </w:rPr>
        <w:t xml:space="preserve"> </w:t>
      </w:r>
      <w:bookmarkEnd w:id="5"/>
      <w:r w:rsidRPr="00E079A8">
        <w:rPr>
          <w:lang w:eastAsia="en-AU"/>
        </w:rPr>
        <w:t xml:space="preserve">can be bought back from leave by the detainee. Any additional items which have not been approved are to be placed in the detainee’s property in line with the </w:t>
      </w:r>
      <w:r w:rsidRPr="00E079A8">
        <w:rPr>
          <w:i/>
          <w:iCs/>
          <w:u w:val="single"/>
          <w:lang w:eastAsia="en-AU"/>
        </w:rPr>
        <w:t>Detainee Property Policy 2022</w:t>
      </w:r>
      <w:r w:rsidRPr="00E079A8">
        <w:rPr>
          <w:u w:val="single"/>
          <w:lang w:eastAsia="en-AU"/>
        </w:rPr>
        <w:t xml:space="preserve"> </w:t>
      </w:r>
    </w:p>
    <w:p w14:paraId="1D63898E" w14:textId="17270F3A" w:rsidR="00857070" w:rsidRDefault="00857070" w:rsidP="00E079A8">
      <w:pPr>
        <w:pStyle w:val="Indenttext1"/>
        <w:rPr>
          <w:lang w:eastAsia="en-AU"/>
        </w:rPr>
      </w:pPr>
      <w:r w:rsidRPr="00E079A8">
        <w:rPr>
          <w:lang w:eastAsia="en-AU"/>
        </w:rPr>
        <w:t xml:space="preserve">Detainee’s </w:t>
      </w:r>
      <w:r w:rsidR="00122FF1">
        <w:rPr>
          <w:lang w:eastAsia="en-AU"/>
        </w:rPr>
        <w:t>may</w:t>
      </w:r>
      <w:r w:rsidRPr="00E079A8">
        <w:rPr>
          <w:lang w:eastAsia="en-AU"/>
        </w:rPr>
        <w:t xml:space="preserve"> be subject to alcohol testing upon their return from leave under the </w:t>
      </w:r>
      <w:r w:rsidRPr="00E079A8">
        <w:rPr>
          <w:i/>
          <w:iCs/>
          <w:u w:val="single"/>
          <w:lang w:eastAsia="en-AU"/>
        </w:rPr>
        <w:t>Drug and Alcohol Testing Policy</w:t>
      </w:r>
      <w:r w:rsidRPr="00E079A8">
        <w:rPr>
          <w:lang w:eastAsia="en-AU"/>
        </w:rPr>
        <w:t xml:space="preserve">. </w:t>
      </w:r>
    </w:p>
    <w:p w14:paraId="0EA0D2F2" w14:textId="3DC7A146" w:rsidR="00857070" w:rsidRPr="00E079A8" w:rsidRDefault="00857070" w:rsidP="00E079A8">
      <w:pPr>
        <w:pStyle w:val="Indenttext1"/>
        <w:rPr>
          <w:sz w:val="20"/>
          <w:szCs w:val="20"/>
          <w:lang w:eastAsia="en-AU"/>
        </w:rPr>
      </w:pPr>
      <w:r w:rsidRPr="00E079A8">
        <w:rPr>
          <w:lang w:eastAsia="en-AU"/>
        </w:rPr>
        <w:t>Detainee’s may be subject to drug testing under the </w:t>
      </w:r>
      <w:r w:rsidRPr="00E079A8">
        <w:rPr>
          <w:i/>
          <w:iCs/>
          <w:u w:val="single"/>
          <w:lang w:eastAsia="en-AU"/>
        </w:rPr>
        <w:t>Drug and Alcohol Testing Policy</w:t>
      </w:r>
      <w:r w:rsidRPr="00E079A8">
        <w:rPr>
          <w:lang w:eastAsia="en-AU"/>
        </w:rPr>
        <w:t>.</w:t>
      </w:r>
      <w:r w:rsidR="00122FF1">
        <w:rPr>
          <w:lang w:eastAsia="en-AU"/>
        </w:rPr>
        <w:t xml:space="preserve"> </w:t>
      </w:r>
      <w:r w:rsidRPr="00E079A8">
        <w:rPr>
          <w:lang w:eastAsia="en-AU"/>
        </w:rPr>
        <w:t xml:space="preserve">Transitional Release staff </w:t>
      </w:r>
      <w:r w:rsidR="00122FF1">
        <w:rPr>
          <w:lang w:eastAsia="en-AU"/>
        </w:rPr>
        <w:t>must</w:t>
      </w:r>
      <w:r w:rsidRPr="00E079A8">
        <w:rPr>
          <w:lang w:eastAsia="en-AU"/>
        </w:rPr>
        <w:t xml:space="preserve"> request drug testing occur if the detainee displays any behaviour which indicates the detainee may have used drugs while on leave. Random drug testing </w:t>
      </w:r>
      <w:r w:rsidR="00122FF1">
        <w:rPr>
          <w:lang w:eastAsia="en-AU"/>
        </w:rPr>
        <w:t>may</w:t>
      </w:r>
      <w:r w:rsidRPr="00E079A8">
        <w:rPr>
          <w:lang w:eastAsia="en-AU"/>
        </w:rPr>
        <w:t xml:space="preserve"> also occur on a detainee’s return from leave at least once a month. </w:t>
      </w:r>
    </w:p>
    <w:p w14:paraId="36963135" w14:textId="77777777" w:rsidR="00857070" w:rsidRDefault="00857070" w:rsidP="007D6976">
      <w:pPr>
        <w:rPr>
          <w:rFonts w:cs="Arial"/>
        </w:rPr>
      </w:pPr>
    </w:p>
    <w:p w14:paraId="265B5CB6" w14:textId="373B1928" w:rsidR="00522660" w:rsidRDefault="00522660" w:rsidP="007D6976">
      <w:pPr>
        <w:rPr>
          <w:rFonts w:cs="Arial"/>
        </w:rPr>
      </w:pPr>
    </w:p>
    <w:p w14:paraId="7140ED38" w14:textId="62D972E8" w:rsidR="00292762" w:rsidRDefault="00292762" w:rsidP="007D6976">
      <w:pPr>
        <w:rPr>
          <w:rFonts w:cs="Arial"/>
        </w:rPr>
      </w:pPr>
    </w:p>
    <w:p w14:paraId="52D7FC6E" w14:textId="77777777" w:rsidR="00292762" w:rsidRPr="007D6976" w:rsidRDefault="00292762" w:rsidP="007D6976">
      <w:pPr>
        <w:rPr>
          <w:rFonts w:cs="Arial"/>
        </w:rPr>
      </w:pPr>
    </w:p>
    <w:p w14:paraId="44B4AB4D" w14:textId="77777777" w:rsidR="00CF03FA" w:rsidRDefault="007B3718" w:rsidP="006268DA">
      <w:pPr>
        <w:pStyle w:val="Heading11"/>
      </w:pPr>
      <w:r w:rsidRPr="00F81FF3">
        <w:t xml:space="preserve">RELATED DOCUMENTS </w:t>
      </w:r>
    </w:p>
    <w:p w14:paraId="4BBDC084" w14:textId="77777777" w:rsidR="008462D9" w:rsidRPr="008462D9" w:rsidRDefault="008462D9" w:rsidP="008462D9">
      <w:pPr>
        <w:pStyle w:val="RelatedDocuments"/>
      </w:pPr>
      <w:r w:rsidRPr="008462D9">
        <w:t>Transitional Release Policy</w:t>
      </w:r>
    </w:p>
    <w:p w14:paraId="498F6863" w14:textId="77777777" w:rsidR="008462D9" w:rsidRPr="008462D9" w:rsidRDefault="008462D9" w:rsidP="008462D9">
      <w:pPr>
        <w:pStyle w:val="RelatedDocuments"/>
      </w:pPr>
      <w:r w:rsidRPr="008462D9">
        <w:t>Transitional Release Case Planning Operating Procedure 2022</w:t>
      </w:r>
    </w:p>
    <w:p w14:paraId="1DA46F0A" w14:textId="77777777" w:rsidR="008462D9" w:rsidRPr="008462D9" w:rsidRDefault="008462D9" w:rsidP="008462D9">
      <w:pPr>
        <w:pStyle w:val="RelatedDocuments"/>
      </w:pPr>
      <w:r w:rsidRPr="008462D9">
        <w:t>Transitional Release Case Management Plan Template</w:t>
      </w:r>
    </w:p>
    <w:p w14:paraId="48449AA4" w14:textId="77777777" w:rsidR="008462D9" w:rsidRPr="008462D9" w:rsidRDefault="008462D9" w:rsidP="008462D9">
      <w:pPr>
        <w:pStyle w:val="RelatedDocuments"/>
      </w:pPr>
      <w:r w:rsidRPr="008462D9">
        <w:t>Transitional Release Staged Approach to Reintegration Operating Procedure 2022</w:t>
      </w:r>
    </w:p>
    <w:p w14:paraId="0AED4E69" w14:textId="77777777" w:rsidR="008462D9" w:rsidRPr="008462D9" w:rsidRDefault="008462D9" w:rsidP="008462D9">
      <w:pPr>
        <w:pStyle w:val="RelatedDocuments"/>
      </w:pPr>
      <w:r w:rsidRPr="008462D9">
        <w:t>Drug and Alcohol Testing Policy</w:t>
      </w:r>
    </w:p>
    <w:p w14:paraId="4CE5DAE6" w14:textId="77777777" w:rsidR="008462D9" w:rsidRPr="008462D9" w:rsidRDefault="008462D9" w:rsidP="008462D9">
      <w:pPr>
        <w:pStyle w:val="RelatedDocuments"/>
      </w:pPr>
      <w:r w:rsidRPr="008462D9">
        <w:t>Searching Policy</w:t>
      </w:r>
    </w:p>
    <w:p w14:paraId="290B91B5" w14:textId="77777777" w:rsidR="008462D9" w:rsidRPr="008462D9" w:rsidRDefault="008462D9" w:rsidP="008462D9">
      <w:pPr>
        <w:pStyle w:val="RelatedDocuments"/>
      </w:pPr>
      <w:r w:rsidRPr="008462D9">
        <w:t>Detainee Property Policy 2022</w:t>
      </w:r>
    </w:p>
    <w:p w14:paraId="3BE192AA" w14:textId="77777777" w:rsidR="008462D9" w:rsidRPr="008462D9" w:rsidRDefault="008462D9" w:rsidP="008462D9">
      <w:pPr>
        <w:pStyle w:val="RelatedDocuments"/>
      </w:pPr>
      <w:r w:rsidRPr="008462D9">
        <w:t>Detainee Trust Fund Management Policy</w:t>
      </w:r>
    </w:p>
    <w:p w14:paraId="7FCA861A" w14:textId="77777777" w:rsidR="007D6976" w:rsidRPr="007D6976" w:rsidRDefault="007D6976" w:rsidP="007D6976">
      <w:pPr>
        <w:pStyle w:val="ListParagraph"/>
        <w:ind w:left="567"/>
        <w:rPr>
          <w:rFonts w:cs="Arial"/>
        </w:rPr>
      </w:pPr>
    </w:p>
    <w:p w14:paraId="18463D30" w14:textId="77777777" w:rsidR="00B84A5B" w:rsidRDefault="00B84A5B" w:rsidP="00B84A5B">
      <w:pPr>
        <w:rPr>
          <w:rFonts w:cs="Arial"/>
        </w:rPr>
      </w:pPr>
    </w:p>
    <w:p w14:paraId="59A607D8" w14:textId="77777777" w:rsidR="00B84A5B" w:rsidRDefault="00B84A5B" w:rsidP="00B84A5B">
      <w:pPr>
        <w:rPr>
          <w:rFonts w:cs="Arial"/>
        </w:rPr>
      </w:pPr>
    </w:p>
    <w:p w14:paraId="5187C628" w14:textId="2D25470D" w:rsidR="00B84A5B" w:rsidRDefault="008462D9" w:rsidP="00E4484A">
      <w:pPr>
        <w:pStyle w:val="NoSpacing"/>
        <w:spacing w:line="276" w:lineRule="auto"/>
      </w:pPr>
      <w:r>
        <w:t>Narelle Pamplin</w:t>
      </w:r>
    </w:p>
    <w:p w14:paraId="60C9BA74" w14:textId="61426FD5" w:rsidR="00925989" w:rsidRDefault="008462D9" w:rsidP="00E4484A">
      <w:pPr>
        <w:pStyle w:val="NoSpacing"/>
        <w:spacing w:line="276" w:lineRule="auto"/>
      </w:pPr>
      <w:r>
        <w:t>Assistant Commissioner Offender Reintegration</w:t>
      </w:r>
      <w:r w:rsidR="00202B3A">
        <w:br/>
        <w:t xml:space="preserve">ACT Corrective Services </w:t>
      </w:r>
    </w:p>
    <w:p w14:paraId="3602F0BF" w14:textId="741FB28F" w:rsidR="00925989" w:rsidRDefault="00292762" w:rsidP="00E4484A">
      <w:pPr>
        <w:pStyle w:val="NoSpacing"/>
        <w:spacing w:line="276" w:lineRule="auto"/>
      </w:pPr>
      <w:r>
        <w:t xml:space="preserve">   January 2023</w:t>
      </w:r>
    </w:p>
    <w:p w14:paraId="1959B797" w14:textId="77777777" w:rsidR="00E4484A" w:rsidRDefault="00E4484A" w:rsidP="00B84A5B">
      <w:pPr>
        <w:rPr>
          <w:rFonts w:cs="Arial"/>
        </w:rPr>
      </w:pPr>
    </w:p>
    <w:p w14:paraId="21E4D0D5" w14:textId="77777777" w:rsidR="005E011D" w:rsidRPr="00586F66" w:rsidRDefault="005E011D" w:rsidP="005E011D">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68"/>
        <w:gridCol w:w="6008"/>
      </w:tblGrid>
      <w:tr w:rsidR="005E011D" w:rsidRPr="00586F66" w14:paraId="62A4F450"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622C3EF6" w14:textId="77777777" w:rsidR="005E011D" w:rsidRPr="00586F66" w:rsidRDefault="005E011D" w:rsidP="004135BE">
            <w:pPr>
              <w:pStyle w:val="TableHeader"/>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56785D6D" w14:textId="77777777" w:rsidR="005E011D" w:rsidRPr="00586F66" w:rsidRDefault="005E011D" w:rsidP="004135BE">
            <w:pPr>
              <w:pStyle w:val="TableHeader"/>
              <w:rPr>
                <w:rFonts w:ascii="Calibri" w:hAnsi="Calibri"/>
              </w:rPr>
            </w:pPr>
            <w:r w:rsidRPr="00586F66">
              <w:rPr>
                <w:rFonts w:ascii="Calibri" w:hAnsi="Calibri"/>
              </w:rPr>
              <w:t>Details</w:t>
            </w:r>
          </w:p>
        </w:tc>
      </w:tr>
      <w:tr w:rsidR="005E011D" w:rsidRPr="00586F66" w14:paraId="74685AC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D3D997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F358CD3" w14:textId="742410E5" w:rsidR="005E011D" w:rsidRPr="00A81503" w:rsidRDefault="008462D9" w:rsidP="000C15FB">
            <w:pPr>
              <w:pStyle w:val="TableText"/>
              <w:rPr>
                <w:rFonts w:ascii="Calibri" w:hAnsi="Calibri"/>
                <w:i/>
                <w:iCs/>
                <w:sz w:val="20"/>
                <w:szCs w:val="20"/>
              </w:rPr>
            </w:pPr>
            <w:r>
              <w:rPr>
                <w:rFonts w:ascii="Calibri" w:hAnsi="Calibri"/>
                <w:i/>
                <w:iCs/>
                <w:sz w:val="20"/>
                <w:szCs w:val="20"/>
              </w:rPr>
              <w:t xml:space="preserve">Transitional Release Leave (Excluding Community-based Employment) </w:t>
            </w:r>
            <w:r w:rsidR="00641860" w:rsidRPr="00A81503">
              <w:rPr>
                <w:rFonts w:ascii="Calibri" w:hAnsi="Calibri"/>
                <w:i/>
                <w:iCs/>
                <w:sz w:val="20"/>
                <w:szCs w:val="20"/>
              </w:rPr>
              <w:t xml:space="preserve">Operating </w:t>
            </w:r>
            <w:r w:rsidR="004D1932" w:rsidRPr="00A81503">
              <w:rPr>
                <w:rFonts w:ascii="Calibri" w:hAnsi="Calibri"/>
                <w:i/>
                <w:iCs/>
                <w:sz w:val="20"/>
                <w:szCs w:val="20"/>
              </w:rPr>
              <w:t>Procedure</w:t>
            </w:r>
            <w:r w:rsidR="00895F9F" w:rsidRPr="00A81503">
              <w:rPr>
                <w:rFonts w:ascii="Calibri" w:hAnsi="Calibri"/>
                <w:i/>
                <w:iCs/>
                <w:sz w:val="20"/>
                <w:szCs w:val="20"/>
              </w:rPr>
              <w:t xml:space="preserve"> </w:t>
            </w:r>
            <w:r w:rsidR="00C629AB" w:rsidRPr="00A81503">
              <w:rPr>
                <w:rFonts w:ascii="Calibri" w:hAnsi="Calibri"/>
                <w:i/>
                <w:iCs/>
                <w:sz w:val="20"/>
                <w:szCs w:val="20"/>
              </w:rPr>
              <w:t>202</w:t>
            </w:r>
            <w:r w:rsidR="00292762">
              <w:rPr>
                <w:rFonts w:ascii="Calibri" w:hAnsi="Calibri"/>
                <w:i/>
                <w:iCs/>
                <w:sz w:val="20"/>
                <w:szCs w:val="20"/>
              </w:rPr>
              <w:t>3</w:t>
            </w:r>
          </w:p>
        </w:tc>
      </w:tr>
      <w:tr w:rsidR="005E011D" w:rsidRPr="00586F66" w14:paraId="2D66ECDB"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26FACA8"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713F8890" w14:textId="2C45CB0F" w:rsidR="005E011D" w:rsidRPr="00586F66" w:rsidRDefault="008462D9" w:rsidP="004135BE">
            <w:pPr>
              <w:pStyle w:val="TableText"/>
              <w:rPr>
                <w:rFonts w:ascii="Calibri" w:hAnsi="Calibri"/>
                <w:sz w:val="20"/>
                <w:szCs w:val="20"/>
              </w:rPr>
            </w:pPr>
            <w:r>
              <w:rPr>
                <w:rFonts w:ascii="Calibri" w:hAnsi="Calibri"/>
                <w:sz w:val="20"/>
                <w:szCs w:val="20"/>
              </w:rPr>
              <w:t>Assistant Commissioner Offender Reintegration,</w:t>
            </w:r>
            <w:r w:rsidR="005E011D" w:rsidRPr="00586F66">
              <w:rPr>
                <w:rFonts w:ascii="Calibri" w:hAnsi="Calibri"/>
                <w:sz w:val="20"/>
                <w:szCs w:val="20"/>
              </w:rPr>
              <w:t xml:space="preserve"> ACT Corrective Services</w:t>
            </w:r>
          </w:p>
        </w:tc>
      </w:tr>
      <w:tr w:rsidR="005E011D" w:rsidRPr="00586F66" w14:paraId="2A82A395"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609960CD"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7723911B" w14:textId="77777777" w:rsidR="005E011D" w:rsidRPr="00586F66" w:rsidRDefault="00F85168" w:rsidP="000C15FB">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2BC3008F"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0CA5ED2" w14:textId="77777777" w:rsidR="005E011D" w:rsidRPr="00586F66" w:rsidRDefault="005E011D" w:rsidP="004135BE">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EA49A5F" w14:textId="77777777" w:rsidR="005E011D" w:rsidRPr="00586F66" w:rsidRDefault="00F85168" w:rsidP="000C15FB">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52B02058"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2F943D0" w14:textId="77777777" w:rsidR="00CF03FA" w:rsidRPr="00586F66" w:rsidRDefault="00CF03FA" w:rsidP="004135BE">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5FAB88E8" w14:textId="6EF9E9EA" w:rsidR="00CF03FA" w:rsidRPr="00586F66" w:rsidRDefault="008462D9" w:rsidP="007B3718">
            <w:pPr>
              <w:pStyle w:val="TableText"/>
              <w:rPr>
                <w:rFonts w:ascii="Calibri" w:hAnsi="Calibri"/>
                <w:sz w:val="20"/>
                <w:szCs w:val="20"/>
              </w:rPr>
            </w:pPr>
            <w:r>
              <w:rPr>
                <w:rFonts w:ascii="Calibri" w:hAnsi="Calibri"/>
                <w:sz w:val="20"/>
                <w:szCs w:val="20"/>
              </w:rPr>
              <w:t>Senior Director Offender Reintegration</w:t>
            </w:r>
          </w:p>
        </w:tc>
      </w:tr>
      <w:tr w:rsidR="007B3718" w:rsidRPr="00586F66" w14:paraId="7A48392C"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9D5B7AB" w14:textId="77777777" w:rsidR="007B3718" w:rsidRPr="00586F66" w:rsidRDefault="00E4484A" w:rsidP="00E4484A">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6F403F3" w14:textId="17EC4BC4" w:rsidR="007B3718" w:rsidRPr="00586F66" w:rsidRDefault="007B3718" w:rsidP="00E4484A">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Corrections Management (Policy</w:t>
            </w:r>
            <w:r w:rsidR="00202B3A">
              <w:rPr>
                <w:rFonts w:asciiTheme="minorHAnsi" w:hAnsiTheme="minorHAnsi"/>
                <w:i/>
                <w:iCs/>
                <w:sz w:val="20"/>
                <w:szCs w:val="20"/>
              </w:rPr>
              <w:t xml:space="preserve"> 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w:t>
            </w:r>
            <w:r w:rsidR="00C629AB" w:rsidRPr="00780A2D">
              <w:rPr>
                <w:rFonts w:asciiTheme="minorHAnsi" w:hAnsiTheme="minorHAnsi"/>
                <w:i/>
                <w:iCs/>
                <w:sz w:val="20"/>
                <w:szCs w:val="20"/>
              </w:rPr>
              <w:t>20</w:t>
            </w:r>
            <w:r w:rsidR="00C629AB">
              <w:rPr>
                <w:rFonts w:asciiTheme="minorHAnsi" w:hAnsiTheme="minorHAnsi"/>
                <w:i/>
                <w:iCs/>
                <w:sz w:val="20"/>
                <w:szCs w:val="20"/>
              </w:rPr>
              <w:t>2</w:t>
            </w:r>
            <w:r w:rsidR="008462D9">
              <w:rPr>
                <w:rFonts w:asciiTheme="minorHAnsi" w:hAnsiTheme="minorHAnsi"/>
                <w:i/>
                <w:iCs/>
                <w:sz w:val="20"/>
                <w:szCs w:val="20"/>
              </w:rPr>
              <w:t>2</w:t>
            </w:r>
          </w:p>
        </w:tc>
      </w:tr>
      <w:tr w:rsidR="005E011D" w:rsidRPr="00586F66" w14:paraId="27FE4371" w14:textId="77777777" w:rsidTr="00840B46">
        <w:trPr>
          <w:cantSplit/>
        </w:trPr>
        <w:tc>
          <w:tcPr>
            <w:tcW w:w="5000" w:type="pct"/>
            <w:gridSpan w:val="2"/>
            <w:tcBorders>
              <w:top w:val="nil"/>
              <w:left w:val="nil"/>
              <w:bottom w:val="nil"/>
              <w:right w:val="nil"/>
            </w:tcBorders>
            <w:tcMar>
              <w:top w:w="57" w:type="dxa"/>
              <w:left w:w="108" w:type="dxa"/>
              <w:bottom w:w="57" w:type="dxa"/>
              <w:right w:w="108" w:type="dxa"/>
            </w:tcMar>
            <w:hideMark/>
          </w:tcPr>
          <w:p w14:paraId="320FEBDB" w14:textId="77777777" w:rsidR="005E011D" w:rsidRDefault="005E011D" w:rsidP="0041603D">
            <w:pPr>
              <w:pStyle w:val="BodyText"/>
              <w:spacing w:after="0"/>
              <w:rPr>
                <w:sz w:val="20"/>
                <w:szCs w:val="20"/>
              </w:rPr>
            </w:pPr>
          </w:p>
          <w:tbl>
            <w:tblPr>
              <w:tblStyle w:val="TableGrid"/>
              <w:tblW w:w="85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70"/>
              <w:gridCol w:w="2569"/>
              <w:gridCol w:w="2177"/>
              <w:gridCol w:w="1640"/>
            </w:tblGrid>
            <w:tr w:rsidR="00EF4141" w:rsidRPr="00B11C0C" w14:paraId="26B7955B" w14:textId="77777777" w:rsidTr="00EF4141">
              <w:trPr>
                <w:trHeight w:val="395"/>
              </w:trPr>
              <w:tc>
                <w:tcPr>
                  <w:tcW w:w="0" w:type="auto"/>
                  <w:gridSpan w:val="4"/>
                  <w:shd w:val="clear" w:color="auto" w:fill="F2F2F2" w:themeFill="background1" w:themeFillShade="F2"/>
                </w:tcPr>
                <w:p w14:paraId="27D80EAC"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EF4141" w:rsidRPr="00B11C0C" w14:paraId="1D44FEC6" w14:textId="77777777" w:rsidTr="00EF4141">
              <w:trPr>
                <w:trHeight w:val="395"/>
              </w:trPr>
              <w:tc>
                <w:tcPr>
                  <w:tcW w:w="0" w:type="auto"/>
                </w:tcPr>
                <w:p w14:paraId="6BE998BA"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7B94FB26"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1D73CA15"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7E1C430B" w14:textId="77777777" w:rsidR="00EF4141" w:rsidRPr="00B11C0C" w:rsidRDefault="00EF4141" w:rsidP="00EF4141">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EF4141" w:rsidRPr="00B11C0C" w14:paraId="78C62208" w14:textId="77777777" w:rsidTr="00EF4141">
              <w:trPr>
                <w:trHeight w:val="395"/>
              </w:trPr>
              <w:tc>
                <w:tcPr>
                  <w:tcW w:w="0" w:type="auto"/>
                </w:tcPr>
                <w:p w14:paraId="7AEEBC7B"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33C1B09F" w14:textId="5EB7B73E" w:rsidR="00EF4141" w:rsidRPr="00B11C0C" w:rsidRDefault="008462D9" w:rsidP="00EF4141">
                  <w:pPr>
                    <w:spacing w:line="360" w:lineRule="auto"/>
                    <w:outlineLvl w:val="1"/>
                    <w:rPr>
                      <w:rFonts w:eastAsia="Calibri" w:cs="Times New Roman"/>
                      <w:sz w:val="20"/>
                      <w:szCs w:val="24"/>
                    </w:rPr>
                  </w:pPr>
                  <w:r>
                    <w:rPr>
                      <w:rFonts w:eastAsia="Calibri" w:cs="Times New Roman"/>
                      <w:sz w:val="20"/>
                      <w:szCs w:val="24"/>
                    </w:rPr>
                    <w:t>September</w:t>
                  </w:r>
                  <w:r w:rsidR="009E4E29">
                    <w:rPr>
                      <w:rFonts w:eastAsia="Calibri" w:cs="Times New Roman"/>
                      <w:sz w:val="20"/>
                      <w:szCs w:val="24"/>
                    </w:rPr>
                    <w:t>-22</w:t>
                  </w:r>
                </w:p>
              </w:tc>
              <w:tc>
                <w:tcPr>
                  <w:tcW w:w="0" w:type="auto"/>
                </w:tcPr>
                <w:p w14:paraId="28A19A02" w14:textId="77777777" w:rsidR="00EF4141" w:rsidRPr="00B11C0C" w:rsidRDefault="00EF4141" w:rsidP="00EF4141">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5A9DF4D3" w14:textId="6953E946" w:rsidR="00EF4141" w:rsidRPr="00B11C0C" w:rsidRDefault="008462D9" w:rsidP="00EF4141">
                  <w:pPr>
                    <w:spacing w:line="360" w:lineRule="auto"/>
                    <w:outlineLvl w:val="1"/>
                    <w:rPr>
                      <w:rFonts w:eastAsia="Calibri" w:cs="Times New Roman"/>
                      <w:sz w:val="20"/>
                      <w:szCs w:val="24"/>
                    </w:rPr>
                  </w:pPr>
                  <w:r>
                    <w:rPr>
                      <w:rFonts w:eastAsia="Calibri" w:cs="Times New Roman"/>
                      <w:sz w:val="20"/>
                      <w:szCs w:val="24"/>
                    </w:rPr>
                    <w:t>L Spulak</w:t>
                  </w:r>
                </w:p>
              </w:tc>
            </w:tr>
          </w:tbl>
          <w:p w14:paraId="087913EE" w14:textId="1B33ECCB" w:rsidR="00EF4141" w:rsidRPr="00586F66" w:rsidRDefault="00EF4141" w:rsidP="0041603D">
            <w:pPr>
              <w:pStyle w:val="BodyText"/>
              <w:spacing w:after="0"/>
              <w:rPr>
                <w:sz w:val="20"/>
                <w:szCs w:val="20"/>
              </w:rPr>
            </w:pPr>
          </w:p>
        </w:tc>
      </w:tr>
    </w:tbl>
    <w:p w14:paraId="606DFF72" w14:textId="77777777" w:rsidR="005E011D" w:rsidRPr="00586F66" w:rsidRDefault="005E011D" w:rsidP="005E011D">
      <w:pPr>
        <w:rPr>
          <w:rFonts w:ascii="Calibri" w:hAnsi="Calibri"/>
          <w:sz w:val="20"/>
          <w:szCs w:val="20"/>
        </w:rPr>
      </w:pPr>
    </w:p>
    <w:p w14:paraId="76ED977F" w14:textId="77777777" w:rsidR="005E011D" w:rsidRDefault="005E011D" w:rsidP="005E011D">
      <w:pPr>
        <w:rPr>
          <w:rFonts w:ascii="Arial" w:hAnsi="Arial" w:cs="Arial"/>
          <w:sz w:val="24"/>
          <w:szCs w:val="24"/>
        </w:rPr>
      </w:pPr>
    </w:p>
    <w:sectPr w:rsidR="005E011D" w:rsidSect="00CB3FE8">
      <w:headerReference w:type="first" r:id="rId14"/>
      <w:footerReference w:type="first" r:id="rId15"/>
      <w:pgSz w:w="11906" w:h="16838"/>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F843" w14:textId="77777777" w:rsidR="00E14FAF" w:rsidRDefault="00E14FAF" w:rsidP="00152D5E">
      <w:pPr>
        <w:spacing w:after="0" w:line="240" w:lineRule="auto"/>
      </w:pPr>
      <w:r>
        <w:separator/>
      </w:r>
    </w:p>
  </w:endnote>
  <w:endnote w:type="continuationSeparator" w:id="0">
    <w:p w14:paraId="61B03809" w14:textId="77777777" w:rsidR="00E14FAF" w:rsidRDefault="00E14FAF"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A0E65" w14:textId="77777777" w:rsidR="00642D89" w:rsidRDefault="00642D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rPr>
        <w:sz w:val="20"/>
        <w:szCs w:val="20"/>
      </w:rPr>
    </w:sdtEndPr>
    <w:sdtContent>
      <w:sdt>
        <w:sdtPr>
          <w:rPr>
            <w:rFonts w:ascii="Calibri" w:hAnsi="Calibri"/>
          </w:rPr>
          <w:id w:val="565050523"/>
          <w:docPartObj>
            <w:docPartGallery w:val="Page Numbers (Top of Page)"/>
            <w:docPartUnique/>
          </w:docPartObj>
        </w:sdtPr>
        <w:sdtEndPr>
          <w:rPr>
            <w:sz w:val="20"/>
            <w:szCs w:val="20"/>
          </w:rPr>
        </w:sdtEndPr>
        <w:sdtContent>
          <w:p w14:paraId="4184CD10" w14:textId="7226C2C8" w:rsidR="00FB2C79" w:rsidRDefault="00FB2C79" w:rsidP="00522660">
            <w:pPr>
              <w:pStyle w:val="Footer"/>
              <w:jc w:val="right"/>
              <w:rPr>
                <w:rFonts w:ascii="Calibri" w:hAnsi="Calibri"/>
                <w:sz w:val="20"/>
                <w:szCs w:val="20"/>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8A2CFA">
              <w:rPr>
                <w:rFonts w:ascii="Calibri" w:hAnsi="Calibri"/>
                <w:noProof/>
                <w:szCs w:val="18"/>
              </w:rPr>
              <w:t>5</w:t>
            </w:r>
            <w:r w:rsidR="003C6EB2" w:rsidRPr="005E011D">
              <w:rPr>
                <w:rFonts w:ascii="Calibri" w:hAnsi="Calibri"/>
                <w:szCs w:val="18"/>
              </w:rPr>
              <w:fldChar w:fldCharType="end"/>
            </w:r>
          </w:p>
        </w:sdtContent>
      </w:sdt>
    </w:sdtContent>
  </w:sdt>
  <w:p w14:paraId="540B5470" w14:textId="51B3282D" w:rsidR="00642D89" w:rsidRPr="00642D89" w:rsidRDefault="00642D89" w:rsidP="00642D89">
    <w:pPr>
      <w:pStyle w:val="Footer"/>
      <w:jc w:val="center"/>
      <w:rPr>
        <w:rFonts w:ascii="Arial" w:hAnsi="Arial" w:cs="Arial"/>
        <w:sz w:val="14"/>
        <w:szCs w:val="18"/>
      </w:rPr>
    </w:pPr>
    <w:r w:rsidRPr="00642D89">
      <w:rPr>
        <w:rFonts w:ascii="Arial" w:hAnsi="Arial" w:cs="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73AD" w14:textId="6C783BD7" w:rsidR="00CB3FE8" w:rsidRDefault="00CB3FE8" w:rsidP="00CB3FE8">
    <w:pPr>
      <w:pStyle w:val="Footer"/>
      <w:rPr>
        <w:rFonts w:ascii="Arial" w:hAnsi="Arial" w:cs="Arial"/>
        <w:sz w:val="18"/>
      </w:rPr>
    </w:pPr>
    <w:r w:rsidRPr="00CB3FE8">
      <w:rPr>
        <w:rFonts w:ascii="Arial" w:hAnsi="Arial" w:cs="Arial"/>
        <w:sz w:val="18"/>
      </w:rPr>
      <w:t>*Name amended under Legislation Act, s 60</w:t>
    </w:r>
  </w:p>
  <w:p w14:paraId="5B9C9433" w14:textId="20EE545A" w:rsidR="00642D89" w:rsidRPr="00642D89" w:rsidRDefault="00642D89" w:rsidP="00642D89">
    <w:pPr>
      <w:pStyle w:val="Footer"/>
      <w:jc w:val="center"/>
      <w:rPr>
        <w:rFonts w:ascii="Arial" w:hAnsi="Arial" w:cs="Arial"/>
        <w:sz w:val="14"/>
      </w:rPr>
    </w:pPr>
    <w:r w:rsidRPr="00642D89">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A234" w14:textId="3CB39500" w:rsidR="00F04ECF" w:rsidRPr="00642D89" w:rsidRDefault="00642D89" w:rsidP="00642D89">
    <w:pPr>
      <w:pStyle w:val="Footer"/>
      <w:jc w:val="center"/>
      <w:rPr>
        <w:rFonts w:ascii="Arial" w:hAnsi="Arial" w:cs="Arial"/>
        <w:sz w:val="14"/>
      </w:rPr>
    </w:pPr>
    <w:r w:rsidRPr="00642D8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AEA0" w14:textId="77777777" w:rsidR="00E14FAF" w:rsidRDefault="00E14FAF" w:rsidP="00152D5E">
      <w:pPr>
        <w:spacing w:after="0" w:line="240" w:lineRule="auto"/>
      </w:pPr>
      <w:r>
        <w:separator/>
      </w:r>
    </w:p>
  </w:footnote>
  <w:footnote w:type="continuationSeparator" w:id="0">
    <w:p w14:paraId="2FB1E155" w14:textId="77777777" w:rsidR="00E14FAF" w:rsidRDefault="00E14FAF"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94BD" w14:textId="77777777" w:rsidR="00642D89" w:rsidRDefault="00642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6D36" w14:textId="77777777" w:rsidR="00642D89" w:rsidRDefault="00642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3FAB" w14:textId="77777777" w:rsidR="00642D89" w:rsidRDefault="00642D8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5573" w14:textId="77777777" w:rsidR="00F04ECF" w:rsidRDefault="00F04ECF">
    <w:pPr>
      <w:pStyle w:val="Header"/>
      <w:rPr>
        <w:b/>
        <w:bCs/>
        <w:color w:val="808080"/>
        <w:spacing w:val="24"/>
        <w:sz w:val="20"/>
        <w:szCs w:val="20"/>
      </w:rPr>
    </w:pPr>
    <w:r w:rsidRPr="00D94114">
      <w:rPr>
        <w:noProof/>
        <w:lang w:eastAsia="en-AU"/>
      </w:rPr>
      <w:drawing>
        <wp:inline distT="0" distB="0" distL="0" distR="0" wp14:anchorId="5261989E" wp14:editId="0528BA39">
          <wp:extent cx="2190750" cy="676275"/>
          <wp:effectExtent l="19050" t="0" r="0" b="0"/>
          <wp:docPr id="1" name="Picture 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1394E6A9" w14:textId="77777777" w:rsidR="00F04ECF" w:rsidRDefault="00F04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6FA9"/>
    <w:multiLevelType w:val="hybridMultilevel"/>
    <w:tmpl w:val="EF7620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5E9638C"/>
    <w:multiLevelType w:val="hybridMultilevel"/>
    <w:tmpl w:val="E38CF8C8"/>
    <w:lvl w:ilvl="0" w:tplc="EA1260E2">
      <w:start w:val="1"/>
      <w:numFmt w:val="lowerLetter"/>
      <w:pStyle w:val="Indenttext2"/>
      <w:lvlText w:val="%1."/>
      <w:lvlJc w:val="left"/>
      <w:pPr>
        <w:ind w:left="128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2241EC">
      <w:start w:val="1"/>
      <w:numFmt w:val="lowerRoman"/>
      <w:pStyle w:val="Style1"/>
      <w:lvlText w:val="%2."/>
      <w:lvlJc w:val="right"/>
      <w:pPr>
        <w:ind w:left="2007" w:hanging="360"/>
      </w:pPr>
      <w:rPr>
        <w:rFonts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82200AD"/>
    <w:multiLevelType w:val="multilevel"/>
    <w:tmpl w:val="A22858D8"/>
    <w:lvl w:ilvl="0">
      <w:start w:val="1"/>
      <w:numFmt w:val="decimal"/>
      <w:pStyle w:val="Heading1"/>
      <w:lvlText w:val="%1"/>
      <w:lvlJc w:val="left"/>
      <w:pPr>
        <w:tabs>
          <w:tab w:val="num" w:pos="794"/>
        </w:tabs>
        <w:ind w:left="794" w:hanging="794"/>
      </w:pPr>
    </w:lvl>
    <w:lvl w:ilvl="1">
      <w:start w:val="1"/>
      <w:numFmt w:val="decimal"/>
      <w:lvlText w:val="%1.%2"/>
      <w:lvlJc w:val="left"/>
      <w:pPr>
        <w:tabs>
          <w:tab w:val="num" w:pos="1787"/>
        </w:tabs>
        <w:ind w:left="1787" w:hanging="794"/>
      </w:pPr>
    </w:lvl>
    <w:lvl w:ilvl="2">
      <w:start w:val="1"/>
      <w:numFmt w:val="decimal"/>
      <w:pStyle w:val="Heading3"/>
      <w:lvlText w:val="%1.%2.%3"/>
      <w:lvlJc w:val="left"/>
      <w:pPr>
        <w:tabs>
          <w:tab w:val="num" w:pos="794"/>
        </w:tabs>
        <w:ind w:left="794" w:hanging="794"/>
      </w:pPr>
    </w:lvl>
    <w:lvl w:ilvl="3">
      <w:start w:val="1"/>
      <w:numFmt w:val="none"/>
      <w:pStyle w:val="Heading4"/>
      <w:suff w:val="nothing"/>
      <w:lvlText w:val=""/>
      <w:lvlJc w:val="left"/>
      <w:pPr>
        <w:ind w:left="794" w:firstLine="0"/>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186105B0"/>
    <w:multiLevelType w:val="multilevel"/>
    <w:tmpl w:val="C652D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B390B"/>
    <w:multiLevelType w:val="hybridMultilevel"/>
    <w:tmpl w:val="1938C9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B5E205F"/>
    <w:multiLevelType w:val="multilevel"/>
    <w:tmpl w:val="F6E2D346"/>
    <w:lvl w:ilvl="0">
      <w:start w:val="1"/>
      <w:numFmt w:val="decimal"/>
      <w:lvlText w:val="%1."/>
      <w:lvlJc w:val="left"/>
      <w:pPr>
        <w:ind w:left="360" w:hanging="360"/>
      </w:pPr>
      <w:rPr>
        <w:b/>
        <w:bCs/>
      </w:rPr>
    </w:lvl>
    <w:lvl w:ilvl="1">
      <w:start w:val="1"/>
      <w:numFmt w:val="lowerRoman"/>
      <w:lvlText w:val="%2."/>
      <w:lvlJc w:val="righ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1B4BC8"/>
    <w:multiLevelType w:val="multilevel"/>
    <w:tmpl w:val="EBFE20E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339B7037"/>
    <w:multiLevelType w:val="hybridMultilevel"/>
    <w:tmpl w:val="DC542CB6"/>
    <w:lvl w:ilvl="0" w:tplc="938261E2">
      <w:start w:val="1"/>
      <w:numFmt w:val="bullet"/>
      <w:pStyle w:val="RelatedDocume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BD6047"/>
    <w:multiLevelType w:val="hybridMultilevel"/>
    <w:tmpl w:val="C0483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DFD0D62"/>
    <w:multiLevelType w:val="multilevel"/>
    <w:tmpl w:val="3D5EAA5E"/>
    <w:lvl w:ilvl="0">
      <w:start w:val="8"/>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720" w:hanging="720"/>
      </w:pPr>
      <w:rPr>
        <w:sz w:val="22"/>
      </w:rPr>
    </w:lvl>
    <w:lvl w:ilvl="5">
      <w:start w:val="1"/>
      <w:numFmt w:val="decimal"/>
      <w:lvlText w:val="%1.%2.%3.%4.%5.%6"/>
      <w:lvlJc w:val="left"/>
      <w:pPr>
        <w:ind w:left="1080" w:hanging="1080"/>
      </w:pPr>
      <w:rPr>
        <w:sz w:val="22"/>
      </w:rPr>
    </w:lvl>
    <w:lvl w:ilvl="6">
      <w:start w:val="1"/>
      <w:numFmt w:val="decimal"/>
      <w:lvlText w:val="%1.%2.%3.%4.%5.%6.%7"/>
      <w:lvlJc w:val="left"/>
      <w:pPr>
        <w:ind w:left="1080" w:hanging="108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440" w:hanging="1440"/>
      </w:pPr>
      <w:rPr>
        <w:sz w:val="22"/>
      </w:rPr>
    </w:lvl>
  </w:abstractNum>
  <w:abstractNum w:abstractNumId="10" w15:restartNumberingAfterBreak="0">
    <w:nsid w:val="6E087ABA"/>
    <w:multiLevelType w:val="multilevel"/>
    <w:tmpl w:val="E2DA5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F02241"/>
    <w:multiLevelType w:val="hybridMultilevel"/>
    <w:tmpl w:val="A4D2B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7B512A53"/>
    <w:multiLevelType w:val="multilevel"/>
    <w:tmpl w:val="651C7486"/>
    <w:lvl w:ilvl="0">
      <w:start w:val="1"/>
      <w:numFmt w:val="decimal"/>
      <w:pStyle w:val="SectionHeading"/>
      <w:lvlText w:val="%1."/>
      <w:lvlJc w:val="left"/>
      <w:pPr>
        <w:ind w:left="360" w:hanging="360"/>
      </w:pPr>
      <w:rPr>
        <w:b/>
        <w:bCs/>
      </w:rPr>
    </w:lvl>
    <w:lvl w:ilvl="1">
      <w:start w:val="1"/>
      <w:numFmt w:val="decimal"/>
      <w:pStyle w:val="Indenttext1"/>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34473554">
    <w:abstractNumId w:val="12"/>
  </w:num>
  <w:num w:numId="2" w16cid:durableId="1824151921">
    <w:abstractNumId w:val="1"/>
  </w:num>
  <w:num w:numId="3" w16cid:durableId="168063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9488599">
    <w:abstractNumId w:val="1"/>
  </w:num>
  <w:num w:numId="5" w16cid:durableId="100491912">
    <w:abstractNumId w:val="1"/>
    <w:lvlOverride w:ilvl="0">
      <w:startOverride w:val="1"/>
    </w:lvlOverride>
  </w:num>
  <w:num w:numId="6" w16cid:durableId="420641171">
    <w:abstractNumId w:val="7"/>
  </w:num>
  <w:num w:numId="7" w16cid:durableId="231820523">
    <w:abstractNumId w:val="4"/>
  </w:num>
  <w:num w:numId="8" w16cid:durableId="1290672087">
    <w:abstractNumId w:val="1"/>
    <w:lvlOverride w:ilvl="0">
      <w:startOverride w:val="1"/>
    </w:lvlOverride>
  </w:num>
  <w:num w:numId="9" w16cid:durableId="28189010">
    <w:abstractNumId w:val="5"/>
  </w:num>
  <w:num w:numId="10" w16cid:durableId="17746717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0970182">
    <w:abstractNumId w:val="10"/>
  </w:num>
  <w:num w:numId="12" w16cid:durableId="931159821">
    <w:abstractNumId w:val="3"/>
  </w:num>
  <w:num w:numId="13" w16cid:durableId="907571412">
    <w:abstractNumId w:val="0"/>
  </w:num>
  <w:num w:numId="14" w16cid:durableId="189997046">
    <w:abstractNumId w:val="0"/>
  </w:num>
  <w:num w:numId="15" w16cid:durableId="1436707122">
    <w:abstractNumId w:val="1"/>
    <w:lvlOverride w:ilvl="0">
      <w:startOverride w:val="1"/>
    </w:lvlOverride>
  </w:num>
  <w:num w:numId="16" w16cid:durableId="567616513">
    <w:abstractNumId w:val="1"/>
    <w:lvlOverride w:ilvl="0">
      <w:startOverride w:val="1"/>
    </w:lvlOverride>
  </w:num>
  <w:num w:numId="17" w16cid:durableId="1447310793">
    <w:abstractNumId w:val="1"/>
    <w:lvlOverride w:ilvl="0">
      <w:startOverride w:val="1"/>
    </w:lvlOverride>
  </w:num>
  <w:num w:numId="18" w16cid:durableId="1480222322">
    <w:abstractNumId w:val="8"/>
  </w:num>
  <w:num w:numId="19" w16cid:durableId="95868230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01098399">
    <w:abstractNumId w:val="1"/>
    <w:lvlOverride w:ilvl="0">
      <w:startOverride w:val="1"/>
    </w:lvlOverride>
  </w:num>
  <w:num w:numId="21" w16cid:durableId="923760462">
    <w:abstractNumId w:val="7"/>
  </w:num>
  <w:num w:numId="22" w16cid:durableId="25666931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A4"/>
    <w:rsid w:val="000100D2"/>
    <w:rsid w:val="00012A69"/>
    <w:rsid w:val="00033447"/>
    <w:rsid w:val="000458C7"/>
    <w:rsid w:val="00071198"/>
    <w:rsid w:val="000B7E7B"/>
    <w:rsid w:val="000C15FB"/>
    <w:rsid w:val="000C7B6F"/>
    <w:rsid w:val="000F21C2"/>
    <w:rsid w:val="0010638B"/>
    <w:rsid w:val="001127C2"/>
    <w:rsid w:val="00115ACD"/>
    <w:rsid w:val="00122FF1"/>
    <w:rsid w:val="001230CE"/>
    <w:rsid w:val="00132DBB"/>
    <w:rsid w:val="00140DA4"/>
    <w:rsid w:val="00141BD0"/>
    <w:rsid w:val="00141E42"/>
    <w:rsid w:val="001504B0"/>
    <w:rsid w:val="00152066"/>
    <w:rsid w:val="00152D5E"/>
    <w:rsid w:val="00162B50"/>
    <w:rsid w:val="001764CE"/>
    <w:rsid w:val="0018130E"/>
    <w:rsid w:val="001853B3"/>
    <w:rsid w:val="001A50E7"/>
    <w:rsid w:val="001A677B"/>
    <w:rsid w:val="001B6520"/>
    <w:rsid w:val="001E0DC9"/>
    <w:rsid w:val="00202B3A"/>
    <w:rsid w:val="0021108E"/>
    <w:rsid w:val="00215BD6"/>
    <w:rsid w:val="00221FA3"/>
    <w:rsid w:val="00224981"/>
    <w:rsid w:val="00252E13"/>
    <w:rsid w:val="00272CE7"/>
    <w:rsid w:val="002826FB"/>
    <w:rsid w:val="00283EE0"/>
    <w:rsid w:val="00287266"/>
    <w:rsid w:val="00292762"/>
    <w:rsid w:val="002A14AD"/>
    <w:rsid w:val="002A2DE1"/>
    <w:rsid w:val="002A59E1"/>
    <w:rsid w:val="002B3CE1"/>
    <w:rsid w:val="002C7846"/>
    <w:rsid w:val="002D0977"/>
    <w:rsid w:val="002D13BC"/>
    <w:rsid w:val="002D1603"/>
    <w:rsid w:val="002E31A9"/>
    <w:rsid w:val="002F6E5A"/>
    <w:rsid w:val="00302352"/>
    <w:rsid w:val="00302B09"/>
    <w:rsid w:val="0031239E"/>
    <w:rsid w:val="00314A6D"/>
    <w:rsid w:val="00327284"/>
    <w:rsid w:val="00335431"/>
    <w:rsid w:val="00340868"/>
    <w:rsid w:val="003449F8"/>
    <w:rsid w:val="00345311"/>
    <w:rsid w:val="003517F3"/>
    <w:rsid w:val="00353E50"/>
    <w:rsid w:val="003845D9"/>
    <w:rsid w:val="00390390"/>
    <w:rsid w:val="003964A5"/>
    <w:rsid w:val="00397232"/>
    <w:rsid w:val="003A2E5D"/>
    <w:rsid w:val="003A3CF7"/>
    <w:rsid w:val="003A6D9E"/>
    <w:rsid w:val="003A7DC3"/>
    <w:rsid w:val="003B0384"/>
    <w:rsid w:val="003B2F7D"/>
    <w:rsid w:val="003C4C1C"/>
    <w:rsid w:val="003C5E5F"/>
    <w:rsid w:val="003C6EB2"/>
    <w:rsid w:val="003F5C7D"/>
    <w:rsid w:val="00402430"/>
    <w:rsid w:val="00405E0B"/>
    <w:rsid w:val="00407EE1"/>
    <w:rsid w:val="004135BE"/>
    <w:rsid w:val="0041603D"/>
    <w:rsid w:val="004175E0"/>
    <w:rsid w:val="00425558"/>
    <w:rsid w:val="004404BE"/>
    <w:rsid w:val="00461C8B"/>
    <w:rsid w:val="0046695A"/>
    <w:rsid w:val="00471864"/>
    <w:rsid w:val="004740A6"/>
    <w:rsid w:val="00481ABA"/>
    <w:rsid w:val="00484860"/>
    <w:rsid w:val="004A0E69"/>
    <w:rsid w:val="004B121B"/>
    <w:rsid w:val="004B2F47"/>
    <w:rsid w:val="004B64FC"/>
    <w:rsid w:val="004C28FE"/>
    <w:rsid w:val="004D108E"/>
    <w:rsid w:val="004D1932"/>
    <w:rsid w:val="004E2B2A"/>
    <w:rsid w:val="00500EAE"/>
    <w:rsid w:val="005020AB"/>
    <w:rsid w:val="00510017"/>
    <w:rsid w:val="00510235"/>
    <w:rsid w:val="005167F7"/>
    <w:rsid w:val="00516FDD"/>
    <w:rsid w:val="00522660"/>
    <w:rsid w:val="00522D99"/>
    <w:rsid w:val="00530B1A"/>
    <w:rsid w:val="00532730"/>
    <w:rsid w:val="005359F3"/>
    <w:rsid w:val="00537C32"/>
    <w:rsid w:val="005506B4"/>
    <w:rsid w:val="00552D95"/>
    <w:rsid w:val="00562826"/>
    <w:rsid w:val="00563752"/>
    <w:rsid w:val="0057029F"/>
    <w:rsid w:val="00582DD2"/>
    <w:rsid w:val="00586F66"/>
    <w:rsid w:val="005A4376"/>
    <w:rsid w:val="005A6F4E"/>
    <w:rsid w:val="005A794E"/>
    <w:rsid w:val="005C4C28"/>
    <w:rsid w:val="005D2BB7"/>
    <w:rsid w:val="005D504A"/>
    <w:rsid w:val="005E011D"/>
    <w:rsid w:val="005E33B4"/>
    <w:rsid w:val="005F51C6"/>
    <w:rsid w:val="005F70A8"/>
    <w:rsid w:val="00610DF9"/>
    <w:rsid w:val="00615102"/>
    <w:rsid w:val="00620BBF"/>
    <w:rsid w:val="00622D3C"/>
    <w:rsid w:val="006268DA"/>
    <w:rsid w:val="00634849"/>
    <w:rsid w:val="00641860"/>
    <w:rsid w:val="00642D89"/>
    <w:rsid w:val="0067063B"/>
    <w:rsid w:val="00685F05"/>
    <w:rsid w:val="00686CE7"/>
    <w:rsid w:val="006A5E20"/>
    <w:rsid w:val="006C0044"/>
    <w:rsid w:val="006F301F"/>
    <w:rsid w:val="006F3F09"/>
    <w:rsid w:val="00707A71"/>
    <w:rsid w:val="007104EA"/>
    <w:rsid w:val="007122C1"/>
    <w:rsid w:val="00725E8F"/>
    <w:rsid w:val="0073253B"/>
    <w:rsid w:val="00737195"/>
    <w:rsid w:val="00737D4C"/>
    <w:rsid w:val="00741C56"/>
    <w:rsid w:val="0076023F"/>
    <w:rsid w:val="00767337"/>
    <w:rsid w:val="00780A2D"/>
    <w:rsid w:val="00782A7B"/>
    <w:rsid w:val="00783EF0"/>
    <w:rsid w:val="00784FEB"/>
    <w:rsid w:val="00791154"/>
    <w:rsid w:val="007A4B84"/>
    <w:rsid w:val="007A55E0"/>
    <w:rsid w:val="007B2D71"/>
    <w:rsid w:val="007B3718"/>
    <w:rsid w:val="007C4FCB"/>
    <w:rsid w:val="007D1D59"/>
    <w:rsid w:val="007D6976"/>
    <w:rsid w:val="007D6F72"/>
    <w:rsid w:val="007E7ADC"/>
    <w:rsid w:val="008027A9"/>
    <w:rsid w:val="00803CCC"/>
    <w:rsid w:val="00804E3A"/>
    <w:rsid w:val="00820911"/>
    <w:rsid w:val="00820C1B"/>
    <w:rsid w:val="00822096"/>
    <w:rsid w:val="0082259A"/>
    <w:rsid w:val="00840B46"/>
    <w:rsid w:val="008462D9"/>
    <w:rsid w:val="008501F8"/>
    <w:rsid w:val="0085196C"/>
    <w:rsid w:val="00853BE2"/>
    <w:rsid w:val="00856433"/>
    <w:rsid w:val="00857070"/>
    <w:rsid w:val="00865278"/>
    <w:rsid w:val="00881556"/>
    <w:rsid w:val="00882AB2"/>
    <w:rsid w:val="00883B30"/>
    <w:rsid w:val="00887315"/>
    <w:rsid w:val="00892211"/>
    <w:rsid w:val="00895845"/>
    <w:rsid w:val="00895F9F"/>
    <w:rsid w:val="008A2CFA"/>
    <w:rsid w:val="008A36D1"/>
    <w:rsid w:val="008B3ABC"/>
    <w:rsid w:val="008C07D5"/>
    <w:rsid w:val="008C1D7D"/>
    <w:rsid w:val="008D7964"/>
    <w:rsid w:val="008E2F14"/>
    <w:rsid w:val="008E7151"/>
    <w:rsid w:val="008F18E1"/>
    <w:rsid w:val="009040AE"/>
    <w:rsid w:val="009227D3"/>
    <w:rsid w:val="00925989"/>
    <w:rsid w:val="00936397"/>
    <w:rsid w:val="00947E61"/>
    <w:rsid w:val="00951D8F"/>
    <w:rsid w:val="0095393D"/>
    <w:rsid w:val="009545D4"/>
    <w:rsid w:val="00963282"/>
    <w:rsid w:val="00970387"/>
    <w:rsid w:val="00974E7D"/>
    <w:rsid w:val="009839B3"/>
    <w:rsid w:val="009A1FBC"/>
    <w:rsid w:val="009B765D"/>
    <w:rsid w:val="009C50FE"/>
    <w:rsid w:val="009E4E29"/>
    <w:rsid w:val="00A14F8C"/>
    <w:rsid w:val="00A373D9"/>
    <w:rsid w:val="00A4017C"/>
    <w:rsid w:val="00A81503"/>
    <w:rsid w:val="00A849F5"/>
    <w:rsid w:val="00A93ED3"/>
    <w:rsid w:val="00A95B39"/>
    <w:rsid w:val="00AB0381"/>
    <w:rsid w:val="00AB4372"/>
    <w:rsid w:val="00AC0BF3"/>
    <w:rsid w:val="00AC365D"/>
    <w:rsid w:val="00B00C75"/>
    <w:rsid w:val="00B0453C"/>
    <w:rsid w:val="00B13060"/>
    <w:rsid w:val="00B14115"/>
    <w:rsid w:val="00B41869"/>
    <w:rsid w:val="00B5255E"/>
    <w:rsid w:val="00B57B50"/>
    <w:rsid w:val="00B73389"/>
    <w:rsid w:val="00B84A5B"/>
    <w:rsid w:val="00B90283"/>
    <w:rsid w:val="00BA3A18"/>
    <w:rsid w:val="00BD0E7C"/>
    <w:rsid w:val="00BD7AAD"/>
    <w:rsid w:val="00BF5695"/>
    <w:rsid w:val="00C067A2"/>
    <w:rsid w:val="00C20E16"/>
    <w:rsid w:val="00C20E72"/>
    <w:rsid w:val="00C402F7"/>
    <w:rsid w:val="00C40A3A"/>
    <w:rsid w:val="00C446AD"/>
    <w:rsid w:val="00C4585B"/>
    <w:rsid w:val="00C46EA3"/>
    <w:rsid w:val="00C618E2"/>
    <w:rsid w:val="00C629AB"/>
    <w:rsid w:val="00C64BD0"/>
    <w:rsid w:val="00C81049"/>
    <w:rsid w:val="00C82283"/>
    <w:rsid w:val="00C84375"/>
    <w:rsid w:val="00C84F2C"/>
    <w:rsid w:val="00C9322B"/>
    <w:rsid w:val="00C95B2E"/>
    <w:rsid w:val="00CA16DE"/>
    <w:rsid w:val="00CA5293"/>
    <w:rsid w:val="00CA573D"/>
    <w:rsid w:val="00CA6FE9"/>
    <w:rsid w:val="00CB3FE8"/>
    <w:rsid w:val="00CD0D17"/>
    <w:rsid w:val="00CD35DF"/>
    <w:rsid w:val="00CD581E"/>
    <w:rsid w:val="00CE129E"/>
    <w:rsid w:val="00CE68B8"/>
    <w:rsid w:val="00CF03FA"/>
    <w:rsid w:val="00CF3FF5"/>
    <w:rsid w:val="00D060AE"/>
    <w:rsid w:val="00D07C57"/>
    <w:rsid w:val="00D124A1"/>
    <w:rsid w:val="00D16BFE"/>
    <w:rsid w:val="00D4683E"/>
    <w:rsid w:val="00D5452A"/>
    <w:rsid w:val="00D6123C"/>
    <w:rsid w:val="00D94114"/>
    <w:rsid w:val="00D9493E"/>
    <w:rsid w:val="00D95E71"/>
    <w:rsid w:val="00DB6273"/>
    <w:rsid w:val="00DC4D38"/>
    <w:rsid w:val="00E01795"/>
    <w:rsid w:val="00E079A8"/>
    <w:rsid w:val="00E14FAF"/>
    <w:rsid w:val="00E152FC"/>
    <w:rsid w:val="00E17860"/>
    <w:rsid w:val="00E17BC8"/>
    <w:rsid w:val="00E3576D"/>
    <w:rsid w:val="00E43B5A"/>
    <w:rsid w:val="00E4484A"/>
    <w:rsid w:val="00E51219"/>
    <w:rsid w:val="00E62838"/>
    <w:rsid w:val="00E62FBC"/>
    <w:rsid w:val="00E76F61"/>
    <w:rsid w:val="00E9504E"/>
    <w:rsid w:val="00EB09A1"/>
    <w:rsid w:val="00EB7FD8"/>
    <w:rsid w:val="00EC08D9"/>
    <w:rsid w:val="00ED0F79"/>
    <w:rsid w:val="00EF4141"/>
    <w:rsid w:val="00EF5513"/>
    <w:rsid w:val="00F04ECF"/>
    <w:rsid w:val="00F14697"/>
    <w:rsid w:val="00F33976"/>
    <w:rsid w:val="00F35DEF"/>
    <w:rsid w:val="00F47E82"/>
    <w:rsid w:val="00F47FCC"/>
    <w:rsid w:val="00F622EA"/>
    <w:rsid w:val="00F64FF8"/>
    <w:rsid w:val="00F744B4"/>
    <w:rsid w:val="00F81FF3"/>
    <w:rsid w:val="00F85168"/>
    <w:rsid w:val="00FB2C79"/>
    <w:rsid w:val="00FB6330"/>
    <w:rsid w:val="00FC5257"/>
    <w:rsid w:val="00FD22D4"/>
    <w:rsid w:val="00FF0408"/>
    <w:rsid w:val="00FF3BC0"/>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9A24DFD"/>
  <w15:docId w15:val="{F47CD288-9706-4AFF-AAA4-A633D6AC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100D2"/>
  </w:style>
  <w:style w:type="paragraph" w:styleId="Heading1">
    <w:name w:val="heading 1"/>
    <w:next w:val="Normal"/>
    <w:link w:val="Heading1Char"/>
    <w:rsid w:val="003517F3"/>
    <w:pPr>
      <w:keepNext/>
      <w:numPr>
        <w:numId w:val="3"/>
      </w:numPr>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semiHidden/>
    <w:unhideWhenUsed/>
    <w:qFormat/>
    <w:rsid w:val="003517F3"/>
    <w:pPr>
      <w:keepNext/>
      <w:numPr>
        <w:ilvl w:val="2"/>
        <w:numId w:val="3"/>
      </w:numPr>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semiHidden/>
    <w:unhideWhenUsed/>
    <w:qFormat/>
    <w:rsid w:val="003517F3"/>
    <w:pPr>
      <w:keepNext/>
      <w:numPr>
        <w:ilvl w:val="3"/>
        <w:numId w:val="3"/>
      </w:numPr>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1 Recommendation,Normal + Dash,L,Bullets,FooterText,numbered,Paragraphe de liste1,Bulletr List Paragraph,列出段落,列出段落1,Listeafsnit1,Parágrafo da Lista1,List Paragraph2,List Paragraph21,リスト段落1"/>
    <w:basedOn w:val="Normal"/>
    <w:link w:val="ListParagraphChar"/>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semiHidden/>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semiHidden/>
    <w:rsid w:val="00FD22D4"/>
    <w:rPr>
      <w:sz w:val="20"/>
      <w:szCs w:val="20"/>
    </w:rPr>
  </w:style>
  <w:style w:type="paragraph" w:styleId="CommentSubject">
    <w:name w:val="annotation subject"/>
    <w:basedOn w:val="CommentText"/>
    <w:next w:val="CommentText"/>
    <w:link w:val="CommentSubjectChar"/>
    <w:uiPriority w:val="99"/>
    <w:semiHidden/>
    <w:unhideWhenUsed/>
    <w:rsid w:val="00335431"/>
    <w:rPr>
      <w:b/>
      <w:bCs/>
    </w:rPr>
  </w:style>
  <w:style w:type="character" w:customStyle="1" w:styleId="CommentSubjectChar">
    <w:name w:val="Comment Subject Char"/>
    <w:basedOn w:val="CommentTextChar"/>
    <w:link w:val="CommentSubject"/>
    <w:uiPriority w:val="99"/>
    <w:semiHidden/>
    <w:rsid w:val="00335431"/>
    <w:rPr>
      <w:b/>
      <w:bCs/>
      <w:sz w:val="20"/>
      <w:szCs w:val="20"/>
    </w:rPr>
  </w:style>
  <w:style w:type="character" w:styleId="Hyperlink">
    <w:name w:val="Hyperlink"/>
    <w:basedOn w:val="DefaultParagraphFont"/>
    <w:uiPriority w:val="99"/>
    <w:unhideWhenUsed/>
    <w:rsid w:val="004A0E69"/>
    <w:rPr>
      <w:color w:val="0000FF" w:themeColor="hyperlink"/>
      <w:u w:val="single"/>
    </w:rPr>
  </w:style>
  <w:style w:type="character" w:styleId="UnresolvedMention">
    <w:name w:val="Unresolved Mention"/>
    <w:basedOn w:val="DefaultParagraphFont"/>
    <w:uiPriority w:val="99"/>
    <w:semiHidden/>
    <w:unhideWhenUsed/>
    <w:rsid w:val="004A0E69"/>
    <w:rPr>
      <w:color w:val="605E5C"/>
      <w:shd w:val="clear" w:color="auto" w:fill="E1DFDD"/>
    </w:rPr>
  </w:style>
  <w:style w:type="character" w:customStyle="1" w:styleId="Heading1Char">
    <w:name w:val="Heading 1 Char"/>
    <w:basedOn w:val="DefaultParagraphFont"/>
    <w:link w:val="Heading1"/>
    <w:rsid w:val="003517F3"/>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semiHidden/>
    <w:rsid w:val="003517F3"/>
    <w:rPr>
      <w:rFonts w:ascii="Calibri" w:eastAsia="Times New Roman" w:hAnsi="Calibri" w:cs="Arial"/>
      <w:b/>
      <w:color w:val="548DD4"/>
      <w:sz w:val="24"/>
      <w:szCs w:val="26"/>
    </w:rPr>
  </w:style>
  <w:style w:type="character" w:customStyle="1" w:styleId="Heading4Char">
    <w:name w:val="Heading 4 Char"/>
    <w:basedOn w:val="DefaultParagraphFont"/>
    <w:link w:val="Heading4"/>
    <w:semiHidden/>
    <w:rsid w:val="003517F3"/>
    <w:rPr>
      <w:rFonts w:ascii="Calibri" w:eastAsia="Times New Roman" w:hAnsi="Calibri" w:cs="Arial"/>
      <w:b/>
      <w:color w:val="548DD4"/>
      <w:sz w:val="20"/>
      <w:szCs w:val="20"/>
    </w:rPr>
  </w:style>
  <w:style w:type="paragraph" w:customStyle="1" w:styleId="Heading11">
    <w:name w:val="Heading 11"/>
    <w:basedOn w:val="Normal"/>
    <w:link w:val="HEADING1Char0"/>
    <w:qFormat/>
    <w:rsid w:val="006268DA"/>
    <w:pPr>
      <w:spacing w:before="240"/>
    </w:pPr>
    <w:rPr>
      <w:rFonts w:cs="Arial"/>
      <w:b/>
    </w:rPr>
  </w:style>
  <w:style w:type="paragraph" w:customStyle="1" w:styleId="Normaltext">
    <w:name w:val="Normal text"/>
    <w:basedOn w:val="Normal"/>
    <w:link w:val="NormaltextChar"/>
    <w:qFormat/>
    <w:rsid w:val="006268DA"/>
    <w:pPr>
      <w:spacing w:before="240"/>
    </w:pPr>
    <w:rPr>
      <w:rFonts w:cs="Arial"/>
    </w:rPr>
  </w:style>
  <w:style w:type="character" w:customStyle="1" w:styleId="HEADING1Char0">
    <w:name w:val="HEADING 1 Char"/>
    <w:basedOn w:val="DefaultParagraphFont"/>
    <w:link w:val="Heading11"/>
    <w:rsid w:val="006268DA"/>
    <w:rPr>
      <w:rFonts w:cs="Arial"/>
      <w:b/>
    </w:rPr>
  </w:style>
  <w:style w:type="paragraph" w:customStyle="1" w:styleId="SectionHeading">
    <w:name w:val="Section Heading"/>
    <w:basedOn w:val="ListParagraph"/>
    <w:link w:val="SectionHeadingChar"/>
    <w:qFormat/>
    <w:rsid w:val="006268DA"/>
    <w:pPr>
      <w:numPr>
        <w:numId w:val="1"/>
      </w:numPr>
      <w:spacing w:before="60" w:after="0"/>
      <w:ind w:left="567" w:hanging="567"/>
      <w:contextualSpacing w:val="0"/>
    </w:pPr>
    <w:rPr>
      <w:rFonts w:cs="Arial"/>
      <w:b/>
      <w:bCs/>
    </w:rPr>
  </w:style>
  <w:style w:type="character" w:customStyle="1" w:styleId="NormaltextChar">
    <w:name w:val="Normal text Char"/>
    <w:basedOn w:val="DefaultParagraphFont"/>
    <w:link w:val="Normaltext"/>
    <w:rsid w:val="006268DA"/>
    <w:rPr>
      <w:rFonts w:cs="Arial"/>
    </w:rPr>
  </w:style>
  <w:style w:type="paragraph" w:customStyle="1" w:styleId="Indenttext1">
    <w:name w:val="Indent text 1"/>
    <w:basedOn w:val="ListParagraph"/>
    <w:link w:val="Indenttext1Char"/>
    <w:qFormat/>
    <w:rsid w:val="006268DA"/>
    <w:pPr>
      <w:numPr>
        <w:ilvl w:val="1"/>
        <w:numId w:val="1"/>
      </w:numPr>
      <w:spacing w:before="60" w:after="0"/>
      <w:ind w:left="567" w:hanging="567"/>
      <w:contextualSpacing w:val="0"/>
    </w:pPr>
    <w:rPr>
      <w:rFonts w:cs="Arial"/>
    </w:rPr>
  </w:style>
  <w:style w:type="character" w:customStyle="1" w:styleId="ListParagraphChar">
    <w:name w:val="List Paragraph Char"/>
    <w:aliases w:val="List Paragraph1 Char,Recommendation Char,List Paragraph11 Char,1 Recommendation Char,Normal + Dash Char,L Char,Bullets Char,FooterText Char,numbered Char,Paragraphe de liste1 Char,Bulletr List Paragraph Char,列出段落 Char,列出段落1 Char"/>
    <w:basedOn w:val="DefaultParagraphFont"/>
    <w:link w:val="ListParagraph"/>
    <w:uiPriority w:val="34"/>
    <w:rsid w:val="006268DA"/>
  </w:style>
  <w:style w:type="character" w:customStyle="1" w:styleId="SectionHeadingChar">
    <w:name w:val="Section Heading Char"/>
    <w:basedOn w:val="ListParagraphChar"/>
    <w:link w:val="SectionHeading"/>
    <w:rsid w:val="006268DA"/>
    <w:rPr>
      <w:rFonts w:cs="Arial"/>
      <w:b/>
      <w:bCs/>
    </w:rPr>
  </w:style>
  <w:style w:type="paragraph" w:customStyle="1" w:styleId="Indenttext2">
    <w:name w:val="Indent text 2"/>
    <w:basedOn w:val="ListParagraph"/>
    <w:link w:val="Indenttext2Char"/>
    <w:qFormat/>
    <w:rsid w:val="007D6976"/>
    <w:pPr>
      <w:numPr>
        <w:numId w:val="2"/>
      </w:numPr>
      <w:spacing w:before="60" w:after="0"/>
      <w:contextualSpacing w:val="0"/>
    </w:pPr>
    <w:rPr>
      <w:rFonts w:cs="Arial"/>
    </w:rPr>
  </w:style>
  <w:style w:type="character" w:customStyle="1" w:styleId="Indenttext1Char">
    <w:name w:val="Indent text 1 Char"/>
    <w:basedOn w:val="ListParagraphChar"/>
    <w:link w:val="Indenttext1"/>
    <w:rsid w:val="006268DA"/>
    <w:rPr>
      <w:rFonts w:cs="Arial"/>
    </w:rPr>
  </w:style>
  <w:style w:type="paragraph" w:customStyle="1" w:styleId="RelatedDocuments">
    <w:name w:val="Related Documents"/>
    <w:basedOn w:val="ListParagraph"/>
    <w:link w:val="RelatedDocumentsChar"/>
    <w:qFormat/>
    <w:rsid w:val="007D6976"/>
    <w:pPr>
      <w:numPr>
        <w:numId w:val="6"/>
      </w:numPr>
      <w:ind w:left="567" w:hanging="567"/>
    </w:pPr>
    <w:rPr>
      <w:rFonts w:cs="Arial"/>
    </w:rPr>
  </w:style>
  <w:style w:type="character" w:customStyle="1" w:styleId="Indenttext2Char">
    <w:name w:val="Indent text 2 Char"/>
    <w:basedOn w:val="ListParagraphChar"/>
    <w:link w:val="Indenttext2"/>
    <w:rsid w:val="007D6976"/>
    <w:rPr>
      <w:rFonts w:cs="Arial"/>
    </w:rPr>
  </w:style>
  <w:style w:type="character" w:customStyle="1" w:styleId="RelatedDocumentsChar">
    <w:name w:val="Related Documents Char"/>
    <w:basedOn w:val="ListParagraphChar"/>
    <w:link w:val="RelatedDocuments"/>
    <w:rsid w:val="007D6976"/>
    <w:rPr>
      <w:rFonts w:cs="Arial"/>
    </w:rPr>
  </w:style>
  <w:style w:type="paragraph" w:customStyle="1" w:styleId="Style1">
    <w:name w:val="Style1"/>
    <w:basedOn w:val="Indenttext2"/>
    <w:link w:val="Style1Char"/>
    <w:qFormat/>
    <w:rsid w:val="00522660"/>
    <w:pPr>
      <w:numPr>
        <w:ilvl w:val="1"/>
      </w:numPr>
    </w:pPr>
  </w:style>
  <w:style w:type="character" w:customStyle="1" w:styleId="Style1Char">
    <w:name w:val="Style1 Char"/>
    <w:basedOn w:val="Indenttext2Char"/>
    <w:link w:val="Style1"/>
    <w:rsid w:val="0052266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520164288">
      <w:bodyDiv w:val="1"/>
      <w:marLeft w:val="0"/>
      <w:marRight w:val="0"/>
      <w:marTop w:val="0"/>
      <w:marBottom w:val="0"/>
      <w:divBdr>
        <w:top w:val="none" w:sz="0" w:space="0" w:color="auto"/>
        <w:left w:val="none" w:sz="0" w:space="0" w:color="auto"/>
        <w:bottom w:val="none" w:sz="0" w:space="0" w:color="auto"/>
        <w:right w:val="none" w:sz="0" w:space="0" w:color="auto"/>
      </w:divBdr>
    </w:div>
    <w:div w:id="767308234">
      <w:bodyDiv w:val="1"/>
      <w:marLeft w:val="0"/>
      <w:marRight w:val="0"/>
      <w:marTop w:val="0"/>
      <w:marBottom w:val="0"/>
      <w:divBdr>
        <w:top w:val="none" w:sz="0" w:space="0" w:color="auto"/>
        <w:left w:val="none" w:sz="0" w:space="0" w:color="auto"/>
        <w:bottom w:val="none" w:sz="0" w:space="0" w:color="auto"/>
        <w:right w:val="none" w:sz="0" w:space="0" w:color="auto"/>
      </w:divBdr>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311592361">
      <w:bodyDiv w:val="1"/>
      <w:marLeft w:val="0"/>
      <w:marRight w:val="0"/>
      <w:marTop w:val="0"/>
      <w:marBottom w:val="0"/>
      <w:divBdr>
        <w:top w:val="none" w:sz="0" w:space="0" w:color="auto"/>
        <w:left w:val="none" w:sz="0" w:space="0" w:color="auto"/>
        <w:bottom w:val="none" w:sz="0" w:space="0" w:color="auto"/>
        <w:right w:val="none" w:sz="0" w:space="0" w:color="auto"/>
      </w:divBdr>
    </w:div>
    <w:div w:id="1356662049">
      <w:bodyDiv w:val="1"/>
      <w:marLeft w:val="0"/>
      <w:marRight w:val="0"/>
      <w:marTop w:val="0"/>
      <w:marBottom w:val="0"/>
      <w:divBdr>
        <w:top w:val="none" w:sz="0" w:space="0" w:color="auto"/>
        <w:left w:val="none" w:sz="0" w:space="0" w:color="auto"/>
        <w:bottom w:val="none" w:sz="0" w:space="0" w:color="auto"/>
        <w:right w:val="none" w:sz="0" w:space="0" w:color="auto"/>
      </w:divBdr>
    </w:div>
    <w:div w:id="1367296839">
      <w:bodyDiv w:val="1"/>
      <w:marLeft w:val="0"/>
      <w:marRight w:val="0"/>
      <w:marTop w:val="0"/>
      <w:marBottom w:val="0"/>
      <w:divBdr>
        <w:top w:val="none" w:sz="0" w:space="0" w:color="auto"/>
        <w:left w:val="none" w:sz="0" w:space="0" w:color="auto"/>
        <w:bottom w:val="none" w:sz="0" w:space="0" w:color="auto"/>
        <w:right w:val="none" w:sz="0" w:space="0" w:color="auto"/>
      </w:divBdr>
    </w:div>
    <w:div w:id="1749617207">
      <w:bodyDiv w:val="1"/>
      <w:marLeft w:val="0"/>
      <w:marRight w:val="0"/>
      <w:marTop w:val="0"/>
      <w:marBottom w:val="0"/>
      <w:divBdr>
        <w:top w:val="none" w:sz="0" w:space="0" w:color="auto"/>
        <w:left w:val="none" w:sz="0" w:space="0" w:color="auto"/>
        <w:bottom w:val="none" w:sz="0" w:space="0" w:color="auto"/>
        <w:right w:val="none" w:sz="0" w:space="0" w:color="auto"/>
      </w:divBdr>
    </w:div>
    <w:div w:id="207782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1B4CC-9596-4D52-9DF1-5332BCAE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1591</Words>
  <Characters>9568</Characters>
  <Application>Microsoft Office Word</Application>
  <DocSecurity>0</DocSecurity>
  <Lines>232</Lines>
  <Paragraphs>132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 Tim</dc:creator>
  <cp:lastModifiedBy>PCODCS</cp:lastModifiedBy>
  <cp:revision>4</cp:revision>
  <cp:lastPrinted>2019-11-21T21:21:00Z</cp:lastPrinted>
  <dcterms:created xsi:type="dcterms:W3CDTF">2023-02-20T02:00:00Z</dcterms:created>
  <dcterms:modified xsi:type="dcterms:W3CDTF">2023-02-20T02:00:00Z</dcterms:modified>
</cp:coreProperties>
</file>