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EEAB" w14:textId="77777777" w:rsidR="005B2ACD" w:rsidRPr="005B2ACD" w:rsidRDefault="005B2ACD" w:rsidP="005B2ACD">
      <w:pPr>
        <w:spacing w:before="120" w:after="0" w:line="240" w:lineRule="auto"/>
        <w:rPr>
          <w:rFonts w:ascii="Arial" w:eastAsia="Times New Roman" w:hAnsi="Arial" w:cs="Arial"/>
          <w:sz w:val="24"/>
          <w:szCs w:val="20"/>
        </w:rPr>
      </w:pPr>
      <w:r w:rsidRPr="005B2ACD">
        <w:rPr>
          <w:rFonts w:ascii="Arial" w:eastAsia="Times New Roman" w:hAnsi="Arial" w:cs="Arial"/>
          <w:sz w:val="24"/>
          <w:szCs w:val="20"/>
        </w:rPr>
        <w:t>Australian Capital Territory</w:t>
      </w:r>
    </w:p>
    <w:p w14:paraId="1B5BD4C4" w14:textId="77777777" w:rsidR="005B2ACD" w:rsidRPr="005B2ACD" w:rsidRDefault="005B2ACD" w:rsidP="005B2ACD">
      <w:pPr>
        <w:tabs>
          <w:tab w:val="left" w:pos="2400"/>
          <w:tab w:val="left" w:pos="2880"/>
        </w:tabs>
        <w:spacing w:before="700" w:after="100" w:line="240" w:lineRule="auto"/>
        <w:outlineLvl w:val="0"/>
        <w:rPr>
          <w:rFonts w:ascii="Arial" w:eastAsia="Times New Roman" w:hAnsi="Arial" w:cs="Times New Roman"/>
          <w:b/>
          <w:sz w:val="40"/>
          <w:szCs w:val="20"/>
        </w:rPr>
      </w:pPr>
      <w:r w:rsidRPr="005B2ACD">
        <w:rPr>
          <w:rFonts w:ascii="Arial" w:eastAsia="Times New Roman" w:hAnsi="Arial" w:cs="Times New Roman"/>
          <w:b/>
          <w:sz w:val="40"/>
          <w:szCs w:val="20"/>
        </w:rPr>
        <w:t>Nature Conservation (Ginninderra Peppercress) Conservation Advice 2024</w:t>
      </w:r>
    </w:p>
    <w:p w14:paraId="2CFE10FC" w14:textId="77777777" w:rsidR="005B2ACD" w:rsidRPr="005B2ACD" w:rsidRDefault="005B2ACD" w:rsidP="005B2ACD">
      <w:pPr>
        <w:spacing w:before="340" w:after="0" w:line="240" w:lineRule="auto"/>
        <w:outlineLvl w:val="1"/>
        <w:rPr>
          <w:rFonts w:ascii="Arial" w:eastAsia="Times New Roman" w:hAnsi="Arial" w:cs="Arial"/>
          <w:b/>
          <w:bCs/>
          <w:sz w:val="24"/>
          <w:szCs w:val="20"/>
        </w:rPr>
      </w:pPr>
      <w:r w:rsidRPr="005B2ACD">
        <w:rPr>
          <w:rFonts w:ascii="Arial" w:eastAsia="Times New Roman" w:hAnsi="Arial" w:cs="Arial"/>
          <w:b/>
          <w:bCs/>
          <w:sz w:val="24"/>
          <w:szCs w:val="20"/>
        </w:rPr>
        <w:t>Notifiable instrument NI2024-253</w:t>
      </w:r>
    </w:p>
    <w:p w14:paraId="29DE6CB7" w14:textId="77777777" w:rsidR="005B2ACD" w:rsidRPr="005B2ACD" w:rsidRDefault="005B2ACD" w:rsidP="005B2ACD">
      <w:pPr>
        <w:spacing w:before="300" w:after="0" w:line="240" w:lineRule="auto"/>
        <w:jc w:val="both"/>
        <w:rPr>
          <w:rFonts w:ascii="Times New Roman" w:eastAsia="Times New Roman" w:hAnsi="Times New Roman" w:cs="Times New Roman"/>
          <w:sz w:val="24"/>
          <w:szCs w:val="20"/>
        </w:rPr>
      </w:pPr>
      <w:r w:rsidRPr="005B2ACD">
        <w:rPr>
          <w:rFonts w:ascii="Times New Roman" w:eastAsia="Times New Roman" w:hAnsi="Times New Roman" w:cs="Times New Roman"/>
          <w:sz w:val="24"/>
          <w:szCs w:val="20"/>
        </w:rPr>
        <w:t xml:space="preserve">made under the  </w:t>
      </w:r>
    </w:p>
    <w:p w14:paraId="54FD61CD" w14:textId="77777777" w:rsidR="005B2ACD" w:rsidRPr="005B2ACD" w:rsidRDefault="005B2ACD" w:rsidP="005B2ACD">
      <w:pPr>
        <w:tabs>
          <w:tab w:val="left" w:pos="2600"/>
        </w:tabs>
        <w:spacing w:before="320" w:after="0" w:line="240" w:lineRule="auto"/>
        <w:rPr>
          <w:rFonts w:ascii="Arial" w:eastAsia="Times New Roman" w:hAnsi="Arial" w:cs="Times New Roman"/>
          <w:b/>
          <w:sz w:val="24"/>
          <w:szCs w:val="20"/>
        </w:rPr>
      </w:pPr>
      <w:r w:rsidRPr="005B2ACD">
        <w:rPr>
          <w:rFonts w:ascii="Arial" w:eastAsia="Times New Roman" w:hAnsi="Arial" w:cs="Arial"/>
          <w:b/>
          <w:sz w:val="20"/>
          <w:szCs w:val="20"/>
        </w:rPr>
        <w:t>Nature Conservation Act 2014, s 90C (Conservation advice)</w:t>
      </w:r>
    </w:p>
    <w:p w14:paraId="179DCD97" w14:textId="77777777" w:rsidR="005B2ACD" w:rsidRPr="005B2ACD" w:rsidRDefault="005B2ACD" w:rsidP="005B2ACD">
      <w:pPr>
        <w:spacing w:before="60" w:after="0" w:line="240" w:lineRule="auto"/>
        <w:jc w:val="both"/>
        <w:rPr>
          <w:rFonts w:ascii="Times New Roman" w:eastAsia="Times New Roman" w:hAnsi="Times New Roman" w:cs="Times New Roman"/>
          <w:sz w:val="24"/>
          <w:szCs w:val="20"/>
        </w:rPr>
      </w:pPr>
    </w:p>
    <w:p w14:paraId="1BE4E4B6" w14:textId="77777777" w:rsidR="005B2ACD" w:rsidRPr="005B2ACD" w:rsidRDefault="005B2ACD" w:rsidP="005B2ACD">
      <w:pPr>
        <w:pBdr>
          <w:top w:val="single" w:sz="12" w:space="1" w:color="auto"/>
        </w:pBdr>
        <w:spacing w:after="0" w:line="240" w:lineRule="auto"/>
        <w:jc w:val="both"/>
        <w:rPr>
          <w:rFonts w:ascii="Times New Roman" w:eastAsia="Times New Roman" w:hAnsi="Times New Roman" w:cs="Times New Roman"/>
          <w:sz w:val="24"/>
          <w:szCs w:val="20"/>
        </w:rPr>
      </w:pPr>
    </w:p>
    <w:p w14:paraId="3726DF34" w14:textId="77777777" w:rsidR="005B2ACD" w:rsidRPr="005B2ACD" w:rsidRDefault="005B2ACD" w:rsidP="005B2ACD">
      <w:pPr>
        <w:spacing w:before="60" w:after="60" w:line="240" w:lineRule="auto"/>
        <w:ind w:left="720" w:hanging="720"/>
        <w:outlineLvl w:val="2"/>
        <w:rPr>
          <w:rFonts w:ascii="Arial" w:eastAsia="Times New Roman" w:hAnsi="Arial" w:cs="Arial"/>
          <w:b/>
          <w:bCs/>
          <w:sz w:val="24"/>
          <w:szCs w:val="20"/>
        </w:rPr>
      </w:pPr>
      <w:r w:rsidRPr="005B2ACD">
        <w:rPr>
          <w:rFonts w:ascii="Arial" w:eastAsia="Times New Roman" w:hAnsi="Arial" w:cs="Arial"/>
          <w:b/>
          <w:bCs/>
          <w:sz w:val="24"/>
          <w:szCs w:val="20"/>
        </w:rPr>
        <w:t>1</w:t>
      </w:r>
      <w:r w:rsidRPr="005B2ACD">
        <w:rPr>
          <w:rFonts w:ascii="Arial" w:eastAsia="Times New Roman" w:hAnsi="Arial" w:cs="Arial"/>
          <w:b/>
          <w:bCs/>
          <w:sz w:val="24"/>
          <w:szCs w:val="20"/>
        </w:rPr>
        <w:tab/>
        <w:t>Name of instrument</w:t>
      </w:r>
    </w:p>
    <w:p w14:paraId="694D937F" w14:textId="77777777" w:rsidR="005B2ACD" w:rsidRPr="005B2ACD" w:rsidRDefault="005B2ACD" w:rsidP="005B2ACD">
      <w:pPr>
        <w:spacing w:before="140" w:after="0" w:line="240" w:lineRule="auto"/>
        <w:ind w:left="720"/>
        <w:rPr>
          <w:rFonts w:ascii="Times New Roman" w:eastAsia="Times New Roman" w:hAnsi="Times New Roman" w:cs="Times New Roman"/>
          <w:i/>
          <w:iCs/>
          <w:sz w:val="24"/>
          <w:szCs w:val="20"/>
        </w:rPr>
      </w:pPr>
      <w:r w:rsidRPr="005B2ACD">
        <w:rPr>
          <w:rFonts w:ascii="Times New Roman" w:eastAsia="Times New Roman" w:hAnsi="Times New Roman" w:cs="Times New Roman"/>
          <w:sz w:val="24"/>
          <w:szCs w:val="20"/>
        </w:rPr>
        <w:t xml:space="preserve">This instrument is the </w:t>
      </w:r>
      <w:r w:rsidRPr="005B2ACD">
        <w:rPr>
          <w:rFonts w:ascii="Times New Roman" w:eastAsia="Times New Roman" w:hAnsi="Times New Roman" w:cs="Times New Roman"/>
          <w:i/>
          <w:iCs/>
          <w:sz w:val="24"/>
          <w:szCs w:val="20"/>
        </w:rPr>
        <w:t>Nature Conservation (Ginninderra Peppercress) Conservation Advice 2024</w:t>
      </w:r>
      <w:r w:rsidRPr="005B2ACD">
        <w:rPr>
          <w:rFonts w:ascii="Times New Roman" w:eastAsia="Times New Roman" w:hAnsi="Times New Roman" w:cs="Times New Roman"/>
          <w:bCs/>
          <w:i/>
          <w:iCs/>
          <w:sz w:val="24"/>
          <w:szCs w:val="20"/>
        </w:rPr>
        <w:t>.</w:t>
      </w:r>
    </w:p>
    <w:p w14:paraId="60206586" w14:textId="77777777" w:rsidR="005B2ACD" w:rsidRPr="005B2ACD" w:rsidRDefault="005B2ACD" w:rsidP="005B2ACD">
      <w:pPr>
        <w:spacing w:before="300" w:after="0" w:line="240" w:lineRule="auto"/>
        <w:ind w:left="720" w:hanging="720"/>
        <w:outlineLvl w:val="2"/>
        <w:rPr>
          <w:rFonts w:ascii="Arial" w:eastAsia="Times New Roman" w:hAnsi="Arial" w:cs="Arial"/>
          <w:b/>
          <w:bCs/>
          <w:sz w:val="24"/>
          <w:szCs w:val="20"/>
        </w:rPr>
      </w:pPr>
      <w:r w:rsidRPr="005B2ACD">
        <w:rPr>
          <w:rFonts w:ascii="Arial" w:eastAsia="Times New Roman" w:hAnsi="Arial" w:cs="Arial"/>
          <w:b/>
          <w:bCs/>
          <w:sz w:val="24"/>
          <w:szCs w:val="20"/>
        </w:rPr>
        <w:t>2</w:t>
      </w:r>
      <w:r w:rsidRPr="005B2ACD">
        <w:rPr>
          <w:rFonts w:ascii="Arial" w:eastAsia="Times New Roman" w:hAnsi="Arial" w:cs="Arial"/>
          <w:b/>
          <w:bCs/>
          <w:sz w:val="24"/>
          <w:szCs w:val="20"/>
        </w:rPr>
        <w:tab/>
        <w:t xml:space="preserve">Commencement </w:t>
      </w:r>
    </w:p>
    <w:p w14:paraId="55E39F38" w14:textId="77777777" w:rsidR="005B2ACD" w:rsidRPr="005B2ACD" w:rsidRDefault="005B2ACD" w:rsidP="005B2ACD">
      <w:pPr>
        <w:spacing w:before="140" w:after="0" w:line="240" w:lineRule="auto"/>
        <w:ind w:left="720"/>
        <w:rPr>
          <w:rFonts w:ascii="Times New Roman" w:eastAsia="Times New Roman" w:hAnsi="Times New Roman" w:cs="Times New Roman"/>
          <w:sz w:val="24"/>
          <w:szCs w:val="20"/>
        </w:rPr>
      </w:pPr>
      <w:r w:rsidRPr="005B2ACD">
        <w:rPr>
          <w:rFonts w:ascii="Times New Roman" w:eastAsia="Times New Roman" w:hAnsi="Times New Roman" w:cs="Times New Roman"/>
          <w:sz w:val="24"/>
          <w:szCs w:val="20"/>
        </w:rPr>
        <w:t xml:space="preserve">This instrument commences on the day after its notification day. </w:t>
      </w:r>
    </w:p>
    <w:p w14:paraId="18600382" w14:textId="77777777" w:rsidR="005B2ACD" w:rsidRPr="005B2ACD" w:rsidRDefault="005B2ACD" w:rsidP="005B2ACD">
      <w:pPr>
        <w:spacing w:before="300" w:after="0" w:line="240" w:lineRule="auto"/>
        <w:ind w:left="720" w:hanging="720"/>
        <w:outlineLvl w:val="2"/>
        <w:rPr>
          <w:rFonts w:ascii="Arial" w:eastAsia="Times New Roman" w:hAnsi="Arial" w:cs="Arial"/>
          <w:b/>
          <w:bCs/>
          <w:sz w:val="24"/>
          <w:szCs w:val="20"/>
        </w:rPr>
      </w:pPr>
      <w:r w:rsidRPr="005B2ACD">
        <w:rPr>
          <w:rFonts w:ascii="Arial" w:eastAsia="Times New Roman" w:hAnsi="Arial" w:cs="Arial"/>
          <w:b/>
          <w:bCs/>
          <w:sz w:val="24"/>
          <w:szCs w:val="20"/>
        </w:rPr>
        <w:t>3</w:t>
      </w:r>
      <w:r w:rsidRPr="005B2ACD">
        <w:rPr>
          <w:rFonts w:ascii="Arial" w:eastAsia="Times New Roman" w:hAnsi="Arial" w:cs="Arial"/>
          <w:b/>
          <w:bCs/>
          <w:sz w:val="24"/>
          <w:szCs w:val="20"/>
        </w:rPr>
        <w:tab/>
        <w:t>Conservation advice for Ginninderra Peppercress</w:t>
      </w:r>
    </w:p>
    <w:p w14:paraId="367355BD" w14:textId="77777777" w:rsidR="005B2ACD" w:rsidRPr="005B2ACD" w:rsidRDefault="005B2ACD" w:rsidP="005B2ACD">
      <w:pPr>
        <w:spacing w:before="240" w:after="0" w:line="240" w:lineRule="auto"/>
        <w:ind w:left="720"/>
        <w:rPr>
          <w:rFonts w:ascii="Times New Roman" w:eastAsia="Times New Roman" w:hAnsi="Times New Roman" w:cs="Times New Roman"/>
          <w:sz w:val="24"/>
          <w:szCs w:val="20"/>
        </w:rPr>
      </w:pPr>
      <w:r w:rsidRPr="005B2ACD">
        <w:rPr>
          <w:rFonts w:ascii="Times New Roman" w:eastAsia="Times New Roman" w:hAnsi="Times New Roman" w:cs="Times New Roman"/>
          <w:sz w:val="24"/>
          <w:szCs w:val="20"/>
        </w:rPr>
        <w:t>Schedule 1 sets out the conservation advice for Ginninderra Peppercress (</w:t>
      </w:r>
      <w:r w:rsidRPr="005B2ACD">
        <w:rPr>
          <w:rFonts w:ascii="Times New Roman" w:eastAsia="Times New Roman" w:hAnsi="Times New Roman" w:cs="Times New Roman"/>
          <w:i/>
          <w:iCs/>
          <w:sz w:val="24"/>
          <w:szCs w:val="20"/>
        </w:rPr>
        <w:t xml:space="preserve">Lepidium </w:t>
      </w:r>
      <w:proofErr w:type="spellStart"/>
      <w:r w:rsidRPr="005B2ACD">
        <w:rPr>
          <w:rFonts w:ascii="Times New Roman" w:eastAsia="Times New Roman" w:hAnsi="Times New Roman" w:cs="Times New Roman"/>
          <w:i/>
          <w:iCs/>
          <w:sz w:val="24"/>
          <w:szCs w:val="20"/>
        </w:rPr>
        <w:t>ginninderrense</w:t>
      </w:r>
      <w:proofErr w:type="spellEnd"/>
      <w:r w:rsidRPr="005B2ACD">
        <w:rPr>
          <w:rFonts w:ascii="Times New Roman" w:eastAsia="Times New Roman" w:hAnsi="Times New Roman" w:cs="Times New Roman"/>
          <w:sz w:val="24"/>
          <w:szCs w:val="20"/>
        </w:rPr>
        <w:t>).</w:t>
      </w:r>
    </w:p>
    <w:p w14:paraId="01AD0064" w14:textId="77777777" w:rsidR="005B2ACD" w:rsidRPr="005B2ACD" w:rsidRDefault="005B2ACD" w:rsidP="005B2ACD">
      <w:pPr>
        <w:spacing w:after="0" w:line="240" w:lineRule="auto"/>
        <w:ind w:left="709"/>
        <w:rPr>
          <w:rFonts w:ascii="Times New Roman" w:eastAsia="Times New Roman" w:hAnsi="Times New Roman" w:cs="Times New Roman"/>
          <w:sz w:val="24"/>
          <w:szCs w:val="20"/>
        </w:rPr>
      </w:pPr>
    </w:p>
    <w:p w14:paraId="64F4AFCD" w14:textId="77777777" w:rsidR="005B2ACD" w:rsidRPr="005B2ACD" w:rsidRDefault="005B2ACD" w:rsidP="005B2ACD">
      <w:pPr>
        <w:spacing w:after="0" w:line="240" w:lineRule="auto"/>
        <w:ind w:left="709"/>
        <w:rPr>
          <w:rFonts w:ascii="Times New Roman" w:eastAsia="Times New Roman" w:hAnsi="Times New Roman" w:cs="Times New Roman"/>
          <w:sz w:val="24"/>
          <w:szCs w:val="20"/>
        </w:rPr>
      </w:pPr>
    </w:p>
    <w:p w14:paraId="1A094383" w14:textId="77777777" w:rsidR="005B2ACD" w:rsidRPr="005B2ACD" w:rsidRDefault="005B2ACD" w:rsidP="005B2ACD">
      <w:pPr>
        <w:autoSpaceDE w:val="0"/>
        <w:autoSpaceDN w:val="0"/>
        <w:adjustRightInd w:val="0"/>
        <w:spacing w:after="0" w:line="240" w:lineRule="auto"/>
        <w:rPr>
          <w:rFonts w:ascii="Times New Roman" w:eastAsia="Times New Roman" w:hAnsi="Times New Roman" w:cs="Times New Roman"/>
          <w:sz w:val="24"/>
          <w:szCs w:val="24"/>
          <w:lang w:eastAsia="en-AU"/>
        </w:rPr>
      </w:pPr>
    </w:p>
    <w:p w14:paraId="706FC29E" w14:textId="77777777" w:rsidR="005B2ACD" w:rsidRPr="005B2ACD" w:rsidRDefault="005B2ACD" w:rsidP="005B2ACD">
      <w:pPr>
        <w:autoSpaceDE w:val="0"/>
        <w:autoSpaceDN w:val="0"/>
        <w:adjustRightInd w:val="0"/>
        <w:spacing w:after="0" w:line="240" w:lineRule="auto"/>
        <w:rPr>
          <w:rFonts w:ascii="Times New Roman" w:eastAsia="Times New Roman" w:hAnsi="Times New Roman" w:cs="Times New Roman"/>
          <w:sz w:val="24"/>
          <w:szCs w:val="24"/>
          <w:lang w:eastAsia="en-AU"/>
        </w:rPr>
      </w:pPr>
    </w:p>
    <w:p w14:paraId="0A8A12ED" w14:textId="77777777" w:rsidR="005B2ACD" w:rsidRPr="005B2ACD" w:rsidRDefault="005B2ACD" w:rsidP="005B2ACD">
      <w:pPr>
        <w:autoSpaceDE w:val="0"/>
        <w:autoSpaceDN w:val="0"/>
        <w:adjustRightInd w:val="0"/>
        <w:spacing w:after="0" w:line="240" w:lineRule="auto"/>
        <w:rPr>
          <w:rFonts w:ascii="Times New Roman" w:eastAsia="Times New Roman" w:hAnsi="Times New Roman" w:cs="Times New Roman"/>
          <w:sz w:val="24"/>
          <w:szCs w:val="24"/>
          <w:lang w:eastAsia="en-AU"/>
        </w:rPr>
      </w:pPr>
    </w:p>
    <w:p w14:paraId="6E04B462" w14:textId="77777777" w:rsidR="005B2ACD" w:rsidRPr="005B2ACD" w:rsidRDefault="005B2ACD" w:rsidP="005B2ACD">
      <w:pPr>
        <w:autoSpaceDE w:val="0"/>
        <w:autoSpaceDN w:val="0"/>
        <w:adjustRightInd w:val="0"/>
        <w:spacing w:after="0" w:line="240" w:lineRule="auto"/>
        <w:rPr>
          <w:rFonts w:ascii="Times New Roman" w:eastAsia="Times New Roman" w:hAnsi="Times New Roman" w:cs="Times New Roman"/>
          <w:sz w:val="24"/>
          <w:szCs w:val="24"/>
          <w:lang w:eastAsia="en-AU"/>
        </w:rPr>
      </w:pPr>
    </w:p>
    <w:p w14:paraId="45890CD6" w14:textId="77777777" w:rsidR="005B2ACD" w:rsidRPr="005B2ACD" w:rsidRDefault="005B2ACD" w:rsidP="005B2ACD">
      <w:pPr>
        <w:spacing w:after="0" w:line="240" w:lineRule="auto"/>
        <w:rPr>
          <w:rFonts w:ascii="Times New Roman" w:eastAsia="Times New Roman" w:hAnsi="Times New Roman" w:cs="Times New Roman"/>
          <w:sz w:val="24"/>
          <w:szCs w:val="24"/>
          <w:lang w:eastAsia="en-AU"/>
        </w:rPr>
      </w:pPr>
      <w:r w:rsidRPr="005B2ACD">
        <w:rPr>
          <w:rFonts w:ascii="Times New Roman" w:eastAsia="Times New Roman" w:hAnsi="Times New Roman" w:cs="Times New Roman"/>
          <w:sz w:val="24"/>
          <w:szCs w:val="24"/>
          <w:lang w:eastAsia="en-AU"/>
        </w:rPr>
        <w:t>Arthur Georges</w:t>
      </w:r>
    </w:p>
    <w:p w14:paraId="35BE43B0" w14:textId="77777777" w:rsidR="005B2ACD" w:rsidRPr="005B2ACD" w:rsidRDefault="005B2ACD" w:rsidP="005B2ACD">
      <w:pPr>
        <w:spacing w:after="0" w:line="240" w:lineRule="auto"/>
        <w:rPr>
          <w:rFonts w:ascii="Times New Roman" w:eastAsia="Times New Roman" w:hAnsi="Times New Roman" w:cs="Times New Roman"/>
          <w:sz w:val="24"/>
          <w:szCs w:val="24"/>
          <w:lang w:eastAsia="en-AU"/>
        </w:rPr>
      </w:pPr>
      <w:r w:rsidRPr="005B2ACD">
        <w:rPr>
          <w:rFonts w:ascii="Times New Roman" w:eastAsia="Times New Roman" w:hAnsi="Times New Roman" w:cs="Times New Roman"/>
          <w:sz w:val="24"/>
          <w:szCs w:val="24"/>
          <w:lang w:eastAsia="en-AU"/>
        </w:rPr>
        <w:t>Chair, Scientific Committee</w:t>
      </w:r>
    </w:p>
    <w:p w14:paraId="5F377786" w14:textId="77777777" w:rsidR="005B2ACD" w:rsidRPr="005B2ACD" w:rsidRDefault="005B2ACD" w:rsidP="005B2ACD">
      <w:pPr>
        <w:spacing w:after="0" w:line="240" w:lineRule="auto"/>
        <w:rPr>
          <w:rFonts w:ascii="Times New Roman" w:eastAsia="Times New Roman" w:hAnsi="Times New Roman" w:cs="Times New Roman"/>
          <w:sz w:val="24"/>
          <w:szCs w:val="24"/>
          <w:lang w:eastAsia="en-AU"/>
        </w:rPr>
      </w:pPr>
      <w:r w:rsidRPr="005B2ACD">
        <w:rPr>
          <w:rFonts w:ascii="Times New Roman" w:eastAsia="Times New Roman" w:hAnsi="Times New Roman" w:cs="Times New Roman"/>
          <w:sz w:val="24"/>
          <w:szCs w:val="24"/>
          <w:lang w:eastAsia="en-AU"/>
        </w:rPr>
        <w:t>21 May 2024</w:t>
      </w:r>
      <w:r w:rsidRPr="005B2ACD">
        <w:rPr>
          <w:rFonts w:ascii="Times New Roman" w:eastAsia="Times New Roman" w:hAnsi="Times New Roman" w:cs="Times New Roman"/>
          <w:sz w:val="24"/>
          <w:szCs w:val="24"/>
          <w:lang w:eastAsia="en-AU"/>
        </w:rPr>
        <w:br w:type="page"/>
      </w:r>
    </w:p>
    <w:p w14:paraId="6DF13F8C" w14:textId="77777777" w:rsidR="005B2ACD" w:rsidRPr="005B2ACD" w:rsidRDefault="005B2ACD" w:rsidP="005B2ACD">
      <w:pPr>
        <w:spacing w:after="0" w:line="240" w:lineRule="auto"/>
        <w:rPr>
          <w:rFonts w:ascii="Arial" w:eastAsia="Times New Roman" w:hAnsi="Arial" w:cs="Arial"/>
          <w:b/>
          <w:sz w:val="34"/>
          <w:szCs w:val="34"/>
        </w:rPr>
      </w:pPr>
      <w:r w:rsidRPr="005B2ACD">
        <w:rPr>
          <w:rFonts w:ascii="Arial" w:eastAsia="Times New Roman" w:hAnsi="Arial" w:cs="Arial"/>
          <w:b/>
          <w:sz w:val="34"/>
          <w:szCs w:val="34"/>
        </w:rPr>
        <w:lastRenderedPageBreak/>
        <w:t>Schedule 1</w:t>
      </w:r>
    </w:p>
    <w:p w14:paraId="5B1FBEF7" w14:textId="77777777" w:rsidR="005B2ACD" w:rsidRPr="005B2ACD" w:rsidRDefault="005B2ACD" w:rsidP="005B2ACD">
      <w:pPr>
        <w:spacing w:before="60" w:after="0" w:line="240" w:lineRule="auto"/>
        <w:rPr>
          <w:rFonts w:ascii="Times New Roman" w:eastAsia="Times New Roman" w:hAnsi="Times New Roman" w:cs="Times New Roman"/>
          <w:sz w:val="18"/>
          <w:szCs w:val="18"/>
        </w:rPr>
      </w:pPr>
      <w:r w:rsidRPr="005B2ACD">
        <w:rPr>
          <w:rFonts w:ascii="Times New Roman" w:eastAsia="Times New Roman" w:hAnsi="Times New Roman" w:cs="Times New Roman"/>
          <w:sz w:val="18"/>
          <w:szCs w:val="18"/>
        </w:rPr>
        <w:t>(see s 3)</w:t>
      </w:r>
    </w:p>
    <w:p w14:paraId="6BEDF327" w14:textId="77777777" w:rsidR="005B2ACD" w:rsidRPr="005B2ACD" w:rsidRDefault="005B2ACD" w:rsidP="005B2ACD">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22960ED0" w14:textId="77777777" w:rsidR="005B2ACD" w:rsidRPr="005B2ACD" w:rsidRDefault="005B2ACD" w:rsidP="005B2ACD">
      <w:pPr>
        <w:tabs>
          <w:tab w:val="left" w:pos="1985"/>
        </w:tabs>
        <w:spacing w:after="0" w:line="240" w:lineRule="auto"/>
        <w:rPr>
          <w:rFonts w:ascii="Times New Roman" w:eastAsia="Times New Roman" w:hAnsi="Times New Roman" w:cs="Times New Roman"/>
          <w:sz w:val="24"/>
          <w:szCs w:val="20"/>
        </w:rPr>
      </w:pPr>
    </w:p>
    <w:p w14:paraId="71C30DE9" w14:textId="77777777" w:rsidR="005B2ACD" w:rsidRPr="005B2ACD" w:rsidRDefault="005B2ACD" w:rsidP="005B2ACD">
      <w:pPr>
        <w:spacing w:before="80" w:after="60" w:line="240" w:lineRule="auto"/>
        <w:rPr>
          <w:rFonts w:ascii="Times New Roman" w:eastAsia="Times New Roman" w:hAnsi="Times New Roman" w:cs="Times New Roman"/>
          <w:sz w:val="24"/>
          <w:szCs w:val="20"/>
        </w:rPr>
      </w:pPr>
    </w:p>
    <w:p w14:paraId="238BC4AF" w14:textId="77777777" w:rsidR="005B2ACD" w:rsidRDefault="005B2ACD" w:rsidP="00511A29">
      <w:pPr>
        <w:pStyle w:val="Heading1-notindexed"/>
        <w:rPr>
          <w:szCs w:val="20"/>
        </w:rPr>
        <w:sectPr w:rsidR="005B2ACD" w:rsidSect="005B2ACD">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cols w:space="708"/>
          <w:titlePg/>
          <w:docGrid w:linePitch="360"/>
        </w:sectPr>
      </w:pPr>
    </w:p>
    <w:p w14:paraId="0C5CE4E0" w14:textId="53BEF525" w:rsidR="00511A29" w:rsidRPr="00F623DD" w:rsidRDefault="00511A29" w:rsidP="00511A29">
      <w:pPr>
        <w:pStyle w:val="Heading1-notindexed"/>
        <w:rPr>
          <w:i/>
          <w:sz w:val="36"/>
          <w:szCs w:val="36"/>
        </w:rPr>
      </w:pPr>
      <w:r w:rsidRPr="00511A29">
        <w:rPr>
          <w:szCs w:val="20"/>
        </w:rPr>
        <w:lastRenderedPageBreak/>
        <w:t>Conservation Advice</w:t>
      </w:r>
      <w:r w:rsidRPr="00511A29">
        <w:rPr>
          <w:szCs w:val="20"/>
        </w:rPr>
        <w:br/>
      </w:r>
      <w:r w:rsidR="002555E6" w:rsidRPr="002555E6">
        <w:rPr>
          <w:sz w:val="36"/>
          <w:szCs w:val="36"/>
        </w:rPr>
        <w:t>Ginninderra Peppercress</w:t>
      </w:r>
      <w:r w:rsidRPr="002555E6">
        <w:rPr>
          <w:sz w:val="36"/>
          <w:szCs w:val="36"/>
        </w:rPr>
        <w:t xml:space="preserve"> – </w:t>
      </w:r>
      <w:r w:rsidR="00880B51">
        <w:rPr>
          <w:sz w:val="36"/>
          <w:szCs w:val="36"/>
        </w:rPr>
        <w:br/>
      </w:r>
      <w:r w:rsidR="002555E6" w:rsidRPr="002555E6">
        <w:rPr>
          <w:i/>
          <w:caps w:val="0"/>
          <w:sz w:val="36"/>
          <w:szCs w:val="36"/>
        </w:rPr>
        <w:t xml:space="preserve">Lepidium </w:t>
      </w:r>
      <w:proofErr w:type="spellStart"/>
      <w:r w:rsidR="002555E6" w:rsidRPr="002555E6">
        <w:rPr>
          <w:i/>
          <w:caps w:val="0"/>
          <w:sz w:val="36"/>
          <w:szCs w:val="36"/>
        </w:rPr>
        <w:t>ginninderrense</w:t>
      </w:r>
      <w:proofErr w:type="spellEnd"/>
    </w:p>
    <w:p w14:paraId="62C52AD5" w14:textId="77777777" w:rsidR="00511A29" w:rsidRPr="005C7F26" w:rsidRDefault="00511A29" w:rsidP="00511A29">
      <w:pPr>
        <w:pBdr>
          <w:bottom w:val="single" w:sz="12" w:space="1" w:color="auto"/>
        </w:pBdr>
        <w:tabs>
          <w:tab w:val="left" w:pos="9071"/>
        </w:tabs>
        <w:contextualSpacing/>
        <w:mirrorIndents/>
        <w:rPr>
          <w:sz w:val="22"/>
          <w:szCs w:val="22"/>
        </w:rPr>
      </w:pPr>
    </w:p>
    <w:p w14:paraId="410915D4" w14:textId="3A4DA4DD" w:rsidR="00F623DD" w:rsidRPr="00776751" w:rsidRDefault="00F623DD" w:rsidP="00776751">
      <w:pPr>
        <w:pStyle w:val="Heading2-notindexed"/>
      </w:pPr>
      <w:r w:rsidRPr="00776751">
        <w:t>Conservation Status</w:t>
      </w:r>
    </w:p>
    <w:p w14:paraId="149747CD" w14:textId="1B8B3FDB" w:rsidR="00F623DD" w:rsidRPr="003163BC" w:rsidRDefault="00F623DD" w:rsidP="00F623DD">
      <w:r w:rsidRPr="003163BC">
        <w:t xml:space="preserve">The </w:t>
      </w:r>
      <w:r w:rsidR="002555E6" w:rsidRPr="003163BC">
        <w:t>Ginninderra Peppercres</w:t>
      </w:r>
      <w:r w:rsidR="00A1175C" w:rsidRPr="003163BC">
        <w:t xml:space="preserve">s </w:t>
      </w:r>
      <w:r w:rsidR="00A1175C" w:rsidRPr="003163BC">
        <w:rPr>
          <w:i/>
          <w:iCs/>
        </w:rPr>
        <w:t xml:space="preserve">Lepidium </w:t>
      </w:r>
      <w:proofErr w:type="spellStart"/>
      <w:r w:rsidR="00A1175C" w:rsidRPr="00A34D72">
        <w:rPr>
          <w:i/>
          <w:iCs/>
        </w:rPr>
        <w:t>ginninderrense</w:t>
      </w:r>
      <w:proofErr w:type="spellEnd"/>
      <w:r w:rsidR="00A1175C" w:rsidRPr="00A34D72">
        <w:rPr>
          <w:i/>
          <w:iCs/>
        </w:rPr>
        <w:t xml:space="preserve"> </w:t>
      </w:r>
      <w:r w:rsidR="00A1175C" w:rsidRPr="00A34D72">
        <w:t>Scarlett</w:t>
      </w:r>
      <w:r w:rsidR="00233FC5">
        <w:t>,</w:t>
      </w:r>
      <w:r w:rsidR="00A1175C" w:rsidRPr="003163BC">
        <w:t xml:space="preserve"> </w:t>
      </w:r>
      <w:r w:rsidRPr="003163BC">
        <w:t xml:space="preserve">is recognised as threatened in the following </w:t>
      </w:r>
      <w:r w:rsidR="00BD5FD9" w:rsidRPr="003163BC">
        <w:t>jurisdictions</w:t>
      </w:r>
      <w:r w:rsidRPr="003163BC">
        <w:t>:</w:t>
      </w:r>
    </w:p>
    <w:p w14:paraId="3F47373C" w14:textId="6AB77DBA" w:rsidR="00F623DD" w:rsidRPr="008A2C91" w:rsidRDefault="00321CA9" w:rsidP="00321CA9">
      <w:pPr>
        <w:tabs>
          <w:tab w:val="left" w:pos="1418"/>
        </w:tabs>
        <w:ind w:left="1418" w:hanging="1418"/>
        <w:contextualSpacing/>
      </w:pPr>
      <w:r w:rsidRPr="003163BC">
        <w:t>National</w:t>
      </w:r>
      <w:r w:rsidR="00F623DD" w:rsidRPr="003163BC">
        <w:tab/>
      </w:r>
      <w:r w:rsidR="003F750F" w:rsidRPr="008A2C91">
        <w:rPr>
          <w:b/>
          <w:bCs/>
        </w:rPr>
        <w:t>Critically Endangered</w:t>
      </w:r>
      <w:r w:rsidR="00F623DD" w:rsidRPr="008A2C91">
        <w:t xml:space="preserve">, </w:t>
      </w:r>
      <w:r w:rsidR="00F623DD" w:rsidRPr="008A2C91">
        <w:rPr>
          <w:i/>
        </w:rPr>
        <w:t>Environment Protection and Biodiversity Conservation Act 1999.</w:t>
      </w:r>
    </w:p>
    <w:p w14:paraId="2A1EC85F" w14:textId="23832856" w:rsidR="00F623DD" w:rsidRPr="003163BC" w:rsidRDefault="00321CA9" w:rsidP="00321CA9">
      <w:pPr>
        <w:tabs>
          <w:tab w:val="left" w:pos="1418"/>
        </w:tabs>
        <w:ind w:left="1418" w:hanging="1418"/>
        <w:contextualSpacing/>
        <w:rPr>
          <w:i/>
          <w:iCs/>
        </w:rPr>
      </w:pPr>
      <w:r w:rsidRPr="008A2C91">
        <w:t>ACT</w:t>
      </w:r>
      <w:r w:rsidR="00F623DD" w:rsidRPr="008A2C91">
        <w:tab/>
      </w:r>
      <w:r w:rsidR="003F750F" w:rsidRPr="008A2C91">
        <w:rPr>
          <w:b/>
          <w:bCs/>
        </w:rPr>
        <w:t xml:space="preserve">Critically </w:t>
      </w:r>
      <w:r w:rsidR="002555E6" w:rsidRPr="008A2C91">
        <w:rPr>
          <w:b/>
          <w:bCs/>
        </w:rPr>
        <w:t>Endangered</w:t>
      </w:r>
      <w:r w:rsidR="00F623DD" w:rsidRPr="008A2C91">
        <w:rPr>
          <w:iCs/>
        </w:rPr>
        <w:t>,</w:t>
      </w:r>
      <w:r w:rsidR="00F623DD" w:rsidRPr="008A2C91">
        <w:rPr>
          <w:i/>
          <w:iCs/>
        </w:rPr>
        <w:t xml:space="preserve"> Nature</w:t>
      </w:r>
      <w:r w:rsidR="00F623DD" w:rsidRPr="003163BC">
        <w:rPr>
          <w:i/>
          <w:iCs/>
        </w:rPr>
        <w:t xml:space="preserve"> Conservation Act 2014</w:t>
      </w:r>
    </w:p>
    <w:p w14:paraId="7C789AD5" w14:textId="65920B0D" w:rsidR="00677C43" w:rsidRPr="00776751" w:rsidRDefault="00677C43" w:rsidP="00776751">
      <w:pPr>
        <w:pStyle w:val="Heading2-notindexed"/>
      </w:pPr>
      <w:r w:rsidRPr="00776751">
        <w:t>ELIGIBILITY</w:t>
      </w:r>
    </w:p>
    <w:p w14:paraId="36D49EE5" w14:textId="4D12EF9B" w:rsidR="003A65CB" w:rsidRPr="003163BC" w:rsidRDefault="008A173C" w:rsidP="00D742BE">
      <w:pPr>
        <w:pStyle w:val="ListParagraph"/>
        <w:ind w:left="0"/>
      </w:pPr>
      <w:r w:rsidRPr="003163BC">
        <w:t xml:space="preserve">Ginninderra Peppercress </w:t>
      </w:r>
      <w:r w:rsidR="009A618C">
        <w:t>is listed</w:t>
      </w:r>
      <w:r w:rsidRPr="003163BC">
        <w:t xml:space="preserve"> as </w:t>
      </w:r>
      <w:r w:rsidR="009A618C">
        <w:t xml:space="preserve">Critically </w:t>
      </w:r>
      <w:r w:rsidRPr="003163BC">
        <w:t xml:space="preserve">Endangered in the ACT Threatened Native Species List </w:t>
      </w:r>
      <w:r w:rsidR="009A618C">
        <w:t>under IUCN Criterion B –</w:t>
      </w:r>
      <w:r w:rsidR="009A618C" w:rsidRPr="003163BC">
        <w:t xml:space="preserve"> </w:t>
      </w:r>
      <w:r w:rsidR="003F750F" w:rsidRPr="003F750F">
        <w:t>B1ab(</w:t>
      </w:r>
      <w:proofErr w:type="spellStart"/>
      <w:r w:rsidR="003F750F" w:rsidRPr="003F750F">
        <w:t>i,ii,iii,iv,v</w:t>
      </w:r>
      <w:proofErr w:type="spellEnd"/>
      <w:r w:rsidR="003F750F" w:rsidRPr="003F750F">
        <w:t>)c(iv)</w:t>
      </w:r>
      <w:r w:rsidR="003F750F">
        <w:t xml:space="preserve">. The main factors that make </w:t>
      </w:r>
      <w:r w:rsidR="009A618C">
        <w:t>it eligible</w:t>
      </w:r>
      <w:r w:rsidR="003F750F">
        <w:t xml:space="preserve"> are a very restricted geographic distribution (extent of occurrence </w:t>
      </w:r>
      <w:r w:rsidR="009A618C">
        <w:t xml:space="preserve">(EOO) </w:t>
      </w:r>
      <w:r w:rsidR="003F750F">
        <w:t>estimated to be 58 km</w:t>
      </w:r>
      <w:r w:rsidR="003F750F" w:rsidRPr="009A618C">
        <w:rPr>
          <w:vertAlign w:val="superscript"/>
        </w:rPr>
        <w:t>2</w:t>
      </w:r>
      <w:r w:rsidR="003F750F">
        <w:t>), a continuing decline and extreme fluctuations in the number of mature individuals</w:t>
      </w:r>
      <w:r w:rsidR="009A618C">
        <w:t xml:space="preserve"> (</w:t>
      </w:r>
      <w:r w:rsidR="000D1B6E">
        <w:t>Attachment A (</w:t>
      </w:r>
      <w:r w:rsidR="009A618C">
        <w:t>DCCEEW 2023</w:t>
      </w:r>
      <w:r w:rsidR="000D1B6E">
        <w:t>)</w:t>
      </w:r>
      <w:r w:rsidR="009A618C">
        <w:t>)</w:t>
      </w:r>
      <w:r w:rsidRPr="003163BC">
        <w:t xml:space="preserve">. </w:t>
      </w:r>
    </w:p>
    <w:p w14:paraId="15E08784" w14:textId="580007BD" w:rsidR="007A182B" w:rsidRPr="00776751" w:rsidRDefault="007A182B" w:rsidP="00776751">
      <w:pPr>
        <w:pStyle w:val="Heading2-notindexed"/>
      </w:pPr>
      <w:r w:rsidRPr="00776751">
        <w:t>DESCRIPTION AND ECOLOGY</w:t>
      </w:r>
    </w:p>
    <w:p w14:paraId="6AB2D00B" w14:textId="4F91ED98" w:rsidR="0048704E" w:rsidRPr="003163BC" w:rsidRDefault="00D534D7" w:rsidP="00776751">
      <w:r>
        <w:rPr>
          <w:noProof/>
        </w:rPr>
        <w:drawing>
          <wp:anchor distT="0" distB="0" distL="114300" distR="114300" simplePos="0" relativeHeight="251661312" behindDoc="1" locked="0" layoutInCell="1" allowOverlap="1" wp14:anchorId="5C73C05D" wp14:editId="18959A69">
            <wp:simplePos x="0" y="0"/>
            <wp:positionH relativeFrom="margin">
              <wp:posOffset>3307080</wp:posOffset>
            </wp:positionH>
            <wp:positionV relativeFrom="page">
              <wp:posOffset>6202680</wp:posOffset>
            </wp:positionV>
            <wp:extent cx="2382520" cy="3446145"/>
            <wp:effectExtent l="0" t="0" r="0" b="1905"/>
            <wp:wrapTight wrapText="bothSides">
              <wp:wrapPolygon edited="0">
                <wp:start x="0" y="0"/>
                <wp:lineTo x="0" y="21493"/>
                <wp:lineTo x="21416" y="21493"/>
                <wp:lineTo x="21416" y="0"/>
                <wp:lineTo x="0" y="0"/>
              </wp:wrapPolygon>
            </wp:wrapTight>
            <wp:docPr id="1" name="Picture 1" descr="A close up photo of a small Ginninderra Peppercress plant with maturing seed heads taken by Greg Baines, Canberra Nature 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photo of a small Ginninderra Peppercress plant with maturing seed heads taken by Greg Baines, Canberra Nature Map "/>
                    <pic:cNvPicPr/>
                  </pic:nvPicPr>
                  <pic:blipFill rotWithShape="1">
                    <a:blip r:embed="rId18">
                      <a:extLst>
                        <a:ext uri="{28A0092B-C50C-407E-A947-70E740481C1C}">
                          <a14:useLocalDpi xmlns:a14="http://schemas.microsoft.com/office/drawing/2010/main" val="0"/>
                        </a:ext>
                      </a:extLst>
                    </a:blip>
                    <a:srcRect l="3764" t="21135" r="46360"/>
                    <a:stretch/>
                  </pic:blipFill>
                  <pic:spPr bwMode="auto">
                    <a:xfrm>
                      <a:off x="0" y="0"/>
                      <a:ext cx="2382520" cy="3446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6751" w:rsidRPr="003163BC">
        <w:t xml:space="preserve">The Ginninderra Peppercress was first described in 2001, previously being confused with the </w:t>
      </w:r>
      <w:proofErr w:type="spellStart"/>
      <w:r w:rsidR="00776751" w:rsidRPr="003163BC">
        <w:t>Formbe</w:t>
      </w:r>
      <w:proofErr w:type="spellEnd"/>
      <w:r w:rsidR="00776751" w:rsidRPr="003163BC">
        <w:t xml:space="preserve"> and Winged Peppercress (</w:t>
      </w:r>
      <w:r w:rsidR="00776751" w:rsidRPr="003163BC">
        <w:rPr>
          <w:i/>
          <w:iCs/>
        </w:rPr>
        <w:t xml:space="preserve">Lepidium </w:t>
      </w:r>
      <w:proofErr w:type="spellStart"/>
      <w:r w:rsidR="00776751" w:rsidRPr="003163BC">
        <w:rPr>
          <w:i/>
          <w:iCs/>
        </w:rPr>
        <w:t>pseudopapillosum</w:t>
      </w:r>
      <w:proofErr w:type="spellEnd"/>
      <w:r w:rsidR="00776751" w:rsidRPr="003163BC">
        <w:rPr>
          <w:i/>
          <w:iCs/>
        </w:rPr>
        <w:t xml:space="preserve"> </w:t>
      </w:r>
      <w:r w:rsidR="00776751" w:rsidRPr="003163BC">
        <w:t xml:space="preserve">and </w:t>
      </w:r>
      <w:r w:rsidR="00776751" w:rsidRPr="003163BC">
        <w:rPr>
          <w:i/>
          <w:iCs/>
        </w:rPr>
        <w:t xml:space="preserve">Lepidium </w:t>
      </w:r>
      <w:proofErr w:type="spellStart"/>
      <w:r w:rsidR="00776751" w:rsidRPr="003163BC">
        <w:rPr>
          <w:i/>
          <w:iCs/>
        </w:rPr>
        <w:t>monoplocoides</w:t>
      </w:r>
      <w:proofErr w:type="spellEnd"/>
      <w:r w:rsidR="00776751">
        <w:rPr>
          <w:i/>
          <w:iCs/>
        </w:rPr>
        <w:t>,</w:t>
      </w:r>
      <w:r w:rsidR="00776751" w:rsidRPr="003163BC">
        <w:t xml:space="preserve"> respectively)</w:t>
      </w:r>
      <w:r w:rsidR="00776751">
        <w:t xml:space="preserve"> </w:t>
      </w:r>
      <w:r w:rsidR="00776751">
        <w:rPr>
          <w:noProof/>
        </w:rPr>
        <w:t>(Scarlett 2001)</w:t>
      </w:r>
      <w:r w:rsidR="00776751">
        <w:t xml:space="preserve">. </w:t>
      </w:r>
      <w:r w:rsidR="0048704E" w:rsidRPr="003163BC">
        <w:t>The Ginninderra Peppercress is a perennial herb that grows to a maximum height of 20</w:t>
      </w:r>
      <w:r w:rsidR="00645B3F">
        <w:t xml:space="preserve"> </w:t>
      </w:r>
      <w:r w:rsidR="0048704E" w:rsidRPr="003163BC">
        <w:t xml:space="preserve">cm, with one to six main branches stemming from a rootstock. </w:t>
      </w:r>
      <w:r w:rsidR="00C8658E" w:rsidRPr="003163BC">
        <w:t>Stems are striated and moderate</w:t>
      </w:r>
      <w:r w:rsidR="00233FC5">
        <w:t>ly</w:t>
      </w:r>
      <w:r w:rsidR="00C8658E" w:rsidRPr="003163BC">
        <w:t xml:space="preserve"> covered with small protuberances on the surface. The leaves of the plant are thick and fleshy, glabrous (hairless) and shiny on the upper epidermis. Leaves are widely spaced out in formations of rosettes, 1.5 to 2.0</w:t>
      </w:r>
      <w:r w:rsidR="00D01EA0">
        <w:t xml:space="preserve"> </w:t>
      </w:r>
      <w:r w:rsidR="00C8658E" w:rsidRPr="003163BC">
        <w:t>mm wide and 15</w:t>
      </w:r>
      <w:r w:rsidR="00233FC5">
        <w:t>–</w:t>
      </w:r>
      <w:r w:rsidR="00C8658E" w:rsidRPr="003163BC">
        <w:t>55</w:t>
      </w:r>
      <w:r w:rsidR="00D01EA0">
        <w:t xml:space="preserve"> </w:t>
      </w:r>
      <w:r w:rsidR="00C8658E" w:rsidRPr="003163BC">
        <w:t xml:space="preserve">mm long. </w:t>
      </w:r>
    </w:p>
    <w:p w14:paraId="6A9A3568" w14:textId="35386546" w:rsidR="001824C6" w:rsidRPr="003163BC" w:rsidRDefault="00C8658E" w:rsidP="00776751">
      <w:r w:rsidRPr="003163BC">
        <w:t xml:space="preserve">The Ginninderra Peppercress </w:t>
      </w:r>
      <w:r w:rsidR="001F75AE" w:rsidRPr="003163BC">
        <w:t xml:space="preserve">blooms in late spring bearing inflorescence pedicellate flowers </w:t>
      </w:r>
      <w:r w:rsidR="00776751">
        <w:t xml:space="preserve">(that is, </w:t>
      </w:r>
      <w:r w:rsidR="0085351A">
        <w:t xml:space="preserve">flowers </w:t>
      </w:r>
      <w:r w:rsidR="001F75AE" w:rsidRPr="003163BC">
        <w:t>occur</w:t>
      </w:r>
      <w:r w:rsidR="00776751">
        <w:t>ring</w:t>
      </w:r>
      <w:r w:rsidR="001F75AE" w:rsidRPr="003163BC">
        <w:t xml:space="preserve"> along the axis of</w:t>
      </w:r>
      <w:r w:rsidR="00B6232D">
        <w:t xml:space="preserve"> an</w:t>
      </w:r>
      <w:r w:rsidR="001F75AE" w:rsidRPr="003163BC">
        <w:t xml:space="preserve"> elongated raceme that can reach a maximum length of 15</w:t>
      </w:r>
      <w:r w:rsidR="00D01EA0">
        <w:t xml:space="preserve"> </w:t>
      </w:r>
      <w:r w:rsidR="001F75AE" w:rsidRPr="003163BC">
        <w:t>cm</w:t>
      </w:r>
      <w:r w:rsidR="00776751">
        <w:t>)</w:t>
      </w:r>
      <w:r w:rsidR="001F75AE" w:rsidRPr="003163BC">
        <w:t xml:space="preserve">. </w:t>
      </w:r>
      <w:r w:rsidR="0085351A">
        <w:t>The f</w:t>
      </w:r>
      <w:r w:rsidR="001F75AE" w:rsidRPr="003163BC">
        <w:t>lowers are small, 2</w:t>
      </w:r>
      <w:r w:rsidR="00D01EA0">
        <w:t xml:space="preserve"> </w:t>
      </w:r>
      <w:r w:rsidR="001F75AE" w:rsidRPr="003163BC">
        <w:t>mm wide and 1.5</w:t>
      </w:r>
      <w:r w:rsidR="00D01EA0">
        <w:t xml:space="preserve"> </w:t>
      </w:r>
      <w:r w:rsidR="001F75AE" w:rsidRPr="003163BC">
        <w:t xml:space="preserve">mm long. </w:t>
      </w:r>
      <w:r w:rsidR="001824C6" w:rsidRPr="003163BC">
        <w:t>Sepals are green and there are no petals.</w:t>
      </w:r>
    </w:p>
    <w:p w14:paraId="343BBC88" w14:textId="55E32E34" w:rsidR="00B7516C" w:rsidRPr="003163BC" w:rsidRDefault="009A618C" w:rsidP="001C3851">
      <w:r>
        <w:rPr>
          <w:noProof/>
        </w:rPr>
        <mc:AlternateContent>
          <mc:Choice Requires="wps">
            <w:drawing>
              <wp:anchor distT="0" distB="0" distL="114300" distR="114300" simplePos="0" relativeHeight="251663360" behindDoc="1" locked="0" layoutInCell="1" allowOverlap="1" wp14:anchorId="405C2C27" wp14:editId="24FAAD9D">
                <wp:simplePos x="0" y="0"/>
                <wp:positionH relativeFrom="margin">
                  <wp:align>right</wp:align>
                </wp:positionH>
                <wp:positionV relativeFrom="page">
                  <wp:posOffset>9662160</wp:posOffset>
                </wp:positionV>
                <wp:extent cx="4046855" cy="209550"/>
                <wp:effectExtent l="0" t="0" r="0" b="0"/>
                <wp:wrapTight wrapText="bothSides">
                  <wp:wrapPolygon edited="0">
                    <wp:start x="0" y="0"/>
                    <wp:lineTo x="0" y="19636"/>
                    <wp:lineTo x="21454" y="19636"/>
                    <wp:lineTo x="21454"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4046855" cy="209550"/>
                        </a:xfrm>
                        <a:prstGeom prst="rect">
                          <a:avLst/>
                        </a:prstGeom>
                        <a:solidFill>
                          <a:prstClr val="white"/>
                        </a:solidFill>
                        <a:ln>
                          <a:noFill/>
                        </a:ln>
                      </wps:spPr>
                      <wps:txbx>
                        <w:txbxContent>
                          <w:p w14:paraId="6BCDDC42" w14:textId="7C9260E6" w:rsidR="00B7516C" w:rsidRDefault="00B7516C" w:rsidP="00B7516C">
                            <w:pPr>
                              <w:pStyle w:val="Subtitle"/>
                              <w:jc w:val="right"/>
                            </w:pPr>
                            <w:r>
                              <w:t>Ginninderra Peppercress (</w:t>
                            </w:r>
                            <w:r w:rsidR="006A348F" w:rsidRPr="001D4727">
                              <w:t>Greg Baines</w:t>
                            </w:r>
                            <w:r w:rsidRPr="001D4727">
                              <w:t xml:space="preserve"> – Canberra Nature Map</w:t>
                            </w:r>
                            <w:r>
                              <w:t>)</w:t>
                            </w:r>
                          </w:p>
                          <w:p w14:paraId="01344174" w14:textId="5184B984" w:rsidR="00B7516C" w:rsidRPr="001D528D" w:rsidRDefault="00B7516C" w:rsidP="00B7516C">
                            <w:pPr>
                              <w:pStyle w:val="Caption"/>
                              <w:rPr>
                                <w:noProof/>
                                <w:sz w:val="21"/>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C2C27" id="_x0000_t202" coordsize="21600,21600" o:spt="202" path="m,l,21600r21600,l21600,xe">
                <v:stroke joinstyle="miter"/>
                <v:path gradientshapeok="t" o:connecttype="rect"/>
              </v:shapetype>
              <v:shape id="Text Box 3" o:spid="_x0000_s1026" type="#_x0000_t202" style="position:absolute;margin-left:267.45pt;margin-top:760.8pt;width:318.65pt;height:16.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" stroked="f">
                <v:textbox inset="0,0,0,0">
                  <w:txbxContent>
                    <w:p w14:paraId="6BCDDC42" w14:textId="7C9260E6" w:rsidR="00B7516C" w:rsidRDefault="00B7516C" w:rsidP="00B7516C">
                      <w:pPr>
                        <w:pStyle w:val="Subtitle"/>
                        <w:jc w:val="right"/>
                      </w:pPr>
                      <w:r>
                        <w:t>Ginninderra Peppercress (</w:t>
                      </w:r>
                      <w:r w:rsidR="006A348F" w:rsidRPr="001D4727">
                        <w:t>Greg Baines</w:t>
                      </w:r>
                      <w:r w:rsidRPr="001D4727">
                        <w:t xml:space="preserve"> – Canberra Nature Map</w:t>
                      </w:r>
                      <w:r>
                        <w:t>)</w:t>
                      </w:r>
                    </w:p>
                    <w:p w14:paraId="01344174" w14:textId="5184B984" w:rsidR="00B7516C" w:rsidRPr="001D528D" w:rsidRDefault="00B7516C" w:rsidP="00B7516C">
                      <w:pPr>
                        <w:pStyle w:val="Caption"/>
                        <w:rPr>
                          <w:noProof/>
                          <w:sz w:val="21"/>
                          <w:szCs w:val="21"/>
                        </w:rPr>
                      </w:pPr>
                    </w:p>
                  </w:txbxContent>
                </v:textbox>
                <w10:wrap type="tight" anchorx="margin" anchory="page"/>
              </v:shape>
            </w:pict>
          </mc:Fallback>
        </mc:AlternateContent>
      </w:r>
      <w:r w:rsidR="001F75AE" w:rsidRPr="003163BC">
        <w:t xml:space="preserve">The species </w:t>
      </w:r>
      <w:r w:rsidR="001824C6" w:rsidRPr="003163BC">
        <w:t>produce seeds in early summe</w:t>
      </w:r>
      <w:r w:rsidR="001F75AE" w:rsidRPr="003163BC">
        <w:t>r</w:t>
      </w:r>
      <w:r w:rsidR="001824C6" w:rsidRPr="003163BC">
        <w:t xml:space="preserve"> with most seeds</w:t>
      </w:r>
      <w:r w:rsidR="001F75AE" w:rsidRPr="003163BC">
        <w:t xml:space="preserve"> dispersed before August </w:t>
      </w:r>
      <w:r w:rsidR="001824C6" w:rsidRPr="003163BC">
        <w:t>and the end of winter</w:t>
      </w:r>
      <w:r w:rsidR="006F4468">
        <w:t xml:space="preserve"> </w:t>
      </w:r>
      <w:r w:rsidR="00233FC5">
        <w:rPr>
          <w:noProof/>
        </w:rPr>
        <w:t>(Avis 2000)</w:t>
      </w:r>
      <w:r w:rsidR="006F4468">
        <w:t xml:space="preserve">. </w:t>
      </w:r>
      <w:r w:rsidR="00DB1ED7" w:rsidRPr="003163BC">
        <w:t xml:space="preserve">Germinability </w:t>
      </w:r>
      <w:r w:rsidR="00DB1ED7" w:rsidRPr="00A34D72">
        <w:t>was tested on 4-year-old seeds stored under controlled conditions finding 100% viability and germination</w:t>
      </w:r>
      <w:r w:rsidR="006F6217" w:rsidRPr="00A34D72">
        <w:t xml:space="preserve"> </w:t>
      </w:r>
      <w:r w:rsidR="00233FC5" w:rsidRPr="00A34D72">
        <w:rPr>
          <w:noProof/>
        </w:rPr>
        <w:t>(Taylor</w:t>
      </w:r>
      <w:r w:rsidR="00233FC5">
        <w:rPr>
          <w:noProof/>
        </w:rPr>
        <w:t xml:space="preserve"> </w:t>
      </w:r>
      <w:r w:rsidR="00233FC5" w:rsidRPr="00A34D72">
        <w:rPr>
          <w:noProof/>
        </w:rPr>
        <w:t>et al. 2014)</w:t>
      </w:r>
      <w:r w:rsidR="006F4468" w:rsidRPr="00A34D72">
        <w:t>.</w:t>
      </w:r>
    </w:p>
    <w:p w14:paraId="708A4B97" w14:textId="75A9316F" w:rsidR="007A182B" w:rsidRDefault="007A182B" w:rsidP="00BD5FD9">
      <w:pPr>
        <w:pStyle w:val="Heading2-notindexed"/>
      </w:pPr>
      <w:r>
        <w:lastRenderedPageBreak/>
        <w:t>Distribution and Habitat</w:t>
      </w:r>
    </w:p>
    <w:p w14:paraId="23A8EB5A" w14:textId="0BB75ECE" w:rsidR="00917B4A" w:rsidRDefault="00700279" w:rsidP="002D4AB0">
      <w:r w:rsidRPr="003163BC">
        <w:t>The species</w:t>
      </w:r>
      <w:r w:rsidR="003A099F">
        <w:t xml:space="preserve"> is only known to occur in </w:t>
      </w:r>
      <w:r w:rsidRPr="003163BC">
        <w:t>the Australian Capital Territory</w:t>
      </w:r>
      <w:r w:rsidR="00776751">
        <w:t xml:space="preserve"> (ACT)</w:t>
      </w:r>
      <w:r w:rsidR="00917B4A">
        <w:t xml:space="preserve"> as shown in Map 1</w:t>
      </w:r>
      <w:r w:rsidR="00A45E33">
        <w:t xml:space="preserve"> and Table 1 for a list of known subpopulations, which all occur on land that is currently managed or proposed to be set aside for conservation purposes</w:t>
      </w:r>
      <w:r w:rsidRPr="003163BC">
        <w:t xml:space="preserve">. </w:t>
      </w:r>
    </w:p>
    <w:p w14:paraId="023915BC" w14:textId="191F55B8" w:rsidR="00917B4A" w:rsidRPr="008F3D5E" w:rsidRDefault="00917B4A" w:rsidP="00917B4A">
      <w:pPr>
        <w:rPr>
          <w:sz w:val="18"/>
          <w:szCs w:val="18"/>
        </w:rPr>
      </w:pPr>
      <w:r>
        <w:rPr>
          <w:noProof/>
        </w:rPr>
        <w:drawing>
          <wp:inline distT="0" distB="0" distL="0" distR="0" wp14:anchorId="57DF20DE" wp14:editId="48D58A5D">
            <wp:extent cx="5731510" cy="4287215"/>
            <wp:effectExtent l="0" t="0" r="2540" b="0"/>
            <wp:docPr id="6" name="Picture 6" descr="Map showing the modelled potential distribution across Canb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 showing the modelled potential distribution across Canberra"/>
                    <pic:cNvPicPr/>
                  </pic:nvPicPr>
                  <pic:blipFill>
                    <a:blip r:embed="rId19"/>
                    <a:stretch>
                      <a:fillRect/>
                    </a:stretch>
                  </pic:blipFill>
                  <pic:spPr>
                    <a:xfrm>
                      <a:off x="0" y="0"/>
                      <a:ext cx="5731510" cy="4287215"/>
                    </a:xfrm>
                    <a:prstGeom prst="rect">
                      <a:avLst/>
                    </a:prstGeom>
                  </pic:spPr>
                </pic:pic>
              </a:graphicData>
            </a:graphic>
          </wp:inline>
        </w:drawing>
      </w:r>
      <w:r w:rsidRPr="00917B4A">
        <w:rPr>
          <w:sz w:val="18"/>
          <w:szCs w:val="18"/>
        </w:rPr>
        <w:t xml:space="preserve"> </w:t>
      </w:r>
      <w:r w:rsidRPr="008F3D5E">
        <w:rPr>
          <w:sz w:val="18"/>
          <w:szCs w:val="18"/>
        </w:rPr>
        <w:t>Source: D</w:t>
      </w:r>
      <w:r>
        <w:rPr>
          <w:sz w:val="18"/>
          <w:szCs w:val="18"/>
        </w:rPr>
        <w:t>CCEEW (2023) –</w:t>
      </w:r>
      <w:r w:rsidRPr="008F3D5E">
        <w:rPr>
          <w:sz w:val="18"/>
          <w:szCs w:val="18"/>
        </w:rPr>
        <w:t xml:space="preserve"> Base map Geoscience Australia; species distribution data </w:t>
      </w:r>
      <w:hyperlink r:id="rId20" w:history="1">
        <w:r w:rsidRPr="008F3D5E">
          <w:rPr>
            <w:rStyle w:val="Hyperlink"/>
            <w:sz w:val="18"/>
            <w:szCs w:val="18"/>
          </w:rPr>
          <w:t>Species of National Environmental Significance</w:t>
        </w:r>
      </w:hyperlink>
      <w:r w:rsidRPr="008F3D5E">
        <w:rPr>
          <w:sz w:val="18"/>
          <w:szCs w:val="18"/>
        </w:rPr>
        <w:t xml:space="preserve"> database. </w:t>
      </w:r>
    </w:p>
    <w:p w14:paraId="2108AA4E" w14:textId="0A71CB54" w:rsidR="00AC1365" w:rsidRDefault="002D4AB0" w:rsidP="00AC1365">
      <w:r w:rsidRPr="003163BC">
        <w:t xml:space="preserve">Historical records from 1952 indicate the species was </w:t>
      </w:r>
      <w:r w:rsidR="00A45E33">
        <w:t xml:space="preserve">initially </w:t>
      </w:r>
      <w:r w:rsidRPr="003163BC">
        <w:t>recorded in the suburb of Reid</w:t>
      </w:r>
      <w:r w:rsidR="00A45E33">
        <w:t xml:space="preserve"> but has since been lost to development</w:t>
      </w:r>
      <w:r w:rsidRPr="003163BC">
        <w:t xml:space="preserve"> (</w:t>
      </w:r>
      <w:r>
        <w:rPr>
          <w:noProof/>
        </w:rPr>
        <w:t>Scarlett 2001)</w:t>
      </w:r>
      <w:r w:rsidRPr="003163BC">
        <w:t xml:space="preserve">.  </w:t>
      </w:r>
      <w:r w:rsidR="00AC1365" w:rsidRPr="003163BC">
        <w:t xml:space="preserve">The </w:t>
      </w:r>
      <w:r w:rsidR="00AC1365">
        <w:t xml:space="preserve">only </w:t>
      </w:r>
      <w:r w:rsidR="00AC1365" w:rsidRPr="003163BC">
        <w:t xml:space="preserve">population </w:t>
      </w:r>
      <w:r w:rsidR="00AC1365">
        <w:t>known for many years occurs</w:t>
      </w:r>
      <w:r w:rsidR="00AC1365" w:rsidRPr="003163BC">
        <w:t xml:space="preserve"> in the Natural Temperature Grassland of the north-west corner of the former Belconnen Naval Transmission Station (now </w:t>
      </w:r>
      <w:r w:rsidR="0035400A">
        <w:t xml:space="preserve">known as </w:t>
      </w:r>
      <w:r w:rsidR="00AC1365" w:rsidRPr="003163BC">
        <w:t xml:space="preserve">Lawson </w:t>
      </w:r>
      <w:r w:rsidR="00AC1365">
        <w:t>G</w:t>
      </w:r>
      <w:r w:rsidR="00AC1365" w:rsidRPr="003163BC">
        <w:t>rasslands).</w:t>
      </w:r>
      <w:r w:rsidR="00AC1365">
        <w:t xml:space="preserve"> </w:t>
      </w:r>
      <w:r w:rsidR="00AC1365" w:rsidRPr="003163BC">
        <w:t xml:space="preserve">In 2012, </w:t>
      </w:r>
      <w:r w:rsidR="00AC1365">
        <w:t>a</w:t>
      </w:r>
      <w:r w:rsidR="00AC1365" w:rsidRPr="003163BC">
        <w:t xml:space="preserve"> second population was discovered approximately 6</w:t>
      </w:r>
      <w:r w:rsidR="00AC1365">
        <w:t xml:space="preserve"> </w:t>
      </w:r>
      <w:r w:rsidR="00AC1365" w:rsidRPr="003163BC">
        <w:t>km northeast of Lawson in the suburb of Franklin (altitude 610m) in an 18</w:t>
      </w:r>
      <w:r w:rsidR="00AC1365">
        <w:t>-ha</w:t>
      </w:r>
      <w:r w:rsidR="00AC1365" w:rsidRPr="003163BC">
        <w:t xml:space="preserve"> paddock of disturbed grassland and remnant Box-Gum Woodland </w:t>
      </w:r>
      <w:r w:rsidR="00AC1365">
        <w:rPr>
          <w:noProof/>
        </w:rPr>
        <w:t>(Taws 2013; Taylor et al. 2014)</w:t>
      </w:r>
      <w:r w:rsidR="0086609B">
        <w:rPr>
          <w:noProof/>
        </w:rPr>
        <w:t xml:space="preserve"> and is now </w:t>
      </w:r>
      <w:r w:rsidR="0086609B">
        <w:t>protected within the Budjan Galindji Grasslands Nature Reserve that was declared in 2020</w:t>
      </w:r>
      <w:r w:rsidR="00AC1365" w:rsidRPr="003163BC">
        <w:t xml:space="preserve">. In 2014, three </w:t>
      </w:r>
      <w:r w:rsidR="00AC1365">
        <w:t>patches</w:t>
      </w:r>
      <w:r w:rsidR="00AC1365" w:rsidRPr="003163BC">
        <w:t xml:space="preserve"> were found at this site.</w:t>
      </w:r>
      <w:r w:rsidR="00AC1365">
        <w:t xml:space="preserve"> A </w:t>
      </w:r>
      <w:r w:rsidR="00AC1365" w:rsidRPr="00C849CF">
        <w:t xml:space="preserve">third population was discovered in </w:t>
      </w:r>
      <w:r w:rsidR="00AC1365">
        <w:t xml:space="preserve">the </w:t>
      </w:r>
      <w:r w:rsidR="00AC1365" w:rsidRPr="00C849CF">
        <w:t xml:space="preserve">north-east corner </w:t>
      </w:r>
      <w:r w:rsidR="00AC1365">
        <w:t xml:space="preserve">of </w:t>
      </w:r>
      <w:r w:rsidR="00AC1365" w:rsidRPr="00C849CF">
        <w:t xml:space="preserve">Jerrabomberra East Grasslands on 1 February 2018 in a former paddock </w:t>
      </w:r>
      <w:r w:rsidR="00AC1365">
        <w:t>of mixed native and exotic species</w:t>
      </w:r>
      <w:r w:rsidR="00AC1365" w:rsidRPr="00C849CF">
        <w:t xml:space="preserve"> </w:t>
      </w:r>
      <w:r w:rsidR="00AC1365">
        <w:t xml:space="preserve">and </w:t>
      </w:r>
      <w:r w:rsidR="00AC1365" w:rsidRPr="00C849CF">
        <w:t>part of one of the largest connected grasslands in south-east Australia.</w:t>
      </w:r>
      <w:r w:rsidR="0035400A">
        <w:t xml:space="preserve"> A</w:t>
      </w:r>
      <w:r w:rsidR="0035400A" w:rsidRPr="00C849CF">
        <w:t xml:space="preserve"> fourth population was identified nearby at</w:t>
      </w:r>
      <w:r w:rsidR="0035400A">
        <w:t xml:space="preserve"> the former Defence</w:t>
      </w:r>
      <w:r w:rsidR="0035400A" w:rsidRPr="00C849CF">
        <w:t xml:space="preserve"> Bonshaw</w:t>
      </w:r>
      <w:r w:rsidR="0035400A">
        <w:t xml:space="preserve"> Receiving Station</w:t>
      </w:r>
      <w:r w:rsidR="0035400A" w:rsidRPr="00C849CF">
        <w:t xml:space="preserve"> </w:t>
      </w:r>
      <w:r w:rsidR="0035400A">
        <w:t>in December 2018.</w:t>
      </w:r>
      <w:r w:rsidR="0086609B">
        <w:t xml:space="preserve"> These populations are managed by the ACT Government Environmental Offsets team</w:t>
      </w:r>
      <w:r w:rsidR="0086609B" w:rsidRPr="003B7BD4">
        <w:t xml:space="preserve"> </w:t>
      </w:r>
      <w:r w:rsidR="0086609B">
        <w:t>along with other threatened grassland species in these areas ensuring their conservation.</w:t>
      </w:r>
    </w:p>
    <w:p w14:paraId="4BA088DD" w14:textId="6F205D96" w:rsidR="00AC1365" w:rsidRDefault="00917B4A" w:rsidP="002D4AB0">
      <w:r>
        <w:t>The species is likely to be naturally confined to the Natural Temperate Grassland in the ACT and nearby parts of NSW</w:t>
      </w:r>
      <w:r w:rsidRPr="00471C73">
        <w:t xml:space="preserve">. </w:t>
      </w:r>
      <w:r>
        <w:t>S</w:t>
      </w:r>
      <w:r w:rsidRPr="00471C73">
        <w:t xml:space="preserve">uitable habitat for </w:t>
      </w:r>
      <w:r>
        <w:t xml:space="preserve">the </w:t>
      </w:r>
      <w:r w:rsidRPr="00471C73">
        <w:t xml:space="preserve">Ginninderra </w:t>
      </w:r>
      <w:r>
        <w:t>P</w:t>
      </w:r>
      <w:r w:rsidRPr="00471C73">
        <w:t>eppercress has been observed in NSW at Collector and Tarago (A Rowell pers</w:t>
      </w:r>
      <w:r w:rsidR="00A45E33">
        <w:t>.</w:t>
      </w:r>
      <w:r w:rsidRPr="00471C73">
        <w:t xml:space="preserve"> comm</w:t>
      </w:r>
      <w:r>
        <w:t>. in DCCEEW 2023</w:t>
      </w:r>
      <w:r w:rsidRPr="00471C73">
        <w:t>) but the</w:t>
      </w:r>
      <w:r>
        <w:t xml:space="preserve"> species has never been recorded outside the </w:t>
      </w:r>
      <w:r>
        <w:lastRenderedPageBreak/>
        <w:t xml:space="preserve">ACT. </w:t>
      </w:r>
      <w:r w:rsidR="0035400A">
        <w:t>T</w:t>
      </w:r>
      <w:r w:rsidR="0035400A" w:rsidRPr="00D80DAA">
        <w:t xml:space="preserve">he species </w:t>
      </w:r>
      <w:r w:rsidR="0035400A">
        <w:t>is found</w:t>
      </w:r>
      <w:r w:rsidR="0035400A" w:rsidRPr="00D80DAA">
        <w:t xml:space="preserve"> in areas with relatively low perennial ground cover </w:t>
      </w:r>
      <w:r w:rsidR="0035400A">
        <w:t>with</w:t>
      </w:r>
      <w:r w:rsidR="0035400A" w:rsidRPr="00D80DAA">
        <w:t xml:space="preserve"> indicators of past soil disturbance</w:t>
      </w:r>
      <w:r w:rsidR="0035400A">
        <w:t xml:space="preserve"> (Avis 2000)</w:t>
      </w:r>
      <w:r w:rsidR="00F14ED3">
        <w:t xml:space="preserve"> in</w:t>
      </w:r>
      <w:r>
        <w:t xml:space="preserve"> or edging</w:t>
      </w:r>
      <w:r w:rsidR="00F14ED3">
        <w:t xml:space="preserve"> shallow depressions with</w:t>
      </w:r>
      <w:r w:rsidR="00F14ED3" w:rsidRPr="00C849CF">
        <w:t xml:space="preserve"> seasonally waterlogged sodic soils </w:t>
      </w:r>
      <w:r w:rsidR="00F14ED3">
        <w:rPr>
          <w:noProof/>
        </w:rPr>
        <w:t>(SMEC 2018)</w:t>
      </w:r>
      <w:r>
        <w:rPr>
          <w:noProof/>
        </w:rPr>
        <w:t>.</w:t>
      </w:r>
    </w:p>
    <w:p w14:paraId="2955C494" w14:textId="63806C5E" w:rsidR="00003246" w:rsidRPr="001E5348" w:rsidRDefault="00003246" w:rsidP="00EC7377">
      <w:pPr>
        <w:rPr>
          <w:b/>
          <w:bCs/>
        </w:rPr>
      </w:pPr>
      <w:r w:rsidRPr="001E5348">
        <w:rPr>
          <w:b/>
          <w:bCs/>
        </w:rPr>
        <w:t xml:space="preserve">Table 1: </w:t>
      </w:r>
      <w:r w:rsidR="001E5348" w:rsidRPr="001E5348">
        <w:rPr>
          <w:b/>
          <w:bCs/>
        </w:rPr>
        <w:t>Survey results of numbers of Ginninderra Peppercress recorded at all known sites</w:t>
      </w:r>
    </w:p>
    <w:tbl>
      <w:tblPr>
        <w:tblStyle w:val="GridTable1Light-Accent5"/>
        <w:tblW w:w="6941" w:type="dxa"/>
        <w:tblLook w:val="04A0" w:firstRow="1" w:lastRow="0" w:firstColumn="1" w:lastColumn="0" w:noHBand="0" w:noVBand="1"/>
        <w:tblCaption w:val="Survey results of numbers of Ginninderra Peppercress recorded at all known sites"/>
        <w:tblDescription w:val="Survey results of numbers of Ginninderra Peppercress recorded at all known sites Column 1 - site name (4 sites), Column 2 - Year of Survey by Site name, COlumn 3 the number of individual palnts, Column 4 the source of the information"/>
      </w:tblPr>
      <w:tblGrid>
        <w:gridCol w:w="2405"/>
        <w:gridCol w:w="1304"/>
        <w:gridCol w:w="1157"/>
        <w:gridCol w:w="2075"/>
      </w:tblGrid>
      <w:tr w:rsidR="00FA6D0A" w:rsidRPr="00AF27D7" w14:paraId="14314334" w14:textId="77777777" w:rsidTr="00EC7377">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405" w:type="dxa"/>
            <w:hideMark/>
          </w:tcPr>
          <w:p w14:paraId="3B94D65F" w14:textId="77777777" w:rsidR="00FA6D0A" w:rsidRPr="00AF27D7" w:rsidRDefault="00FA6D0A" w:rsidP="00AF27D7">
            <w:pPr>
              <w:spacing w:before="60"/>
              <w:rPr>
                <w:rFonts w:ascii="Arial" w:eastAsia="Calibri" w:hAnsi="Arial" w:cs="Arial"/>
                <w:sz w:val="36"/>
                <w:szCs w:val="36"/>
                <w:lang w:eastAsia="en-AU"/>
              </w:rPr>
            </w:pPr>
            <w:r w:rsidRPr="00AF27D7">
              <w:rPr>
                <w:rFonts w:ascii="Arial" w:eastAsia="Calibri" w:hAnsi="Arial" w:cs="Arial"/>
                <w:sz w:val="18"/>
                <w:szCs w:val="18"/>
                <w:lang w:eastAsia="en-AU"/>
              </w:rPr>
              <w:t>Site name (tenure)</w:t>
            </w:r>
          </w:p>
        </w:tc>
        <w:tc>
          <w:tcPr>
            <w:tcW w:w="1304" w:type="dxa"/>
            <w:hideMark/>
          </w:tcPr>
          <w:p w14:paraId="57F0DAF1" w14:textId="77777777" w:rsidR="00FA6D0A" w:rsidRPr="00AF27D7" w:rsidRDefault="00FA6D0A" w:rsidP="00AF27D7">
            <w:pPr>
              <w:spacing w:before="60"/>
              <w:cnfStyle w:val="100000000000" w:firstRow="1" w:lastRow="0" w:firstColumn="0" w:lastColumn="0" w:oddVBand="0" w:evenVBand="0" w:oddHBand="0" w:evenHBand="0" w:firstRowFirstColumn="0" w:firstRowLastColumn="0" w:lastRowFirstColumn="0" w:lastRowLastColumn="0"/>
              <w:rPr>
                <w:rFonts w:ascii="Arial" w:eastAsia="Calibri" w:hAnsi="Arial" w:cs="Arial"/>
                <w:sz w:val="36"/>
                <w:szCs w:val="36"/>
                <w:lang w:eastAsia="en-AU"/>
              </w:rPr>
            </w:pPr>
            <w:r w:rsidRPr="00AF27D7">
              <w:rPr>
                <w:rFonts w:ascii="Arial" w:eastAsia="Calibri" w:hAnsi="Arial" w:cs="Arial"/>
                <w:sz w:val="18"/>
                <w:szCs w:val="18"/>
                <w:lang w:eastAsia="en-AU"/>
              </w:rPr>
              <w:t>Survey year</w:t>
            </w:r>
          </w:p>
        </w:tc>
        <w:tc>
          <w:tcPr>
            <w:tcW w:w="1157" w:type="dxa"/>
            <w:hideMark/>
          </w:tcPr>
          <w:p w14:paraId="4E0C46FC" w14:textId="77777777" w:rsidR="00FA6D0A" w:rsidRPr="00AF27D7" w:rsidRDefault="00FA6D0A" w:rsidP="00AF27D7">
            <w:pPr>
              <w:spacing w:before="60"/>
              <w:cnfStyle w:val="100000000000" w:firstRow="1" w:lastRow="0" w:firstColumn="0" w:lastColumn="0" w:oddVBand="0" w:evenVBand="0" w:oddHBand="0" w:evenHBand="0" w:firstRowFirstColumn="0" w:firstRowLastColumn="0" w:lastRowFirstColumn="0" w:lastRowLastColumn="0"/>
              <w:rPr>
                <w:rFonts w:ascii="Arial" w:eastAsia="Calibri" w:hAnsi="Arial" w:cs="Arial"/>
                <w:sz w:val="36"/>
                <w:szCs w:val="36"/>
                <w:lang w:eastAsia="en-AU"/>
              </w:rPr>
            </w:pPr>
            <w:r w:rsidRPr="00AF27D7">
              <w:rPr>
                <w:rFonts w:ascii="Arial" w:eastAsia="Calibri" w:hAnsi="Arial" w:cs="Arial"/>
                <w:sz w:val="18"/>
                <w:szCs w:val="18"/>
                <w:lang w:eastAsia="en-AU"/>
              </w:rPr>
              <w:t>No. of individuals</w:t>
            </w:r>
          </w:p>
        </w:tc>
        <w:tc>
          <w:tcPr>
            <w:tcW w:w="2075" w:type="dxa"/>
            <w:hideMark/>
          </w:tcPr>
          <w:p w14:paraId="480C1FEB" w14:textId="77777777" w:rsidR="00FA6D0A" w:rsidRPr="00AF27D7" w:rsidRDefault="00FA6D0A" w:rsidP="00AF27D7">
            <w:pPr>
              <w:spacing w:before="60"/>
              <w:cnfStyle w:val="100000000000" w:firstRow="1" w:lastRow="0" w:firstColumn="0" w:lastColumn="0" w:oddVBand="0" w:evenVBand="0" w:oddHBand="0" w:evenHBand="0" w:firstRowFirstColumn="0" w:firstRowLastColumn="0" w:lastRowFirstColumn="0" w:lastRowLastColumn="0"/>
              <w:rPr>
                <w:rFonts w:ascii="Arial" w:eastAsia="Calibri" w:hAnsi="Arial" w:cs="Arial"/>
                <w:sz w:val="36"/>
                <w:szCs w:val="36"/>
                <w:lang w:eastAsia="en-AU"/>
              </w:rPr>
            </w:pPr>
            <w:r w:rsidRPr="00AF27D7">
              <w:rPr>
                <w:rFonts w:ascii="Arial" w:eastAsia="Calibri" w:hAnsi="Arial" w:cs="Arial"/>
                <w:sz w:val="18"/>
                <w:szCs w:val="18"/>
                <w:lang w:eastAsia="en-AU"/>
              </w:rPr>
              <w:t>Source</w:t>
            </w:r>
          </w:p>
        </w:tc>
      </w:tr>
      <w:tr w:rsidR="00FA6D0A" w:rsidRPr="001D4727" w14:paraId="6B1B57AE" w14:textId="77777777" w:rsidTr="00EC7377">
        <w:trPr>
          <w:trHeight w:val="3323"/>
        </w:trPr>
        <w:tc>
          <w:tcPr>
            <w:cnfStyle w:val="001000000000" w:firstRow="0" w:lastRow="0" w:firstColumn="1" w:lastColumn="0" w:oddVBand="0" w:evenVBand="0" w:oddHBand="0" w:evenHBand="0" w:firstRowFirstColumn="0" w:firstRowLastColumn="0" w:lastRowFirstColumn="0" w:lastRowLastColumn="0"/>
            <w:tcW w:w="2405" w:type="dxa"/>
            <w:hideMark/>
          </w:tcPr>
          <w:p w14:paraId="3595A418" w14:textId="15A4EC82" w:rsidR="00FA6D0A" w:rsidRPr="001D4727" w:rsidRDefault="00FA6D0A" w:rsidP="00AF27D7">
            <w:pPr>
              <w:spacing w:before="60" w:after="6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Lawson Grasslands</w:t>
            </w:r>
          </w:p>
          <w:p w14:paraId="48C4F2A0" w14:textId="77777777" w:rsidR="00FA6D0A" w:rsidRPr="001D4727" w:rsidRDefault="00FA6D0A" w:rsidP="00AF27D7">
            <w:pPr>
              <w:spacing w:before="60" w:after="6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(Commonwealth Defence Housing Australia)</w:t>
            </w:r>
          </w:p>
        </w:tc>
        <w:tc>
          <w:tcPr>
            <w:tcW w:w="1304" w:type="dxa"/>
            <w:hideMark/>
          </w:tcPr>
          <w:p w14:paraId="469CD006"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1997</w:t>
            </w:r>
          </w:p>
          <w:p w14:paraId="08E53F3D"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1999</w:t>
            </w:r>
          </w:p>
          <w:p w14:paraId="5DB7BE75"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2000</w:t>
            </w:r>
          </w:p>
          <w:p w14:paraId="6D126A4A"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2005</w:t>
            </w:r>
          </w:p>
          <w:p w14:paraId="76848646"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2006</w:t>
            </w:r>
          </w:p>
          <w:p w14:paraId="55203320"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2007</w:t>
            </w:r>
          </w:p>
          <w:p w14:paraId="4F562AAA"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2008</w:t>
            </w:r>
          </w:p>
          <w:p w14:paraId="37AFA602"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2009</w:t>
            </w:r>
          </w:p>
          <w:p w14:paraId="688063EE"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2011</w:t>
            </w:r>
          </w:p>
          <w:p w14:paraId="20868D0F"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2018</w:t>
            </w:r>
          </w:p>
          <w:p w14:paraId="64DE4BFE"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2019</w:t>
            </w:r>
          </w:p>
          <w:p w14:paraId="3F163D6B"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2020</w:t>
            </w:r>
          </w:p>
          <w:p w14:paraId="533F0C29"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2023</w:t>
            </w:r>
          </w:p>
        </w:tc>
        <w:tc>
          <w:tcPr>
            <w:tcW w:w="1157" w:type="dxa"/>
            <w:hideMark/>
          </w:tcPr>
          <w:p w14:paraId="34C25604"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&lt;50*</w:t>
            </w:r>
          </w:p>
          <w:p w14:paraId="1E6A981E"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80*</w:t>
            </w:r>
          </w:p>
          <w:p w14:paraId="7A5A875E"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2243</w:t>
            </w:r>
          </w:p>
          <w:p w14:paraId="7E08247F"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875</w:t>
            </w:r>
          </w:p>
          <w:p w14:paraId="196D0603"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3523</w:t>
            </w:r>
          </w:p>
          <w:p w14:paraId="068C6DE5"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1181</w:t>
            </w:r>
          </w:p>
          <w:p w14:paraId="5460A4A2"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1328</w:t>
            </w:r>
          </w:p>
          <w:p w14:paraId="1A98CEC5"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1137</w:t>
            </w:r>
          </w:p>
          <w:p w14:paraId="73410EF7"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406</w:t>
            </w:r>
          </w:p>
          <w:p w14:paraId="21E80ACD"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0*</w:t>
            </w:r>
          </w:p>
          <w:p w14:paraId="5DF311B1"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0*</w:t>
            </w:r>
          </w:p>
          <w:p w14:paraId="50FAAE7B"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0*</w:t>
            </w:r>
          </w:p>
          <w:p w14:paraId="3C049633"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1508</w:t>
            </w:r>
          </w:p>
        </w:tc>
        <w:tc>
          <w:tcPr>
            <w:tcW w:w="2075" w:type="dxa"/>
            <w:hideMark/>
          </w:tcPr>
          <w:p w14:paraId="1703037D"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val="fr-FR" w:eastAsia="en-AU"/>
              </w:rPr>
            </w:pPr>
            <w:r w:rsidRPr="001D4727">
              <w:rPr>
                <w:rFonts w:ascii="Arial" w:eastAsia="Calibri" w:hAnsi="Arial" w:cs="Arial"/>
                <w:color w:val="000000"/>
                <w:sz w:val="16"/>
                <w:szCs w:val="16"/>
                <w:lang w:val="fr-FR" w:eastAsia="en-AU"/>
              </w:rPr>
              <w:t>Avis (2000)</w:t>
            </w:r>
          </w:p>
          <w:p w14:paraId="69A98788"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val="fr-FR" w:eastAsia="en-AU"/>
              </w:rPr>
            </w:pPr>
            <w:r w:rsidRPr="001D4727">
              <w:rPr>
                <w:rFonts w:ascii="Arial" w:eastAsia="Calibri" w:hAnsi="Arial" w:cs="Arial"/>
                <w:color w:val="000000"/>
                <w:sz w:val="16"/>
                <w:szCs w:val="16"/>
                <w:lang w:val="fr-FR" w:eastAsia="en-AU"/>
              </w:rPr>
              <w:t>Avis (2000)</w:t>
            </w:r>
          </w:p>
          <w:p w14:paraId="27C1644B"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val="fr-FR" w:eastAsia="en-AU"/>
              </w:rPr>
            </w:pPr>
            <w:r w:rsidRPr="001D4727">
              <w:rPr>
                <w:rFonts w:ascii="Arial" w:eastAsia="Calibri" w:hAnsi="Arial" w:cs="Arial"/>
                <w:color w:val="000000"/>
                <w:sz w:val="16"/>
                <w:szCs w:val="16"/>
                <w:lang w:val="fr-FR" w:eastAsia="en-AU"/>
              </w:rPr>
              <w:t>Avis (2000)</w:t>
            </w:r>
          </w:p>
          <w:p w14:paraId="41315CB3"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val="fr-FR" w:eastAsia="en-AU"/>
              </w:rPr>
            </w:pPr>
            <w:r w:rsidRPr="001D4727">
              <w:rPr>
                <w:rFonts w:ascii="Arial" w:eastAsia="Calibri" w:hAnsi="Arial" w:cs="Arial"/>
                <w:color w:val="000000"/>
                <w:sz w:val="16"/>
                <w:szCs w:val="16"/>
                <w:lang w:val="fr-FR" w:eastAsia="en-AU"/>
              </w:rPr>
              <w:t>HLA (2005)</w:t>
            </w:r>
          </w:p>
          <w:p w14:paraId="1DBE157F"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val="fr-FR" w:eastAsia="en-AU"/>
              </w:rPr>
            </w:pPr>
            <w:r w:rsidRPr="001D4727">
              <w:rPr>
                <w:rFonts w:ascii="Arial" w:eastAsia="Calibri" w:hAnsi="Arial" w:cs="Arial"/>
                <w:color w:val="000000"/>
                <w:sz w:val="16"/>
                <w:szCs w:val="16"/>
                <w:lang w:val="fr-FR" w:eastAsia="en-AU"/>
              </w:rPr>
              <w:t>HLA (2006)</w:t>
            </w:r>
          </w:p>
          <w:p w14:paraId="204B7424"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val="es-CL" w:eastAsia="en-AU"/>
              </w:rPr>
            </w:pPr>
            <w:r w:rsidRPr="001D4727">
              <w:rPr>
                <w:rFonts w:ascii="Arial" w:eastAsia="Calibri" w:hAnsi="Arial" w:cs="Arial"/>
                <w:color w:val="000000"/>
                <w:sz w:val="16"/>
                <w:szCs w:val="16"/>
                <w:lang w:val="es-CL" w:eastAsia="en-AU"/>
              </w:rPr>
              <w:t>HLA (2007)</w:t>
            </w:r>
          </w:p>
          <w:p w14:paraId="09B35C1A"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val="es-CL" w:eastAsia="en-AU"/>
              </w:rPr>
            </w:pPr>
            <w:r w:rsidRPr="001D4727">
              <w:rPr>
                <w:rFonts w:ascii="Arial" w:eastAsia="Calibri" w:hAnsi="Arial" w:cs="Arial"/>
                <w:color w:val="000000"/>
                <w:sz w:val="16"/>
                <w:szCs w:val="16"/>
                <w:lang w:val="es-CL" w:eastAsia="en-AU"/>
              </w:rPr>
              <w:t>ENSR-AECOM (2008)</w:t>
            </w:r>
          </w:p>
          <w:p w14:paraId="40E10ED0"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val="es-CL" w:eastAsia="en-AU"/>
              </w:rPr>
            </w:pPr>
            <w:r w:rsidRPr="001D4727">
              <w:rPr>
                <w:rFonts w:ascii="Arial" w:eastAsia="Calibri" w:hAnsi="Arial" w:cs="Arial"/>
                <w:color w:val="000000"/>
                <w:sz w:val="16"/>
                <w:szCs w:val="16"/>
                <w:lang w:val="es-CL" w:eastAsia="en-AU"/>
              </w:rPr>
              <w:t>ENSR-AECOM (2008)</w:t>
            </w:r>
          </w:p>
          <w:p w14:paraId="15021257"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Taylor et al. (2014)</w:t>
            </w:r>
          </w:p>
          <w:p w14:paraId="0B863FBE"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WSP (2021)</w:t>
            </w:r>
          </w:p>
          <w:p w14:paraId="38480EFA"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WSP (2021)</w:t>
            </w:r>
          </w:p>
          <w:p w14:paraId="3F735414"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WSP (2021)  </w:t>
            </w:r>
          </w:p>
          <w:p w14:paraId="466D5324" w14:textId="1CA69496"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ACT Government (2023)</w:t>
            </w:r>
          </w:p>
        </w:tc>
      </w:tr>
      <w:tr w:rsidR="00FA6D0A" w:rsidRPr="001D4727" w14:paraId="325E5656" w14:textId="77777777" w:rsidTr="00EC7377">
        <w:trPr>
          <w:trHeight w:val="1674"/>
        </w:trPr>
        <w:tc>
          <w:tcPr>
            <w:cnfStyle w:val="001000000000" w:firstRow="0" w:lastRow="0" w:firstColumn="1" w:lastColumn="0" w:oddVBand="0" w:evenVBand="0" w:oddHBand="0" w:evenHBand="0" w:firstRowFirstColumn="0" w:firstRowLastColumn="0" w:lastRowFirstColumn="0" w:lastRowLastColumn="0"/>
            <w:tcW w:w="2405" w:type="dxa"/>
            <w:hideMark/>
          </w:tcPr>
          <w:p w14:paraId="71A87A28" w14:textId="4DA42800" w:rsidR="00FA6D0A" w:rsidRPr="001D4727" w:rsidRDefault="00FA6D0A" w:rsidP="00AF27D7">
            <w:pPr>
              <w:spacing w:before="60" w:after="6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Budjan Galindji Grasslands Nature Reserve</w:t>
            </w:r>
          </w:p>
          <w:p w14:paraId="67634AAA" w14:textId="77777777" w:rsidR="00FA6D0A" w:rsidRPr="001D4727" w:rsidRDefault="00FA6D0A" w:rsidP="00AF27D7">
            <w:pPr>
              <w:spacing w:before="60" w:after="6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(ACT Government)</w:t>
            </w:r>
          </w:p>
        </w:tc>
        <w:tc>
          <w:tcPr>
            <w:tcW w:w="1304" w:type="dxa"/>
            <w:hideMark/>
          </w:tcPr>
          <w:p w14:paraId="67343898"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2012</w:t>
            </w:r>
          </w:p>
          <w:p w14:paraId="596BFB14"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2014</w:t>
            </w:r>
          </w:p>
          <w:p w14:paraId="1E8C22A2"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2015</w:t>
            </w:r>
          </w:p>
          <w:p w14:paraId="011957B4"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2017</w:t>
            </w:r>
          </w:p>
          <w:p w14:paraId="4446465E"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2021</w:t>
            </w:r>
          </w:p>
          <w:p w14:paraId="570663E8"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2022</w:t>
            </w:r>
          </w:p>
          <w:p w14:paraId="2B33A5D5"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2023</w:t>
            </w:r>
          </w:p>
        </w:tc>
        <w:tc>
          <w:tcPr>
            <w:tcW w:w="1157" w:type="dxa"/>
            <w:hideMark/>
          </w:tcPr>
          <w:p w14:paraId="776D9B17"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30*</w:t>
            </w:r>
          </w:p>
          <w:p w14:paraId="42E3C2D5"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103</w:t>
            </w:r>
          </w:p>
          <w:p w14:paraId="36B63A6C"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377</w:t>
            </w:r>
          </w:p>
          <w:p w14:paraId="07EC214C"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157</w:t>
            </w:r>
          </w:p>
          <w:p w14:paraId="08C60ED8"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205</w:t>
            </w:r>
          </w:p>
          <w:p w14:paraId="31342AB8"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228</w:t>
            </w:r>
          </w:p>
          <w:p w14:paraId="39579BCD"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250 </w:t>
            </w:r>
          </w:p>
        </w:tc>
        <w:tc>
          <w:tcPr>
            <w:tcW w:w="2075" w:type="dxa"/>
            <w:hideMark/>
          </w:tcPr>
          <w:p w14:paraId="02D993F8" w14:textId="77777777" w:rsidR="00A45E33" w:rsidRPr="001D4727" w:rsidRDefault="00A45E33"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lang w:eastAsia="en-AU"/>
              </w:rPr>
            </w:pPr>
            <w:r w:rsidRPr="001D4727">
              <w:rPr>
                <w:rFonts w:ascii="Arial" w:eastAsia="Calibri" w:hAnsi="Arial" w:cs="Arial"/>
                <w:color w:val="000000"/>
                <w:sz w:val="16"/>
                <w:szCs w:val="16"/>
                <w:lang w:eastAsia="en-AU"/>
              </w:rPr>
              <w:t>ACT Government (2023)</w:t>
            </w:r>
          </w:p>
          <w:p w14:paraId="1EBC2183" w14:textId="7DFC9D54"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p>
        </w:tc>
      </w:tr>
      <w:tr w:rsidR="00FA6D0A" w:rsidRPr="001D4727" w14:paraId="557292C1" w14:textId="77777777" w:rsidTr="00EC7377">
        <w:trPr>
          <w:trHeight w:val="780"/>
        </w:trPr>
        <w:tc>
          <w:tcPr>
            <w:cnfStyle w:val="001000000000" w:firstRow="0" w:lastRow="0" w:firstColumn="1" w:lastColumn="0" w:oddVBand="0" w:evenVBand="0" w:oddHBand="0" w:evenHBand="0" w:firstRowFirstColumn="0" w:firstRowLastColumn="0" w:lastRowFirstColumn="0" w:lastRowLastColumn="0"/>
            <w:tcW w:w="2405" w:type="dxa"/>
            <w:hideMark/>
          </w:tcPr>
          <w:p w14:paraId="0ECA199D" w14:textId="23DCD4F5" w:rsidR="00FA6D0A" w:rsidRPr="001D4727" w:rsidRDefault="00FA6D0A" w:rsidP="00AF27D7">
            <w:pPr>
              <w:spacing w:before="60" w:after="6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Jerrabomberra East Grasslands</w:t>
            </w:r>
          </w:p>
          <w:p w14:paraId="7A455068" w14:textId="77777777" w:rsidR="00FA6D0A" w:rsidRPr="001D4727" w:rsidRDefault="00FA6D0A" w:rsidP="00AF27D7">
            <w:pPr>
              <w:spacing w:before="60" w:after="6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(ACT Government)</w:t>
            </w:r>
          </w:p>
        </w:tc>
        <w:tc>
          <w:tcPr>
            <w:tcW w:w="1304" w:type="dxa"/>
            <w:hideMark/>
          </w:tcPr>
          <w:p w14:paraId="502AA4B6"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2018</w:t>
            </w:r>
          </w:p>
          <w:p w14:paraId="0EFDA892"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2021</w:t>
            </w:r>
          </w:p>
          <w:p w14:paraId="3438A356"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2022</w:t>
            </w:r>
          </w:p>
          <w:p w14:paraId="7BDED9DA"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2023</w:t>
            </w:r>
          </w:p>
        </w:tc>
        <w:tc>
          <w:tcPr>
            <w:tcW w:w="1157" w:type="dxa"/>
            <w:hideMark/>
          </w:tcPr>
          <w:p w14:paraId="2F588891"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&gt;45*</w:t>
            </w:r>
          </w:p>
          <w:p w14:paraId="727BECA1"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212</w:t>
            </w:r>
          </w:p>
          <w:p w14:paraId="1731C10B"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75</w:t>
            </w:r>
          </w:p>
          <w:p w14:paraId="6AC793D7"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0</w:t>
            </w:r>
          </w:p>
        </w:tc>
        <w:tc>
          <w:tcPr>
            <w:tcW w:w="2075" w:type="dxa"/>
            <w:hideMark/>
          </w:tcPr>
          <w:p w14:paraId="057F9EF0"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SMEC (2018)</w:t>
            </w:r>
          </w:p>
          <w:p w14:paraId="744D52E8" w14:textId="4837FDC9" w:rsidR="00FA6D0A" w:rsidRPr="001D4727" w:rsidRDefault="00A45E33"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ACT Government (2023)</w:t>
            </w:r>
          </w:p>
        </w:tc>
      </w:tr>
      <w:tr w:rsidR="00FA6D0A" w:rsidRPr="001D4727" w14:paraId="7BA7B7F6" w14:textId="77777777" w:rsidTr="00EC7377">
        <w:trPr>
          <w:trHeight w:val="780"/>
        </w:trPr>
        <w:tc>
          <w:tcPr>
            <w:cnfStyle w:val="001000000000" w:firstRow="0" w:lastRow="0" w:firstColumn="1" w:lastColumn="0" w:oddVBand="0" w:evenVBand="0" w:oddHBand="0" w:evenHBand="0" w:firstRowFirstColumn="0" w:firstRowLastColumn="0" w:lastRowFirstColumn="0" w:lastRowLastColumn="0"/>
            <w:tcW w:w="2405" w:type="dxa"/>
            <w:hideMark/>
          </w:tcPr>
          <w:p w14:paraId="48298C00" w14:textId="2A3232BB" w:rsidR="00FA6D0A" w:rsidRPr="001D4727" w:rsidRDefault="00FA6D0A" w:rsidP="00AF27D7">
            <w:pPr>
              <w:spacing w:before="60" w:after="6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Bonshaw</w:t>
            </w:r>
          </w:p>
          <w:p w14:paraId="7CECBF94" w14:textId="77777777" w:rsidR="00FA6D0A" w:rsidRPr="001D4727" w:rsidRDefault="00FA6D0A" w:rsidP="00AF27D7">
            <w:pPr>
              <w:spacing w:before="60" w:after="6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(ACT Government)</w:t>
            </w:r>
          </w:p>
        </w:tc>
        <w:tc>
          <w:tcPr>
            <w:tcW w:w="1304" w:type="dxa"/>
            <w:hideMark/>
          </w:tcPr>
          <w:p w14:paraId="217E79F8"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2018-19</w:t>
            </w:r>
          </w:p>
          <w:p w14:paraId="0C19D379"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2021</w:t>
            </w:r>
          </w:p>
          <w:p w14:paraId="55D27B28"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2022</w:t>
            </w:r>
          </w:p>
          <w:p w14:paraId="06CBA233"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2023</w:t>
            </w:r>
          </w:p>
        </w:tc>
        <w:tc>
          <w:tcPr>
            <w:tcW w:w="1157" w:type="dxa"/>
            <w:hideMark/>
          </w:tcPr>
          <w:p w14:paraId="4D1A2AE2"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60*</w:t>
            </w:r>
          </w:p>
          <w:p w14:paraId="7FEC0E51"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998</w:t>
            </w:r>
          </w:p>
          <w:p w14:paraId="1DEE410C"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1212</w:t>
            </w:r>
          </w:p>
          <w:p w14:paraId="58423A81"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460</w:t>
            </w:r>
          </w:p>
        </w:tc>
        <w:tc>
          <w:tcPr>
            <w:tcW w:w="2075" w:type="dxa"/>
            <w:hideMark/>
          </w:tcPr>
          <w:p w14:paraId="7FCB5C33" w14:textId="77777777" w:rsidR="00FA6D0A" w:rsidRPr="001D4727" w:rsidRDefault="00FA6D0A"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SMEC (2019)</w:t>
            </w:r>
          </w:p>
          <w:p w14:paraId="1E77F967" w14:textId="0D79A182" w:rsidR="00FA6D0A" w:rsidRPr="001D4727" w:rsidRDefault="00A45E33" w:rsidP="00AF27D7">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16"/>
                <w:szCs w:val="16"/>
                <w:lang w:eastAsia="en-AU"/>
              </w:rPr>
            </w:pPr>
            <w:r w:rsidRPr="001D4727">
              <w:rPr>
                <w:rFonts w:ascii="Arial" w:eastAsia="Calibri" w:hAnsi="Arial" w:cs="Arial"/>
                <w:color w:val="000000"/>
                <w:sz w:val="16"/>
                <w:szCs w:val="16"/>
                <w:lang w:eastAsia="en-AU"/>
              </w:rPr>
              <w:t>ACT Government (2023)</w:t>
            </w:r>
          </w:p>
        </w:tc>
      </w:tr>
    </w:tbl>
    <w:p w14:paraId="6937787F" w14:textId="63C71349" w:rsidR="00EF2856" w:rsidRPr="00FA6D0A" w:rsidRDefault="00AF27D7" w:rsidP="00E96C74">
      <w:pPr>
        <w:spacing w:after="0" w:line="240" w:lineRule="auto"/>
        <w:rPr>
          <w:rFonts w:ascii="Calibri" w:eastAsia="Calibri" w:hAnsi="Calibri" w:cs="Calibri"/>
          <w:sz w:val="20"/>
          <w:szCs w:val="20"/>
        </w:rPr>
      </w:pPr>
      <w:r w:rsidRPr="00FA6D0A">
        <w:rPr>
          <w:rFonts w:ascii="Calibri" w:eastAsia="Calibri" w:hAnsi="Calibri" w:cs="Calibri"/>
          <w:sz w:val="20"/>
          <w:szCs w:val="20"/>
        </w:rPr>
        <w:t>*Population size estimates during some surveys were less rigorous than subsequent, more detailed monitoring efforts and these early estimates may understate the total number of individuals present</w:t>
      </w:r>
      <w:r w:rsidR="004D3F5F" w:rsidRPr="00FA6D0A">
        <w:rPr>
          <w:rFonts w:ascii="Calibri" w:eastAsia="Calibri" w:hAnsi="Calibri" w:cs="Calibri"/>
          <w:sz w:val="20"/>
          <w:szCs w:val="20"/>
        </w:rPr>
        <w:t>.</w:t>
      </w:r>
    </w:p>
    <w:p w14:paraId="673BD6AC" w14:textId="77777777" w:rsidR="00FA6D0A" w:rsidRDefault="00FA6D0A" w:rsidP="00E96C74">
      <w:pPr>
        <w:spacing w:after="0" w:line="240" w:lineRule="auto"/>
      </w:pPr>
    </w:p>
    <w:p w14:paraId="7552420B" w14:textId="5C826C42" w:rsidR="00582C13" w:rsidRDefault="009D44B2">
      <w:pPr>
        <w:rPr>
          <w:rFonts w:ascii="Arial" w:eastAsiaTheme="majorEastAsia" w:hAnsi="Arial" w:cstheme="majorBidi"/>
          <w:bCs/>
          <w:caps/>
          <w:color w:val="009999"/>
          <w:sz w:val="28"/>
          <w:szCs w:val="26"/>
        </w:rPr>
      </w:pPr>
      <w:r>
        <w:t xml:space="preserve">In 2013, </w:t>
      </w:r>
      <w:r w:rsidR="00582C13">
        <w:t>translocations</w:t>
      </w:r>
      <w:r w:rsidR="00E63B1F" w:rsidRPr="00C849CF">
        <w:t xml:space="preserve"> were </w:t>
      </w:r>
      <w:r w:rsidR="00582C13">
        <w:t>attempted</w:t>
      </w:r>
      <w:r w:rsidR="00582C13" w:rsidRPr="00C849CF">
        <w:t xml:space="preserve"> </w:t>
      </w:r>
      <w:r w:rsidR="00E63B1F" w:rsidRPr="00C849CF">
        <w:t xml:space="preserve">in the </w:t>
      </w:r>
      <w:r w:rsidR="00582C13">
        <w:t xml:space="preserve">grassland nature reserves of the </w:t>
      </w:r>
      <w:r w:rsidR="00E63B1F" w:rsidRPr="00C849CF">
        <w:t xml:space="preserve">northern suburbs of </w:t>
      </w:r>
      <w:proofErr w:type="spellStart"/>
      <w:r w:rsidR="00E63B1F" w:rsidRPr="00C849CF">
        <w:t>Crace</w:t>
      </w:r>
      <w:proofErr w:type="spellEnd"/>
      <w:r w:rsidR="00E63B1F" w:rsidRPr="00C849CF">
        <w:t xml:space="preserve"> and Dunlop</w:t>
      </w:r>
      <w:r w:rsidR="00582C13">
        <w:t xml:space="preserve"> </w:t>
      </w:r>
      <w:r w:rsidR="006A1D91">
        <w:rPr>
          <w:noProof/>
        </w:rPr>
        <w:t>(ACT Government 2013)</w:t>
      </w:r>
      <w:r>
        <w:rPr>
          <w:noProof/>
        </w:rPr>
        <w:t>, however,</w:t>
      </w:r>
      <w:r w:rsidR="00677794" w:rsidRPr="003B1796">
        <w:rPr>
          <w:rFonts w:ascii="Calibri" w:hAnsi="Calibri" w:cs="Calibri"/>
          <w:sz w:val="22"/>
          <w:szCs w:val="22"/>
        </w:rPr>
        <w:t xml:space="preserve"> </w:t>
      </w:r>
      <w:r w:rsidR="00677794" w:rsidRPr="004D03BA">
        <w:rPr>
          <w:rFonts w:ascii="Calibri" w:hAnsi="Calibri" w:cs="Calibri"/>
          <w:sz w:val="22"/>
          <w:szCs w:val="22"/>
        </w:rPr>
        <w:t>searches in 2014</w:t>
      </w:r>
      <w:r>
        <w:rPr>
          <w:rFonts w:ascii="Calibri" w:hAnsi="Calibri" w:cs="Calibri"/>
          <w:sz w:val="22"/>
          <w:szCs w:val="22"/>
        </w:rPr>
        <w:t xml:space="preserve"> and 2015</w:t>
      </w:r>
      <w:r w:rsidR="00677794" w:rsidRPr="004D03BA">
        <w:rPr>
          <w:rFonts w:ascii="Calibri" w:hAnsi="Calibri" w:cs="Calibri"/>
          <w:sz w:val="22"/>
          <w:szCs w:val="22"/>
        </w:rPr>
        <w:t xml:space="preserve"> failed to locate any plants (</w:t>
      </w:r>
      <w:r w:rsidR="00A26161">
        <w:rPr>
          <w:rFonts w:ascii="Calibri" w:hAnsi="Calibri" w:cs="Calibri"/>
          <w:sz w:val="22"/>
          <w:szCs w:val="22"/>
        </w:rPr>
        <w:t>ACT Government 2017b</w:t>
      </w:r>
      <w:r w:rsidR="00677794" w:rsidRPr="004D03BA">
        <w:rPr>
          <w:rFonts w:ascii="Calibri" w:hAnsi="Calibri" w:cs="Calibri"/>
          <w:sz w:val="22"/>
          <w:szCs w:val="22"/>
        </w:rPr>
        <w:t>).</w:t>
      </w:r>
      <w:r w:rsidR="0086609B" w:rsidRPr="0086609B">
        <w:t xml:space="preserve"> </w:t>
      </w:r>
      <w:r>
        <w:t>F</w:t>
      </w:r>
      <w:r w:rsidR="0086609B" w:rsidRPr="0086609B">
        <w:t xml:space="preserve">urther research is required to identify optimal habitat conditions for the species and how to establish new populations, building on the learnings from </w:t>
      </w:r>
      <w:r w:rsidR="00582C13">
        <w:t xml:space="preserve">these </w:t>
      </w:r>
      <w:r w:rsidR="0086609B" w:rsidRPr="0086609B">
        <w:t>previous translocation attempts.</w:t>
      </w:r>
      <w:r w:rsidR="00582C13">
        <w:br w:type="page"/>
      </w:r>
    </w:p>
    <w:p w14:paraId="3D1BC3F6" w14:textId="05825DB9" w:rsidR="0078503A" w:rsidRDefault="0078503A" w:rsidP="00677794">
      <w:pPr>
        <w:pStyle w:val="Heading2-notindexed"/>
        <w:spacing w:after="120"/>
      </w:pPr>
      <w:r>
        <w:lastRenderedPageBreak/>
        <w:t>Threats</w:t>
      </w:r>
    </w:p>
    <w:p w14:paraId="6D397CF8" w14:textId="6C6CE4DF" w:rsidR="0078503A" w:rsidRPr="003163BC" w:rsidRDefault="008A173C" w:rsidP="00677794">
      <w:r w:rsidRPr="003163BC">
        <w:t>The main threats to the Ginninderra Peppercress include</w:t>
      </w:r>
      <w:r w:rsidR="00A1175C" w:rsidRPr="003163BC">
        <w:t xml:space="preserve"> (</w:t>
      </w:r>
      <w:r w:rsidR="003163BC" w:rsidRPr="003163BC">
        <w:t>ACT Government 2017)</w:t>
      </w:r>
      <w:r w:rsidRPr="003163BC">
        <w:t>:</w:t>
      </w:r>
    </w:p>
    <w:p w14:paraId="517C36AC" w14:textId="5132945C" w:rsidR="00CB64F2" w:rsidRPr="007A18E2" w:rsidRDefault="006A1D91">
      <w:pPr>
        <w:pStyle w:val="ListParagraph"/>
        <w:numPr>
          <w:ilvl w:val="0"/>
          <w:numId w:val="4"/>
        </w:numPr>
        <w:ind w:left="360"/>
      </w:pPr>
      <w:r>
        <w:t>l</w:t>
      </w:r>
      <w:r w:rsidR="008A173C" w:rsidRPr="003163BC">
        <w:t xml:space="preserve">oss and fragmentation of habitat through clearing and </w:t>
      </w:r>
      <w:r w:rsidR="008A173C" w:rsidRPr="007A18E2">
        <w:t>development</w:t>
      </w:r>
    </w:p>
    <w:p w14:paraId="59273C19" w14:textId="00FDB66D" w:rsidR="00CB64F2" w:rsidRPr="007A18E2" w:rsidRDefault="0085351A">
      <w:pPr>
        <w:pStyle w:val="ListParagraph"/>
        <w:numPr>
          <w:ilvl w:val="0"/>
          <w:numId w:val="4"/>
        </w:numPr>
        <w:ind w:left="360"/>
      </w:pPr>
      <w:r>
        <w:t>h</w:t>
      </w:r>
      <w:r w:rsidR="00E33BE5" w:rsidRPr="007A18E2">
        <w:t>abitat degradation from intended or u</w:t>
      </w:r>
      <w:r w:rsidR="008A173C" w:rsidRPr="007A18E2">
        <w:t>nintended actions associated with visitors and/or land management activities in the local area</w:t>
      </w:r>
    </w:p>
    <w:p w14:paraId="051223F5" w14:textId="7113085D" w:rsidR="008A173C" w:rsidRPr="007A18E2" w:rsidRDefault="00A1762B">
      <w:pPr>
        <w:pStyle w:val="ListParagraph"/>
        <w:numPr>
          <w:ilvl w:val="0"/>
          <w:numId w:val="4"/>
        </w:numPr>
        <w:ind w:left="360"/>
      </w:pPr>
      <w:r>
        <w:t>c</w:t>
      </w:r>
      <w:r w:rsidR="008A173C" w:rsidRPr="007A18E2">
        <w:t xml:space="preserve">ompetition with </w:t>
      </w:r>
      <w:r w:rsidR="00E33BE5" w:rsidRPr="007A18E2">
        <w:t>grass tussocks and other plant growth</w:t>
      </w:r>
      <w:r w:rsidR="008A173C" w:rsidRPr="007A18E2">
        <w:t xml:space="preserve"> for space and light </w:t>
      </w:r>
      <w:r w:rsidR="0031153F">
        <w:t xml:space="preserve">– </w:t>
      </w:r>
      <w:r w:rsidR="008A173C" w:rsidRPr="007A18E2">
        <w:t xml:space="preserve">Ginninderra Peppercress </w:t>
      </w:r>
      <w:r w:rsidR="0031153F">
        <w:t>requires</w:t>
      </w:r>
      <w:r w:rsidR="008A173C" w:rsidRPr="007A18E2">
        <w:t xml:space="preserve"> relatively low perennial grass cover</w:t>
      </w:r>
      <w:r w:rsidR="00056603" w:rsidRPr="007A18E2">
        <w:t xml:space="preserve"> </w:t>
      </w:r>
      <w:r w:rsidR="006A1D91" w:rsidRPr="007A18E2">
        <w:rPr>
          <w:noProof/>
        </w:rPr>
        <w:t>(Avis 2000; Scarlett 2001; HLA 2006</w:t>
      </w:r>
      <w:r w:rsidR="001E5348">
        <w:rPr>
          <w:noProof/>
        </w:rPr>
        <w:t>;</w:t>
      </w:r>
      <w:r w:rsidR="001E5348" w:rsidRPr="001E5348">
        <w:rPr>
          <w:noProof/>
        </w:rPr>
        <w:t xml:space="preserve"> </w:t>
      </w:r>
      <w:r w:rsidR="001E5348" w:rsidRPr="007A18E2">
        <w:rPr>
          <w:noProof/>
        </w:rPr>
        <w:t>ENSR (AECOM) 2008</w:t>
      </w:r>
      <w:r w:rsidR="006A1D91" w:rsidRPr="007A18E2">
        <w:rPr>
          <w:noProof/>
        </w:rPr>
        <w:t>)</w:t>
      </w:r>
    </w:p>
    <w:p w14:paraId="0F12DAA0" w14:textId="77777777" w:rsidR="000A5D90" w:rsidRDefault="0031153F">
      <w:pPr>
        <w:pStyle w:val="ListParagraph"/>
        <w:numPr>
          <w:ilvl w:val="0"/>
          <w:numId w:val="4"/>
        </w:numPr>
        <w:ind w:left="360"/>
      </w:pPr>
      <w:r>
        <w:t>d</w:t>
      </w:r>
      <w:r w:rsidR="00E33BE5" w:rsidRPr="007A18E2">
        <w:t>isturbance of existing drainage patter</w:t>
      </w:r>
      <w:r w:rsidR="006A24F3" w:rsidRPr="007A18E2">
        <w:t>n</w:t>
      </w:r>
      <w:r w:rsidR="00E33BE5" w:rsidRPr="007A18E2">
        <w:t>s and</w:t>
      </w:r>
      <w:r w:rsidR="006A24F3" w:rsidRPr="007A18E2">
        <w:t xml:space="preserve"> other changes to habitat structures caused by inappropriate management regimes</w:t>
      </w:r>
    </w:p>
    <w:p w14:paraId="4117E459" w14:textId="0A581719" w:rsidR="006A24F3" w:rsidRPr="007A18E2" w:rsidRDefault="00D01EA0">
      <w:pPr>
        <w:pStyle w:val="ListParagraph"/>
        <w:numPr>
          <w:ilvl w:val="0"/>
          <w:numId w:val="4"/>
        </w:numPr>
        <w:ind w:left="360"/>
      </w:pPr>
      <w:r>
        <w:t>o</w:t>
      </w:r>
      <w:r w:rsidR="006A24F3" w:rsidRPr="007A18E2">
        <w:t xml:space="preserve">vergrazing (e.g. </w:t>
      </w:r>
      <w:r w:rsidR="0031153F">
        <w:t xml:space="preserve">by </w:t>
      </w:r>
      <w:r w:rsidR="006A24F3" w:rsidRPr="007A18E2">
        <w:t>Kangaroos)</w:t>
      </w:r>
      <w:r>
        <w:t xml:space="preserve"> </w:t>
      </w:r>
      <w:r w:rsidR="004D03BA">
        <w:t xml:space="preserve">– </w:t>
      </w:r>
      <w:r w:rsidR="00677794" w:rsidRPr="000A5D90">
        <w:rPr>
          <w:rFonts w:ascii="Calibri" w:hAnsi="Calibri" w:cs="Calibri"/>
          <w:color w:val="000000"/>
          <w:sz w:val="22"/>
          <w:szCs w:val="22"/>
        </w:rPr>
        <w:t xml:space="preserve">Ginninderra Peppercress is not thought to be directly grazed by </w:t>
      </w:r>
      <w:r>
        <w:rPr>
          <w:rFonts w:ascii="Calibri" w:hAnsi="Calibri" w:cs="Calibri"/>
          <w:color w:val="000000"/>
          <w:sz w:val="22"/>
          <w:szCs w:val="22"/>
        </w:rPr>
        <w:t>K</w:t>
      </w:r>
      <w:r w:rsidR="00677794" w:rsidRPr="000A5D90">
        <w:rPr>
          <w:rFonts w:ascii="Calibri" w:hAnsi="Calibri" w:cs="Calibri"/>
          <w:color w:val="000000"/>
          <w:sz w:val="22"/>
          <w:szCs w:val="22"/>
        </w:rPr>
        <w:t>angaroos at moderate densities when other feed is available. However, trampling, the effects of overgrazing of the surrounding grasses and any risk of direct grazing are still of concern</w:t>
      </w:r>
      <w:r>
        <w:rPr>
          <w:rFonts w:ascii="Calibri" w:hAnsi="Calibri" w:cs="Calibri"/>
          <w:color w:val="000000"/>
          <w:sz w:val="22"/>
          <w:szCs w:val="22"/>
        </w:rPr>
        <w:t xml:space="preserve"> </w:t>
      </w:r>
      <w:r w:rsidR="00677794" w:rsidRPr="000A5D90">
        <w:rPr>
          <w:rFonts w:ascii="Calibri" w:hAnsi="Calibri" w:cs="Calibri"/>
          <w:color w:val="000000"/>
          <w:sz w:val="22"/>
          <w:szCs w:val="22"/>
        </w:rPr>
        <w:t>(ENSR 2008)</w:t>
      </w:r>
      <w:r w:rsidR="004D03BA">
        <w:rPr>
          <w:rFonts w:ascii="Calibri" w:hAnsi="Calibri" w:cs="Calibri"/>
          <w:color w:val="000000"/>
          <w:sz w:val="22"/>
          <w:szCs w:val="22"/>
        </w:rPr>
        <w:t>.</w:t>
      </w:r>
    </w:p>
    <w:p w14:paraId="51396B97" w14:textId="77777777" w:rsidR="0078503A" w:rsidRDefault="00D742BE" w:rsidP="001C2DE7">
      <w:pPr>
        <w:pStyle w:val="Heading2-notindexed"/>
        <w:spacing w:after="120"/>
      </w:pPr>
      <w:r>
        <w:t>Major Conservation Objective</w:t>
      </w:r>
    </w:p>
    <w:p w14:paraId="4A76AAC2" w14:textId="76BE3AEA" w:rsidR="006B7CD3" w:rsidRPr="003163BC" w:rsidRDefault="006B7CD3" w:rsidP="001C2DE7">
      <w:pPr>
        <w:pStyle w:val="Heading2-notindexed"/>
        <w:spacing w:after="120"/>
        <w:rPr>
          <w:rFonts w:asciiTheme="minorHAnsi" w:eastAsiaTheme="minorHAnsi" w:hAnsiTheme="minorHAnsi" w:cstheme="minorBidi"/>
          <w:bCs w:val="0"/>
          <w:caps w:val="0"/>
          <w:color w:val="auto"/>
          <w:sz w:val="21"/>
          <w:szCs w:val="21"/>
        </w:rPr>
      </w:pPr>
      <w:r w:rsidRPr="003163BC">
        <w:rPr>
          <w:rFonts w:asciiTheme="minorHAnsi" w:eastAsiaTheme="minorHAnsi" w:hAnsiTheme="minorHAnsi" w:cstheme="minorBidi"/>
          <w:bCs w:val="0"/>
          <w:caps w:val="0"/>
          <w:color w:val="auto"/>
          <w:sz w:val="21"/>
          <w:szCs w:val="21"/>
        </w:rPr>
        <w:t>The overall objective of th</w:t>
      </w:r>
      <w:r w:rsidR="0031153F">
        <w:rPr>
          <w:rFonts w:asciiTheme="minorHAnsi" w:eastAsiaTheme="minorHAnsi" w:hAnsiTheme="minorHAnsi" w:cstheme="minorBidi"/>
          <w:bCs w:val="0"/>
          <w:caps w:val="0"/>
          <w:color w:val="auto"/>
          <w:sz w:val="21"/>
          <w:szCs w:val="21"/>
        </w:rPr>
        <w:t>e</w:t>
      </w:r>
      <w:r w:rsidRPr="003163BC">
        <w:rPr>
          <w:rFonts w:asciiTheme="minorHAnsi" w:eastAsiaTheme="minorHAnsi" w:hAnsiTheme="minorHAnsi" w:cstheme="minorBidi"/>
          <w:bCs w:val="0"/>
          <w:caps w:val="0"/>
          <w:color w:val="auto"/>
          <w:sz w:val="21"/>
          <w:szCs w:val="21"/>
        </w:rPr>
        <w:t xml:space="preserve"> </w:t>
      </w:r>
      <w:r w:rsidR="0031153F">
        <w:rPr>
          <w:rFonts w:asciiTheme="minorHAnsi" w:eastAsiaTheme="minorHAnsi" w:hAnsiTheme="minorHAnsi" w:cstheme="minorBidi"/>
          <w:bCs w:val="0"/>
          <w:caps w:val="0"/>
          <w:color w:val="auto"/>
          <w:sz w:val="21"/>
          <w:szCs w:val="21"/>
        </w:rPr>
        <w:t>Action P</w:t>
      </w:r>
      <w:r w:rsidRPr="003163BC">
        <w:rPr>
          <w:rFonts w:asciiTheme="minorHAnsi" w:eastAsiaTheme="minorHAnsi" w:hAnsiTheme="minorHAnsi" w:cstheme="minorBidi"/>
          <w:bCs w:val="0"/>
          <w:caps w:val="0"/>
          <w:color w:val="auto"/>
          <w:sz w:val="21"/>
          <w:szCs w:val="21"/>
        </w:rPr>
        <w:t xml:space="preserve">lan </w:t>
      </w:r>
      <w:r w:rsidR="0031153F">
        <w:rPr>
          <w:rFonts w:asciiTheme="minorHAnsi" w:eastAsiaTheme="minorHAnsi" w:hAnsiTheme="minorHAnsi" w:cstheme="minorBidi"/>
          <w:bCs w:val="0"/>
          <w:caps w:val="0"/>
          <w:color w:val="auto"/>
          <w:sz w:val="21"/>
          <w:szCs w:val="21"/>
        </w:rPr>
        <w:t>(ACT Government 2017</w:t>
      </w:r>
      <w:r w:rsidR="00FA6D0A">
        <w:rPr>
          <w:rFonts w:asciiTheme="minorHAnsi" w:eastAsiaTheme="minorHAnsi" w:hAnsiTheme="minorHAnsi" w:cstheme="minorBidi"/>
          <w:bCs w:val="0"/>
          <w:caps w:val="0"/>
          <w:color w:val="auto"/>
          <w:sz w:val="21"/>
          <w:szCs w:val="21"/>
        </w:rPr>
        <w:t>b</w:t>
      </w:r>
      <w:r w:rsidR="0031153F">
        <w:rPr>
          <w:rFonts w:asciiTheme="minorHAnsi" w:eastAsiaTheme="minorHAnsi" w:hAnsiTheme="minorHAnsi" w:cstheme="minorBidi"/>
          <w:bCs w:val="0"/>
          <w:caps w:val="0"/>
          <w:color w:val="auto"/>
          <w:sz w:val="21"/>
          <w:szCs w:val="21"/>
        </w:rPr>
        <w:t xml:space="preserve">) </w:t>
      </w:r>
      <w:r w:rsidRPr="003163BC">
        <w:rPr>
          <w:rFonts w:asciiTheme="minorHAnsi" w:eastAsiaTheme="minorHAnsi" w:hAnsiTheme="minorHAnsi" w:cstheme="minorBidi"/>
          <w:bCs w:val="0"/>
          <w:caps w:val="0"/>
          <w:color w:val="auto"/>
          <w:sz w:val="21"/>
          <w:szCs w:val="21"/>
        </w:rPr>
        <w:t>is to preserve the species in perpetuity in the wild across its natural geographic range in the ACT</w:t>
      </w:r>
      <w:r w:rsidR="0031153F">
        <w:rPr>
          <w:rFonts w:asciiTheme="minorHAnsi" w:eastAsiaTheme="minorHAnsi" w:hAnsiTheme="minorHAnsi" w:cstheme="minorBidi"/>
          <w:bCs w:val="0"/>
          <w:caps w:val="0"/>
          <w:color w:val="auto"/>
          <w:sz w:val="21"/>
          <w:szCs w:val="21"/>
        </w:rPr>
        <w:t>,</w:t>
      </w:r>
      <w:r w:rsidRPr="003163BC">
        <w:rPr>
          <w:rFonts w:asciiTheme="minorHAnsi" w:eastAsiaTheme="minorHAnsi" w:hAnsiTheme="minorHAnsi" w:cstheme="minorBidi"/>
          <w:bCs w:val="0"/>
          <w:caps w:val="0"/>
          <w:color w:val="auto"/>
          <w:sz w:val="21"/>
          <w:szCs w:val="21"/>
        </w:rPr>
        <w:t xml:space="preserve"> maintain</w:t>
      </w:r>
      <w:r w:rsidR="0031153F">
        <w:rPr>
          <w:rFonts w:asciiTheme="minorHAnsi" w:eastAsiaTheme="minorHAnsi" w:hAnsiTheme="minorHAnsi" w:cstheme="minorBidi"/>
          <w:bCs w:val="0"/>
          <w:caps w:val="0"/>
          <w:color w:val="auto"/>
          <w:sz w:val="21"/>
          <w:szCs w:val="21"/>
        </w:rPr>
        <w:t>ing</w:t>
      </w:r>
      <w:r w:rsidRPr="003163BC">
        <w:rPr>
          <w:rFonts w:asciiTheme="minorHAnsi" w:eastAsiaTheme="minorHAnsi" w:hAnsiTheme="minorHAnsi" w:cstheme="minorBidi"/>
          <w:bCs w:val="0"/>
          <w:caps w:val="0"/>
          <w:color w:val="auto"/>
          <w:sz w:val="21"/>
          <w:szCs w:val="21"/>
        </w:rPr>
        <w:t xml:space="preserve"> natural evolutionary processes. Specific objectives </w:t>
      </w:r>
      <w:r w:rsidR="003B7BD4">
        <w:rPr>
          <w:rFonts w:asciiTheme="minorHAnsi" w:eastAsiaTheme="minorHAnsi" w:hAnsiTheme="minorHAnsi" w:cstheme="minorBidi"/>
          <w:bCs w:val="0"/>
          <w:caps w:val="0"/>
          <w:color w:val="auto"/>
          <w:sz w:val="21"/>
          <w:szCs w:val="21"/>
        </w:rPr>
        <w:t xml:space="preserve">are further stated in the </w:t>
      </w:r>
      <w:r w:rsidRPr="003163BC">
        <w:rPr>
          <w:rFonts w:asciiTheme="minorHAnsi" w:eastAsiaTheme="minorHAnsi" w:hAnsiTheme="minorHAnsi" w:cstheme="minorBidi"/>
          <w:bCs w:val="0"/>
          <w:caps w:val="0"/>
          <w:color w:val="auto"/>
          <w:sz w:val="21"/>
          <w:szCs w:val="21"/>
        </w:rPr>
        <w:t>action plan</w:t>
      </w:r>
      <w:r w:rsidR="003B7BD4">
        <w:rPr>
          <w:rFonts w:asciiTheme="minorHAnsi" w:eastAsiaTheme="minorHAnsi" w:hAnsiTheme="minorHAnsi" w:cstheme="minorBidi"/>
          <w:bCs w:val="0"/>
          <w:caps w:val="0"/>
          <w:color w:val="auto"/>
          <w:sz w:val="21"/>
          <w:szCs w:val="21"/>
        </w:rPr>
        <w:t xml:space="preserve"> for the species.</w:t>
      </w:r>
    </w:p>
    <w:p w14:paraId="39F5D671" w14:textId="29E8BF74" w:rsidR="0078503A" w:rsidRDefault="0078503A" w:rsidP="001C2DE7">
      <w:pPr>
        <w:pStyle w:val="Heading2-notindexed"/>
        <w:spacing w:after="120"/>
      </w:pPr>
      <w:bookmarkStart w:id="0" w:name="_Hlk135809872"/>
      <w:r>
        <w:t>Conservation</w:t>
      </w:r>
      <w:r w:rsidR="00FA6D0A">
        <w:t xml:space="preserve"> </w:t>
      </w:r>
      <w:r w:rsidR="004D03BA">
        <w:t>PRIORITIES</w:t>
      </w:r>
    </w:p>
    <w:bookmarkEnd w:id="0"/>
    <w:p w14:paraId="2F19105C" w14:textId="11C36DA7" w:rsidR="00063C88" w:rsidRDefault="00063C88" w:rsidP="00E27CF8">
      <w:r>
        <w:t xml:space="preserve">Due to the small size and fragmented distribution of the populations, management actions </w:t>
      </w:r>
      <w:r w:rsidR="00EE301E">
        <w:t xml:space="preserve">should </w:t>
      </w:r>
      <w:r>
        <w:t xml:space="preserve">be directed towards maintaining existing conditions and ensuring that activities occurring nearby do not adversely affect the sites. Management actions at </w:t>
      </w:r>
      <w:r w:rsidR="007D5D5F">
        <w:t>all sites</w:t>
      </w:r>
      <w:r>
        <w:t xml:space="preserve"> need to consider</w:t>
      </w:r>
      <w:r w:rsidR="007D5D5F">
        <w:t xml:space="preserve"> </w:t>
      </w:r>
      <w:r>
        <w:t xml:space="preserve">the presence of the </w:t>
      </w:r>
      <w:r w:rsidR="007D5D5F">
        <w:t xml:space="preserve">Critically Endangered </w:t>
      </w:r>
      <w:r>
        <w:t>Natural Temperate Grassland ecological</w:t>
      </w:r>
      <w:r w:rsidR="007D5D5F">
        <w:t xml:space="preserve"> community</w:t>
      </w:r>
      <w:r>
        <w:t>, the Golden Sun Moth (</w:t>
      </w:r>
      <w:proofErr w:type="spellStart"/>
      <w:r w:rsidRPr="007D5D5F">
        <w:rPr>
          <w:i/>
          <w:iCs/>
        </w:rPr>
        <w:t>Synemon</w:t>
      </w:r>
      <w:proofErr w:type="spellEnd"/>
      <w:r w:rsidRPr="007D5D5F">
        <w:rPr>
          <w:i/>
          <w:iCs/>
        </w:rPr>
        <w:t xml:space="preserve"> plana</w:t>
      </w:r>
      <w:r w:rsidR="007D5D5F">
        <w:t>),</w:t>
      </w:r>
      <w:r w:rsidR="00DA426C">
        <w:t xml:space="preserve"> </w:t>
      </w:r>
      <w:proofErr w:type="spellStart"/>
      <w:r w:rsidR="00DA426C">
        <w:t>Perunga</w:t>
      </w:r>
      <w:proofErr w:type="spellEnd"/>
      <w:r w:rsidR="00DA426C">
        <w:t xml:space="preserve"> Grasshopper (</w:t>
      </w:r>
      <w:proofErr w:type="spellStart"/>
      <w:r w:rsidR="00DA426C" w:rsidRPr="007D5D5F">
        <w:rPr>
          <w:i/>
          <w:iCs/>
        </w:rPr>
        <w:t>Perunga</w:t>
      </w:r>
      <w:proofErr w:type="spellEnd"/>
      <w:r w:rsidR="00DA426C" w:rsidRPr="007D5D5F">
        <w:rPr>
          <w:i/>
          <w:iCs/>
        </w:rPr>
        <w:t xml:space="preserve"> </w:t>
      </w:r>
      <w:proofErr w:type="spellStart"/>
      <w:r w:rsidR="00DA426C" w:rsidRPr="007D5D5F">
        <w:rPr>
          <w:i/>
          <w:iCs/>
        </w:rPr>
        <w:t>ochracea</w:t>
      </w:r>
      <w:proofErr w:type="spellEnd"/>
      <w:r w:rsidR="007D5D5F" w:rsidRPr="007D5D5F">
        <w:t>)</w:t>
      </w:r>
      <w:r w:rsidR="004F71DC">
        <w:t xml:space="preserve">, </w:t>
      </w:r>
      <w:r w:rsidR="004F71DC">
        <w:rPr>
          <w:rStyle w:val="cf01"/>
        </w:rPr>
        <w:t>Key's Matchstick Grasshopper (</w:t>
      </w:r>
      <w:proofErr w:type="spellStart"/>
      <w:r w:rsidR="004F71DC" w:rsidRPr="004F71DC">
        <w:rPr>
          <w:rStyle w:val="cf01"/>
          <w:i/>
          <w:iCs/>
        </w:rPr>
        <w:t>Keyacris</w:t>
      </w:r>
      <w:proofErr w:type="spellEnd"/>
      <w:r w:rsidR="004F71DC" w:rsidRPr="004F71DC">
        <w:rPr>
          <w:rStyle w:val="cf01"/>
          <w:i/>
          <w:iCs/>
        </w:rPr>
        <w:t xml:space="preserve"> </w:t>
      </w:r>
      <w:proofErr w:type="spellStart"/>
      <w:r w:rsidR="004F71DC" w:rsidRPr="004F71DC">
        <w:rPr>
          <w:rStyle w:val="cf01"/>
          <w:i/>
          <w:iCs/>
        </w:rPr>
        <w:t>scurra</w:t>
      </w:r>
      <w:proofErr w:type="spellEnd"/>
      <w:r w:rsidR="004F71DC">
        <w:rPr>
          <w:rStyle w:val="cf01"/>
        </w:rPr>
        <w:t>)</w:t>
      </w:r>
      <w:r w:rsidR="007D5D5F">
        <w:t xml:space="preserve"> and other threatened grassland species.</w:t>
      </w:r>
    </w:p>
    <w:p w14:paraId="47C49AE6" w14:textId="2E2DDF42" w:rsidR="00DA426C" w:rsidRDefault="00656FD0" w:rsidP="00E27CF8">
      <w:r>
        <w:t>The Scientific Committee supports prioritising the c</w:t>
      </w:r>
      <w:r w:rsidR="00DA426C">
        <w:t>onservation management action</w:t>
      </w:r>
      <w:r>
        <w:t>s</w:t>
      </w:r>
      <w:r w:rsidR="00DA426C">
        <w:t xml:space="preserve"> for the Ginninderra Peppercress identified </w:t>
      </w:r>
      <w:r w:rsidR="0031153F">
        <w:t>in the A</w:t>
      </w:r>
      <w:r w:rsidR="00DA426C">
        <w:t xml:space="preserve">ction </w:t>
      </w:r>
      <w:r w:rsidR="0031153F">
        <w:t>P</w:t>
      </w:r>
      <w:r w:rsidR="00DA426C">
        <w:t xml:space="preserve">lan </w:t>
      </w:r>
      <w:r w:rsidR="0031153F">
        <w:rPr>
          <w:noProof/>
        </w:rPr>
        <w:t>(ACT Government 2017</w:t>
      </w:r>
      <w:r w:rsidR="00FA6D0A">
        <w:rPr>
          <w:noProof/>
        </w:rPr>
        <w:t>b</w:t>
      </w:r>
      <w:r w:rsidR="0031153F">
        <w:rPr>
          <w:noProof/>
        </w:rPr>
        <w:t xml:space="preserve">) </w:t>
      </w:r>
      <w:r w:rsidR="00FA6D0A">
        <w:rPr>
          <w:noProof/>
        </w:rPr>
        <w:t>for the</w:t>
      </w:r>
      <w:r>
        <w:rPr>
          <w:noProof/>
        </w:rPr>
        <w:t xml:space="preserve"> species to</w:t>
      </w:r>
      <w:r w:rsidR="00DA426C">
        <w:t xml:space="preserve">: </w:t>
      </w:r>
    </w:p>
    <w:p w14:paraId="44E9D30A" w14:textId="36A889F6" w:rsidR="00DA426C" w:rsidRDefault="0031153F">
      <w:pPr>
        <w:pStyle w:val="ListParagraph"/>
        <w:numPr>
          <w:ilvl w:val="0"/>
          <w:numId w:val="5"/>
        </w:numPr>
      </w:pPr>
      <w:r>
        <w:t>m</w:t>
      </w:r>
      <w:r w:rsidR="00DA426C">
        <w:t>anage vegetation biomass to maintain open habitat structure</w:t>
      </w:r>
    </w:p>
    <w:p w14:paraId="26153D53" w14:textId="52A14910" w:rsidR="00DA426C" w:rsidRDefault="0031153F">
      <w:pPr>
        <w:pStyle w:val="ListParagraph"/>
        <w:numPr>
          <w:ilvl w:val="0"/>
          <w:numId w:val="5"/>
        </w:numPr>
      </w:pPr>
      <w:r>
        <w:t>c</w:t>
      </w:r>
      <w:r w:rsidR="00DA426C">
        <w:t>ontrol wee</w:t>
      </w:r>
      <w:r>
        <w:t>d</w:t>
      </w:r>
      <w:r w:rsidR="00DA426C">
        <w:t xml:space="preserve">s if they pose a threat to the </w:t>
      </w:r>
      <w:r>
        <w:t>species</w:t>
      </w:r>
      <w:r w:rsidR="0085351A">
        <w:t>’</w:t>
      </w:r>
      <w:r w:rsidR="006B75C7">
        <w:t xml:space="preserve"> </w:t>
      </w:r>
      <w:r w:rsidR="00DA426C">
        <w:t xml:space="preserve">populations of the site </w:t>
      </w:r>
    </w:p>
    <w:p w14:paraId="712E9810" w14:textId="5E6430F9" w:rsidR="00DA426C" w:rsidRDefault="0031153F">
      <w:pPr>
        <w:pStyle w:val="ListParagraph"/>
        <w:numPr>
          <w:ilvl w:val="0"/>
          <w:numId w:val="5"/>
        </w:numPr>
      </w:pPr>
      <w:r>
        <w:t>m</w:t>
      </w:r>
      <w:r w:rsidR="00DA426C">
        <w:t xml:space="preserve">anage grazing pressure </w:t>
      </w:r>
    </w:p>
    <w:p w14:paraId="61E46E17" w14:textId="56B7B877" w:rsidR="00DA426C" w:rsidRDefault="0031153F">
      <w:pPr>
        <w:pStyle w:val="ListParagraph"/>
        <w:numPr>
          <w:ilvl w:val="0"/>
          <w:numId w:val="5"/>
        </w:numPr>
      </w:pPr>
      <w:r>
        <w:t>a</w:t>
      </w:r>
      <w:r w:rsidR="00DA426C">
        <w:t xml:space="preserve">void incompatible activities, such </w:t>
      </w:r>
      <w:r>
        <w:t xml:space="preserve">as </w:t>
      </w:r>
      <w:r w:rsidR="00DA426C">
        <w:t>development of facilities, recreational use or access tracks in or near sites, especially where they may alter drainage or introduce weeds</w:t>
      </w:r>
    </w:p>
    <w:p w14:paraId="758EBF99" w14:textId="083E6653" w:rsidR="00DA426C" w:rsidRDefault="0031153F">
      <w:pPr>
        <w:pStyle w:val="ListParagraph"/>
        <w:numPr>
          <w:ilvl w:val="0"/>
          <w:numId w:val="5"/>
        </w:numPr>
      </w:pPr>
      <w:r>
        <w:t>m</w:t>
      </w:r>
      <w:r w:rsidR="00DA426C" w:rsidRPr="00561AA0">
        <w:t>aintain a low pr</w:t>
      </w:r>
      <w:r w:rsidR="00DA426C">
        <w:t>of</w:t>
      </w:r>
      <w:r w:rsidR="00DA426C" w:rsidRPr="00561AA0">
        <w:t>ile for the sites where the species is located</w:t>
      </w:r>
      <w:r>
        <w:t xml:space="preserve"> –</w:t>
      </w:r>
      <w:r w:rsidR="00DA426C" w:rsidRPr="00561AA0">
        <w:t xml:space="preserve"> the appropriateness of signage and fencing will need careful consideration</w:t>
      </w:r>
    </w:p>
    <w:p w14:paraId="595AE607" w14:textId="5CE8397E" w:rsidR="00DA426C" w:rsidRDefault="00DC1736">
      <w:pPr>
        <w:pStyle w:val="ListParagraph"/>
        <w:numPr>
          <w:ilvl w:val="0"/>
          <w:numId w:val="5"/>
        </w:numPr>
      </w:pPr>
      <w:r>
        <w:t>i</w:t>
      </w:r>
      <w:r w:rsidR="00DA426C">
        <w:t xml:space="preserve">ncorporate </w:t>
      </w:r>
      <w:r w:rsidR="00DA426C" w:rsidRPr="00561AA0">
        <w:t>appropriate statements of management actions in relevant plans and strategies.</w:t>
      </w:r>
    </w:p>
    <w:p w14:paraId="0A7AE6D5" w14:textId="3287DF87" w:rsidR="00DA426C" w:rsidRDefault="00DC1736">
      <w:pPr>
        <w:pStyle w:val="ListParagraph"/>
        <w:numPr>
          <w:ilvl w:val="0"/>
          <w:numId w:val="5"/>
        </w:numPr>
        <w:spacing w:line="240" w:lineRule="auto"/>
      </w:pPr>
      <w:r>
        <w:t>s</w:t>
      </w:r>
      <w:r w:rsidR="00DA426C" w:rsidRPr="00561AA0">
        <w:t xml:space="preserve">eek expert advice on best practice management of the species </w:t>
      </w:r>
    </w:p>
    <w:p w14:paraId="6FB383CB" w14:textId="053EF173" w:rsidR="009A33F9" w:rsidRDefault="00DC1736">
      <w:pPr>
        <w:pStyle w:val="ListParagraph"/>
        <w:numPr>
          <w:ilvl w:val="0"/>
          <w:numId w:val="5"/>
        </w:numPr>
        <w:spacing w:line="240" w:lineRule="auto"/>
      </w:pPr>
      <w:r>
        <w:t>c</w:t>
      </w:r>
      <w:r w:rsidR="009A33F9">
        <w:t xml:space="preserve">ontinue field collection of seed from </w:t>
      </w:r>
      <w:r w:rsidR="009A33F9" w:rsidRPr="00561AA0">
        <w:t>populations for storage in the National Seed Collection, with seed replaced at appropriate intervals determined by seed longevity testing</w:t>
      </w:r>
    </w:p>
    <w:p w14:paraId="06F5073E" w14:textId="77777777" w:rsidR="00537362" w:rsidRPr="00091176" w:rsidRDefault="00DC1736">
      <w:pPr>
        <w:pStyle w:val="ListParagraph"/>
        <w:numPr>
          <w:ilvl w:val="0"/>
          <w:numId w:val="5"/>
        </w:numPr>
        <w:rPr>
          <w:lang w:val="fr-FR"/>
        </w:rPr>
      </w:pPr>
      <w:proofErr w:type="spellStart"/>
      <w:r w:rsidRPr="00091176">
        <w:rPr>
          <w:lang w:val="fr-FR"/>
        </w:rPr>
        <w:t>m</w:t>
      </w:r>
      <w:r w:rsidR="00DA426C" w:rsidRPr="00091176">
        <w:rPr>
          <w:lang w:val="fr-FR"/>
        </w:rPr>
        <w:t>aintain</w:t>
      </w:r>
      <w:proofErr w:type="spellEnd"/>
      <w:r w:rsidR="00DA426C" w:rsidRPr="00091176">
        <w:rPr>
          <w:lang w:val="fr-FR"/>
        </w:rPr>
        <w:t xml:space="preserve"> an ex-situ ‘</w:t>
      </w:r>
      <w:proofErr w:type="spellStart"/>
      <w:r w:rsidR="00DA426C" w:rsidRPr="00091176">
        <w:rPr>
          <w:lang w:val="fr-FR"/>
        </w:rPr>
        <w:t>insurance</w:t>
      </w:r>
      <w:proofErr w:type="spellEnd"/>
      <w:r w:rsidR="00DA426C" w:rsidRPr="00091176">
        <w:rPr>
          <w:lang w:val="fr-FR"/>
        </w:rPr>
        <w:t>’ population</w:t>
      </w:r>
    </w:p>
    <w:p w14:paraId="4F2D3140" w14:textId="35131116" w:rsidR="00656FD0" w:rsidRDefault="00537362">
      <w:pPr>
        <w:pStyle w:val="ListParagraph"/>
        <w:numPr>
          <w:ilvl w:val="0"/>
          <w:numId w:val="5"/>
        </w:numPr>
      </w:pPr>
      <w:r>
        <w:t>actively seek opportunities to involve members of local indigenous communities in on ground activities</w:t>
      </w:r>
      <w:r w:rsidR="00DA426C">
        <w:t xml:space="preserve">. </w:t>
      </w:r>
    </w:p>
    <w:p w14:paraId="2AE56C14" w14:textId="1F9B0598" w:rsidR="000121E1" w:rsidRDefault="000121E1" w:rsidP="000121E1">
      <w:pPr>
        <w:pStyle w:val="Heading2-notindexed"/>
        <w:spacing w:after="120"/>
      </w:pPr>
      <w:r>
        <w:lastRenderedPageBreak/>
        <w:t>Conservation Issues</w:t>
      </w:r>
    </w:p>
    <w:p w14:paraId="36308E78" w14:textId="6D395F4F" w:rsidR="000121E1" w:rsidRDefault="00537362" w:rsidP="000121E1">
      <w:pPr>
        <w:rPr>
          <w:rFonts w:cstheme="minorHAnsi"/>
        </w:rPr>
      </w:pPr>
      <w:r>
        <w:rPr>
          <w:rFonts w:cstheme="minorHAnsi"/>
          <w:lang w:val="en-US"/>
        </w:rPr>
        <w:t xml:space="preserve">It is recommended that quantitative targets and resourcing requirements are clearly identified in any Action Plan or other related projects/programs relevant to this species. </w:t>
      </w:r>
      <w:r>
        <w:rPr>
          <w:rFonts w:cstheme="minorHAnsi"/>
        </w:rPr>
        <w:t>B</w:t>
      </w:r>
      <w:r w:rsidRPr="00E4045A">
        <w:rPr>
          <w:rFonts w:cstheme="minorHAnsi"/>
        </w:rPr>
        <w:t>roader conservation issues need to be considered in developing and implementing actions arising from this advice</w:t>
      </w:r>
      <w:r w:rsidR="000121E1" w:rsidRPr="00E4045A">
        <w:rPr>
          <w:rFonts w:cstheme="minorHAnsi"/>
        </w:rPr>
        <w:t xml:space="preserve"> and the species listing</w:t>
      </w:r>
      <w:r w:rsidR="000121E1">
        <w:rPr>
          <w:rFonts w:cstheme="minorHAnsi"/>
        </w:rPr>
        <w:t xml:space="preserve"> assessment (DEECCW 2023)</w:t>
      </w:r>
      <w:r w:rsidR="000121E1" w:rsidRPr="00E4045A">
        <w:rPr>
          <w:rFonts w:cstheme="minorHAnsi"/>
        </w:rPr>
        <w:t>.</w:t>
      </w:r>
    </w:p>
    <w:p w14:paraId="7FD6662F" w14:textId="77777777" w:rsidR="000121E1" w:rsidRDefault="000121E1" w:rsidP="000121E1">
      <w:pPr>
        <w:pStyle w:val="Heading3"/>
        <w:numPr>
          <w:ilvl w:val="0"/>
          <w:numId w:val="0"/>
        </w:numPr>
      </w:pPr>
      <w:r>
        <w:t>Critical Habitat</w:t>
      </w:r>
    </w:p>
    <w:p w14:paraId="6908C872" w14:textId="7EDB4D05" w:rsidR="000121E1" w:rsidRDefault="000121E1" w:rsidP="000121E1">
      <w:r>
        <w:t xml:space="preserve">The ACT contains the only known populations of the Ginninderra Peppercress and </w:t>
      </w:r>
      <w:r w:rsidR="0007020F">
        <w:t>its</w:t>
      </w:r>
      <w:r>
        <w:t xml:space="preserve"> conservation is critical to the survival of the species. The Lawson and Bonshaw sites occur on Commonwealth Department of Defence land</w:t>
      </w:r>
      <w:r w:rsidR="00331936">
        <w:t xml:space="preserve"> that is listed as Critical Habitat under the EPBC Act</w:t>
      </w:r>
      <w:r>
        <w:t>. A Memorandum of Understanding is in place between the Department of Defence and the Environment Planning and Sustainable Development Directorate and Environment Australia for the conservation and management of the Belconnen Naval Transmission Station. The Lawson population is behind by a man-proof fence with the Department of Defence restricting access to authorised persons, however this has presented its own set of threats to the species through lack of natural control of weeds and herbage mass by kangaroos. The Scientific Committee supports the need to remove this fence to allow more natural herbage mass reduction to occur.</w:t>
      </w:r>
    </w:p>
    <w:p w14:paraId="5F1B1C0C" w14:textId="14D1BB08" w:rsidR="000121E1" w:rsidRPr="007A151F" w:rsidRDefault="000121E1" w:rsidP="000121E1">
      <w:r w:rsidRPr="007A151F">
        <w:t xml:space="preserve">Given the perilous state of this species it is critical that all available habitat, suitable for this species </w:t>
      </w:r>
      <w:r>
        <w:t>is protected</w:t>
      </w:r>
      <w:r w:rsidRPr="007A151F">
        <w:t xml:space="preserve"> in the ACT</w:t>
      </w:r>
      <w:r w:rsidR="00331936">
        <w:t xml:space="preserve"> as critical habitat</w:t>
      </w:r>
      <w:r w:rsidRPr="007A151F">
        <w:t>, both in the interests of existing resident populations and in the interests of maintaining opportunities for the re-establishment of the species in areas subject to local extirpation. Particular attention needs to be paid to incremental change (the tyranny of a thousand cuts) and</w:t>
      </w:r>
      <w:r w:rsidRPr="00085D53">
        <w:t xml:space="preserve"> emphasis</w:t>
      </w:r>
      <w:r>
        <w:t xml:space="preserve"> on the</w:t>
      </w:r>
      <w:r w:rsidRPr="00085D53">
        <w:t xml:space="preserve"> avoidance of impacts on this species and its habitat is critical</w:t>
      </w:r>
      <w:r>
        <w:t>, with</w:t>
      </w:r>
      <w:r w:rsidRPr="00085D53">
        <w:t xml:space="preserve"> mitigation </w:t>
      </w:r>
      <w:r>
        <w:t xml:space="preserve">of impacts, </w:t>
      </w:r>
      <w:r w:rsidRPr="00085D53">
        <w:t xml:space="preserve">and offsets not </w:t>
      </w:r>
      <w:r>
        <w:t xml:space="preserve">being </w:t>
      </w:r>
      <w:r w:rsidRPr="00085D53">
        <w:t>appropriat</w:t>
      </w:r>
      <w:r>
        <w:t>e mechanisms for proponents</w:t>
      </w:r>
      <w:r w:rsidRPr="007A151F">
        <w:t>.</w:t>
      </w:r>
    </w:p>
    <w:p w14:paraId="2E0FE5AE" w14:textId="77777777" w:rsidR="000121E1" w:rsidRDefault="000121E1" w:rsidP="000121E1">
      <w:pPr>
        <w:pStyle w:val="Heading3"/>
        <w:numPr>
          <w:ilvl w:val="0"/>
          <w:numId w:val="0"/>
        </w:numPr>
      </w:pPr>
      <w:r>
        <w:t>Climate Change</w:t>
      </w:r>
    </w:p>
    <w:p w14:paraId="32EB1E93" w14:textId="2CFFAB57" w:rsidR="000121E1" w:rsidRDefault="000121E1" w:rsidP="000121E1">
      <w:pPr>
        <w:rPr>
          <w:rFonts w:cstheme="minorHAnsi"/>
        </w:rPr>
      </w:pPr>
      <w:r w:rsidRPr="007A151F">
        <w:t xml:space="preserve">Climate change impacts </w:t>
      </w:r>
      <w:r w:rsidR="00AE3D56">
        <w:t>are</w:t>
      </w:r>
      <w:r w:rsidRPr="007A151F">
        <w:t xml:space="preserve"> inevitable and will affect the likelihood of persistence</w:t>
      </w:r>
      <w:r>
        <w:t>,</w:t>
      </w:r>
      <w:r w:rsidRPr="007A151F">
        <w:t xml:space="preserve"> within the ACT</w:t>
      </w:r>
      <w:r>
        <w:t>,</w:t>
      </w:r>
      <w:r w:rsidRPr="007A151F">
        <w:t xml:space="preserve"> of many species. Most vulnerable in this regard are those species that occupy highly fragmented habitat with highly restricted distributions, such as the </w:t>
      </w:r>
      <w:r w:rsidR="0007020F">
        <w:t>Ginninderra Peppercress</w:t>
      </w:r>
      <w:r w:rsidRPr="007A151F">
        <w:t xml:space="preserve">. Capacity must be developed to model the impact on the </w:t>
      </w:r>
      <w:r w:rsidR="0007020F">
        <w:t>species</w:t>
      </w:r>
      <w:r w:rsidRPr="007A151F">
        <w:t xml:space="preserve"> and its habitat under likely climate change scenarios if we are to anticipate and manage the impacts of climate change. This will require a combination of research and the development of in-house capacity for the collection of relevant data and its application in climate change modelling.</w:t>
      </w:r>
      <w:r w:rsidRPr="00AA13EB">
        <w:rPr>
          <w:rFonts w:cstheme="minorHAnsi"/>
        </w:rPr>
        <w:t xml:space="preserve"> </w:t>
      </w:r>
    </w:p>
    <w:p w14:paraId="163EA352" w14:textId="38877AA0" w:rsidR="000121E1" w:rsidRDefault="0007020F" w:rsidP="0007020F">
      <w:pPr>
        <w:pStyle w:val="Heading3"/>
        <w:numPr>
          <w:ilvl w:val="0"/>
          <w:numId w:val="0"/>
        </w:numPr>
      </w:pPr>
      <w:r>
        <w:t>Seed Banking</w:t>
      </w:r>
    </w:p>
    <w:p w14:paraId="7C0C2B45" w14:textId="6FBB0ADE" w:rsidR="000121E1" w:rsidRPr="007A151F" w:rsidRDefault="000121E1" w:rsidP="000121E1">
      <w:r w:rsidRPr="007A151F">
        <w:t xml:space="preserve">The establishment of </w:t>
      </w:r>
      <w:r w:rsidR="0007020F">
        <w:t>seed banking</w:t>
      </w:r>
      <w:r w:rsidRPr="007A151F">
        <w:t xml:space="preserve"> of the </w:t>
      </w:r>
      <w:r w:rsidR="0007020F">
        <w:t>Ginninderra Peppercress</w:t>
      </w:r>
      <w:r w:rsidRPr="007A151F">
        <w:t xml:space="preserve"> is </w:t>
      </w:r>
      <w:r>
        <w:t xml:space="preserve">beneficial </w:t>
      </w:r>
      <w:r w:rsidRPr="007A151F">
        <w:t xml:space="preserve">to provide insurance against </w:t>
      </w:r>
      <w:r>
        <w:t>stochastic losses</w:t>
      </w:r>
      <w:r w:rsidRPr="007A151F">
        <w:t xml:space="preserve"> in the wild, to manage </w:t>
      </w:r>
      <w:r w:rsidR="0007020F">
        <w:t>any</w:t>
      </w:r>
      <w:r w:rsidRPr="007A151F">
        <w:t xml:space="preserve"> progressive loss of genetic diversity in the wild, and to provide a source of individuals for the re-establishment of the </w:t>
      </w:r>
      <w:r w:rsidR="0007020F">
        <w:t>Ginninderra Peppercress</w:t>
      </w:r>
      <w:r w:rsidRPr="007A151F">
        <w:t xml:space="preserve"> in local patches where it has been lost or that have been rehabilitated to be suitable for the establishment of the </w:t>
      </w:r>
      <w:r w:rsidR="0007020F">
        <w:t>species</w:t>
      </w:r>
      <w:r w:rsidRPr="007A151F">
        <w:t>.</w:t>
      </w:r>
    </w:p>
    <w:p w14:paraId="79E50164" w14:textId="77777777" w:rsidR="000121E1" w:rsidRDefault="000121E1" w:rsidP="0007020F">
      <w:pPr>
        <w:pStyle w:val="Heading3"/>
        <w:numPr>
          <w:ilvl w:val="0"/>
          <w:numId w:val="0"/>
        </w:numPr>
      </w:pPr>
      <w:r>
        <w:t>Population Viability</w:t>
      </w:r>
    </w:p>
    <w:p w14:paraId="61736392" w14:textId="5C5AABCF" w:rsidR="000121E1" w:rsidRPr="007A151F" w:rsidRDefault="00331936" w:rsidP="000121E1">
      <w:r>
        <w:t xml:space="preserve">Population viability analysis </w:t>
      </w:r>
      <w:r w:rsidR="000121E1" w:rsidRPr="007A151F">
        <w:t>is</w:t>
      </w:r>
      <w:r>
        <w:t xml:space="preserve"> important to determine if </w:t>
      </w:r>
      <w:r w:rsidR="000121E1" w:rsidRPr="007A151F">
        <w:t>the populatio</w:t>
      </w:r>
      <w:r>
        <w:t>n</w:t>
      </w:r>
      <w:r w:rsidR="000121E1" w:rsidRPr="007A151F">
        <w:t xml:space="preserve"> </w:t>
      </w:r>
      <w:r>
        <w:t xml:space="preserve">has </w:t>
      </w:r>
      <w:r w:rsidR="000121E1" w:rsidRPr="007A151F">
        <w:t xml:space="preserve">declined in abundance and become fragmented </w:t>
      </w:r>
      <w:r>
        <w:t xml:space="preserve">resulting in a decline in </w:t>
      </w:r>
      <w:r w:rsidR="000121E1" w:rsidRPr="007A151F">
        <w:t xml:space="preserve">genetic diversity of the species to such an extent that the species no longer has the capacity to rebound should conditions improve or to respond to management intervention. Such an assessment </w:t>
      </w:r>
      <w:r>
        <w:t xml:space="preserve">may </w:t>
      </w:r>
      <w:r w:rsidR="000121E1" w:rsidRPr="007A151F">
        <w:t>nee</w:t>
      </w:r>
      <w:r>
        <w:t>d</w:t>
      </w:r>
      <w:r w:rsidR="000121E1" w:rsidRPr="007A151F">
        <w:t xml:space="preserve"> to be made in the case of the </w:t>
      </w:r>
      <w:r w:rsidR="0007020F">
        <w:t>Ginninderra Peppercress</w:t>
      </w:r>
      <w:r w:rsidR="000121E1" w:rsidRPr="007A151F">
        <w:t xml:space="preserve">, and if </w:t>
      </w:r>
      <w:r w:rsidR="000121E1" w:rsidRPr="007A151F">
        <w:lastRenderedPageBreak/>
        <w:t xml:space="preserve">it is determined that the </w:t>
      </w:r>
      <w:r>
        <w:t>populations</w:t>
      </w:r>
      <w:r w:rsidR="000121E1" w:rsidRPr="007A151F">
        <w:t xml:space="preserve"> </w:t>
      </w:r>
      <w:r>
        <w:t>are</w:t>
      </w:r>
      <w:r w:rsidR="000121E1" w:rsidRPr="007A151F">
        <w:t xml:space="preserve"> </w:t>
      </w:r>
      <w:r>
        <w:t>not viable</w:t>
      </w:r>
      <w:r w:rsidR="000121E1" w:rsidRPr="007A151F">
        <w:t xml:space="preserve">, </w:t>
      </w:r>
      <w:r>
        <w:t>prioritising</w:t>
      </w:r>
      <w:r w:rsidR="000121E1" w:rsidRPr="007A151F">
        <w:t xml:space="preserve"> more </w:t>
      </w:r>
      <w:r>
        <w:t>far-reaching</w:t>
      </w:r>
      <w:r w:rsidR="000121E1" w:rsidRPr="007A151F">
        <w:t xml:space="preserve"> options for bringing the species to a position where it has the potential to recover.</w:t>
      </w:r>
    </w:p>
    <w:p w14:paraId="22BFB6D3" w14:textId="77777777" w:rsidR="000121E1" w:rsidRDefault="000121E1" w:rsidP="0007020F">
      <w:pPr>
        <w:pStyle w:val="Heading3"/>
        <w:numPr>
          <w:ilvl w:val="0"/>
          <w:numId w:val="0"/>
        </w:numPr>
      </w:pPr>
      <w:r>
        <w:t>Jurisdictional Collaboration</w:t>
      </w:r>
    </w:p>
    <w:p w14:paraId="2FD58DE0" w14:textId="1CB8FB75" w:rsidR="000121E1" w:rsidRDefault="000121E1" w:rsidP="000121E1">
      <w:r w:rsidRPr="007A151F">
        <w:t xml:space="preserve">The ACT is subject to complex jurisdictional arrangements </w:t>
      </w:r>
      <w:r>
        <w:t xml:space="preserve">as considerable areas of grassland are managed by the Commonwealth including important habitat for the species at </w:t>
      </w:r>
      <w:r w:rsidR="0007020F">
        <w:t>Lawson grasslands</w:t>
      </w:r>
      <w:r>
        <w:t xml:space="preserve">. Developing </w:t>
      </w:r>
      <w:r w:rsidR="00331936">
        <w:t xml:space="preserve">and implementing </w:t>
      </w:r>
      <w:r w:rsidRPr="007A151F">
        <w:t>policies and action/recovery plans in th</w:t>
      </w:r>
      <w:r>
        <w:t>is</w:t>
      </w:r>
      <w:r w:rsidRPr="007A151F">
        <w:t xml:space="preserve"> context </w:t>
      </w:r>
      <w:r>
        <w:t xml:space="preserve">therefore </w:t>
      </w:r>
      <w:r w:rsidRPr="007A151F">
        <w:t xml:space="preserve">requires </w:t>
      </w:r>
      <w:r w:rsidR="008A2C91">
        <w:t xml:space="preserve">ongoing </w:t>
      </w:r>
      <w:r w:rsidRPr="007A151F">
        <w:t>discussion</w:t>
      </w:r>
      <w:r>
        <w:t>/</w:t>
      </w:r>
      <w:r w:rsidRPr="007A151F">
        <w:t xml:space="preserve">negotiations </w:t>
      </w:r>
      <w:r w:rsidR="0007020F">
        <w:t>with the Commonwealth</w:t>
      </w:r>
      <w:r w:rsidRPr="007A151F">
        <w:t xml:space="preserve">. </w:t>
      </w:r>
    </w:p>
    <w:p w14:paraId="2EB0A052" w14:textId="77777777" w:rsidR="000121E1" w:rsidRDefault="000121E1" w:rsidP="0007020F">
      <w:pPr>
        <w:pStyle w:val="Heading3"/>
        <w:numPr>
          <w:ilvl w:val="0"/>
          <w:numId w:val="0"/>
        </w:numPr>
      </w:pPr>
      <w:r>
        <w:t>Ngunnawal Community Engagement</w:t>
      </w:r>
    </w:p>
    <w:p w14:paraId="49032A61" w14:textId="615C7CD2" w:rsidR="000121E1" w:rsidRDefault="000121E1" w:rsidP="000121E1">
      <w:r>
        <w:t xml:space="preserve">The ACT Government should </w:t>
      </w:r>
      <w:r w:rsidR="00537362">
        <w:t xml:space="preserve">actively </w:t>
      </w:r>
      <w:r>
        <w:t xml:space="preserve">facilitate, the inclusion of the Ngunnawal people in the conservation of this species and its habitat as part of Ngunnawal Country. Reference to the draft Cultural Resource Management Plan (ACT Government in prep.) would be useful to inform culturally appropriate resource management including of native species that aligns with achieving conservation outcomes for the species. </w:t>
      </w:r>
    </w:p>
    <w:p w14:paraId="09358737" w14:textId="77777777" w:rsidR="00321CA9" w:rsidRDefault="00321CA9" w:rsidP="00C679DC">
      <w:pPr>
        <w:pStyle w:val="Heading2-notindexed"/>
        <w:spacing w:before="0" w:after="120"/>
      </w:pPr>
      <w:r>
        <w:t>Other Relevant Advice, plans or Prescriptions</w:t>
      </w:r>
    </w:p>
    <w:p w14:paraId="55FF28C4" w14:textId="308EB51B" w:rsidR="00F72BFA" w:rsidRPr="001135E6" w:rsidRDefault="00DC1736">
      <w:pPr>
        <w:pStyle w:val="ListParagraph"/>
        <w:numPr>
          <w:ilvl w:val="0"/>
          <w:numId w:val="3"/>
        </w:numPr>
        <w:rPr>
          <w:szCs w:val="20"/>
        </w:rPr>
      </w:pPr>
      <w:r>
        <w:rPr>
          <w:szCs w:val="20"/>
        </w:rPr>
        <w:t xml:space="preserve">National </w:t>
      </w:r>
      <w:r w:rsidR="00F72BFA" w:rsidRPr="00795F99">
        <w:rPr>
          <w:szCs w:val="20"/>
        </w:rPr>
        <w:t>Recovery Plan for Ginninderra Peppercress</w:t>
      </w:r>
      <w:r w:rsidR="00F72BFA" w:rsidRPr="00795F99">
        <w:rPr>
          <w:i/>
          <w:iCs/>
          <w:szCs w:val="20"/>
        </w:rPr>
        <w:t xml:space="preserve"> </w:t>
      </w:r>
      <w:bookmarkStart w:id="1" w:name="_Hlk39054666"/>
    </w:p>
    <w:p w14:paraId="6DC6A30C" w14:textId="2B82E8B8" w:rsidR="001135E6" w:rsidRPr="001135E6" w:rsidRDefault="001135E6">
      <w:pPr>
        <w:pStyle w:val="ListParagraph"/>
        <w:numPr>
          <w:ilvl w:val="0"/>
          <w:numId w:val="3"/>
        </w:numPr>
        <w:rPr>
          <w:szCs w:val="20"/>
        </w:rPr>
      </w:pPr>
      <w:r w:rsidRPr="001135E6">
        <w:rPr>
          <w:szCs w:val="20"/>
        </w:rPr>
        <w:t>ACT Ginninderra Peppercress Action Plan (ACT Government 2017b)</w:t>
      </w:r>
    </w:p>
    <w:bookmarkEnd w:id="1"/>
    <w:p w14:paraId="1EE34569" w14:textId="5CC64D47" w:rsidR="00F72BFA" w:rsidRPr="00795F99" w:rsidRDefault="00F72BFA">
      <w:pPr>
        <w:pStyle w:val="ListParagraph"/>
        <w:numPr>
          <w:ilvl w:val="0"/>
          <w:numId w:val="3"/>
        </w:numPr>
        <w:rPr>
          <w:szCs w:val="20"/>
        </w:rPr>
      </w:pPr>
      <w:r w:rsidRPr="00795F99">
        <w:rPr>
          <w:szCs w:val="20"/>
        </w:rPr>
        <w:t xml:space="preserve">ACT Native Grassland </w:t>
      </w:r>
      <w:r w:rsidR="00B15E60" w:rsidRPr="00795F99">
        <w:rPr>
          <w:szCs w:val="20"/>
        </w:rPr>
        <w:t>Conservation Strategy and Action Plans (ACT Government 2017</w:t>
      </w:r>
      <w:r w:rsidR="001135E6">
        <w:rPr>
          <w:szCs w:val="20"/>
        </w:rPr>
        <w:t>a</w:t>
      </w:r>
      <w:r w:rsidR="00B15E60" w:rsidRPr="00795F99">
        <w:rPr>
          <w:szCs w:val="20"/>
        </w:rPr>
        <w:t>)</w:t>
      </w:r>
    </w:p>
    <w:p w14:paraId="74E10A47" w14:textId="6EB700D7" w:rsidR="00AD08D9" w:rsidRPr="00795F99" w:rsidRDefault="00DC1736">
      <w:pPr>
        <w:pStyle w:val="ListParagraph"/>
        <w:numPr>
          <w:ilvl w:val="0"/>
          <w:numId w:val="3"/>
        </w:numPr>
        <w:rPr>
          <w:szCs w:val="20"/>
        </w:rPr>
      </w:pPr>
      <w:r>
        <w:rPr>
          <w:szCs w:val="20"/>
        </w:rPr>
        <w:t xml:space="preserve">Commonwealth </w:t>
      </w:r>
      <w:r w:rsidR="00AD08D9" w:rsidRPr="00795F99">
        <w:rPr>
          <w:szCs w:val="20"/>
        </w:rPr>
        <w:t xml:space="preserve">Conservation Advice- </w:t>
      </w:r>
      <w:r w:rsidR="00626646" w:rsidRPr="00795F99">
        <w:rPr>
          <w:szCs w:val="20"/>
        </w:rPr>
        <w:t xml:space="preserve">Ginninderra Peppercress </w:t>
      </w:r>
      <w:r w:rsidR="00AD08D9" w:rsidRPr="00795F99">
        <w:rPr>
          <w:szCs w:val="20"/>
        </w:rPr>
        <w:t>(TSSC 2015</w:t>
      </w:r>
      <w:r w:rsidR="001135E6">
        <w:rPr>
          <w:szCs w:val="20"/>
        </w:rPr>
        <w:t xml:space="preserve"> and DCCEEW 2023</w:t>
      </w:r>
      <w:r w:rsidR="00AD08D9" w:rsidRPr="00795F99">
        <w:rPr>
          <w:szCs w:val="20"/>
        </w:rPr>
        <w:t>)</w:t>
      </w:r>
    </w:p>
    <w:p w14:paraId="673A6278" w14:textId="35471011" w:rsidR="00795F99" w:rsidRDefault="00795F99">
      <w:pPr>
        <w:pStyle w:val="ListParagraph"/>
        <w:numPr>
          <w:ilvl w:val="0"/>
          <w:numId w:val="3"/>
        </w:numPr>
        <w:rPr>
          <w:szCs w:val="20"/>
        </w:rPr>
      </w:pPr>
      <w:r>
        <w:rPr>
          <w:szCs w:val="20"/>
        </w:rPr>
        <w:t xml:space="preserve">Ex Situ Conservation Proposal for Ginninderra Peppercress </w:t>
      </w:r>
      <w:r w:rsidR="000F17B5">
        <w:rPr>
          <w:szCs w:val="20"/>
        </w:rPr>
        <w:t>(ANBG 2008)</w:t>
      </w:r>
    </w:p>
    <w:p w14:paraId="24B0C675" w14:textId="366483B2" w:rsidR="000F17B5" w:rsidRPr="00795F99" w:rsidRDefault="000F17B5">
      <w:pPr>
        <w:pStyle w:val="ListParagraph"/>
        <w:numPr>
          <w:ilvl w:val="0"/>
          <w:numId w:val="3"/>
        </w:numPr>
        <w:rPr>
          <w:szCs w:val="20"/>
        </w:rPr>
      </w:pPr>
      <w:r>
        <w:rPr>
          <w:szCs w:val="20"/>
        </w:rPr>
        <w:t>Application to collect Ginninderra Peppercress seed, Belconnen Naval Transmission Station, ACT (ANBG 2010)</w:t>
      </w:r>
    </w:p>
    <w:p w14:paraId="28ECF205" w14:textId="77777777" w:rsidR="00795F99" w:rsidRPr="00795F99" w:rsidRDefault="00795F99">
      <w:pPr>
        <w:pStyle w:val="ListParagraph"/>
        <w:numPr>
          <w:ilvl w:val="0"/>
          <w:numId w:val="3"/>
        </w:numPr>
        <w:rPr>
          <w:rFonts w:ascii="Calibri" w:eastAsia="Calibri" w:hAnsi="Calibri"/>
        </w:rPr>
      </w:pPr>
      <w:r w:rsidRPr="00795F99">
        <w:rPr>
          <w:rFonts w:ascii="Calibri" w:eastAsia="Calibri" w:hAnsi="Calibri"/>
        </w:rPr>
        <w:t>Ecological Values of the CSIRO Ginninderra Field Station Report (CSIRO 2016)</w:t>
      </w:r>
    </w:p>
    <w:p w14:paraId="754B27DB" w14:textId="233E526D" w:rsidR="00B15E60" w:rsidRPr="00795F99" w:rsidRDefault="006F56B6">
      <w:pPr>
        <w:pStyle w:val="ListParagraph"/>
        <w:numPr>
          <w:ilvl w:val="0"/>
          <w:numId w:val="3"/>
        </w:numPr>
        <w:rPr>
          <w:rFonts w:ascii="Calibri" w:eastAsia="Calibri" w:hAnsi="Calibri"/>
        </w:rPr>
      </w:pPr>
      <w:hyperlink r:id="rId21" w:history="1">
        <w:r w:rsidR="00B15E60" w:rsidRPr="00795F99">
          <w:rPr>
            <w:rStyle w:val="Hyperlink"/>
            <w:rFonts w:ascii="Calibri" w:eastAsia="Calibri" w:hAnsi="Calibri"/>
            <w:color w:val="auto"/>
            <w:u w:val="none"/>
          </w:rPr>
          <w:t xml:space="preserve">Conservator Translocation Guidelines </w:t>
        </w:r>
      </w:hyperlink>
      <w:r w:rsidR="00B15E60" w:rsidRPr="00795F99">
        <w:rPr>
          <w:rFonts w:ascii="Calibri" w:eastAsia="Calibri" w:hAnsi="Calibri"/>
        </w:rPr>
        <w:t>(ACT Government 2018)</w:t>
      </w:r>
    </w:p>
    <w:p w14:paraId="143D66ED" w14:textId="07CB0378" w:rsidR="00CB64F2" w:rsidRDefault="00321CA9" w:rsidP="000F17B5">
      <w:pPr>
        <w:pStyle w:val="Heading2-notindexed"/>
      </w:pPr>
      <w:r>
        <w:t>Listing Background</w:t>
      </w:r>
    </w:p>
    <w:p w14:paraId="415E4054" w14:textId="790E06F7" w:rsidR="00A1175C" w:rsidRPr="003163BC" w:rsidRDefault="00A1175C" w:rsidP="00DC1736">
      <w:pPr>
        <w:rPr>
          <w:lang w:eastAsia="en-AU"/>
        </w:rPr>
      </w:pPr>
      <w:r w:rsidRPr="003163BC">
        <w:rPr>
          <w:lang w:eastAsia="en-AU"/>
        </w:rPr>
        <w:t xml:space="preserve">The Ginninderra Peppercress was listed in the ACT as an Endangered species on </w:t>
      </w:r>
      <w:r w:rsidR="000F7227">
        <w:rPr>
          <w:lang w:eastAsia="en-AU"/>
        </w:rPr>
        <w:t>26 October</w:t>
      </w:r>
      <w:r w:rsidRPr="003163BC">
        <w:rPr>
          <w:lang w:eastAsia="en-AU"/>
        </w:rPr>
        <w:t xml:space="preserve"> 2001 in accordance with section 21 of the </w:t>
      </w:r>
      <w:r w:rsidRPr="003163BC">
        <w:rPr>
          <w:i/>
          <w:iCs/>
          <w:lang w:eastAsia="en-AU"/>
        </w:rPr>
        <w:t>Nature Conservation Act 1980</w:t>
      </w:r>
      <w:r w:rsidRPr="003163BC">
        <w:rPr>
          <w:lang w:eastAsia="en-AU"/>
        </w:rPr>
        <w:t xml:space="preserve">. </w:t>
      </w:r>
      <w:r w:rsidR="00F9726F" w:rsidRPr="003163BC">
        <w:rPr>
          <w:lang w:eastAsia="en-AU"/>
        </w:rPr>
        <w:t xml:space="preserve">The </w:t>
      </w:r>
      <w:r w:rsidR="00A91D41" w:rsidRPr="003163BC">
        <w:rPr>
          <w:lang w:eastAsia="en-AU"/>
        </w:rPr>
        <w:t>ACT Flora and Fauna Committee (now Scientific Committee) made the listing recommendation</w:t>
      </w:r>
      <w:r w:rsidR="00D945F2" w:rsidRPr="003163BC">
        <w:rPr>
          <w:lang w:eastAsia="en-AU"/>
        </w:rPr>
        <w:t>, concluding that the Ginninderra Peppercress satisfied the following criteria</w:t>
      </w:r>
      <w:r w:rsidR="00441BFA" w:rsidRPr="003163BC">
        <w:rPr>
          <w:lang w:eastAsia="en-AU"/>
        </w:rPr>
        <w:t xml:space="preserve">: </w:t>
      </w:r>
    </w:p>
    <w:p w14:paraId="11895229" w14:textId="5B51D287" w:rsidR="00441BFA" w:rsidRPr="003163BC" w:rsidRDefault="00441BFA" w:rsidP="00DC1736">
      <w:pPr>
        <w:ind w:left="567" w:hanging="567"/>
      </w:pPr>
      <w:r w:rsidRPr="003163BC">
        <w:rPr>
          <w:lang w:eastAsia="en-AU"/>
        </w:rPr>
        <w:t>1.2</w:t>
      </w:r>
      <w:r w:rsidR="00DC1736">
        <w:rPr>
          <w:lang w:eastAsia="en-AU"/>
        </w:rPr>
        <w:tab/>
      </w:r>
      <w:r w:rsidRPr="003163BC">
        <w:t xml:space="preserve">The species is observed, estimated, inferred or suspected to be at risk of premature extinction in the ACT region in the medium-term future, as demonstrated by: </w:t>
      </w:r>
    </w:p>
    <w:p w14:paraId="38B27FF4" w14:textId="55E1197A" w:rsidR="00441BFA" w:rsidRPr="003163BC" w:rsidRDefault="00441BFA" w:rsidP="00DC1736">
      <w:pPr>
        <w:ind w:left="1134" w:hanging="567"/>
        <w:rPr>
          <w:lang w:eastAsia="en-AU"/>
        </w:rPr>
      </w:pPr>
      <w:r w:rsidRPr="003163BC">
        <w:rPr>
          <w:lang w:eastAsia="en-AU"/>
        </w:rPr>
        <w:t>1.2.4</w:t>
      </w:r>
      <w:r w:rsidR="00DC1736">
        <w:rPr>
          <w:lang w:eastAsia="en-AU"/>
        </w:rPr>
        <w:tab/>
      </w:r>
      <w:r w:rsidRPr="003163BC">
        <w:rPr>
          <w:lang w:eastAsia="en-AU"/>
        </w:rPr>
        <w:t xml:space="preserve">Severely fragmented distribution for a species currently occurring over a small range or having a small area of occupancy within its range. </w:t>
      </w:r>
    </w:p>
    <w:p w14:paraId="79ABB142" w14:textId="3BF957B1" w:rsidR="00A91D41" w:rsidRDefault="00441BFA" w:rsidP="00DC1736">
      <w:pPr>
        <w:rPr>
          <w:lang w:eastAsia="en-AU"/>
        </w:rPr>
      </w:pPr>
      <w:r w:rsidRPr="003163BC">
        <w:rPr>
          <w:lang w:eastAsia="en-AU"/>
        </w:rPr>
        <w:t xml:space="preserve">The Ginninderra Peppercress </w:t>
      </w:r>
      <w:r w:rsidR="00A8740C" w:rsidRPr="003163BC">
        <w:rPr>
          <w:lang w:eastAsia="en-AU"/>
        </w:rPr>
        <w:t xml:space="preserve">was </w:t>
      </w:r>
      <w:r w:rsidR="00656FD0">
        <w:rPr>
          <w:lang w:eastAsia="en-AU"/>
        </w:rPr>
        <w:t xml:space="preserve">initially </w:t>
      </w:r>
      <w:r w:rsidR="00DC1736">
        <w:rPr>
          <w:lang w:eastAsia="en-AU"/>
        </w:rPr>
        <w:t>listed</w:t>
      </w:r>
      <w:r w:rsidR="00DC1736" w:rsidRPr="003163BC">
        <w:rPr>
          <w:lang w:eastAsia="en-AU"/>
        </w:rPr>
        <w:t xml:space="preserve"> </w:t>
      </w:r>
      <w:r w:rsidR="00A8740C" w:rsidRPr="003163BC">
        <w:rPr>
          <w:lang w:eastAsia="en-AU"/>
        </w:rPr>
        <w:t xml:space="preserve">as </w:t>
      </w:r>
      <w:r w:rsidR="00656FD0">
        <w:rPr>
          <w:lang w:eastAsia="en-AU"/>
        </w:rPr>
        <w:t>V</w:t>
      </w:r>
      <w:r w:rsidR="00A8740C" w:rsidRPr="003163BC">
        <w:rPr>
          <w:lang w:eastAsia="en-AU"/>
        </w:rPr>
        <w:t xml:space="preserve">ulnerable under the </w:t>
      </w:r>
      <w:r w:rsidR="00A8740C" w:rsidRPr="003163BC">
        <w:rPr>
          <w:i/>
          <w:iCs/>
          <w:lang w:eastAsia="en-AU"/>
        </w:rPr>
        <w:t>Environment Protection and Biodiversity Conservation Act 1999</w:t>
      </w:r>
      <w:r w:rsidR="00A8740C" w:rsidRPr="003163BC">
        <w:rPr>
          <w:lang w:eastAsia="en-AU"/>
        </w:rPr>
        <w:t xml:space="preserve"> (Cwlth) (EPBC Act) </w:t>
      </w:r>
      <w:r w:rsidR="00757757" w:rsidRPr="003163BC">
        <w:rPr>
          <w:lang w:eastAsia="en-AU"/>
        </w:rPr>
        <w:t>according to</w:t>
      </w:r>
      <w:r w:rsidR="00A8740C" w:rsidRPr="003163BC">
        <w:rPr>
          <w:lang w:eastAsia="en-AU"/>
        </w:rPr>
        <w:t xml:space="preserve"> the following criteria: low population size (2000 mature individuals), restricted area of occupancy (2.7</w:t>
      </w:r>
      <w:r w:rsidR="00757757">
        <w:rPr>
          <w:lang w:eastAsia="en-AU"/>
        </w:rPr>
        <w:t xml:space="preserve"> </w:t>
      </w:r>
      <w:r w:rsidR="00A8740C" w:rsidRPr="003163BC">
        <w:rPr>
          <w:lang w:eastAsia="en-AU"/>
        </w:rPr>
        <w:t>km</w:t>
      </w:r>
      <w:r w:rsidR="00A8740C" w:rsidRPr="003163BC">
        <w:rPr>
          <w:vertAlign w:val="superscript"/>
          <w:lang w:eastAsia="en-AU"/>
        </w:rPr>
        <w:t>2</w:t>
      </w:r>
      <w:r w:rsidR="00A8740C" w:rsidRPr="003163BC">
        <w:rPr>
          <w:lang w:eastAsia="en-AU"/>
        </w:rPr>
        <w:t xml:space="preserve">) and no evidence of continuing decline. </w:t>
      </w:r>
      <w:r w:rsidR="0048704E" w:rsidRPr="003163BC">
        <w:rPr>
          <w:lang w:eastAsia="en-AU"/>
        </w:rPr>
        <w:t>A National Recovery Plan was prepared in 2005 (Environment ACT), with 20</w:t>
      </w:r>
      <w:r w:rsidR="00757757">
        <w:rPr>
          <w:lang w:eastAsia="en-AU"/>
        </w:rPr>
        <w:t xml:space="preserve"> </w:t>
      </w:r>
      <w:r w:rsidR="0048704E" w:rsidRPr="003163BC">
        <w:rPr>
          <w:lang w:eastAsia="en-AU"/>
        </w:rPr>
        <w:t xml:space="preserve">ha </w:t>
      </w:r>
      <w:r w:rsidR="00852453" w:rsidRPr="003163BC">
        <w:rPr>
          <w:lang w:eastAsia="en-AU"/>
        </w:rPr>
        <w:t>in</w:t>
      </w:r>
      <w:r w:rsidR="0048704E" w:rsidRPr="003163BC">
        <w:rPr>
          <w:lang w:eastAsia="en-AU"/>
        </w:rPr>
        <w:t xml:space="preserve"> Lawson added to the Register of Critical Habitat (Department of Environment and Heritage 2005).</w:t>
      </w:r>
      <w:r w:rsidR="00483867" w:rsidRPr="003163BC">
        <w:rPr>
          <w:lang w:eastAsia="en-AU"/>
        </w:rPr>
        <w:t xml:space="preserve"> At the time</w:t>
      </w:r>
      <w:r w:rsidR="00757757">
        <w:rPr>
          <w:lang w:eastAsia="en-AU"/>
        </w:rPr>
        <w:t>,</w:t>
      </w:r>
      <w:r w:rsidR="00483867" w:rsidRPr="003163BC">
        <w:rPr>
          <w:lang w:eastAsia="en-AU"/>
        </w:rPr>
        <w:t xml:space="preserve"> the Lawson Grasslands (former Belconnen Naval Transmission Station) was the only known site for the Ginninderra Peppercress and thus the species h</w:t>
      </w:r>
      <w:r w:rsidR="00FF0825" w:rsidRPr="003163BC">
        <w:rPr>
          <w:lang w:eastAsia="en-AU"/>
        </w:rPr>
        <w:t>a</w:t>
      </w:r>
      <w:r w:rsidR="0085351A">
        <w:rPr>
          <w:lang w:eastAsia="en-AU"/>
        </w:rPr>
        <w:t>d</w:t>
      </w:r>
      <w:r w:rsidR="00FF0825" w:rsidRPr="003163BC">
        <w:rPr>
          <w:lang w:eastAsia="en-AU"/>
        </w:rPr>
        <w:t xml:space="preserve"> </w:t>
      </w:r>
      <w:r w:rsidR="00483867" w:rsidRPr="003163BC">
        <w:rPr>
          <w:lang w:eastAsia="en-AU"/>
        </w:rPr>
        <w:t>very restricted distribution</w:t>
      </w:r>
      <w:r w:rsidR="00FF0825" w:rsidRPr="003163BC">
        <w:rPr>
          <w:lang w:eastAsia="en-AU"/>
        </w:rPr>
        <w:t>. As the only known</w:t>
      </w:r>
      <w:r w:rsidR="00483867" w:rsidRPr="003163BC">
        <w:rPr>
          <w:lang w:eastAsia="en-AU"/>
        </w:rPr>
        <w:t xml:space="preserve"> </w:t>
      </w:r>
      <w:r w:rsidR="00FF0825" w:rsidRPr="003163BC">
        <w:rPr>
          <w:lang w:eastAsia="en-AU"/>
        </w:rPr>
        <w:t>site</w:t>
      </w:r>
      <w:r w:rsidR="00656FD0">
        <w:rPr>
          <w:lang w:eastAsia="en-AU"/>
        </w:rPr>
        <w:t xml:space="preserve"> at that time</w:t>
      </w:r>
      <w:r w:rsidR="00FF0825" w:rsidRPr="003163BC">
        <w:rPr>
          <w:lang w:eastAsia="en-AU"/>
        </w:rPr>
        <w:t>, it was</w:t>
      </w:r>
      <w:r w:rsidR="00483867" w:rsidRPr="003163BC">
        <w:rPr>
          <w:lang w:eastAsia="en-AU"/>
        </w:rPr>
        <w:t xml:space="preserve"> assessed as key habitat for breeding, dispersal and the ongoing survival of the </w:t>
      </w:r>
      <w:r w:rsidR="00483867" w:rsidRPr="003163BC">
        <w:rPr>
          <w:lang w:eastAsia="en-AU"/>
        </w:rPr>
        <w:lastRenderedPageBreak/>
        <w:t>Ginninderra Peppercress</w:t>
      </w:r>
      <w:r w:rsidR="00FF0825" w:rsidRPr="003163BC">
        <w:rPr>
          <w:lang w:eastAsia="en-AU"/>
        </w:rPr>
        <w:t xml:space="preserve">; and as 100% of the plants occur on the site, the habitat is critical to maintain genetic stock and potential long-term evolutionary development Criterion (e). </w:t>
      </w:r>
    </w:p>
    <w:p w14:paraId="20E9426A" w14:textId="0DC94AEE" w:rsidR="001135E6" w:rsidRPr="00795F99" w:rsidRDefault="001135E6" w:rsidP="001135E6">
      <w:pPr>
        <w:tabs>
          <w:tab w:val="left" w:pos="9071"/>
        </w:tabs>
        <w:rPr>
          <w:lang w:eastAsia="en-AU"/>
        </w:rPr>
      </w:pPr>
      <w:r>
        <w:rPr>
          <w:szCs w:val="20"/>
        </w:rPr>
        <w:t xml:space="preserve">The species was reassessed and listed as Critically Endangered under the EPBC Act </w:t>
      </w:r>
      <w:r w:rsidR="00AE3D56">
        <w:rPr>
          <w:szCs w:val="20"/>
        </w:rPr>
        <w:t xml:space="preserve">in </w:t>
      </w:r>
      <w:r w:rsidRPr="001D4727">
        <w:rPr>
          <w:szCs w:val="20"/>
        </w:rPr>
        <w:t>202</w:t>
      </w:r>
      <w:r w:rsidR="001D4727">
        <w:rPr>
          <w:szCs w:val="20"/>
        </w:rPr>
        <w:t>4</w:t>
      </w:r>
      <w:r>
        <w:rPr>
          <w:szCs w:val="20"/>
        </w:rPr>
        <w:t>. In response, t</w:t>
      </w:r>
      <w:r w:rsidRPr="00C41CCF">
        <w:rPr>
          <w:szCs w:val="20"/>
        </w:rPr>
        <w:t xml:space="preserve">he </w:t>
      </w:r>
      <w:r>
        <w:rPr>
          <w:szCs w:val="20"/>
        </w:rPr>
        <w:t xml:space="preserve">ACT </w:t>
      </w:r>
      <w:r w:rsidRPr="00C41CCF">
        <w:rPr>
          <w:szCs w:val="20"/>
        </w:rPr>
        <w:t xml:space="preserve">Scientific Committee recommended the </w:t>
      </w:r>
      <w:r>
        <w:rPr>
          <w:szCs w:val="20"/>
        </w:rPr>
        <w:t>Ginninderra Peppercress</w:t>
      </w:r>
      <w:r w:rsidRPr="00C41CCF">
        <w:rPr>
          <w:szCs w:val="20"/>
        </w:rPr>
        <w:t xml:space="preserve"> be </w:t>
      </w:r>
      <w:r>
        <w:rPr>
          <w:szCs w:val="20"/>
        </w:rPr>
        <w:t>transferred to</w:t>
      </w:r>
      <w:r w:rsidRPr="00C41CCF">
        <w:rPr>
          <w:szCs w:val="20"/>
        </w:rPr>
        <w:t xml:space="preserve"> the </w:t>
      </w:r>
      <w:r>
        <w:rPr>
          <w:szCs w:val="20"/>
        </w:rPr>
        <w:t>Critically Endangered</w:t>
      </w:r>
      <w:r w:rsidRPr="00C41CCF">
        <w:rPr>
          <w:szCs w:val="20"/>
        </w:rPr>
        <w:t xml:space="preserve"> category </w:t>
      </w:r>
      <w:r>
        <w:rPr>
          <w:szCs w:val="20"/>
        </w:rPr>
        <w:t xml:space="preserve">in the ACT Threatened Native Species List under the </w:t>
      </w:r>
      <w:r w:rsidRPr="004C295D">
        <w:rPr>
          <w:i/>
          <w:szCs w:val="20"/>
        </w:rPr>
        <w:t>Nature Conservation Act 2014</w:t>
      </w:r>
      <w:r>
        <w:rPr>
          <w:szCs w:val="20"/>
        </w:rPr>
        <w:t xml:space="preserve">, </w:t>
      </w:r>
      <w:r w:rsidRPr="00C41CCF">
        <w:rPr>
          <w:szCs w:val="20"/>
        </w:rPr>
        <w:t>to align with the EPBC Act listing.</w:t>
      </w:r>
    </w:p>
    <w:p w14:paraId="066207BA" w14:textId="77777777" w:rsidR="004E730E" w:rsidRDefault="004E730E" w:rsidP="004E730E">
      <w:pPr>
        <w:pStyle w:val="Heading2-notindexed"/>
      </w:pPr>
      <w:bookmarkStart w:id="2" w:name="_Hlk99967295"/>
      <w:r>
        <w:t>Action Plan Decision</w:t>
      </w:r>
    </w:p>
    <w:p w14:paraId="79CF0D09" w14:textId="77777777" w:rsidR="004E730E" w:rsidRDefault="004E730E" w:rsidP="004E730E">
      <w:r w:rsidRPr="00116487">
        <w:t>The ACT Scientific Committee recommends that the Minister for the Environment should</w:t>
      </w:r>
      <w:r>
        <w:t xml:space="preserve"> </w:t>
      </w:r>
      <w:r w:rsidRPr="00116487">
        <w:t xml:space="preserve">make the decision to </w:t>
      </w:r>
      <w:r>
        <w:t xml:space="preserve">continue the current </w:t>
      </w:r>
      <w:r w:rsidRPr="00116487">
        <w:t>action plan</w:t>
      </w:r>
      <w:r>
        <w:t xml:space="preserve"> (ACT Government 2017a)</w:t>
      </w:r>
      <w:r w:rsidRPr="00116487">
        <w:t xml:space="preserve"> for the species</w:t>
      </w:r>
      <w:r>
        <w:t xml:space="preserve"> </w:t>
      </w:r>
      <w:r w:rsidRPr="00116487">
        <w:t xml:space="preserve">in the ACT under the </w:t>
      </w:r>
      <w:r w:rsidRPr="00116487">
        <w:rPr>
          <w:i/>
          <w:iCs/>
        </w:rPr>
        <w:t>Nature Conservation Act 2014</w:t>
      </w:r>
      <w:r w:rsidRPr="00116487">
        <w:t>.</w:t>
      </w:r>
      <w:bookmarkEnd w:id="2"/>
      <w:r>
        <w:t xml:space="preserve"> </w:t>
      </w:r>
    </w:p>
    <w:p w14:paraId="17340164" w14:textId="236966A0" w:rsidR="004E730E" w:rsidRPr="003B6798" w:rsidRDefault="00FA4A04" w:rsidP="004E730E">
      <w:r>
        <w:t>A</w:t>
      </w:r>
      <w:r w:rsidR="004E730E" w:rsidRPr="003B6798">
        <w:t xml:space="preserve">ll </w:t>
      </w:r>
      <w:r>
        <w:t>known</w:t>
      </w:r>
      <w:r w:rsidR="004E730E" w:rsidRPr="003B6798">
        <w:t xml:space="preserve"> habitat on ACT</w:t>
      </w:r>
      <w:r w:rsidR="004E730E">
        <w:t>-</w:t>
      </w:r>
      <w:r w:rsidR="004E730E" w:rsidRPr="003B6798">
        <w:t xml:space="preserve">owned land is within either </w:t>
      </w:r>
      <w:r>
        <w:t xml:space="preserve">nature reserves or on land </w:t>
      </w:r>
      <w:r w:rsidR="004E730E" w:rsidRPr="003B6798">
        <w:t>actively managed for conservation. However, it has an uncertain and some-what perilous future on Commonwealth</w:t>
      </w:r>
      <w:r w:rsidR="004E730E">
        <w:t>-</w:t>
      </w:r>
      <w:r w:rsidR="004E730E" w:rsidRPr="003B6798">
        <w:t xml:space="preserve">owned land in the ACT, and </w:t>
      </w:r>
      <w:r w:rsidR="00951589">
        <w:t>a</w:t>
      </w:r>
      <w:r w:rsidR="004E730E" w:rsidRPr="003B6798">
        <w:t xml:space="preserve"> national recovery plan should be developed </w:t>
      </w:r>
      <w:r w:rsidR="004E730E">
        <w:t xml:space="preserve">and implemented </w:t>
      </w:r>
      <w:r w:rsidR="004E730E" w:rsidRPr="003B6798">
        <w:t xml:space="preserve">if this would prove advantageous to managing this species well on Commonwealth land. </w:t>
      </w:r>
    </w:p>
    <w:p w14:paraId="68F3A52E" w14:textId="77777777" w:rsidR="00CB64F2" w:rsidRDefault="00CB64F2" w:rsidP="00CB64F2">
      <w:pPr>
        <w:pStyle w:val="Heading5"/>
      </w:pPr>
      <w:r>
        <w:t>References</w:t>
      </w:r>
    </w:p>
    <w:p w14:paraId="34CAEFD7" w14:textId="52F44930" w:rsidR="0082782F" w:rsidRDefault="0082782F" w:rsidP="001135E6">
      <w:pPr>
        <w:pStyle w:val="Bibliography"/>
        <w:spacing w:after="0"/>
        <w:ind w:left="567" w:hanging="567"/>
        <w:contextualSpacing/>
        <w:rPr>
          <w:noProof/>
        </w:rPr>
      </w:pPr>
      <w:r>
        <w:rPr>
          <w:noProof/>
        </w:rPr>
        <w:t>ACT Government 2017</w:t>
      </w:r>
      <w:r w:rsidR="001135E6">
        <w:rPr>
          <w:noProof/>
        </w:rPr>
        <w:t>a</w:t>
      </w:r>
      <w:r>
        <w:rPr>
          <w:noProof/>
        </w:rPr>
        <w:t xml:space="preserve">. </w:t>
      </w:r>
      <w:r>
        <w:rPr>
          <w:i/>
          <w:iCs/>
          <w:noProof/>
        </w:rPr>
        <w:t>ACT Native Grassland Conservation Strategy and Action Plans.</w:t>
      </w:r>
      <w:r w:rsidR="006A348F">
        <w:rPr>
          <w:i/>
          <w:iCs/>
          <w:noProof/>
        </w:rPr>
        <w:t xml:space="preserve"> </w:t>
      </w:r>
      <w:r>
        <w:rPr>
          <w:noProof/>
        </w:rPr>
        <w:t>Environment, Planning and Sustainable Development Directorate</w:t>
      </w:r>
      <w:r w:rsidR="00DC1736">
        <w:rPr>
          <w:noProof/>
        </w:rPr>
        <w:t>,</w:t>
      </w:r>
      <w:r w:rsidR="00F41A77">
        <w:rPr>
          <w:noProof/>
        </w:rPr>
        <w:t xml:space="preserve"> ACT Government</w:t>
      </w:r>
      <w:r w:rsidR="00DC1736">
        <w:rPr>
          <w:noProof/>
        </w:rPr>
        <w:t xml:space="preserve"> Canberra</w:t>
      </w:r>
      <w:r>
        <w:rPr>
          <w:noProof/>
        </w:rPr>
        <w:t>.</w:t>
      </w:r>
    </w:p>
    <w:p w14:paraId="00A88F9B" w14:textId="0FAB9C2C" w:rsidR="001135E6" w:rsidRPr="001135E6" w:rsidRDefault="001135E6" w:rsidP="001135E6">
      <w:pPr>
        <w:spacing w:after="0"/>
        <w:ind w:left="567" w:hanging="567"/>
        <w:contextualSpacing/>
      </w:pPr>
      <w:r>
        <w:t xml:space="preserve">ACT Government 2017b. </w:t>
      </w:r>
      <w:r w:rsidRPr="001135E6">
        <w:rPr>
          <w:i/>
          <w:iCs/>
          <w:noProof/>
        </w:rPr>
        <w:t xml:space="preserve">Ginninderra Peppercress </w:t>
      </w:r>
      <w:r w:rsidRPr="001135E6">
        <w:rPr>
          <w:i/>
          <w:iCs/>
          <w:noProof/>
          <w:u w:val="single"/>
        </w:rPr>
        <w:t>Lepidium ginninderrense</w:t>
      </w:r>
      <w:r w:rsidRPr="001135E6">
        <w:rPr>
          <w:i/>
          <w:iCs/>
          <w:noProof/>
        </w:rPr>
        <w:t xml:space="preserve"> Action Plan 2017</w:t>
      </w:r>
      <w:r>
        <w:rPr>
          <w:noProof/>
        </w:rPr>
        <w:t>.</w:t>
      </w:r>
      <w:r w:rsidRPr="006A348F">
        <w:rPr>
          <w:noProof/>
        </w:rPr>
        <w:t xml:space="preserve"> </w:t>
      </w:r>
      <w:r>
        <w:rPr>
          <w:noProof/>
        </w:rPr>
        <w:t>Environment, Planning and Sustainable Development Directorate, ACT Government, Canberra</w:t>
      </w:r>
    </w:p>
    <w:p w14:paraId="685FE791" w14:textId="562C7A11" w:rsidR="0082782F" w:rsidRDefault="0082782F" w:rsidP="001135E6">
      <w:pPr>
        <w:pStyle w:val="Bibliography"/>
        <w:spacing w:after="0"/>
        <w:ind w:left="567" w:hanging="567"/>
        <w:contextualSpacing/>
        <w:rPr>
          <w:noProof/>
        </w:rPr>
      </w:pPr>
      <w:r>
        <w:rPr>
          <w:noProof/>
        </w:rPr>
        <w:t xml:space="preserve">ACT Government 2005. </w:t>
      </w:r>
      <w:r>
        <w:rPr>
          <w:i/>
          <w:iCs/>
          <w:noProof/>
        </w:rPr>
        <w:t>A vision splendid of the grassy plains extended: ACT Lowland Native Grassland Conservation Strategy. Action Plan No. 28.</w:t>
      </w:r>
      <w:r>
        <w:rPr>
          <w:noProof/>
        </w:rPr>
        <w:t xml:space="preserve"> Arts, Hertitage and Environment</w:t>
      </w:r>
      <w:r w:rsidR="000F7E0D">
        <w:rPr>
          <w:noProof/>
        </w:rPr>
        <w:t xml:space="preserve">, </w:t>
      </w:r>
      <w:r w:rsidR="00F41A77">
        <w:rPr>
          <w:noProof/>
        </w:rPr>
        <w:t xml:space="preserve">ACT Government, </w:t>
      </w:r>
      <w:r w:rsidR="000F7E0D">
        <w:rPr>
          <w:noProof/>
        </w:rPr>
        <w:t>Canberra</w:t>
      </w:r>
      <w:r>
        <w:rPr>
          <w:noProof/>
        </w:rPr>
        <w:t>.</w:t>
      </w:r>
    </w:p>
    <w:p w14:paraId="4243850F" w14:textId="4B4AA3DA" w:rsidR="0082782F" w:rsidRPr="00F3133C" w:rsidRDefault="0082782F" w:rsidP="00FA4A04">
      <w:pPr>
        <w:pStyle w:val="Bibliography"/>
        <w:spacing w:after="0"/>
        <w:ind w:left="567" w:hanging="567"/>
        <w:contextualSpacing/>
        <w:rPr>
          <w:noProof/>
        </w:rPr>
      </w:pPr>
      <w:r>
        <w:rPr>
          <w:noProof/>
        </w:rPr>
        <w:t xml:space="preserve">ACT Government 2013. </w:t>
      </w:r>
      <w:r>
        <w:rPr>
          <w:i/>
          <w:iCs/>
          <w:noProof/>
        </w:rPr>
        <w:t xml:space="preserve">Media Release: </w:t>
      </w:r>
      <w:r w:rsidRPr="00F3133C">
        <w:rPr>
          <w:i/>
          <w:iCs/>
          <w:noProof/>
        </w:rPr>
        <w:t>First translocation of endangered Ginninderra Peppercress</w:t>
      </w:r>
      <w:r w:rsidRPr="00F3133C">
        <w:rPr>
          <w:noProof/>
        </w:rPr>
        <w:t>.</w:t>
      </w:r>
      <w:r w:rsidR="006A348F">
        <w:rPr>
          <w:noProof/>
        </w:rPr>
        <w:t xml:space="preserve"> </w:t>
      </w:r>
      <w:r w:rsidRPr="00F3133C">
        <w:rPr>
          <w:noProof/>
        </w:rPr>
        <w:t xml:space="preserve">Accessed 24 April 2020 from: </w:t>
      </w:r>
      <w:hyperlink r:id="rId22" w:history="1">
        <w:r w:rsidR="000F7E0D" w:rsidRPr="00F3133C">
          <w:rPr>
            <w:rStyle w:val="Hyperlink"/>
            <w:noProof/>
            <w:color w:val="auto"/>
          </w:rPr>
          <w:t>https://www.cmtedd.act.gov.au/open_government/inform/act_government_media_releases/corbell/2013/first-translocation-of-endangered-ginninderra-peppercress</w:t>
        </w:r>
      </w:hyperlink>
      <w:r w:rsidR="000F7E0D" w:rsidRPr="00F3133C">
        <w:rPr>
          <w:noProof/>
        </w:rPr>
        <w:t xml:space="preserve"> </w:t>
      </w:r>
    </w:p>
    <w:p w14:paraId="3D0C973F" w14:textId="65DE67B2" w:rsidR="00FA4A04" w:rsidRPr="00FA4A04" w:rsidRDefault="00FA4A04" w:rsidP="00FA4A04">
      <w:pPr>
        <w:keepLines/>
        <w:spacing w:after="0"/>
        <w:ind w:left="540" w:hanging="540"/>
        <w:contextualSpacing/>
        <w:rPr>
          <w:sz w:val="22"/>
          <w:szCs w:val="22"/>
        </w:rPr>
      </w:pPr>
      <w:r>
        <w:t xml:space="preserve">ACT Government 2023. ACT Protected Plants Database: </w:t>
      </w:r>
      <w:r>
        <w:rPr>
          <w:i/>
          <w:iCs/>
        </w:rPr>
        <w:t xml:space="preserve">Lepidium </w:t>
      </w:r>
      <w:proofErr w:type="spellStart"/>
      <w:r>
        <w:rPr>
          <w:i/>
          <w:iCs/>
        </w:rPr>
        <w:t>ginninderrense</w:t>
      </w:r>
      <w:proofErr w:type="spellEnd"/>
      <w:r>
        <w:rPr>
          <w:i/>
          <w:iCs/>
        </w:rPr>
        <w:t xml:space="preserve"> </w:t>
      </w:r>
      <w:r>
        <w:t>records. Environment, Planning and Sustainable Development, ACT Government, Canberra.</w:t>
      </w:r>
    </w:p>
    <w:p w14:paraId="47D22078" w14:textId="606BE533" w:rsidR="006A348F" w:rsidRDefault="006A348F" w:rsidP="00C64B45">
      <w:pPr>
        <w:pStyle w:val="Bibliography"/>
        <w:spacing w:after="0"/>
        <w:ind w:left="567" w:hanging="567"/>
        <w:contextualSpacing/>
        <w:rPr>
          <w:noProof/>
        </w:rPr>
      </w:pPr>
      <w:r>
        <w:rPr>
          <w:noProof/>
        </w:rPr>
        <w:t>ACT Government in prep</w:t>
      </w:r>
      <w:r w:rsidR="00C64B45">
        <w:rPr>
          <w:noProof/>
        </w:rPr>
        <w:t>.</w:t>
      </w:r>
      <w:r>
        <w:rPr>
          <w:noProof/>
        </w:rPr>
        <w:t xml:space="preserve"> Ginninderra Peppercress </w:t>
      </w:r>
      <w:r w:rsidRPr="00F41A77">
        <w:rPr>
          <w:i/>
          <w:iCs/>
          <w:noProof/>
        </w:rPr>
        <w:t>Lepidium ginninderrense</w:t>
      </w:r>
      <w:r>
        <w:rPr>
          <w:noProof/>
        </w:rPr>
        <w:t xml:space="preserve"> Action Plan – </w:t>
      </w:r>
      <w:r w:rsidR="00F41A77">
        <w:rPr>
          <w:noProof/>
        </w:rPr>
        <w:t>Draft</w:t>
      </w:r>
      <w:r>
        <w:rPr>
          <w:noProof/>
        </w:rPr>
        <w:t xml:space="preserve"> Implementation Progress Report 2022</w:t>
      </w:r>
      <w:r w:rsidR="00F41A77">
        <w:rPr>
          <w:noProof/>
        </w:rPr>
        <w:t>.</w:t>
      </w:r>
      <w:r w:rsidRPr="006A348F">
        <w:rPr>
          <w:noProof/>
        </w:rPr>
        <w:t xml:space="preserve"> </w:t>
      </w:r>
      <w:r>
        <w:rPr>
          <w:noProof/>
        </w:rPr>
        <w:t xml:space="preserve">Environment, Planning and Sustainable Development Directorate, </w:t>
      </w:r>
      <w:r w:rsidR="00F41A77">
        <w:rPr>
          <w:noProof/>
        </w:rPr>
        <w:t xml:space="preserve">ACT Government, </w:t>
      </w:r>
      <w:r>
        <w:rPr>
          <w:noProof/>
        </w:rPr>
        <w:t>Canberra.</w:t>
      </w:r>
    </w:p>
    <w:p w14:paraId="125CA0F8" w14:textId="097CFE4A" w:rsidR="00C64B45" w:rsidRPr="00C64B45" w:rsidRDefault="00C64B45" w:rsidP="00C64B45">
      <w:pPr>
        <w:spacing w:after="0"/>
        <w:ind w:left="567" w:hanging="567"/>
        <w:contextualSpacing/>
        <w:rPr>
          <w:bCs/>
          <w:szCs w:val="20"/>
        </w:rPr>
      </w:pPr>
      <w:r>
        <w:t xml:space="preserve">ACT Government in prep. </w:t>
      </w:r>
      <w:r w:rsidRPr="00A70E60">
        <w:rPr>
          <w:i/>
          <w:iCs/>
        </w:rPr>
        <w:t>Draft Cultural Resource Management Plan</w:t>
      </w:r>
      <w:r>
        <w:t>. Environment Planning and Sustainable Development. ACT Government, Canberra.</w:t>
      </w:r>
    </w:p>
    <w:p w14:paraId="3354730E" w14:textId="5DE8D221" w:rsidR="0082782F" w:rsidRPr="00F3133C" w:rsidRDefault="0082782F" w:rsidP="00C64B45">
      <w:pPr>
        <w:pStyle w:val="Bibliography"/>
        <w:ind w:left="567" w:hanging="567"/>
        <w:contextualSpacing/>
        <w:rPr>
          <w:noProof/>
        </w:rPr>
      </w:pPr>
      <w:r w:rsidRPr="00F3133C">
        <w:rPr>
          <w:noProof/>
        </w:rPr>
        <w:t xml:space="preserve">AECOM 2009. </w:t>
      </w:r>
      <w:r w:rsidRPr="00F3133C">
        <w:rPr>
          <w:i/>
          <w:iCs/>
          <w:noProof/>
        </w:rPr>
        <w:t>Threatened Species Monitoring: Five Defence Properties in the ACT. Prepared for Spotless Services.</w:t>
      </w:r>
      <w:r w:rsidRPr="00F3133C">
        <w:rPr>
          <w:noProof/>
        </w:rPr>
        <w:t xml:space="preserve"> AECOM Australia Pty Ltd</w:t>
      </w:r>
      <w:r w:rsidR="000F7E0D" w:rsidRPr="00F3133C">
        <w:rPr>
          <w:noProof/>
        </w:rPr>
        <w:t>, Canberra</w:t>
      </w:r>
      <w:r w:rsidRPr="00F3133C">
        <w:rPr>
          <w:noProof/>
        </w:rPr>
        <w:t>.</w:t>
      </w:r>
    </w:p>
    <w:p w14:paraId="49CEBB6C" w14:textId="0D175975" w:rsidR="0082782F" w:rsidRDefault="0082782F" w:rsidP="00C64B45">
      <w:pPr>
        <w:pStyle w:val="Bibliography"/>
        <w:ind w:left="567" w:hanging="567"/>
        <w:contextualSpacing/>
        <w:rPr>
          <w:noProof/>
        </w:rPr>
      </w:pPr>
      <w:r>
        <w:rPr>
          <w:noProof/>
        </w:rPr>
        <w:t xml:space="preserve">Avis K 2000. </w:t>
      </w:r>
      <w:r>
        <w:rPr>
          <w:i/>
          <w:iCs/>
          <w:noProof/>
        </w:rPr>
        <w:t>Monitoring of</w:t>
      </w:r>
      <w:r w:rsidRPr="00DF0855">
        <w:rPr>
          <w:i/>
          <w:iCs/>
          <w:noProof/>
          <w:u w:val="single"/>
        </w:rPr>
        <w:t xml:space="preserve"> Lepidium ginninderrense</w:t>
      </w:r>
      <w:r>
        <w:rPr>
          <w:i/>
          <w:iCs/>
          <w:noProof/>
        </w:rPr>
        <w:t xml:space="preserve"> at the Belconnen Naval Transmission Station Lawson ACT.</w:t>
      </w:r>
      <w:r>
        <w:rPr>
          <w:noProof/>
        </w:rPr>
        <w:t xml:space="preserve">  Canberra Institute of Technology</w:t>
      </w:r>
      <w:r w:rsidR="000F7E0D">
        <w:rPr>
          <w:noProof/>
        </w:rPr>
        <w:t>, Canberra</w:t>
      </w:r>
      <w:r>
        <w:rPr>
          <w:noProof/>
        </w:rPr>
        <w:t>.</w:t>
      </w:r>
    </w:p>
    <w:p w14:paraId="73CF79D5" w14:textId="619FEAF3" w:rsidR="00F41A77" w:rsidRDefault="00F41A77" w:rsidP="000F7E0D">
      <w:pPr>
        <w:pStyle w:val="Bibliography"/>
        <w:ind w:left="567" w:hanging="567"/>
        <w:contextualSpacing/>
        <w:rPr>
          <w:noProof/>
        </w:rPr>
      </w:pPr>
      <w:r>
        <w:rPr>
          <w:noProof/>
        </w:rPr>
        <w:t>DCCEEW 2023</w:t>
      </w:r>
      <w:r w:rsidR="00A824A2">
        <w:rPr>
          <w:noProof/>
        </w:rPr>
        <w:t>.</w:t>
      </w:r>
      <w:r>
        <w:rPr>
          <w:noProof/>
        </w:rPr>
        <w:t xml:space="preserve"> </w:t>
      </w:r>
      <w:r w:rsidRPr="000121E1">
        <w:rPr>
          <w:i/>
          <w:iCs/>
          <w:noProof/>
        </w:rPr>
        <w:t xml:space="preserve">Conservation Advice for </w:t>
      </w:r>
      <w:r w:rsidRPr="000121E1">
        <w:rPr>
          <w:i/>
          <w:iCs/>
          <w:noProof/>
          <w:u w:val="single"/>
        </w:rPr>
        <w:t>Lepidium ginninderrense</w:t>
      </w:r>
      <w:r w:rsidRPr="000121E1">
        <w:rPr>
          <w:i/>
          <w:iCs/>
          <w:noProof/>
        </w:rPr>
        <w:t xml:space="preserve"> (Ginninderra Peppercress)</w:t>
      </w:r>
      <w:r>
        <w:rPr>
          <w:i/>
          <w:iCs/>
          <w:noProof/>
        </w:rPr>
        <w:t>.</w:t>
      </w:r>
      <w:r w:rsidRPr="00F41A77">
        <w:rPr>
          <w:noProof/>
        </w:rPr>
        <w:t xml:space="preserve"> Department of Climate Change, Energy, the Environment and Water</w:t>
      </w:r>
      <w:r>
        <w:rPr>
          <w:noProof/>
        </w:rPr>
        <w:t xml:space="preserve"> (Commonwealth), Canberra</w:t>
      </w:r>
      <w:r w:rsidRPr="00F41A77">
        <w:rPr>
          <w:noProof/>
        </w:rPr>
        <w:t>.</w:t>
      </w:r>
    </w:p>
    <w:p w14:paraId="1AF90830" w14:textId="752050FA" w:rsidR="0082782F" w:rsidRDefault="0082782F" w:rsidP="000F7E0D">
      <w:pPr>
        <w:pStyle w:val="Bibliography"/>
        <w:ind w:left="567" w:hanging="567"/>
        <w:contextualSpacing/>
        <w:rPr>
          <w:noProof/>
        </w:rPr>
      </w:pPr>
      <w:r>
        <w:rPr>
          <w:noProof/>
        </w:rPr>
        <w:t xml:space="preserve">ENSR (AECOM) 2008. </w:t>
      </w:r>
      <w:r>
        <w:rPr>
          <w:i/>
          <w:iCs/>
          <w:noProof/>
        </w:rPr>
        <w:t>Flora Monitoring in ACT/SNSW 2007/08. SN01944.</w:t>
      </w:r>
      <w:r w:rsidRPr="00DF0855">
        <w:rPr>
          <w:noProof/>
        </w:rPr>
        <w:t xml:space="preserve"> Prepared for Spotless Services Pty Ltd</w:t>
      </w:r>
      <w:r>
        <w:rPr>
          <w:i/>
          <w:iCs/>
          <w:noProof/>
        </w:rPr>
        <w:t>.</w:t>
      </w:r>
      <w:r>
        <w:rPr>
          <w:noProof/>
        </w:rPr>
        <w:t xml:space="preserve"> ENSR Australia Pty Ltd</w:t>
      </w:r>
      <w:r w:rsidR="000F7E0D">
        <w:rPr>
          <w:noProof/>
        </w:rPr>
        <w:t>, Canberra</w:t>
      </w:r>
      <w:r>
        <w:rPr>
          <w:noProof/>
        </w:rPr>
        <w:t>.</w:t>
      </w:r>
    </w:p>
    <w:p w14:paraId="5EBBC6C4" w14:textId="604F7872" w:rsidR="0082782F" w:rsidRDefault="0082782F" w:rsidP="000F7E0D">
      <w:pPr>
        <w:pStyle w:val="Bibliography"/>
        <w:ind w:left="567" w:hanging="567"/>
        <w:contextualSpacing/>
        <w:rPr>
          <w:noProof/>
        </w:rPr>
      </w:pPr>
      <w:r>
        <w:rPr>
          <w:noProof/>
        </w:rPr>
        <w:t xml:space="preserve">HLA 2006. </w:t>
      </w:r>
      <w:r>
        <w:rPr>
          <w:i/>
          <w:iCs/>
          <w:noProof/>
        </w:rPr>
        <w:t xml:space="preserve">Threatened Species Monitoring at Belconnen Naval Transmitting Station. </w:t>
      </w:r>
      <w:r w:rsidRPr="00DF0855">
        <w:rPr>
          <w:noProof/>
        </w:rPr>
        <w:t xml:space="preserve">Prepared for Resolve FM. </w:t>
      </w:r>
      <w:r>
        <w:rPr>
          <w:noProof/>
        </w:rPr>
        <w:t>HLA-Envirosciences Pty Ltd</w:t>
      </w:r>
      <w:r w:rsidR="000F7E0D">
        <w:rPr>
          <w:noProof/>
        </w:rPr>
        <w:t>,</w:t>
      </w:r>
      <w:r>
        <w:rPr>
          <w:noProof/>
        </w:rPr>
        <w:t xml:space="preserve"> Canberra.</w:t>
      </w:r>
    </w:p>
    <w:p w14:paraId="64C54948" w14:textId="65988535" w:rsidR="0082782F" w:rsidRDefault="0082782F" w:rsidP="000F7E0D">
      <w:pPr>
        <w:pStyle w:val="Bibliography"/>
        <w:ind w:left="567" w:hanging="567"/>
        <w:contextualSpacing/>
        <w:rPr>
          <w:noProof/>
        </w:rPr>
      </w:pPr>
      <w:r>
        <w:rPr>
          <w:noProof/>
        </w:rPr>
        <w:lastRenderedPageBreak/>
        <w:t xml:space="preserve">Scarlett N 2001. </w:t>
      </w:r>
      <w:r w:rsidRPr="00DF0855">
        <w:rPr>
          <w:i/>
          <w:iCs/>
          <w:noProof/>
        </w:rPr>
        <w:t xml:space="preserve">Leipidum ginninderrense </w:t>
      </w:r>
      <w:r>
        <w:rPr>
          <w:noProof/>
        </w:rPr>
        <w:t xml:space="preserve">(Brassicacae), a new species from the Australian Capital Territory. </w:t>
      </w:r>
      <w:r w:rsidRPr="00DF0855">
        <w:rPr>
          <w:i/>
          <w:iCs/>
          <w:noProof/>
        </w:rPr>
        <w:t>Muelleria</w:t>
      </w:r>
      <w:r>
        <w:rPr>
          <w:i/>
          <w:iCs/>
          <w:noProof/>
        </w:rPr>
        <w:t xml:space="preserve"> 15</w:t>
      </w:r>
      <w:r w:rsidR="000F7E0D">
        <w:rPr>
          <w:i/>
          <w:iCs/>
          <w:noProof/>
        </w:rPr>
        <w:t>:</w:t>
      </w:r>
      <w:r>
        <w:rPr>
          <w:noProof/>
        </w:rPr>
        <w:t xml:space="preserve"> 69</w:t>
      </w:r>
      <w:r w:rsidR="000F7E0D">
        <w:rPr>
          <w:noProof/>
        </w:rPr>
        <w:t>–</w:t>
      </w:r>
      <w:r>
        <w:rPr>
          <w:noProof/>
        </w:rPr>
        <w:t>74.</w:t>
      </w:r>
    </w:p>
    <w:p w14:paraId="7F994790" w14:textId="273B2097" w:rsidR="0082782F" w:rsidRDefault="0082782F" w:rsidP="000F7E0D">
      <w:pPr>
        <w:pStyle w:val="Bibliography"/>
        <w:ind w:left="567" w:hanging="567"/>
        <w:contextualSpacing/>
        <w:rPr>
          <w:noProof/>
        </w:rPr>
      </w:pPr>
      <w:r>
        <w:rPr>
          <w:noProof/>
        </w:rPr>
        <w:t xml:space="preserve">SMEC 2018. </w:t>
      </w:r>
      <w:r>
        <w:rPr>
          <w:i/>
          <w:iCs/>
          <w:noProof/>
        </w:rPr>
        <w:t>Jerrabomberra East Nature Reserve Golden Sun Moth Habitat Mapping 2017</w:t>
      </w:r>
      <w:r w:rsidRPr="00DF0855">
        <w:rPr>
          <w:i/>
          <w:iCs/>
          <w:noProof/>
        </w:rPr>
        <w:t xml:space="preserve"> 30002620. </w:t>
      </w:r>
      <w:r w:rsidRPr="00DF0855">
        <w:rPr>
          <w:noProof/>
        </w:rPr>
        <w:t>Prepared for: ACT Government- Environment and Plannning</w:t>
      </w:r>
      <w:r w:rsidR="000F7E0D">
        <w:rPr>
          <w:noProof/>
        </w:rPr>
        <w:t>,</w:t>
      </w:r>
      <w:r>
        <w:rPr>
          <w:noProof/>
        </w:rPr>
        <w:t xml:space="preserve"> Canberra.</w:t>
      </w:r>
    </w:p>
    <w:p w14:paraId="365B5B8B" w14:textId="77777777" w:rsidR="0082782F" w:rsidRPr="00DF0855" w:rsidRDefault="0082782F" w:rsidP="000F7E0D">
      <w:pPr>
        <w:pStyle w:val="Bibliography"/>
        <w:ind w:left="567" w:hanging="567"/>
        <w:contextualSpacing/>
        <w:rPr>
          <w:noProof/>
        </w:rPr>
      </w:pPr>
      <w:r>
        <w:rPr>
          <w:noProof/>
        </w:rPr>
        <w:t xml:space="preserve">SMEC 2019. </w:t>
      </w:r>
      <w:r>
        <w:rPr>
          <w:i/>
          <w:iCs/>
          <w:noProof/>
        </w:rPr>
        <w:t>Golden Sun Moth Abundance Monitoring and Habitat Mapping 2018. Bonshaw, Jerrabomberra East and Franklin Grasslands.</w:t>
      </w:r>
      <w:r w:rsidRPr="00DF0855">
        <w:rPr>
          <w:noProof/>
        </w:rPr>
        <w:t xml:space="preserve"> Prepared for ACT Parks and Conservation Service. Canberra.</w:t>
      </w:r>
    </w:p>
    <w:p w14:paraId="39AED56F" w14:textId="104C858F" w:rsidR="001C3851" w:rsidRDefault="0082782F" w:rsidP="000F7E0D">
      <w:pPr>
        <w:pStyle w:val="Bibliography"/>
        <w:ind w:left="567" w:hanging="567"/>
        <w:contextualSpacing/>
        <w:rPr>
          <w:noProof/>
        </w:rPr>
      </w:pPr>
      <w:r>
        <w:rPr>
          <w:noProof/>
        </w:rPr>
        <w:t xml:space="preserve">Taws N 2013. Check Those Dead Bits! Or Finding The Ginninderra Peppercress. </w:t>
      </w:r>
      <w:r>
        <w:rPr>
          <w:i/>
          <w:iCs/>
          <w:noProof/>
        </w:rPr>
        <w:t>News of Friends of Grasslands</w:t>
      </w:r>
      <w:r>
        <w:rPr>
          <w:noProof/>
        </w:rPr>
        <w:t>, January-Feburary 2013</w:t>
      </w:r>
      <w:r w:rsidR="00917B4A">
        <w:rPr>
          <w:noProof/>
        </w:rPr>
        <w:t>:</w:t>
      </w:r>
      <w:r>
        <w:rPr>
          <w:noProof/>
        </w:rPr>
        <w:t xml:space="preserve"> 10.</w:t>
      </w:r>
    </w:p>
    <w:p w14:paraId="3CB461F6" w14:textId="7A3FAC16" w:rsidR="00917B4A" w:rsidRDefault="0082782F" w:rsidP="00917B4A">
      <w:pPr>
        <w:pStyle w:val="Bibliography"/>
        <w:spacing w:after="0"/>
        <w:ind w:left="567" w:hanging="567"/>
        <w:contextualSpacing/>
        <w:rPr>
          <w:noProof/>
        </w:rPr>
      </w:pPr>
      <w:r>
        <w:rPr>
          <w:noProof/>
        </w:rPr>
        <w:t xml:space="preserve">Taylor D, McAuliffe J, North T, Gibson-Roy P, Vanzella B, Taws N, Baines G, Cooke E, Lepschi B and Broadhurst L 2014. Seed production project produces translocation spin off for a highly threatened species. </w:t>
      </w:r>
      <w:r>
        <w:rPr>
          <w:i/>
          <w:iCs/>
          <w:noProof/>
        </w:rPr>
        <w:t>Australasian Plant Conservation, 22</w:t>
      </w:r>
      <w:r>
        <w:rPr>
          <w:noProof/>
        </w:rPr>
        <w:t>(3)</w:t>
      </w:r>
      <w:r w:rsidR="000F7E0D">
        <w:rPr>
          <w:noProof/>
        </w:rPr>
        <w:t>:</w:t>
      </w:r>
      <w:r>
        <w:rPr>
          <w:noProof/>
        </w:rPr>
        <w:t xml:space="preserve"> 11</w:t>
      </w:r>
      <w:r w:rsidR="000F7E0D">
        <w:rPr>
          <w:noProof/>
        </w:rPr>
        <w:t>–</w:t>
      </w:r>
      <w:r>
        <w:rPr>
          <w:noProof/>
        </w:rPr>
        <w:t>12</w:t>
      </w:r>
      <w:r w:rsidR="00DC1736">
        <w:rPr>
          <w:noProof/>
        </w:rPr>
        <w:t>.</w:t>
      </w:r>
    </w:p>
    <w:p w14:paraId="77B9CB57" w14:textId="527A625C" w:rsidR="00917B4A" w:rsidRPr="00917B4A" w:rsidRDefault="00917B4A" w:rsidP="00917B4A">
      <w:pPr>
        <w:keepLines/>
        <w:ind w:left="540" w:hanging="540"/>
      </w:pPr>
      <w:r w:rsidRPr="00E179B7">
        <w:t>WSP (202</w:t>
      </w:r>
      <w:r>
        <w:t>1</w:t>
      </w:r>
      <w:r w:rsidRPr="00E179B7">
        <w:t xml:space="preserve">) </w:t>
      </w:r>
      <w:r>
        <w:t>Draft Biodiversity Management Plan: Former Belconnen Naval Transmitting Station (BNTS), Lawson North. Report prepared for Defence Housing Australia by WSP, Canberra.</w:t>
      </w:r>
    </w:p>
    <w:p w14:paraId="08477837" w14:textId="15461586" w:rsidR="0033246A" w:rsidRDefault="0033246A" w:rsidP="00917B4A">
      <w:pPr>
        <w:pStyle w:val="Bibliography"/>
        <w:spacing w:after="0"/>
        <w:ind w:left="567" w:hanging="567"/>
        <w:contextualSpacing/>
        <w:rPr>
          <w:noProof/>
        </w:rPr>
      </w:pPr>
      <w:r>
        <w:rPr>
          <w:noProof/>
        </w:rPr>
        <w:t>Personal Communication</w:t>
      </w:r>
      <w:r>
        <w:rPr>
          <w:noProof/>
        </w:rPr>
        <w:br/>
        <w:t>Alison Rowell, Biologist and Environmental Consultant, Canberra</w:t>
      </w:r>
      <w:r w:rsidR="00917B4A">
        <w:rPr>
          <w:noProof/>
        </w:rPr>
        <w:t>.</w:t>
      </w:r>
    </w:p>
    <w:p w14:paraId="305E29D0" w14:textId="77777777" w:rsidR="00917B4A" w:rsidRPr="00917B4A" w:rsidRDefault="00917B4A" w:rsidP="00917B4A"/>
    <w:p w14:paraId="5D9E600C" w14:textId="77777777" w:rsidR="001C2DE7" w:rsidRDefault="001C2DE7" w:rsidP="001C2DE7">
      <w:pPr>
        <w:pStyle w:val="Heading5"/>
      </w:pPr>
      <w:r>
        <w:t>Further Information</w:t>
      </w:r>
    </w:p>
    <w:p w14:paraId="1738AB39" w14:textId="26D6465B" w:rsidR="000D1B6E" w:rsidRPr="0043017F" w:rsidRDefault="001C2DE7">
      <w:pPr>
        <w:rPr>
          <w:color w:val="0000FF"/>
          <w:sz w:val="22"/>
          <w:szCs w:val="22"/>
          <w:u w:val="single"/>
        </w:rPr>
      </w:pPr>
      <w:r w:rsidRPr="005C7F26">
        <w:t xml:space="preserve">Further information on </w:t>
      </w:r>
      <w:r w:rsidR="00321CA9">
        <w:t>the</w:t>
      </w:r>
      <w:r w:rsidRPr="005C7F26">
        <w:t xml:space="preserve"> related Action Plan or other threatened species and ecological communities can be obtained from: Environment, P</w:t>
      </w:r>
      <w:r w:rsidRPr="00F3133C">
        <w:t>lanning and Sustainable Development Directorate</w:t>
      </w:r>
      <w:r w:rsidR="00E27CF8" w:rsidRPr="00F3133C">
        <w:t xml:space="preserve"> (EPSDD).</w:t>
      </w:r>
      <w:r w:rsidR="00E27CF8" w:rsidRPr="00F3133C">
        <w:br/>
      </w:r>
      <w:r w:rsidRPr="00F3133C">
        <w:t>Phone: (02) 132281</w:t>
      </w:r>
      <w:r w:rsidR="00E27CF8" w:rsidRPr="00F3133C">
        <w:t>, EPSDD</w:t>
      </w:r>
      <w:r w:rsidRPr="00F3133C">
        <w:t xml:space="preserve"> Website</w:t>
      </w:r>
      <w:r w:rsidR="00A824A2">
        <w:t xml:space="preserve">: </w:t>
      </w:r>
      <w:hyperlink r:id="rId23" w:history="1">
        <w:r w:rsidR="00A824A2" w:rsidRPr="00A824A2">
          <w:rPr>
            <w:rStyle w:val="Hyperlink"/>
          </w:rPr>
          <w:t>https://www.environment.act.gov.au/nature-conservation</w:t>
        </w:r>
      </w:hyperlink>
      <w:r w:rsidR="00A824A2">
        <w:rPr>
          <w:rStyle w:val="Hyperlink"/>
          <w:color w:val="auto"/>
          <w:sz w:val="22"/>
          <w:szCs w:val="22"/>
        </w:rPr>
        <w:t>.</w:t>
      </w:r>
      <w:r w:rsidR="000D1B6E">
        <w:br w:type="page"/>
      </w:r>
    </w:p>
    <w:p w14:paraId="0F1FDB11" w14:textId="6EDE8CBD" w:rsidR="000D1B6E" w:rsidRDefault="000D1B6E" w:rsidP="000D1B6E">
      <w:pPr>
        <w:pStyle w:val="Heading2-notindexed"/>
        <w:rPr>
          <w:color w:val="auto"/>
          <w:sz w:val="24"/>
          <w:szCs w:val="24"/>
        </w:rPr>
      </w:pPr>
      <w:r w:rsidRPr="001D4727">
        <w:rPr>
          <w:b/>
          <w:bCs w:val="0"/>
        </w:rPr>
        <w:lastRenderedPageBreak/>
        <w:t>Attachment A:</w:t>
      </w:r>
      <w:r w:rsidRPr="001D4727">
        <w:rPr>
          <w:rStyle w:val="Hyperlink"/>
          <w:b/>
          <w:bCs w:val="0"/>
          <w:color w:val="auto"/>
          <w:sz w:val="22"/>
          <w:szCs w:val="22"/>
          <w:u w:val="none"/>
        </w:rPr>
        <w:t xml:space="preserve"> </w:t>
      </w:r>
      <w:r w:rsidRPr="001D4727">
        <w:rPr>
          <w:b/>
          <w:bCs w:val="0"/>
        </w:rPr>
        <w:t>National Listing Assessment</w:t>
      </w:r>
      <w:r>
        <w:t xml:space="preserve"> </w:t>
      </w:r>
      <w:r w:rsidRPr="00EB7731">
        <w:rPr>
          <w:color w:val="auto"/>
          <w:sz w:val="24"/>
          <w:szCs w:val="24"/>
        </w:rPr>
        <w:t>(</w:t>
      </w:r>
      <w:hyperlink r:id="rId24" w:history="1">
        <w:r w:rsidRPr="00091176">
          <w:rPr>
            <w:rStyle w:val="Hyperlink"/>
            <w:sz w:val="24"/>
            <w:szCs w:val="24"/>
          </w:rPr>
          <w:t>DCCEEW 202</w:t>
        </w:r>
        <w:r w:rsidR="001D4727">
          <w:rPr>
            <w:rStyle w:val="Hyperlink"/>
            <w:sz w:val="24"/>
            <w:szCs w:val="24"/>
          </w:rPr>
          <w:t>4</w:t>
        </w:r>
      </w:hyperlink>
      <w:r w:rsidRPr="00EB7731">
        <w:rPr>
          <w:color w:val="auto"/>
          <w:sz w:val="24"/>
          <w:szCs w:val="24"/>
        </w:rPr>
        <w:t>)</w:t>
      </w:r>
    </w:p>
    <w:p w14:paraId="1797CE1F" w14:textId="77777777" w:rsidR="00091176" w:rsidRPr="00477D7C" w:rsidRDefault="00091176" w:rsidP="00033EA4">
      <w:pPr>
        <w:pStyle w:val="Heading3"/>
        <w:numPr>
          <w:ilvl w:val="0"/>
          <w:numId w:val="0"/>
        </w:numPr>
        <w:rPr>
          <w:sz w:val="28"/>
          <w:szCs w:val="28"/>
          <w:lang w:eastAsia="ja-JP"/>
        </w:rPr>
      </w:pPr>
      <w:r w:rsidRPr="00477D7C">
        <w:rPr>
          <w:sz w:val="28"/>
          <w:szCs w:val="28"/>
          <w:lang w:eastAsia="ja-JP"/>
        </w:rPr>
        <w:t>Reason for assessment</w:t>
      </w:r>
    </w:p>
    <w:p w14:paraId="35CB3854" w14:textId="77777777" w:rsidR="00091176" w:rsidRPr="00477D7C" w:rsidRDefault="00091176" w:rsidP="00091176">
      <w:pPr>
        <w:rPr>
          <w:rFonts w:asciiTheme="majorHAnsi" w:hAnsiTheme="majorHAnsi"/>
          <w:lang w:eastAsia="ja-JP"/>
        </w:rPr>
      </w:pPr>
      <w:r w:rsidRPr="00477D7C">
        <w:rPr>
          <w:rFonts w:asciiTheme="majorHAnsi" w:hAnsiTheme="majorHAnsi"/>
        </w:rPr>
        <w:t>This assessment follows</w:t>
      </w:r>
      <w:r w:rsidRPr="00477D7C">
        <w:rPr>
          <w:rFonts w:asciiTheme="majorHAnsi" w:hAnsiTheme="majorHAnsi"/>
          <w:lang w:eastAsia="ja-JP"/>
        </w:rPr>
        <w:t xml:space="preserve"> prioritisation of a nomination from the Commonwealth TSSC.</w:t>
      </w:r>
    </w:p>
    <w:p w14:paraId="503CC9C7" w14:textId="77777777" w:rsidR="00091176" w:rsidRPr="00477D7C" w:rsidRDefault="00091176" w:rsidP="00033EA4">
      <w:pPr>
        <w:pStyle w:val="Heading3"/>
        <w:numPr>
          <w:ilvl w:val="0"/>
          <w:numId w:val="0"/>
        </w:numPr>
        <w:rPr>
          <w:sz w:val="28"/>
          <w:szCs w:val="28"/>
          <w:lang w:eastAsia="ja-JP"/>
        </w:rPr>
      </w:pPr>
      <w:r w:rsidRPr="00477D7C">
        <w:rPr>
          <w:sz w:val="28"/>
          <w:szCs w:val="28"/>
          <w:lang w:eastAsia="ja-JP"/>
        </w:rPr>
        <w:t>Assessment of eligibility for listing</w:t>
      </w:r>
    </w:p>
    <w:p w14:paraId="4715BA46"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 xml:space="preserve">This assessment uses the criteria set out in the </w:t>
      </w:r>
      <w:hyperlink r:id="rId25" w:history="1">
        <w:r w:rsidRPr="00477D7C">
          <w:rPr>
            <w:rStyle w:val="Hyperlink"/>
            <w:rFonts w:asciiTheme="majorHAnsi" w:hAnsiTheme="majorHAnsi"/>
            <w:lang w:eastAsia="ja-JP"/>
          </w:rPr>
          <w:t>EPBC Regulations</w:t>
        </w:r>
      </w:hyperlink>
      <w:r w:rsidRPr="00477D7C">
        <w:rPr>
          <w:rFonts w:asciiTheme="majorHAnsi" w:hAnsiTheme="majorHAnsi"/>
          <w:lang w:eastAsia="ja-JP"/>
        </w:rPr>
        <w:t xml:space="preserve">. The thresholds used correspond with those in the </w:t>
      </w:r>
      <w:hyperlink r:id="rId26" w:history="1">
        <w:r w:rsidRPr="00477D7C">
          <w:rPr>
            <w:rStyle w:val="Hyperlink"/>
            <w:rFonts w:asciiTheme="majorHAnsi" w:hAnsiTheme="majorHAnsi"/>
            <w:lang w:eastAsia="ja-JP"/>
          </w:rPr>
          <w:t>IUCN Red List criteria</w:t>
        </w:r>
      </w:hyperlink>
      <w:r w:rsidRPr="00477D7C">
        <w:rPr>
          <w:rFonts w:asciiTheme="majorHAnsi" w:hAnsiTheme="majorHAnsi"/>
          <w:lang w:eastAsia="ja-JP"/>
        </w:rPr>
        <w:t xml:space="preserve"> except where noted in criterion 4, sub-criterion D2. The IUCN criteria are used by Australian jurisdictions to achieve consistent listing assessments through the Common Assessment Method (CAM).</w:t>
      </w:r>
    </w:p>
    <w:p w14:paraId="2797E73F" w14:textId="77777777" w:rsidR="00091176" w:rsidRPr="00477D7C" w:rsidRDefault="00091176" w:rsidP="00033EA4">
      <w:pPr>
        <w:pStyle w:val="Heading3"/>
        <w:numPr>
          <w:ilvl w:val="0"/>
          <w:numId w:val="0"/>
        </w:numPr>
        <w:rPr>
          <w:sz w:val="28"/>
          <w:szCs w:val="28"/>
          <w:lang w:eastAsia="ja-JP"/>
        </w:rPr>
      </w:pPr>
      <w:r w:rsidRPr="00477D7C">
        <w:rPr>
          <w:sz w:val="28"/>
          <w:szCs w:val="28"/>
          <w:lang w:eastAsia="ja-JP"/>
        </w:rPr>
        <w:t>Key assessment parameters</w:t>
      </w:r>
    </w:p>
    <w:p w14:paraId="55607A00" w14:textId="223D82FA" w:rsidR="00091176" w:rsidRPr="00477D7C" w:rsidRDefault="00091176" w:rsidP="00033EA4">
      <w:pPr>
        <w:rPr>
          <w:rFonts w:asciiTheme="majorHAnsi" w:hAnsiTheme="majorHAnsi"/>
        </w:rPr>
      </w:pPr>
      <w:r w:rsidRPr="00477D7C">
        <w:rPr>
          <w:rFonts w:asciiTheme="majorHAnsi" w:hAnsiTheme="majorHAnsi"/>
          <w:lang w:eastAsia="ja-JP"/>
        </w:rPr>
        <w:t xml:space="preserve">Table 4 includes the key assessment parameters used in the assessment of eligibility for listing against the criteria. The definition of each of the parameters follows the </w:t>
      </w:r>
      <w:hyperlink r:id="rId27" w:history="1">
        <w:r w:rsidRPr="00477D7C">
          <w:rPr>
            <w:rStyle w:val="Hyperlink"/>
            <w:rFonts w:asciiTheme="majorHAnsi" w:hAnsiTheme="majorHAnsi"/>
            <w:lang w:eastAsia="ja-JP"/>
          </w:rPr>
          <w:t>Guidelines for Using the IUCN Red List Categories and Criteria</w:t>
        </w:r>
      </w:hyperlink>
      <w:r w:rsidRPr="00477D7C">
        <w:rPr>
          <w:rFonts w:asciiTheme="majorHAnsi" w:hAnsiTheme="majorHAnsi"/>
          <w:lang w:eastAsia="ja-JP"/>
        </w:rPr>
        <w:t>.</w:t>
      </w:r>
      <w:r w:rsidR="004B3A66">
        <w:rPr>
          <w:rFonts w:asciiTheme="majorHAnsi" w:hAnsiTheme="majorHAnsi"/>
          <w:lang w:eastAsia="ja-JP"/>
        </w:rPr>
        <w:t xml:space="preserve"> </w:t>
      </w:r>
      <w:r w:rsidRPr="00477D7C">
        <w:rPr>
          <w:rFonts w:asciiTheme="majorHAnsi" w:hAnsiTheme="majorHAnsi"/>
        </w:rPr>
        <w:t xml:space="preserve">Table </w:t>
      </w:r>
      <w:r w:rsidRPr="00477D7C">
        <w:rPr>
          <w:rFonts w:asciiTheme="majorHAnsi" w:hAnsiTheme="majorHAnsi"/>
          <w:color w:val="2B579A"/>
          <w:shd w:val="clear" w:color="auto" w:fill="E6E6E6"/>
        </w:rPr>
        <w:fldChar w:fldCharType="begin"/>
      </w:r>
      <w:r w:rsidRPr="00477D7C">
        <w:rPr>
          <w:rFonts w:asciiTheme="majorHAnsi" w:hAnsiTheme="majorHAnsi"/>
        </w:rPr>
        <w:instrText>SEQ Table \* ARABIC</w:instrText>
      </w:r>
      <w:r w:rsidRPr="00477D7C">
        <w:rPr>
          <w:rFonts w:asciiTheme="majorHAnsi" w:hAnsiTheme="majorHAnsi"/>
          <w:color w:val="2B579A"/>
          <w:shd w:val="clear" w:color="auto" w:fill="E6E6E6"/>
        </w:rPr>
        <w:fldChar w:fldCharType="separate"/>
      </w:r>
      <w:r w:rsidRPr="00477D7C">
        <w:rPr>
          <w:rFonts w:asciiTheme="majorHAnsi" w:hAnsiTheme="majorHAnsi"/>
          <w:noProof/>
        </w:rPr>
        <w:t>4</w:t>
      </w:r>
      <w:r w:rsidRPr="00477D7C">
        <w:rPr>
          <w:rFonts w:asciiTheme="majorHAnsi" w:hAnsiTheme="majorHAnsi"/>
          <w:color w:val="2B579A"/>
          <w:shd w:val="clear" w:color="auto" w:fill="E6E6E6"/>
        </w:rPr>
        <w:fldChar w:fldCharType="end"/>
      </w:r>
      <w:r w:rsidRPr="00477D7C">
        <w:rPr>
          <w:rFonts w:asciiTheme="majorHAnsi" w:hAnsiTheme="majorHAnsi"/>
        </w:rPr>
        <w:t xml:space="preserve"> Key assessment parameters</w:t>
      </w:r>
    </w:p>
    <w:tbl>
      <w:tblPr>
        <w:tblStyle w:val="TableGrid"/>
        <w:tblW w:w="0" w:type="auto"/>
        <w:tblLook w:val="04A0" w:firstRow="1" w:lastRow="0" w:firstColumn="1" w:lastColumn="0" w:noHBand="0" w:noVBand="1"/>
      </w:tblPr>
      <w:tblGrid>
        <w:gridCol w:w="1554"/>
        <w:gridCol w:w="1275"/>
        <w:gridCol w:w="1060"/>
        <w:gridCol w:w="1142"/>
        <w:gridCol w:w="3985"/>
      </w:tblGrid>
      <w:tr w:rsidR="00477D7C" w:rsidRPr="00D20C80" w14:paraId="63977447" w14:textId="77777777" w:rsidTr="00477D7C">
        <w:trPr>
          <w:tblHeader/>
        </w:trPr>
        <w:tc>
          <w:tcPr>
            <w:tcW w:w="1554" w:type="dxa"/>
          </w:tcPr>
          <w:p w14:paraId="71353C78" w14:textId="77777777" w:rsidR="00091176" w:rsidRPr="00D20C80" w:rsidRDefault="00091176" w:rsidP="00033EA4">
            <w:pPr>
              <w:pStyle w:val="TableHeading0"/>
              <w:keepNext w:val="0"/>
              <w:ind w:left="34" w:firstLine="0"/>
            </w:pPr>
            <w:bookmarkStart w:id="3" w:name="_Hlk66963083"/>
            <w:r w:rsidRPr="00D20C80">
              <w:t>Metric</w:t>
            </w:r>
          </w:p>
        </w:tc>
        <w:tc>
          <w:tcPr>
            <w:tcW w:w="1275" w:type="dxa"/>
          </w:tcPr>
          <w:p w14:paraId="225DCC12" w14:textId="77777777" w:rsidR="00091176" w:rsidRPr="00D20C80" w:rsidRDefault="00091176" w:rsidP="00033EA4">
            <w:pPr>
              <w:pStyle w:val="TableHeading0"/>
              <w:keepNext w:val="0"/>
              <w:tabs>
                <w:tab w:val="left" w:pos="1454"/>
              </w:tabs>
              <w:ind w:left="41" w:firstLine="0"/>
            </w:pPr>
            <w:r w:rsidRPr="00D20C80">
              <w:t>Estimate</w:t>
            </w:r>
            <w:r>
              <w:t xml:space="preserve"> used in the assessment</w:t>
            </w:r>
          </w:p>
        </w:tc>
        <w:tc>
          <w:tcPr>
            <w:tcW w:w="1060" w:type="dxa"/>
          </w:tcPr>
          <w:p w14:paraId="036A876A" w14:textId="77777777" w:rsidR="00091176" w:rsidRPr="00D20C80" w:rsidRDefault="00091176" w:rsidP="00033EA4">
            <w:pPr>
              <w:pStyle w:val="TableHeading0"/>
              <w:keepNext w:val="0"/>
              <w:ind w:left="41" w:firstLine="0"/>
            </w:pPr>
            <w:r w:rsidRPr="00D20C80">
              <w:t>Minimum</w:t>
            </w:r>
            <w:r>
              <w:t xml:space="preserve"> plausible value</w:t>
            </w:r>
          </w:p>
        </w:tc>
        <w:tc>
          <w:tcPr>
            <w:tcW w:w="1142" w:type="dxa"/>
          </w:tcPr>
          <w:p w14:paraId="28D99BD1" w14:textId="77777777" w:rsidR="00091176" w:rsidRPr="00D20C80" w:rsidRDefault="00091176" w:rsidP="00033EA4">
            <w:pPr>
              <w:pStyle w:val="TableHeading0"/>
              <w:keepNext w:val="0"/>
              <w:ind w:left="41" w:firstLine="0"/>
            </w:pPr>
            <w:r w:rsidRPr="00D20C80">
              <w:t>Maximum</w:t>
            </w:r>
            <w:r>
              <w:t xml:space="preserve"> plausible value</w:t>
            </w:r>
          </w:p>
        </w:tc>
        <w:tc>
          <w:tcPr>
            <w:tcW w:w="3985" w:type="dxa"/>
          </w:tcPr>
          <w:p w14:paraId="3F3B5E24" w14:textId="77777777" w:rsidR="00091176" w:rsidRPr="00D20C80" w:rsidRDefault="00091176" w:rsidP="00033EA4">
            <w:pPr>
              <w:pStyle w:val="TableHeading0"/>
              <w:keepNext w:val="0"/>
              <w:ind w:left="41" w:firstLine="0"/>
            </w:pPr>
            <w:r w:rsidRPr="00D20C80">
              <w:t>Justification</w:t>
            </w:r>
          </w:p>
        </w:tc>
      </w:tr>
      <w:tr w:rsidR="00477D7C" w14:paraId="61224003" w14:textId="77777777" w:rsidTr="00477D7C">
        <w:tc>
          <w:tcPr>
            <w:tcW w:w="1554" w:type="dxa"/>
          </w:tcPr>
          <w:p w14:paraId="4454A288" w14:textId="77777777" w:rsidR="00091176" w:rsidRPr="00D20C80" w:rsidRDefault="00091176" w:rsidP="00033EA4">
            <w:pPr>
              <w:pStyle w:val="TableHeading0"/>
              <w:keepNext w:val="0"/>
              <w:ind w:left="34" w:firstLine="0"/>
              <w:rPr>
                <w:rStyle w:val="Strong"/>
                <w:b/>
                <w:bCs w:val="0"/>
              </w:rPr>
            </w:pPr>
            <w:r w:rsidRPr="00D20C80">
              <w:rPr>
                <w:rStyle w:val="Strong"/>
              </w:rPr>
              <w:t>Number of mature individuals</w:t>
            </w:r>
          </w:p>
        </w:tc>
        <w:tc>
          <w:tcPr>
            <w:tcW w:w="1275" w:type="dxa"/>
            <w:shd w:val="clear" w:color="auto" w:fill="auto"/>
          </w:tcPr>
          <w:p w14:paraId="7DEC13F8" w14:textId="77777777" w:rsidR="00091176" w:rsidRDefault="00091176" w:rsidP="00033EA4">
            <w:pPr>
              <w:pStyle w:val="TableText"/>
              <w:tabs>
                <w:tab w:val="left" w:pos="1454"/>
              </w:tabs>
              <w:ind w:left="41" w:firstLine="0"/>
            </w:pPr>
            <w:r>
              <w:t>2218</w:t>
            </w:r>
          </w:p>
        </w:tc>
        <w:tc>
          <w:tcPr>
            <w:tcW w:w="1060" w:type="dxa"/>
            <w:shd w:val="clear" w:color="auto" w:fill="auto"/>
          </w:tcPr>
          <w:p w14:paraId="64C705C1" w14:textId="77777777" w:rsidR="00091176" w:rsidRDefault="00091176" w:rsidP="00033EA4">
            <w:pPr>
              <w:pStyle w:val="TableText"/>
              <w:ind w:left="41" w:firstLine="0"/>
            </w:pPr>
            <w:r>
              <w:t>185</w:t>
            </w:r>
          </w:p>
        </w:tc>
        <w:tc>
          <w:tcPr>
            <w:tcW w:w="1142" w:type="dxa"/>
            <w:shd w:val="clear" w:color="auto" w:fill="auto"/>
          </w:tcPr>
          <w:p w14:paraId="4234B646" w14:textId="77777777" w:rsidR="00091176" w:rsidRDefault="00091176" w:rsidP="00033EA4">
            <w:pPr>
              <w:pStyle w:val="TableText"/>
              <w:ind w:left="41" w:firstLine="0"/>
            </w:pPr>
            <w:r>
              <w:t>6681</w:t>
            </w:r>
          </w:p>
        </w:tc>
        <w:tc>
          <w:tcPr>
            <w:tcW w:w="3985" w:type="dxa"/>
            <w:shd w:val="clear" w:color="auto" w:fill="auto"/>
          </w:tcPr>
          <w:p w14:paraId="7B416A40" w14:textId="77777777" w:rsidR="00091176" w:rsidRDefault="00091176" w:rsidP="00033EA4">
            <w:pPr>
              <w:pStyle w:val="TableText"/>
              <w:keepLines/>
              <w:ind w:left="41" w:firstLine="0"/>
            </w:pPr>
            <w:r>
              <w:t xml:space="preserve">In this assessment the number of mature individuals is assumed to be the total number of individuals recorded from monitoring. Ginninderra peppercress has a short primary juvenile period and the current monitoring protocol involves subpopulation counts in late summer (February) at a time when plants are usually reproductive and clearly visible (ACTG 2023; ACTG 2022. pers comm 15 September) (see Phenology and reproductive ecology section). </w:t>
            </w:r>
          </w:p>
          <w:p w14:paraId="17961CC0" w14:textId="77777777" w:rsidR="00091176" w:rsidRDefault="00091176" w:rsidP="00033EA4">
            <w:pPr>
              <w:pStyle w:val="TableText"/>
              <w:keepLines/>
              <w:ind w:left="41" w:firstLine="0"/>
            </w:pPr>
            <w:r>
              <w:t>The estimate of number of mature individuals used in this assessment is the number of plants counted in 2023 surveys (2218 plants, see Table 1).</w:t>
            </w:r>
          </w:p>
          <w:p w14:paraId="74D9C332" w14:textId="77777777" w:rsidR="00091176" w:rsidRDefault="00091176" w:rsidP="00033EA4">
            <w:pPr>
              <w:pStyle w:val="TableText"/>
              <w:keepLines/>
              <w:ind w:left="41" w:firstLine="0"/>
            </w:pPr>
            <w:r>
              <w:t>However, the population size fluctuates considerably from year to year. The minimum plausible value is the sum of the subpopulation minima since monitoring began (i.e. low fluctuation cycles across all years of monitoring): Lawson (50), Budjan Galindji (30), Jerrabomberra (105) (Table 1). The maximum plausible value is the sum of the subpopulation maxima: Lawson (3523), Budjan Galindji (377), Jerrabomberra (1287) (Table 1).</w:t>
            </w:r>
          </w:p>
        </w:tc>
      </w:tr>
      <w:tr w:rsidR="00091176" w14:paraId="34B00B36" w14:textId="77777777" w:rsidTr="00477D7C">
        <w:tc>
          <w:tcPr>
            <w:tcW w:w="1554" w:type="dxa"/>
          </w:tcPr>
          <w:p w14:paraId="79FE8DD3" w14:textId="77777777" w:rsidR="00091176" w:rsidRPr="00D20C80" w:rsidRDefault="00091176" w:rsidP="00033EA4">
            <w:pPr>
              <w:pStyle w:val="TableHeading0"/>
              <w:keepNext w:val="0"/>
              <w:ind w:left="34" w:firstLine="0"/>
              <w:rPr>
                <w:rStyle w:val="Strong"/>
                <w:b/>
                <w:bCs w:val="0"/>
              </w:rPr>
            </w:pPr>
            <w:r w:rsidRPr="00D20C80">
              <w:rPr>
                <w:rStyle w:val="Strong"/>
              </w:rPr>
              <w:t>Trend</w:t>
            </w:r>
          </w:p>
        </w:tc>
        <w:tc>
          <w:tcPr>
            <w:tcW w:w="3477" w:type="dxa"/>
            <w:gridSpan w:val="3"/>
            <w:shd w:val="clear" w:color="auto" w:fill="auto"/>
          </w:tcPr>
          <w:p w14:paraId="3593D695" w14:textId="77777777" w:rsidR="00091176" w:rsidRPr="00630810" w:rsidRDefault="00091176" w:rsidP="00033EA4">
            <w:pPr>
              <w:pStyle w:val="TableText"/>
              <w:tabs>
                <w:tab w:val="left" w:pos="1454"/>
              </w:tabs>
              <w:ind w:left="41" w:firstLine="0"/>
            </w:pPr>
            <w:r>
              <w:t>Declining</w:t>
            </w:r>
          </w:p>
        </w:tc>
        <w:tc>
          <w:tcPr>
            <w:tcW w:w="3985" w:type="dxa"/>
            <w:shd w:val="clear" w:color="auto" w:fill="auto"/>
          </w:tcPr>
          <w:p w14:paraId="039BE095" w14:textId="77777777" w:rsidR="00091176" w:rsidRDefault="00091176" w:rsidP="00033EA4">
            <w:pPr>
              <w:pStyle w:val="TableText"/>
              <w:ind w:left="41" w:firstLine="0"/>
            </w:pPr>
            <w:r>
              <w:t xml:space="preserve">The fluctuations in population size from year to year make it difficult to determine long term trends in the number of mature individuals. In species that undergo population fluctuations, a downward phase will not normally count as a reduction without good evidence (IUCN 2022, IUCN 2001). The Budjan Galindji subpopulation is assumed to be stable. At the Lawson subpopulation, multi-year surveys showed a consistent trend of 0 plants over 3 years until 2023 when more reliable surveys revealed that plants have established in a new area of the site on a vehicle track (Table 1, ACTG 2023). The Lawson subpopulation is unstable and at risk of </w:t>
            </w:r>
            <w:r>
              <w:lastRenderedPageBreak/>
              <w:t xml:space="preserve">further decline if more optimal habitat conditions are not present. </w:t>
            </w:r>
          </w:p>
          <w:p w14:paraId="0E036E6D" w14:textId="77777777" w:rsidR="00091176" w:rsidRDefault="00091176" w:rsidP="00033EA4">
            <w:pPr>
              <w:pStyle w:val="TableText"/>
              <w:ind w:left="41" w:firstLine="0"/>
            </w:pPr>
            <w:r>
              <w:t xml:space="preserve">Recent (2023) surveys of the Jerrabomberra subpopulation revealed a large downward phase in population size fluctuation including no individuals at Jerrabomberra East Grasslands (Table 1 ACTG 2023). Despite these declines in mature individuals the species is likely to persist in the soil-stored seedbank at each site, but may be at risk of local extirpation if habitat conditions do not improve and the population fails to recover. </w:t>
            </w:r>
          </w:p>
        </w:tc>
      </w:tr>
      <w:tr w:rsidR="00477D7C" w14:paraId="10826483" w14:textId="77777777" w:rsidTr="00477D7C">
        <w:tc>
          <w:tcPr>
            <w:tcW w:w="1554" w:type="dxa"/>
          </w:tcPr>
          <w:p w14:paraId="60AAF89F" w14:textId="77777777" w:rsidR="00091176" w:rsidRPr="00D20C80" w:rsidRDefault="00091176" w:rsidP="00033EA4">
            <w:pPr>
              <w:pStyle w:val="TableHeading0"/>
              <w:keepNext w:val="0"/>
              <w:ind w:left="34" w:firstLine="0"/>
              <w:rPr>
                <w:rStyle w:val="Strong"/>
                <w:b/>
                <w:bCs w:val="0"/>
              </w:rPr>
            </w:pPr>
            <w:r w:rsidRPr="00D20C80">
              <w:rPr>
                <w:rStyle w:val="Strong"/>
              </w:rPr>
              <w:lastRenderedPageBreak/>
              <w:t>Generation time (years)</w:t>
            </w:r>
          </w:p>
        </w:tc>
        <w:tc>
          <w:tcPr>
            <w:tcW w:w="1275" w:type="dxa"/>
            <w:shd w:val="clear" w:color="auto" w:fill="auto"/>
          </w:tcPr>
          <w:p w14:paraId="1A10DC15" w14:textId="77777777" w:rsidR="00091176" w:rsidRDefault="00091176" w:rsidP="00033EA4">
            <w:pPr>
              <w:pStyle w:val="TableText"/>
              <w:tabs>
                <w:tab w:val="left" w:pos="1454"/>
              </w:tabs>
              <w:ind w:left="41" w:firstLine="0"/>
            </w:pPr>
            <w:r>
              <w:t>1.5</w:t>
            </w:r>
          </w:p>
        </w:tc>
        <w:tc>
          <w:tcPr>
            <w:tcW w:w="1060" w:type="dxa"/>
            <w:shd w:val="clear" w:color="auto" w:fill="auto"/>
          </w:tcPr>
          <w:p w14:paraId="13D7CFD3" w14:textId="77777777" w:rsidR="00091176" w:rsidRDefault="00091176" w:rsidP="00033EA4">
            <w:pPr>
              <w:pStyle w:val="TableText"/>
              <w:ind w:left="41" w:firstLine="0"/>
            </w:pPr>
            <w:r>
              <w:t>0.6</w:t>
            </w:r>
          </w:p>
        </w:tc>
        <w:tc>
          <w:tcPr>
            <w:tcW w:w="1142" w:type="dxa"/>
            <w:shd w:val="clear" w:color="auto" w:fill="auto"/>
          </w:tcPr>
          <w:p w14:paraId="594C7BFC" w14:textId="77777777" w:rsidR="00091176" w:rsidRDefault="00091176" w:rsidP="00033EA4">
            <w:pPr>
              <w:pStyle w:val="TableText"/>
              <w:ind w:left="41" w:firstLine="0"/>
            </w:pPr>
            <w:r>
              <w:t>2.4</w:t>
            </w:r>
          </w:p>
        </w:tc>
        <w:tc>
          <w:tcPr>
            <w:tcW w:w="3985" w:type="dxa"/>
            <w:shd w:val="clear" w:color="auto" w:fill="auto"/>
          </w:tcPr>
          <w:p w14:paraId="663D6470" w14:textId="77777777" w:rsidR="00091176" w:rsidRDefault="00091176" w:rsidP="00033EA4">
            <w:pPr>
              <w:pStyle w:val="TableText"/>
              <w:ind w:left="41" w:firstLine="0"/>
            </w:pPr>
            <w:r>
              <w:t>The species’ generation length is estimated to be between 0.6</w:t>
            </w:r>
            <w:r w:rsidRPr="005660C0">
              <w:t xml:space="preserve"> and </w:t>
            </w:r>
            <w:r>
              <w:t>2.4</w:t>
            </w:r>
            <w:r w:rsidRPr="005660C0">
              <w:t xml:space="preserve"> years based on calculations</w:t>
            </w:r>
            <w:r>
              <w:t xml:space="preserve"> given under Criterion 1 below. </w:t>
            </w:r>
          </w:p>
          <w:p w14:paraId="5C42FA1F" w14:textId="77777777" w:rsidR="00091176" w:rsidRDefault="00091176" w:rsidP="00033EA4">
            <w:pPr>
              <w:pStyle w:val="TableText"/>
              <w:ind w:left="41" w:firstLine="0"/>
            </w:pPr>
            <w:r>
              <w:t>The midpoint (1.5 years) is used in this assessment.</w:t>
            </w:r>
          </w:p>
        </w:tc>
      </w:tr>
      <w:tr w:rsidR="00477D7C" w14:paraId="1383CDA0" w14:textId="77777777" w:rsidTr="00477D7C">
        <w:tc>
          <w:tcPr>
            <w:tcW w:w="1554" w:type="dxa"/>
          </w:tcPr>
          <w:p w14:paraId="7556A29E" w14:textId="77777777" w:rsidR="00091176" w:rsidRPr="00F83D60" w:rsidRDefault="00091176" w:rsidP="00033EA4">
            <w:pPr>
              <w:pStyle w:val="TableHeading0"/>
              <w:keepNext w:val="0"/>
              <w:ind w:left="34" w:firstLine="0"/>
              <w:rPr>
                <w:rStyle w:val="Strong"/>
                <w:b/>
                <w:sz w:val="22"/>
              </w:rPr>
            </w:pPr>
            <w:r w:rsidRPr="00D20C80">
              <w:rPr>
                <w:rStyle w:val="Strong"/>
              </w:rPr>
              <w:t>Extent of occurrence</w:t>
            </w:r>
          </w:p>
        </w:tc>
        <w:tc>
          <w:tcPr>
            <w:tcW w:w="1275" w:type="dxa"/>
            <w:shd w:val="clear" w:color="auto" w:fill="auto"/>
          </w:tcPr>
          <w:p w14:paraId="17A98DF9" w14:textId="77777777" w:rsidR="00091176" w:rsidRDefault="00091176" w:rsidP="00033EA4">
            <w:pPr>
              <w:pStyle w:val="TableText"/>
              <w:tabs>
                <w:tab w:val="left" w:pos="1454"/>
              </w:tabs>
              <w:ind w:left="41" w:firstLine="0"/>
            </w:pPr>
            <w:r>
              <w:t>58 km</w:t>
            </w:r>
            <w:r w:rsidRPr="008772B1">
              <w:rPr>
                <w:vertAlign w:val="superscript"/>
              </w:rPr>
              <w:t>2</w:t>
            </w:r>
          </w:p>
        </w:tc>
        <w:tc>
          <w:tcPr>
            <w:tcW w:w="1060" w:type="dxa"/>
            <w:shd w:val="clear" w:color="auto" w:fill="auto"/>
          </w:tcPr>
          <w:p w14:paraId="5EB8459F" w14:textId="77777777" w:rsidR="00091176" w:rsidRPr="00457BFB" w:rsidRDefault="00091176" w:rsidP="00033EA4">
            <w:pPr>
              <w:pStyle w:val="TableText"/>
              <w:ind w:left="41" w:firstLine="0"/>
            </w:pPr>
            <w:r>
              <w:t>58</w:t>
            </w:r>
            <w:r w:rsidRPr="00457BFB">
              <w:t xml:space="preserve"> km</w:t>
            </w:r>
            <w:r w:rsidRPr="00457BFB">
              <w:rPr>
                <w:vertAlign w:val="superscript"/>
              </w:rPr>
              <w:t>2</w:t>
            </w:r>
          </w:p>
        </w:tc>
        <w:tc>
          <w:tcPr>
            <w:tcW w:w="1142" w:type="dxa"/>
            <w:shd w:val="clear" w:color="auto" w:fill="auto"/>
          </w:tcPr>
          <w:p w14:paraId="5E53DF7E" w14:textId="77777777" w:rsidR="00091176" w:rsidRPr="00457BFB" w:rsidRDefault="00091176" w:rsidP="00033EA4">
            <w:pPr>
              <w:pStyle w:val="TableText"/>
              <w:ind w:left="41" w:firstLine="0"/>
            </w:pPr>
            <w:r>
              <w:t>Unknown</w:t>
            </w:r>
          </w:p>
        </w:tc>
        <w:tc>
          <w:tcPr>
            <w:tcW w:w="3985" w:type="dxa"/>
            <w:shd w:val="clear" w:color="auto" w:fill="auto"/>
          </w:tcPr>
          <w:p w14:paraId="52B1D2D8" w14:textId="77777777" w:rsidR="00091176" w:rsidRDefault="00091176" w:rsidP="00033EA4">
            <w:pPr>
              <w:pStyle w:val="TableText"/>
              <w:ind w:left="41" w:firstLine="0"/>
            </w:pPr>
            <w:r>
              <w:t xml:space="preserve">The Extent of Occurrence (EOO) has been calculated using vetted (reliable) point records from 2001–2021 obtained from governments, museums and CSIRO, and applying the shortest continuous imaginary boundary which can be drawn to encompass these records, as outlined in the Guidelines for Using the IUCN Red List Categories and Criteria (IUCN 2022). </w:t>
            </w:r>
          </w:p>
          <w:p w14:paraId="0AF27BCB" w14:textId="77777777" w:rsidR="00091176" w:rsidRPr="00457BFB" w:rsidRDefault="00091176" w:rsidP="00033EA4">
            <w:pPr>
              <w:pStyle w:val="TableText"/>
              <w:ind w:left="41" w:firstLine="0"/>
              <w:rPr>
                <w:szCs w:val="18"/>
              </w:rPr>
            </w:pPr>
            <w:r>
              <w:rPr>
                <w:szCs w:val="18"/>
              </w:rPr>
              <w:t>The species is well surveyed across its known range and potential habitats within ACT, however it’s possible that its range is larger than currently understood and could plausibly include parts of NSW. The species is difficult to detect, which suggests that additional subpopulations may occur that would increase the EOO. However, given that the known distribution of Ginninderra peppercress is restricted to known areas of remnant grasslands within ACT (Map 1), it is unlikely that additional subpopulations exist that would increase the EOO to &gt;100 km</w:t>
            </w:r>
            <w:r w:rsidRPr="00F203EA">
              <w:rPr>
                <w:szCs w:val="18"/>
                <w:vertAlign w:val="superscript"/>
              </w:rPr>
              <w:t>2</w:t>
            </w:r>
            <w:r>
              <w:rPr>
                <w:szCs w:val="18"/>
              </w:rPr>
              <w:t xml:space="preserve">. </w:t>
            </w:r>
          </w:p>
        </w:tc>
      </w:tr>
      <w:tr w:rsidR="00091176" w14:paraId="62377A93" w14:textId="77777777" w:rsidTr="00477D7C">
        <w:tc>
          <w:tcPr>
            <w:tcW w:w="1554" w:type="dxa"/>
          </w:tcPr>
          <w:p w14:paraId="4274336A" w14:textId="77777777" w:rsidR="00091176" w:rsidRPr="00D20C80" w:rsidRDefault="00091176" w:rsidP="00033EA4">
            <w:pPr>
              <w:pStyle w:val="TableHeading0"/>
              <w:keepNext w:val="0"/>
              <w:ind w:left="34" w:firstLine="0"/>
              <w:rPr>
                <w:rStyle w:val="Strong"/>
                <w:b/>
                <w:sz w:val="22"/>
              </w:rPr>
            </w:pPr>
            <w:r w:rsidRPr="00D20C80">
              <w:rPr>
                <w:rStyle w:val="Strong"/>
              </w:rPr>
              <w:t>Trend</w:t>
            </w:r>
          </w:p>
        </w:tc>
        <w:tc>
          <w:tcPr>
            <w:tcW w:w="3477" w:type="dxa"/>
            <w:gridSpan w:val="3"/>
            <w:shd w:val="clear" w:color="auto" w:fill="auto"/>
          </w:tcPr>
          <w:p w14:paraId="7EE53D80" w14:textId="77777777" w:rsidR="00091176" w:rsidRDefault="00091176" w:rsidP="00033EA4">
            <w:pPr>
              <w:pStyle w:val="TableText"/>
              <w:tabs>
                <w:tab w:val="left" w:pos="1454"/>
              </w:tabs>
              <w:ind w:left="41" w:firstLine="0"/>
            </w:pPr>
            <w:r w:rsidRPr="004C60D6">
              <w:t>Stable</w:t>
            </w:r>
            <w:r>
              <w:t xml:space="preserve"> but at risk of future contraction</w:t>
            </w:r>
          </w:p>
        </w:tc>
        <w:tc>
          <w:tcPr>
            <w:tcW w:w="3985" w:type="dxa"/>
            <w:shd w:val="clear" w:color="auto" w:fill="auto"/>
          </w:tcPr>
          <w:p w14:paraId="3B754918" w14:textId="77777777" w:rsidR="00091176" w:rsidRDefault="00091176" w:rsidP="00033EA4">
            <w:pPr>
              <w:pStyle w:val="TableText"/>
              <w:ind w:left="41" w:firstLine="0"/>
            </w:pPr>
            <w:r>
              <w:t xml:space="preserve">The trend in EOO is stable. However, the Lawson and Jerrabomberra subpopulations are considered at risk of future decline if suitable habitat is not maintained. If the species fails to persist at any subpopulation then the EOO will decline. </w:t>
            </w:r>
          </w:p>
          <w:p w14:paraId="1D81DF49" w14:textId="77777777" w:rsidR="00091176" w:rsidRDefault="00091176" w:rsidP="00033EA4">
            <w:pPr>
              <w:pStyle w:val="TableText"/>
              <w:ind w:left="41" w:firstLine="0"/>
            </w:pPr>
            <w:r>
              <w:t>Past agricultural disturbances and urban development in the ACT has probably destroyed historic subpopulations (Table 2), suggesting that past contraction to the EOO is likely.</w:t>
            </w:r>
          </w:p>
          <w:p w14:paraId="1A5FA486" w14:textId="77777777" w:rsidR="00091176" w:rsidRPr="00D9234F" w:rsidRDefault="00091176" w:rsidP="00033EA4">
            <w:pPr>
              <w:pStyle w:val="TableText"/>
              <w:ind w:left="41" w:firstLine="0"/>
              <w:rPr>
                <w:highlight w:val="yellow"/>
              </w:rPr>
            </w:pPr>
            <w:r>
              <w:t>The Ginninderra peppercress has a very restricted distribution and is sensitive to a range of ongoing threats (Table 2), so the future EOO contraction is likely to follow the loss of any subpopulations.</w:t>
            </w:r>
          </w:p>
        </w:tc>
      </w:tr>
      <w:tr w:rsidR="00477D7C" w14:paraId="6DD9EB7F" w14:textId="77777777" w:rsidTr="00477D7C">
        <w:tc>
          <w:tcPr>
            <w:tcW w:w="1554" w:type="dxa"/>
          </w:tcPr>
          <w:p w14:paraId="056647B3" w14:textId="77777777" w:rsidR="00091176" w:rsidRPr="00F83D60" w:rsidRDefault="00091176" w:rsidP="00033EA4">
            <w:pPr>
              <w:pStyle w:val="TableHeading0"/>
              <w:keepNext w:val="0"/>
              <w:ind w:left="34" w:firstLine="0"/>
              <w:rPr>
                <w:rStyle w:val="Strong"/>
                <w:b/>
                <w:sz w:val="22"/>
              </w:rPr>
            </w:pPr>
            <w:r w:rsidRPr="00D20C80">
              <w:rPr>
                <w:rStyle w:val="Strong"/>
              </w:rPr>
              <w:t>Area of Occupancy</w:t>
            </w:r>
          </w:p>
        </w:tc>
        <w:tc>
          <w:tcPr>
            <w:tcW w:w="1275" w:type="dxa"/>
            <w:shd w:val="clear" w:color="auto" w:fill="auto"/>
          </w:tcPr>
          <w:p w14:paraId="3FD95FE4" w14:textId="77777777" w:rsidR="00091176" w:rsidRPr="007B1944" w:rsidRDefault="00091176" w:rsidP="00033EA4">
            <w:pPr>
              <w:pStyle w:val="TableText"/>
              <w:tabs>
                <w:tab w:val="left" w:pos="1454"/>
              </w:tabs>
              <w:ind w:left="41" w:firstLine="0"/>
            </w:pPr>
            <w:r w:rsidRPr="007B1944">
              <w:t>20 km</w:t>
            </w:r>
            <w:r w:rsidRPr="007B1944">
              <w:rPr>
                <w:vertAlign w:val="superscript"/>
              </w:rPr>
              <w:t>2</w:t>
            </w:r>
          </w:p>
        </w:tc>
        <w:tc>
          <w:tcPr>
            <w:tcW w:w="1060" w:type="dxa"/>
            <w:shd w:val="clear" w:color="auto" w:fill="auto"/>
          </w:tcPr>
          <w:p w14:paraId="11407AB5" w14:textId="77777777" w:rsidR="00091176" w:rsidRPr="007B1944" w:rsidRDefault="00091176" w:rsidP="00033EA4">
            <w:pPr>
              <w:pStyle w:val="TableText"/>
              <w:ind w:left="41" w:firstLine="0"/>
            </w:pPr>
            <w:r w:rsidRPr="007B1944">
              <w:t>20 km</w:t>
            </w:r>
            <w:r w:rsidRPr="007B1944">
              <w:rPr>
                <w:vertAlign w:val="superscript"/>
              </w:rPr>
              <w:t>2</w:t>
            </w:r>
          </w:p>
        </w:tc>
        <w:tc>
          <w:tcPr>
            <w:tcW w:w="1142" w:type="dxa"/>
            <w:shd w:val="clear" w:color="auto" w:fill="auto"/>
          </w:tcPr>
          <w:p w14:paraId="71B0332A" w14:textId="77777777" w:rsidR="00091176" w:rsidRPr="007B1944" w:rsidRDefault="00091176" w:rsidP="00033EA4">
            <w:pPr>
              <w:pStyle w:val="TableText"/>
              <w:ind w:left="41" w:firstLine="0"/>
            </w:pPr>
            <w:r>
              <w:t>Unknown</w:t>
            </w:r>
          </w:p>
        </w:tc>
        <w:tc>
          <w:tcPr>
            <w:tcW w:w="3985" w:type="dxa"/>
            <w:shd w:val="clear" w:color="auto" w:fill="auto"/>
          </w:tcPr>
          <w:p w14:paraId="0FA7C20E" w14:textId="77777777" w:rsidR="00091176" w:rsidRDefault="00091176" w:rsidP="00033EA4">
            <w:pPr>
              <w:pStyle w:val="TableText"/>
              <w:ind w:left="41" w:firstLine="0"/>
            </w:pPr>
            <w:r>
              <w:t xml:space="preserve">The Area of Occupancy (AOO) has been calculated using vetted (reliable) point records from 2001–2021 obtained from governments, museums and CSIRO, and applying 2 x 2 km grid cells, as outlined in the Guidelines for Using the </w:t>
            </w:r>
            <w:r>
              <w:lastRenderedPageBreak/>
              <w:t xml:space="preserve">IUCN Red List Categories and Criteria (IUCN 2022). </w:t>
            </w:r>
          </w:p>
          <w:p w14:paraId="31CC46DD" w14:textId="77777777" w:rsidR="00091176" w:rsidRDefault="00091176" w:rsidP="00033EA4">
            <w:pPr>
              <w:pStyle w:val="TableText"/>
              <w:ind w:left="41" w:firstLine="0"/>
              <w:rPr>
                <w:szCs w:val="18"/>
              </w:rPr>
            </w:pPr>
            <w:r>
              <w:rPr>
                <w:szCs w:val="18"/>
              </w:rPr>
              <w:t>The species is well surveyed across its known range and potential habitats but is difficult to detect. Additional subpopulations may be discovered in the future that would increase the AOO. However, given the wide AOO threshold for the Endangered category under Criterion 2, it is unlikely that an increase in AOO will result in a change in listing category.</w:t>
            </w:r>
          </w:p>
          <w:p w14:paraId="04C75379" w14:textId="77777777" w:rsidR="00091176" w:rsidRPr="00E04D22" w:rsidRDefault="00091176" w:rsidP="00033EA4">
            <w:pPr>
              <w:pStyle w:val="TableText"/>
              <w:ind w:left="41" w:firstLine="0"/>
              <w:rPr>
                <w:szCs w:val="18"/>
              </w:rPr>
            </w:pPr>
            <w:r>
              <w:t xml:space="preserve">The loss of the Reid subpopulation is evidence of an historic contraction to AOO (see Distribution). It is plausible that other losses have occurred but there are no herbarium records to confirm this. </w:t>
            </w:r>
          </w:p>
        </w:tc>
      </w:tr>
      <w:tr w:rsidR="00091176" w:rsidRPr="00F83D60" w14:paraId="2D0137BD" w14:textId="77777777" w:rsidTr="00477D7C">
        <w:tc>
          <w:tcPr>
            <w:tcW w:w="9016" w:type="dxa"/>
            <w:gridSpan w:val="5"/>
          </w:tcPr>
          <w:p w14:paraId="5C2C5D39" w14:textId="77777777" w:rsidR="00091176" w:rsidRPr="00F83D60" w:rsidRDefault="00091176" w:rsidP="00033EA4">
            <w:pPr>
              <w:pStyle w:val="TableHeading0"/>
              <w:keepNext w:val="0"/>
              <w:tabs>
                <w:tab w:val="left" w:pos="1454"/>
              </w:tabs>
              <w:ind w:left="34" w:firstLine="0"/>
              <w:rPr>
                <w:rStyle w:val="Strong"/>
                <w:w w:val="90"/>
              </w:rPr>
            </w:pPr>
            <w:bookmarkStart w:id="4" w:name="_Hlk141868862"/>
            <w:r w:rsidRPr="00F83D60">
              <w:rPr>
                <w:rStyle w:val="Strong"/>
                <w:w w:val="90"/>
              </w:rPr>
              <w:lastRenderedPageBreak/>
              <w:t>AOO is a standardised spatial measure of the risk of extinction, that represents the area of suitable habitat known, inferred or projected to be currently occupied by the taxon. It is estimated using a 2 x 2 km grid to enable comparison with the criteria thresholds.</w:t>
            </w:r>
            <w:r>
              <w:t xml:space="preserve"> </w:t>
            </w:r>
            <w:r w:rsidRPr="00DA36A8">
              <w:rPr>
                <w:rStyle w:val="Strong"/>
                <w:w w:val="90"/>
              </w:rPr>
              <w:t>The resolution (grid size) that maximizes the correlation between AOO and extinction risk is determined more by the spatial scale of threats than by the spatial scale at which AOO is estimated or shape of the taxon's distribution</w:t>
            </w:r>
            <w:r>
              <w:rPr>
                <w:rStyle w:val="Strong"/>
                <w:w w:val="90"/>
              </w:rPr>
              <w:t>.</w:t>
            </w:r>
            <w:r w:rsidRPr="00F83D60">
              <w:rPr>
                <w:rStyle w:val="Strong"/>
                <w:w w:val="90"/>
              </w:rPr>
              <w:t xml:space="preserve"> It is not a fine-scale estimate of the actual area occupied. In some cases, AOO is the smallest area essential at any stage to the survival of existing </w:t>
            </w:r>
            <w:r>
              <w:rPr>
                <w:rStyle w:val="Strong"/>
                <w:w w:val="90"/>
              </w:rPr>
              <w:t>sub</w:t>
            </w:r>
            <w:r w:rsidRPr="00F83D60">
              <w:rPr>
                <w:rStyle w:val="Strong"/>
                <w:w w:val="90"/>
              </w:rPr>
              <w:t>populations of a taxon (e.g. breeding sites for migratory species).</w:t>
            </w:r>
            <w:bookmarkEnd w:id="4"/>
          </w:p>
        </w:tc>
      </w:tr>
      <w:tr w:rsidR="00091176" w14:paraId="74903C2D" w14:textId="77777777" w:rsidTr="00477D7C">
        <w:tc>
          <w:tcPr>
            <w:tcW w:w="1554" w:type="dxa"/>
          </w:tcPr>
          <w:p w14:paraId="22C413F2" w14:textId="77777777" w:rsidR="00091176" w:rsidRPr="00D20C80" w:rsidRDefault="00091176" w:rsidP="00033EA4">
            <w:pPr>
              <w:pStyle w:val="TableHeading0"/>
              <w:keepNext w:val="0"/>
              <w:ind w:left="34" w:firstLine="0"/>
              <w:rPr>
                <w:rStyle w:val="Strong"/>
                <w:b/>
                <w:sz w:val="22"/>
              </w:rPr>
            </w:pPr>
            <w:r w:rsidRPr="00D20C80">
              <w:rPr>
                <w:rStyle w:val="Strong"/>
              </w:rPr>
              <w:t>Trend</w:t>
            </w:r>
          </w:p>
        </w:tc>
        <w:tc>
          <w:tcPr>
            <w:tcW w:w="3477" w:type="dxa"/>
            <w:gridSpan w:val="3"/>
            <w:shd w:val="clear" w:color="auto" w:fill="auto"/>
          </w:tcPr>
          <w:p w14:paraId="573DECED" w14:textId="77777777" w:rsidR="00091176" w:rsidRPr="00200A92" w:rsidRDefault="00091176" w:rsidP="00033EA4">
            <w:pPr>
              <w:pStyle w:val="TableText"/>
              <w:tabs>
                <w:tab w:val="left" w:pos="1454"/>
              </w:tabs>
              <w:ind w:left="41" w:firstLine="0"/>
              <w:rPr>
                <w:highlight w:val="yellow"/>
              </w:rPr>
            </w:pPr>
            <w:r>
              <w:t>Stable</w:t>
            </w:r>
            <w:r w:rsidRPr="00200A92">
              <w:t xml:space="preserve"> but </w:t>
            </w:r>
            <w:r>
              <w:t>may</w:t>
            </w:r>
            <w:r w:rsidRPr="00200A92">
              <w:t xml:space="preserve"> contract in the future</w:t>
            </w:r>
          </w:p>
        </w:tc>
        <w:tc>
          <w:tcPr>
            <w:tcW w:w="3985" w:type="dxa"/>
            <w:shd w:val="clear" w:color="auto" w:fill="auto"/>
          </w:tcPr>
          <w:p w14:paraId="7DB71AE8" w14:textId="77777777" w:rsidR="00091176" w:rsidRDefault="00091176" w:rsidP="00033EA4">
            <w:pPr>
              <w:pStyle w:val="TableText"/>
              <w:ind w:left="41" w:firstLine="0"/>
            </w:pPr>
            <w:r>
              <w:t>Ginninderra peppercress undergoes population size fluctuations that make it difficult to estimate trends in the population and AOO. No discernible trend is apparent from the available data, although the recent fluctuations at the Lawson and Jerrabomberra Valley subpopulations suggests that AOO will decline if these subpopulations fail to persist (Table 1).</w:t>
            </w:r>
          </w:p>
        </w:tc>
      </w:tr>
      <w:tr w:rsidR="00477D7C" w14:paraId="31C9405F" w14:textId="77777777" w:rsidTr="00477D7C">
        <w:tc>
          <w:tcPr>
            <w:tcW w:w="1554" w:type="dxa"/>
          </w:tcPr>
          <w:p w14:paraId="5C617AF7" w14:textId="77777777" w:rsidR="00091176" w:rsidRPr="00F83D60" w:rsidRDefault="00091176" w:rsidP="00033EA4">
            <w:pPr>
              <w:pStyle w:val="TableHeading0"/>
              <w:keepNext w:val="0"/>
              <w:ind w:left="34" w:firstLine="0"/>
              <w:rPr>
                <w:rStyle w:val="Strong"/>
                <w:b/>
                <w:sz w:val="22"/>
              </w:rPr>
            </w:pPr>
            <w:r w:rsidRPr="00D20C80">
              <w:rPr>
                <w:rStyle w:val="Strong"/>
              </w:rPr>
              <w:t>Number of subpopulations</w:t>
            </w:r>
          </w:p>
        </w:tc>
        <w:tc>
          <w:tcPr>
            <w:tcW w:w="1275" w:type="dxa"/>
            <w:shd w:val="clear" w:color="auto" w:fill="auto"/>
          </w:tcPr>
          <w:p w14:paraId="22B72FDF" w14:textId="77777777" w:rsidR="00091176" w:rsidRDefault="00091176" w:rsidP="00033EA4">
            <w:pPr>
              <w:pStyle w:val="TableText"/>
              <w:tabs>
                <w:tab w:val="left" w:pos="1454"/>
              </w:tabs>
              <w:ind w:left="41" w:firstLine="0"/>
            </w:pPr>
            <w:r>
              <w:t>3</w:t>
            </w:r>
          </w:p>
        </w:tc>
        <w:tc>
          <w:tcPr>
            <w:tcW w:w="1060" w:type="dxa"/>
            <w:shd w:val="clear" w:color="auto" w:fill="auto"/>
          </w:tcPr>
          <w:p w14:paraId="68B44531" w14:textId="77777777" w:rsidR="00091176" w:rsidRDefault="00091176" w:rsidP="00033EA4">
            <w:pPr>
              <w:pStyle w:val="TableText"/>
              <w:ind w:left="41" w:firstLine="0"/>
            </w:pPr>
            <w:r>
              <w:t>3</w:t>
            </w:r>
          </w:p>
        </w:tc>
        <w:tc>
          <w:tcPr>
            <w:tcW w:w="1142" w:type="dxa"/>
            <w:shd w:val="clear" w:color="auto" w:fill="auto"/>
          </w:tcPr>
          <w:p w14:paraId="66CF5811" w14:textId="77777777" w:rsidR="00091176" w:rsidRDefault="00091176" w:rsidP="00033EA4">
            <w:pPr>
              <w:pStyle w:val="TableText"/>
              <w:ind w:left="41" w:firstLine="0"/>
            </w:pPr>
            <w:r>
              <w:t>Unknown</w:t>
            </w:r>
          </w:p>
        </w:tc>
        <w:tc>
          <w:tcPr>
            <w:tcW w:w="3985" w:type="dxa"/>
            <w:shd w:val="clear" w:color="auto" w:fill="auto"/>
          </w:tcPr>
          <w:p w14:paraId="3B727A43" w14:textId="77777777" w:rsidR="00091176" w:rsidRDefault="00091176" w:rsidP="00033EA4">
            <w:pPr>
              <w:pStyle w:val="TableText"/>
              <w:ind w:left="41" w:firstLine="0"/>
            </w:pPr>
            <w:r>
              <w:t>The estimate used in the assessment includes subpopulations at Lawson, Budjan Galindji and Jerrabomberra. The maximum plausible value is unknown, because additional subpopulations could be discovered in the future and estimating the plausible upper limit is very difficult (but suspected to be very low).</w:t>
            </w:r>
          </w:p>
        </w:tc>
      </w:tr>
      <w:tr w:rsidR="00091176" w14:paraId="6C98766F" w14:textId="77777777" w:rsidTr="00477D7C">
        <w:tc>
          <w:tcPr>
            <w:tcW w:w="1554" w:type="dxa"/>
          </w:tcPr>
          <w:p w14:paraId="10B742CC" w14:textId="77777777" w:rsidR="00091176" w:rsidRPr="00D20C80" w:rsidRDefault="00091176" w:rsidP="00033EA4">
            <w:pPr>
              <w:pStyle w:val="TableHeading0"/>
              <w:keepNext w:val="0"/>
              <w:ind w:left="34" w:firstLine="0"/>
              <w:rPr>
                <w:rStyle w:val="Strong"/>
                <w:b/>
                <w:sz w:val="22"/>
              </w:rPr>
            </w:pPr>
            <w:r w:rsidRPr="00D20C80">
              <w:rPr>
                <w:rStyle w:val="Strong"/>
              </w:rPr>
              <w:t>Trend</w:t>
            </w:r>
          </w:p>
        </w:tc>
        <w:tc>
          <w:tcPr>
            <w:tcW w:w="3477" w:type="dxa"/>
            <w:gridSpan w:val="3"/>
            <w:shd w:val="clear" w:color="auto" w:fill="auto"/>
          </w:tcPr>
          <w:p w14:paraId="618A4E1F" w14:textId="77777777" w:rsidR="00091176" w:rsidRPr="00DF3FD5" w:rsidRDefault="00091176" w:rsidP="00033EA4">
            <w:pPr>
              <w:pStyle w:val="TableText"/>
              <w:tabs>
                <w:tab w:val="left" w:pos="1454"/>
              </w:tabs>
              <w:ind w:left="41" w:firstLine="0"/>
            </w:pPr>
            <w:r w:rsidRPr="00DF3FD5">
              <w:t>Stable but at risk of declining in the future</w:t>
            </w:r>
          </w:p>
        </w:tc>
        <w:tc>
          <w:tcPr>
            <w:tcW w:w="3985" w:type="dxa"/>
            <w:shd w:val="clear" w:color="auto" w:fill="auto"/>
          </w:tcPr>
          <w:p w14:paraId="11E3D614" w14:textId="77777777" w:rsidR="00091176" w:rsidRPr="001B7D1F" w:rsidRDefault="00091176" w:rsidP="00033EA4">
            <w:pPr>
              <w:pStyle w:val="TableText"/>
              <w:ind w:left="41" w:firstLine="0"/>
            </w:pPr>
            <w:r>
              <w:t>Given the small AOO and small size of extant subpopulations, and the sensitivity of Ginninderra peppercress to a range of threats that can rapidly cause population decline, further declines in subpopulation number are likely to occur if the species is inappropriately managed.</w:t>
            </w:r>
          </w:p>
        </w:tc>
      </w:tr>
      <w:tr w:rsidR="00091176" w14:paraId="5C836E76" w14:textId="77777777" w:rsidTr="00477D7C">
        <w:tc>
          <w:tcPr>
            <w:tcW w:w="1554" w:type="dxa"/>
          </w:tcPr>
          <w:p w14:paraId="300470DE" w14:textId="77777777" w:rsidR="00091176" w:rsidRPr="00F83D60" w:rsidRDefault="00091176" w:rsidP="00033EA4">
            <w:pPr>
              <w:pStyle w:val="TableHeading0"/>
              <w:keepNext w:val="0"/>
              <w:ind w:left="34" w:firstLine="0"/>
              <w:rPr>
                <w:rStyle w:val="Strong"/>
                <w:b/>
                <w:sz w:val="22"/>
              </w:rPr>
            </w:pPr>
            <w:r w:rsidRPr="00D20C80">
              <w:rPr>
                <w:rStyle w:val="Strong"/>
              </w:rPr>
              <w:t>Basis of assessment of subpopulation number</w:t>
            </w:r>
          </w:p>
        </w:tc>
        <w:tc>
          <w:tcPr>
            <w:tcW w:w="7462" w:type="dxa"/>
            <w:gridSpan w:val="4"/>
            <w:shd w:val="clear" w:color="auto" w:fill="auto"/>
          </w:tcPr>
          <w:p w14:paraId="356AC7E5" w14:textId="77777777" w:rsidR="00091176" w:rsidRPr="00544647" w:rsidRDefault="00091176" w:rsidP="00033EA4">
            <w:pPr>
              <w:pStyle w:val="TableText"/>
              <w:tabs>
                <w:tab w:val="left" w:pos="1454"/>
              </w:tabs>
              <w:ind w:left="41" w:firstLine="0"/>
            </w:pPr>
            <w:r>
              <w:t>Colonies of Ginninderra peppercress at Bonshaw and Jerrabomberra East Grasslands are approximately ~300 m apart but are considered a single subpopulation for the purpose of this assessment. These sites are quantified as separate units during monitoring completed by the ACT Government (see Table 1), but it is likely that some genetic exchange between the two sites is possible through occasional seed dispersal and possibly through insect pollination (noting this later mechanism is not yet proven) (see Phenology and reproductive ecology).</w:t>
            </w:r>
          </w:p>
        </w:tc>
      </w:tr>
      <w:tr w:rsidR="00477D7C" w14:paraId="30F8FAB3" w14:textId="77777777" w:rsidTr="00477D7C">
        <w:tc>
          <w:tcPr>
            <w:tcW w:w="1554" w:type="dxa"/>
          </w:tcPr>
          <w:p w14:paraId="39318FA4" w14:textId="77777777" w:rsidR="00091176" w:rsidRPr="00F83D60" w:rsidRDefault="00091176" w:rsidP="00033EA4">
            <w:pPr>
              <w:pStyle w:val="TableHeading0"/>
              <w:keepNext w:val="0"/>
              <w:ind w:left="34" w:firstLine="0"/>
              <w:rPr>
                <w:rStyle w:val="Strong"/>
                <w:b/>
                <w:sz w:val="22"/>
              </w:rPr>
            </w:pPr>
            <w:r w:rsidRPr="00D20C80">
              <w:rPr>
                <w:rStyle w:val="Strong"/>
              </w:rPr>
              <w:t>No. locations</w:t>
            </w:r>
          </w:p>
        </w:tc>
        <w:tc>
          <w:tcPr>
            <w:tcW w:w="1275" w:type="dxa"/>
            <w:shd w:val="clear" w:color="auto" w:fill="auto"/>
          </w:tcPr>
          <w:p w14:paraId="3D605A33" w14:textId="77777777" w:rsidR="00091176" w:rsidRDefault="00091176" w:rsidP="00033EA4">
            <w:pPr>
              <w:pStyle w:val="TableText"/>
              <w:tabs>
                <w:tab w:val="left" w:pos="1454"/>
              </w:tabs>
              <w:ind w:left="41" w:firstLine="0"/>
            </w:pPr>
            <w:r>
              <w:t>1–4</w:t>
            </w:r>
          </w:p>
        </w:tc>
        <w:tc>
          <w:tcPr>
            <w:tcW w:w="1060" w:type="dxa"/>
            <w:shd w:val="clear" w:color="auto" w:fill="auto"/>
          </w:tcPr>
          <w:p w14:paraId="34712547" w14:textId="77777777" w:rsidR="00091176" w:rsidRDefault="00091176" w:rsidP="00033EA4">
            <w:pPr>
              <w:pStyle w:val="TableText"/>
              <w:ind w:left="41" w:firstLine="0"/>
            </w:pPr>
            <w:r>
              <w:t>1</w:t>
            </w:r>
          </w:p>
        </w:tc>
        <w:tc>
          <w:tcPr>
            <w:tcW w:w="1142" w:type="dxa"/>
            <w:shd w:val="clear" w:color="auto" w:fill="auto"/>
          </w:tcPr>
          <w:p w14:paraId="73AFEAF5" w14:textId="77777777" w:rsidR="00091176" w:rsidRDefault="00091176" w:rsidP="00033EA4">
            <w:pPr>
              <w:pStyle w:val="TableText"/>
              <w:ind w:left="41" w:firstLine="0"/>
            </w:pPr>
            <w:r>
              <w:t>4</w:t>
            </w:r>
          </w:p>
        </w:tc>
        <w:tc>
          <w:tcPr>
            <w:tcW w:w="3985" w:type="dxa"/>
            <w:shd w:val="clear" w:color="auto" w:fill="auto"/>
          </w:tcPr>
          <w:p w14:paraId="3ED5B4DC" w14:textId="77777777" w:rsidR="00091176" w:rsidRDefault="00091176" w:rsidP="00033EA4">
            <w:pPr>
              <w:pStyle w:val="TableText"/>
              <w:ind w:left="41" w:firstLine="0"/>
            </w:pPr>
            <w:r>
              <w:t>The number of locations is estimated at four, with a plausible ran</w:t>
            </w:r>
            <w:r w:rsidRPr="008E3C37">
              <w:t>ge of 1–4.</w:t>
            </w:r>
            <w:r>
              <w:t xml:space="preserve"> Competitive exclusion, weed invasion, changes to site hydrology and inappropriate vegetation and soil disturbance are the most serious plausible threats to the Ginninderra peppercress because it is sensitive to disturbances that damage or kill mature plants and deplete the seed-bank, </w:t>
            </w:r>
            <w:r>
              <w:lastRenderedPageBreak/>
              <w:t xml:space="preserve">including competitive exclusion when the habitat becomes overgrown (see Disturbance ecology and Table 2). </w:t>
            </w:r>
          </w:p>
          <w:p w14:paraId="27883F81" w14:textId="77777777" w:rsidR="00091176" w:rsidRDefault="00091176" w:rsidP="00033EA4">
            <w:pPr>
              <w:pStyle w:val="TableText"/>
              <w:ind w:left="41" w:firstLine="0"/>
            </w:pPr>
            <w:r>
              <w:t>Ginninderra peppercress is found at three subpopulations that are managed for biodiversity conservation but with unique land management regimes in place at each subpopulation, which could thus be interpreted as independent locations. The Jerrabomberra subpopulation includes two discrete patches separated by 300 m and on separate land titles that are managed independently of each other (Bonshaw and Jerrabomberra East Grassland), making the number of locations 4. If climate change is interpreted as the most serious plausible threat and each subpopulation is affected synchronously by this threat through its influence on biomass, droughts and grazer populations, then there would be one location.</w:t>
            </w:r>
          </w:p>
        </w:tc>
      </w:tr>
      <w:tr w:rsidR="00091176" w14:paraId="4F68E85E" w14:textId="77777777" w:rsidTr="00477D7C">
        <w:tc>
          <w:tcPr>
            <w:tcW w:w="1554" w:type="dxa"/>
          </w:tcPr>
          <w:p w14:paraId="5AB67FC4" w14:textId="77777777" w:rsidR="00091176" w:rsidRPr="00D20C80" w:rsidRDefault="00091176" w:rsidP="00033EA4">
            <w:pPr>
              <w:pStyle w:val="TableHeading0"/>
              <w:keepNext w:val="0"/>
              <w:ind w:left="34" w:firstLine="0"/>
              <w:rPr>
                <w:rStyle w:val="Strong"/>
                <w:b/>
                <w:sz w:val="22"/>
              </w:rPr>
            </w:pPr>
            <w:r w:rsidRPr="00D20C80">
              <w:rPr>
                <w:rStyle w:val="Strong"/>
              </w:rPr>
              <w:lastRenderedPageBreak/>
              <w:t>Trend</w:t>
            </w:r>
          </w:p>
        </w:tc>
        <w:tc>
          <w:tcPr>
            <w:tcW w:w="3477" w:type="dxa"/>
            <w:gridSpan w:val="3"/>
            <w:shd w:val="clear" w:color="auto" w:fill="auto"/>
          </w:tcPr>
          <w:p w14:paraId="26505AC5" w14:textId="77777777" w:rsidR="00091176" w:rsidRDefault="00091176" w:rsidP="00033EA4">
            <w:pPr>
              <w:pStyle w:val="TableText"/>
              <w:tabs>
                <w:tab w:val="left" w:pos="1454"/>
              </w:tabs>
              <w:ind w:left="41" w:firstLine="0"/>
            </w:pPr>
            <w:r w:rsidRPr="00DF3FD5">
              <w:t>Stable but at risk of declining in the future</w:t>
            </w:r>
          </w:p>
        </w:tc>
        <w:tc>
          <w:tcPr>
            <w:tcW w:w="3985" w:type="dxa"/>
            <w:shd w:val="clear" w:color="auto" w:fill="auto"/>
          </w:tcPr>
          <w:p w14:paraId="73B705DD" w14:textId="77777777" w:rsidR="00091176" w:rsidRDefault="00091176" w:rsidP="00033EA4">
            <w:pPr>
              <w:pStyle w:val="TableText"/>
              <w:ind w:left="41" w:firstLine="0"/>
            </w:pPr>
            <w:r>
              <w:t>The number of locations is estimated at 4, which would increase if more subpopulations are discovered and will decline if any subpopulations become extirpated or if a more serious plausible threat emerges that impacts the entire subpopulation uniformly (e.g. climate change induced effects, which are currently poorly understood).</w:t>
            </w:r>
          </w:p>
        </w:tc>
      </w:tr>
      <w:tr w:rsidR="00091176" w14:paraId="6508CDC7" w14:textId="77777777" w:rsidTr="00477D7C">
        <w:tc>
          <w:tcPr>
            <w:tcW w:w="1554" w:type="dxa"/>
          </w:tcPr>
          <w:p w14:paraId="06A74C5F" w14:textId="77777777" w:rsidR="00091176" w:rsidRPr="00D20C80" w:rsidRDefault="00091176" w:rsidP="00033EA4">
            <w:pPr>
              <w:pStyle w:val="TableHeading0"/>
              <w:keepNext w:val="0"/>
              <w:ind w:left="34" w:firstLine="0"/>
              <w:rPr>
                <w:rStyle w:val="Strong"/>
                <w:b/>
                <w:sz w:val="22"/>
              </w:rPr>
            </w:pPr>
            <w:bookmarkStart w:id="5" w:name="_Hlk51878889"/>
            <w:r w:rsidRPr="00D20C80">
              <w:rPr>
                <w:rStyle w:val="Strong"/>
              </w:rPr>
              <w:t>Basis of assessment of location number</w:t>
            </w:r>
            <w:bookmarkEnd w:id="5"/>
          </w:p>
        </w:tc>
        <w:tc>
          <w:tcPr>
            <w:tcW w:w="7462" w:type="dxa"/>
            <w:gridSpan w:val="4"/>
            <w:shd w:val="clear" w:color="auto" w:fill="auto"/>
          </w:tcPr>
          <w:p w14:paraId="5B299367" w14:textId="77777777" w:rsidR="00091176" w:rsidRDefault="00091176" w:rsidP="00033EA4">
            <w:pPr>
              <w:pStyle w:val="TableText"/>
              <w:tabs>
                <w:tab w:val="left" w:pos="1454"/>
              </w:tabs>
              <w:ind w:left="41" w:firstLine="0"/>
            </w:pPr>
            <w:r>
              <w:t>The number of locations is based on the most plausible serious threats of competitive exclusion, weed invasion, changes to site hydrology and inappropriate vegetation and soil disturbance impacting each subpopulation independently (including two locations represented by the Jerrabomberra subpopulation).</w:t>
            </w:r>
          </w:p>
        </w:tc>
      </w:tr>
      <w:tr w:rsidR="00091176" w14:paraId="4416933E" w14:textId="77777777" w:rsidTr="00477D7C">
        <w:tc>
          <w:tcPr>
            <w:tcW w:w="1554" w:type="dxa"/>
          </w:tcPr>
          <w:p w14:paraId="1DCB32B2" w14:textId="77777777" w:rsidR="00091176" w:rsidRPr="00D20C80" w:rsidRDefault="00091176" w:rsidP="00033EA4">
            <w:pPr>
              <w:pStyle w:val="TableHeading0"/>
              <w:keepNext w:val="0"/>
              <w:ind w:left="34" w:firstLine="0"/>
              <w:rPr>
                <w:rStyle w:val="Strong"/>
                <w:b/>
                <w:bCs w:val="0"/>
              </w:rPr>
            </w:pPr>
            <w:r w:rsidRPr="00D20C80">
              <w:rPr>
                <w:rStyle w:val="Strong"/>
              </w:rPr>
              <w:t>Fragmentation</w:t>
            </w:r>
          </w:p>
        </w:tc>
        <w:tc>
          <w:tcPr>
            <w:tcW w:w="7462" w:type="dxa"/>
            <w:gridSpan w:val="4"/>
            <w:shd w:val="clear" w:color="auto" w:fill="auto"/>
          </w:tcPr>
          <w:p w14:paraId="1764A39E" w14:textId="77777777" w:rsidR="00091176" w:rsidRDefault="00091176" w:rsidP="00033EA4">
            <w:pPr>
              <w:pStyle w:val="TableText"/>
              <w:tabs>
                <w:tab w:val="left" w:pos="1454"/>
              </w:tabs>
              <w:ind w:left="41" w:firstLine="0"/>
            </w:pPr>
            <w:r>
              <w:t xml:space="preserve">Severely fragmented. The distribution and AOO of Ginninderra peppercress are thought to be well understood (see Distribution, Table 1, Map 1) and the species occupies spatially restricted habitat within a landscape where natural temperate grassland has become fragmented (ACTG 2022c; TSSC 2016). It is unlikely that much suitable habitat exists in the surrounding landscape given the dependency of the species on narrowly defined vegetation, soil and hydrological characteristics (See Relevant biology and ecology). </w:t>
            </w:r>
          </w:p>
          <w:p w14:paraId="0AE5ACC8" w14:textId="77777777" w:rsidR="00091176" w:rsidRDefault="00091176" w:rsidP="00033EA4">
            <w:pPr>
              <w:pStyle w:val="TableText"/>
              <w:tabs>
                <w:tab w:val="left" w:pos="1454"/>
              </w:tabs>
              <w:ind w:left="41" w:firstLine="0"/>
            </w:pPr>
            <w:r>
              <w:t>Ginninderra peppercress appears to produce high quantities of viable seed during favourable conditions. Most diaspores are assumed to disperse immediately around the parent plants, resulting in a very narrow home range at each subpopulation (&lt;1 ha). Given the large distances between Lawson, Franklin and Jerrabomberra (5</w:t>
            </w:r>
            <w:r w:rsidRPr="001F0351">
              <w:t>–</w:t>
            </w:r>
            <w:r>
              <w:t xml:space="preserve">18 km) and the restricted extent of suitable habitat, seed dispersals by fauna (epizoochory and endozoochory) are unlikely to efficiently transport seeds between subpopulations or into new areas of habitat. </w:t>
            </w:r>
          </w:p>
          <w:p w14:paraId="282239F7" w14:textId="77777777" w:rsidR="00091176" w:rsidRDefault="00091176" w:rsidP="00033EA4">
            <w:pPr>
              <w:pStyle w:val="TableText"/>
              <w:tabs>
                <w:tab w:val="left" w:pos="1454"/>
              </w:tabs>
              <w:ind w:left="41" w:firstLine="0"/>
            </w:pPr>
            <w:r>
              <w:t>Subpopulations of Ginninderra peppercress are therefore considered to be small and isolated, and in the event of a subpopulation loss, such as historically occurred at Reid, natural recolonisation of each subpopulation is unlikely.</w:t>
            </w:r>
          </w:p>
        </w:tc>
      </w:tr>
      <w:tr w:rsidR="00091176" w14:paraId="52A24837" w14:textId="77777777" w:rsidTr="00477D7C">
        <w:tc>
          <w:tcPr>
            <w:tcW w:w="1554" w:type="dxa"/>
          </w:tcPr>
          <w:p w14:paraId="311B9B8C" w14:textId="77777777" w:rsidR="00091176" w:rsidRPr="00F83D60" w:rsidRDefault="00091176" w:rsidP="00033EA4">
            <w:pPr>
              <w:pStyle w:val="TableHeading0"/>
              <w:keepNext w:val="0"/>
              <w:ind w:left="34" w:firstLine="0"/>
              <w:rPr>
                <w:rStyle w:val="Strong"/>
                <w:b/>
                <w:sz w:val="22"/>
              </w:rPr>
            </w:pPr>
            <w:r w:rsidRPr="00D20C80">
              <w:rPr>
                <w:rStyle w:val="Strong"/>
              </w:rPr>
              <w:t>Fluctuations</w:t>
            </w:r>
          </w:p>
        </w:tc>
        <w:tc>
          <w:tcPr>
            <w:tcW w:w="7462" w:type="dxa"/>
            <w:gridSpan w:val="4"/>
            <w:shd w:val="clear" w:color="auto" w:fill="auto"/>
          </w:tcPr>
          <w:p w14:paraId="0B2B2487" w14:textId="77777777" w:rsidR="00091176" w:rsidRDefault="00091176" w:rsidP="00033EA4">
            <w:pPr>
              <w:pStyle w:val="TableText"/>
              <w:tabs>
                <w:tab w:val="left" w:pos="1454"/>
              </w:tabs>
              <w:ind w:left="41" w:firstLine="0"/>
            </w:pPr>
            <w:r>
              <w:t xml:space="preserve">Extreme fluctuations are observed in the number of mature individuals but not in </w:t>
            </w:r>
            <w:r w:rsidRPr="00914D1A">
              <w:t xml:space="preserve">EOO, AOO, number of subpopulations or locations. </w:t>
            </w:r>
            <w:r>
              <w:t xml:space="preserve">Fluctuations are most clear from the Lawson subpopulation in the period 1997 to 2011 (Table 1). The magnitude of fluctuations varies between subpopulations and has had the greatest minima and maxima at Lawson (50 to 3523 individuals, respectively, excluding null values from 2018-21). Fluctuations at the remaining subpopulations range from 30–377 (Budjan Galindji) and 105–1287 (Jerrabomberra) (across all years of survey data) (Table 1). These ranges indicate that the fluctuations are likely to be greater than the 10-fold threshold required to qualify as Extreme Fluctuations under IUCN guidelines (IUCN 2022). </w:t>
            </w:r>
          </w:p>
          <w:p w14:paraId="1124FA48" w14:textId="77777777" w:rsidR="00091176" w:rsidRDefault="00091176" w:rsidP="00033EA4">
            <w:pPr>
              <w:pStyle w:val="TableText"/>
              <w:tabs>
                <w:tab w:val="left" w:pos="1454"/>
              </w:tabs>
              <w:ind w:left="41" w:firstLine="0"/>
            </w:pPr>
            <w:r>
              <w:t xml:space="preserve">Recent observations from 2021-23 at Budjan Galindji and the two discrete patches of plants at the Jerrabomberra subpopulation show that asynchronous fluctuations occur (i.e. fluctuations between these subpopulations and colonies vary independently of one another </w:t>
            </w:r>
            <w:r>
              <w:lastRenderedPageBreak/>
              <w:t xml:space="preserve">and are therefore at least partly contingent on local conditions present at each site) (Table 1). Between each population fluctuation, recruitment success will vary depending on changes to site conditions in response to changes in climate and disturbance (see Population size fluctuations, and Disturbance ecology). Dispersal between all or nearly all subpopulations is unlikely to occur regularly or occasionally, so the degree of fluctuations does not need to be measured over the entire population (IUCN 2022). </w:t>
            </w:r>
          </w:p>
        </w:tc>
      </w:tr>
      <w:bookmarkEnd w:id="3"/>
    </w:tbl>
    <w:p w14:paraId="36B93854" w14:textId="77777777" w:rsidR="00091176" w:rsidRDefault="00091176" w:rsidP="00091176">
      <w:pPr>
        <w:pStyle w:val="Caption"/>
        <w:rPr>
          <w:lang w:eastAsia="ja-JP"/>
        </w:rPr>
      </w:pPr>
    </w:p>
    <w:p w14:paraId="7AB2B9E4" w14:textId="77777777" w:rsidR="00091176" w:rsidRPr="00477D7C" w:rsidRDefault="00091176" w:rsidP="00033EA4">
      <w:pPr>
        <w:pStyle w:val="Caption"/>
        <w:keepNext/>
        <w:rPr>
          <w:sz w:val="28"/>
          <w:szCs w:val="28"/>
          <w:lang w:eastAsia="ja-JP"/>
        </w:rPr>
      </w:pPr>
      <w:r w:rsidRPr="00477D7C">
        <w:rPr>
          <w:sz w:val="28"/>
          <w:szCs w:val="28"/>
          <w:lang w:eastAsia="ja-JP"/>
        </w:rPr>
        <w:t>Criterion 1 Population size reduction</w:t>
      </w:r>
    </w:p>
    <w:tbl>
      <w:tblPr>
        <w:tblStyle w:val="TableGrid"/>
        <w:tblW w:w="9975" w:type="dxa"/>
        <w:tblInd w:w="-86" w:type="dxa"/>
        <w:tblLook w:val="04A0" w:firstRow="1" w:lastRow="0" w:firstColumn="1" w:lastColumn="0" w:noHBand="0" w:noVBand="1"/>
      </w:tblPr>
      <w:tblGrid>
        <w:gridCol w:w="3565"/>
        <w:gridCol w:w="2099"/>
        <w:gridCol w:w="513"/>
        <w:gridCol w:w="1134"/>
        <w:gridCol w:w="333"/>
        <w:gridCol w:w="2331"/>
      </w:tblGrid>
      <w:tr w:rsidR="00091176" w:rsidRPr="00556843" w14:paraId="49EE3680" w14:textId="77777777" w:rsidTr="001E4811">
        <w:trPr>
          <w:cantSplit/>
          <w:trHeight w:val="606"/>
        </w:trPr>
        <w:tc>
          <w:tcPr>
            <w:tcW w:w="9975" w:type="dxa"/>
            <w:gridSpan w:val="6"/>
            <w:shd w:val="clear" w:color="auto" w:fill="595959" w:themeFill="text1" w:themeFillTint="A6"/>
            <w:vAlign w:val="center"/>
          </w:tcPr>
          <w:p w14:paraId="359255B1" w14:textId="77777777" w:rsidR="00091176" w:rsidRPr="008B78CE" w:rsidRDefault="00091176" w:rsidP="001E4811">
            <w:pPr>
              <w:pStyle w:val="TableHeading0"/>
              <w:rPr>
                <w:b w:val="0"/>
                <w:bCs/>
                <w:color w:val="FFFFFF" w:themeColor="background1"/>
              </w:rPr>
            </w:pPr>
            <w:r>
              <w:rPr>
                <w:b w:val="0"/>
                <w:bCs/>
                <w:color w:val="FFFFFF" w:themeColor="background1"/>
              </w:rPr>
              <w:t>R</w:t>
            </w:r>
            <w:r w:rsidRPr="008B78CE">
              <w:rPr>
                <w:b w:val="0"/>
                <w:bCs/>
                <w:color w:val="FFFFFF" w:themeColor="background1"/>
              </w:rPr>
              <w:t>eduction in total numbers (measured over the longer of 10 years or 3 generations) based on any of A1 to A4</w:t>
            </w:r>
          </w:p>
        </w:tc>
      </w:tr>
      <w:tr w:rsidR="00091176" w:rsidRPr="00556843" w14:paraId="0262A3B8" w14:textId="77777777" w:rsidTr="001E4811">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2ADA61D" w14:textId="77777777" w:rsidR="00091176" w:rsidRPr="00556843" w:rsidRDefault="00091176" w:rsidP="001E4811">
            <w:pPr>
              <w:keepNext/>
              <w:rPr>
                <w:rFonts w:ascii="Arial" w:hAnsi="Arial" w:cs="Arial"/>
                <w:sz w:val="18"/>
                <w:szCs w:val="18"/>
              </w:rPr>
            </w:pPr>
            <w:r w:rsidRPr="0050535B">
              <w:rPr>
                <w:rFonts w:ascii="Arial" w:hAnsi="Arial" w:cs="Arial"/>
                <w:color w:val="FFFFFF" w:themeColor="background1"/>
                <w:sz w:val="18"/>
                <w:szCs w:val="18"/>
              </w:rPr>
              <w:t>–</w:t>
            </w:r>
          </w:p>
        </w:tc>
        <w:tc>
          <w:tcPr>
            <w:tcW w:w="2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0000"/>
          </w:tcPr>
          <w:p w14:paraId="6ACA89AA" w14:textId="77777777" w:rsidR="00091176" w:rsidRPr="00936152" w:rsidRDefault="00091176" w:rsidP="001E4811">
            <w:pPr>
              <w:pStyle w:val="TableText"/>
              <w:keepNext/>
              <w:rPr>
                <w:rStyle w:val="Strong"/>
              </w:rPr>
            </w:pPr>
            <w:r w:rsidRPr="00936152">
              <w:rPr>
                <w:rStyle w:val="Strong"/>
              </w:rPr>
              <w:t>Critically Endangered</w:t>
            </w:r>
          </w:p>
          <w:p w14:paraId="77102482" w14:textId="77777777" w:rsidR="00091176" w:rsidRPr="00936152" w:rsidRDefault="00091176" w:rsidP="001E4811">
            <w:pPr>
              <w:pStyle w:val="TableText"/>
              <w:keepNext/>
              <w:rPr>
                <w:rStyle w:val="Strong"/>
              </w:rPr>
            </w:pPr>
            <w:r w:rsidRPr="00936152">
              <w:rPr>
                <w:rStyle w:val="Strong"/>
              </w:rPr>
              <w:t>Very severe reduction</w:t>
            </w:r>
          </w:p>
        </w:tc>
        <w:tc>
          <w:tcPr>
            <w:tcW w:w="19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415582D7" w14:textId="77777777" w:rsidR="00091176" w:rsidRPr="00936152" w:rsidRDefault="00091176" w:rsidP="001E4811">
            <w:pPr>
              <w:pStyle w:val="TableText"/>
              <w:keepNext/>
              <w:rPr>
                <w:rStyle w:val="Strong"/>
              </w:rPr>
            </w:pPr>
            <w:r w:rsidRPr="00936152">
              <w:rPr>
                <w:rStyle w:val="Strong"/>
              </w:rPr>
              <w:t>Endangered</w:t>
            </w:r>
          </w:p>
          <w:p w14:paraId="08895670" w14:textId="77777777" w:rsidR="00091176" w:rsidRPr="00936152" w:rsidRDefault="00091176" w:rsidP="001E4811">
            <w:pPr>
              <w:pStyle w:val="TableText"/>
              <w:keepNext/>
              <w:rPr>
                <w:rStyle w:val="Strong"/>
              </w:rPr>
            </w:pPr>
            <w:r w:rsidRPr="00936152">
              <w:rPr>
                <w:rStyle w:val="Strong"/>
              </w:rPr>
              <w:t>Severe reduction</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00"/>
          </w:tcPr>
          <w:p w14:paraId="17C5C27C" w14:textId="77777777" w:rsidR="00091176" w:rsidRPr="00936152" w:rsidRDefault="00091176" w:rsidP="001E4811">
            <w:pPr>
              <w:pStyle w:val="TableText"/>
              <w:keepNext/>
              <w:rPr>
                <w:rStyle w:val="Strong"/>
              </w:rPr>
            </w:pPr>
            <w:r w:rsidRPr="00936152">
              <w:rPr>
                <w:rStyle w:val="Strong"/>
              </w:rPr>
              <w:t>Vulnerable</w:t>
            </w:r>
          </w:p>
          <w:p w14:paraId="18C2C094" w14:textId="77777777" w:rsidR="00091176" w:rsidRPr="00936152" w:rsidRDefault="00091176" w:rsidP="001E4811">
            <w:pPr>
              <w:pStyle w:val="TableText"/>
              <w:keepNext/>
              <w:rPr>
                <w:rStyle w:val="Strong"/>
              </w:rPr>
            </w:pPr>
            <w:r w:rsidRPr="00936152">
              <w:rPr>
                <w:rStyle w:val="Strong"/>
              </w:rPr>
              <w:t>Substantial reduction</w:t>
            </w:r>
          </w:p>
        </w:tc>
      </w:tr>
      <w:tr w:rsidR="00091176" w:rsidRPr="00556843" w14:paraId="6AD85FBF" w14:textId="77777777" w:rsidTr="001E4811">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BFBFBF" w:themeFill="background1" w:themeFillShade="BF"/>
          </w:tcPr>
          <w:p w14:paraId="1D2F74EE" w14:textId="77777777" w:rsidR="00091176" w:rsidRPr="00936152" w:rsidRDefault="00091176" w:rsidP="001E4811">
            <w:pPr>
              <w:pStyle w:val="TableText"/>
              <w:keepNext/>
              <w:rPr>
                <w:rStyle w:val="Strong"/>
              </w:rPr>
            </w:pPr>
            <w:r w:rsidRPr="00936152">
              <w:rPr>
                <w:rStyle w:val="Strong"/>
              </w:rPr>
              <w:t>A1</w:t>
            </w:r>
          </w:p>
        </w:tc>
        <w:tc>
          <w:tcPr>
            <w:tcW w:w="2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7C80"/>
          </w:tcPr>
          <w:p w14:paraId="40A592F3" w14:textId="77777777" w:rsidR="00091176" w:rsidRPr="00556843" w:rsidRDefault="00091176" w:rsidP="001E4811">
            <w:pPr>
              <w:pStyle w:val="TableText"/>
              <w:keepNext/>
            </w:pPr>
            <w:r w:rsidRPr="00556843">
              <w:t>≥ 90%</w:t>
            </w:r>
          </w:p>
        </w:tc>
        <w:tc>
          <w:tcPr>
            <w:tcW w:w="19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33"/>
          </w:tcPr>
          <w:p w14:paraId="2B033F82" w14:textId="77777777" w:rsidR="00091176" w:rsidRPr="00556843" w:rsidRDefault="00091176" w:rsidP="001E4811">
            <w:pPr>
              <w:pStyle w:val="TableText"/>
              <w:keepNext/>
            </w:pPr>
            <w:r w:rsidRPr="00556843">
              <w:t>≥ 70%</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66"/>
          </w:tcPr>
          <w:p w14:paraId="36A81FCA" w14:textId="77777777" w:rsidR="00091176" w:rsidRPr="00556843" w:rsidRDefault="00091176" w:rsidP="001E4811">
            <w:pPr>
              <w:pStyle w:val="TableText"/>
              <w:keepNext/>
            </w:pPr>
            <w:r w:rsidRPr="00556843">
              <w:t>≥ 50%</w:t>
            </w:r>
          </w:p>
        </w:tc>
      </w:tr>
      <w:tr w:rsidR="00091176" w:rsidRPr="00556843" w14:paraId="19AC7011" w14:textId="77777777" w:rsidTr="001E4811">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nil"/>
              <w:right w:val="single" w:sz="4" w:space="0" w:color="FFFFFF" w:themeColor="background1"/>
            </w:tcBorders>
            <w:shd w:val="clear" w:color="auto" w:fill="BFBFBF" w:themeFill="background1" w:themeFillShade="BF"/>
          </w:tcPr>
          <w:p w14:paraId="09DE1AA6" w14:textId="77777777" w:rsidR="00091176" w:rsidRPr="00936152" w:rsidRDefault="00091176" w:rsidP="001E4811">
            <w:pPr>
              <w:pStyle w:val="TableText"/>
              <w:keepNext/>
              <w:rPr>
                <w:rStyle w:val="Strong"/>
              </w:rPr>
            </w:pPr>
            <w:r w:rsidRPr="00936152">
              <w:rPr>
                <w:rStyle w:val="Strong"/>
              </w:rPr>
              <w:t>A2, A3, A4</w:t>
            </w:r>
          </w:p>
        </w:tc>
        <w:tc>
          <w:tcPr>
            <w:tcW w:w="209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7C80"/>
          </w:tcPr>
          <w:p w14:paraId="28B11A50" w14:textId="77777777" w:rsidR="00091176" w:rsidRPr="00556843" w:rsidRDefault="00091176" w:rsidP="001E4811">
            <w:pPr>
              <w:pStyle w:val="TableText"/>
              <w:keepNext/>
            </w:pPr>
            <w:r w:rsidRPr="00556843">
              <w:t>≥ 80%</w:t>
            </w:r>
          </w:p>
        </w:tc>
        <w:tc>
          <w:tcPr>
            <w:tcW w:w="198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2D4B37E5" w14:textId="77777777" w:rsidR="00091176" w:rsidRPr="00556843" w:rsidRDefault="00091176" w:rsidP="001E4811">
            <w:pPr>
              <w:pStyle w:val="TableText"/>
              <w:keepNext/>
            </w:pPr>
            <w:r w:rsidRPr="00556843">
              <w:t>≥ 50%</w:t>
            </w:r>
          </w:p>
        </w:tc>
        <w:tc>
          <w:tcPr>
            <w:tcW w:w="2331" w:type="dxa"/>
            <w:tcBorders>
              <w:top w:val="single" w:sz="4" w:space="0" w:color="FFFFFF" w:themeColor="background1"/>
              <w:left w:val="single" w:sz="4" w:space="0" w:color="FFFFFF" w:themeColor="background1"/>
              <w:bottom w:val="nil"/>
              <w:right w:val="single" w:sz="4" w:space="0" w:color="auto"/>
            </w:tcBorders>
            <w:shd w:val="clear" w:color="auto" w:fill="FFFF66"/>
          </w:tcPr>
          <w:p w14:paraId="39AC14F3" w14:textId="77777777" w:rsidR="00091176" w:rsidRPr="00556843" w:rsidRDefault="00091176" w:rsidP="001E4811">
            <w:pPr>
              <w:pStyle w:val="TableText"/>
              <w:keepNext/>
            </w:pPr>
            <w:r w:rsidRPr="00556843">
              <w:t>≥ 30%</w:t>
            </w:r>
          </w:p>
        </w:tc>
      </w:tr>
      <w:tr w:rsidR="00091176" w:rsidRPr="00556843" w14:paraId="3E9876A0" w14:textId="77777777" w:rsidTr="001E4811">
        <w:tblPrEx>
          <w:tblCellMar>
            <w:top w:w="57" w:type="dxa"/>
            <w:left w:w="57" w:type="dxa"/>
            <w:bottom w:w="57" w:type="dxa"/>
            <w:right w:w="85" w:type="dxa"/>
          </w:tblCellMar>
        </w:tblPrEx>
        <w:trPr>
          <w:cantSplit/>
          <w:trHeight w:val="3706"/>
        </w:trPr>
        <w:tc>
          <w:tcPr>
            <w:tcW w:w="6177" w:type="dxa"/>
            <w:gridSpan w:val="3"/>
            <w:tcBorders>
              <w:top w:val="nil"/>
              <w:right w:val="nil"/>
            </w:tcBorders>
          </w:tcPr>
          <w:p w14:paraId="07540216" w14:textId="04ED5444" w:rsidR="00091176" w:rsidRPr="00556843" w:rsidRDefault="004B3A66" w:rsidP="001E4811">
            <w:pPr>
              <w:pStyle w:val="TableText"/>
              <w:keepNext/>
              <w:spacing w:after="200" w:line="276" w:lineRule="auto"/>
              <w:ind w:left="493" w:hanging="493"/>
            </w:pPr>
            <w:r w:rsidRPr="00556843">
              <w:rPr>
                <w:rFonts w:ascii="Arial" w:hAnsi="Arial" w:cs="Arial"/>
                <w:noProof/>
                <w:color w:val="2B579A"/>
                <w:szCs w:val="18"/>
                <w:shd w:val="clear" w:color="auto" w:fill="E6E6E6"/>
                <w:lang w:eastAsia="en-AU"/>
              </w:rPr>
              <mc:AlternateContent>
                <mc:Choice Requires="wps">
                  <w:drawing>
                    <wp:anchor distT="0" distB="0" distL="114300" distR="114300" simplePos="0" relativeHeight="251665408" behindDoc="0" locked="0" layoutInCell="1" allowOverlap="1" wp14:anchorId="4C98D21E" wp14:editId="3D935C33">
                      <wp:simplePos x="0" y="0"/>
                      <wp:positionH relativeFrom="column">
                        <wp:posOffset>3707765</wp:posOffset>
                      </wp:positionH>
                      <wp:positionV relativeFrom="paragraph">
                        <wp:posOffset>46355</wp:posOffset>
                      </wp:positionV>
                      <wp:extent cx="295275" cy="2447925"/>
                      <wp:effectExtent l="0" t="0" r="28575" b="2857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447925"/>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606E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91.95pt;margin-top:3.65pt;width:23.25pt;height:19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" adj="868"/>
                  </w:pict>
                </mc:Fallback>
              </mc:AlternateContent>
            </w:r>
            <w:r w:rsidR="00091176" w:rsidRPr="00936152">
              <w:rPr>
                <w:rStyle w:val="Strong"/>
              </w:rPr>
              <w:t>A1</w:t>
            </w:r>
            <w:r w:rsidR="00091176" w:rsidRPr="00556843">
              <w:tab/>
              <w:t>Population reduction observed, estimated, inferred or suspected in the past and the causes of the reduction are clearly reversible AND understood AND ceased.</w:t>
            </w:r>
          </w:p>
          <w:p w14:paraId="3CE0CB87" w14:textId="77777777" w:rsidR="00091176" w:rsidRPr="00556843" w:rsidRDefault="00091176" w:rsidP="001E4811">
            <w:pPr>
              <w:pStyle w:val="TableText"/>
              <w:keepNext/>
              <w:spacing w:after="200" w:line="276" w:lineRule="auto"/>
              <w:ind w:left="493" w:hanging="493"/>
            </w:pPr>
            <w:r w:rsidRPr="00936152">
              <w:rPr>
                <w:rStyle w:val="Strong"/>
              </w:rPr>
              <w:t>A2</w:t>
            </w:r>
            <w:r w:rsidRPr="00556843">
              <w:tab/>
              <w:t>Population reduction observed, estimated, inferred or suspected in the past where the causes of the reduction may not have ceased OR may not be understood OR may not be reversible.</w:t>
            </w:r>
          </w:p>
          <w:p w14:paraId="16ECC31A" w14:textId="77777777" w:rsidR="00091176" w:rsidRPr="00556843" w:rsidRDefault="00091176" w:rsidP="001E4811">
            <w:pPr>
              <w:pStyle w:val="TableText"/>
              <w:keepNext/>
              <w:spacing w:after="200" w:line="276" w:lineRule="auto"/>
              <w:ind w:left="493" w:hanging="493"/>
            </w:pPr>
            <w:r w:rsidRPr="00936152">
              <w:rPr>
                <w:rStyle w:val="Strong"/>
              </w:rPr>
              <w:t>A3</w:t>
            </w:r>
            <w:r w:rsidRPr="00556843">
              <w:tab/>
              <w:t>Population reduction, projected</w:t>
            </w:r>
            <w:r>
              <w:t>, inferred</w:t>
            </w:r>
            <w:r w:rsidRPr="00556843">
              <w:t xml:space="preserve"> or suspected to be met in the future (up to a maximum of 100 years) [(</w:t>
            </w:r>
            <w:r w:rsidRPr="00556843">
              <w:rPr>
                <w:i/>
              </w:rPr>
              <w:t>a) cannot be used for A3</w:t>
            </w:r>
            <w:r w:rsidRPr="00556843">
              <w:t>]</w:t>
            </w:r>
          </w:p>
          <w:p w14:paraId="140573BF" w14:textId="77777777" w:rsidR="00091176" w:rsidRPr="00556843" w:rsidRDefault="00091176" w:rsidP="001E4811">
            <w:pPr>
              <w:pStyle w:val="TableText"/>
              <w:keepNext/>
              <w:spacing w:after="200" w:line="276" w:lineRule="auto"/>
              <w:ind w:left="493" w:hanging="493"/>
            </w:pPr>
            <w:r w:rsidRPr="00936152">
              <w:rPr>
                <w:rStyle w:val="Strong"/>
              </w:rPr>
              <w:t>A4</w:t>
            </w:r>
            <w:r w:rsidRPr="00556843">
              <w:tab/>
              <w:t>An observed, estimated, inferred, projected or suspected population reduction where the time period must include both the past and the future (up to a max. of 100 years in future), and where the causes of reduction may not have ceased OR may not be understood OR may not be reversible.</w:t>
            </w:r>
          </w:p>
        </w:tc>
        <w:tc>
          <w:tcPr>
            <w:tcW w:w="1134" w:type="dxa"/>
            <w:tcBorders>
              <w:top w:val="nil"/>
              <w:left w:val="nil"/>
              <w:right w:val="nil"/>
            </w:tcBorders>
            <w:vAlign w:val="center"/>
          </w:tcPr>
          <w:p w14:paraId="30361BD0" w14:textId="5BE1EA7B" w:rsidR="00091176" w:rsidRPr="00556843" w:rsidRDefault="00091176" w:rsidP="001E4811">
            <w:pPr>
              <w:pStyle w:val="TableText"/>
              <w:spacing w:before="1800"/>
              <w:ind w:left="165"/>
            </w:pPr>
            <w:r>
              <w:t>B</w:t>
            </w:r>
            <w:r w:rsidRPr="00CE7C59">
              <w:t>ased on any of the following</w:t>
            </w:r>
          </w:p>
        </w:tc>
        <w:tc>
          <w:tcPr>
            <w:tcW w:w="2664" w:type="dxa"/>
            <w:gridSpan w:val="2"/>
            <w:tcBorders>
              <w:top w:val="nil"/>
              <w:left w:val="nil"/>
            </w:tcBorders>
          </w:tcPr>
          <w:p w14:paraId="26D5C199" w14:textId="77777777" w:rsidR="00091176" w:rsidRPr="00556843" w:rsidRDefault="00091176" w:rsidP="001E4811">
            <w:pPr>
              <w:pStyle w:val="TableText"/>
              <w:ind w:left="312" w:hanging="312"/>
            </w:pPr>
            <w:r w:rsidRPr="00556843">
              <w:t>(a)</w:t>
            </w:r>
            <w:r w:rsidRPr="00556843">
              <w:tab/>
              <w:t>direct observation [</w:t>
            </w:r>
            <w:r w:rsidRPr="00266DC5">
              <w:t>except A3</w:t>
            </w:r>
            <w:r w:rsidRPr="00556843">
              <w:t>]</w:t>
            </w:r>
          </w:p>
          <w:p w14:paraId="7170C58C" w14:textId="77777777" w:rsidR="00091176" w:rsidRDefault="00091176" w:rsidP="001E4811">
            <w:pPr>
              <w:pStyle w:val="TableText"/>
              <w:ind w:left="312" w:hanging="312"/>
            </w:pPr>
            <w:r w:rsidRPr="00556843">
              <w:t>(b)</w:t>
            </w:r>
            <w:r w:rsidRPr="00556843">
              <w:tab/>
              <w:t>an index of abundance appropriate to the taxon</w:t>
            </w:r>
          </w:p>
          <w:p w14:paraId="0E578A31" w14:textId="77777777" w:rsidR="00091176" w:rsidRPr="00556843" w:rsidRDefault="00091176" w:rsidP="001E4811">
            <w:pPr>
              <w:pStyle w:val="TableText"/>
              <w:ind w:left="312" w:hanging="312"/>
            </w:pPr>
            <w:r w:rsidRPr="00556843">
              <w:t>(c)</w:t>
            </w:r>
            <w:r w:rsidRPr="00556843">
              <w:tab/>
              <w:t>a decline in area of occupancy, extent of occurrence and/or quality of habitat</w:t>
            </w:r>
          </w:p>
          <w:p w14:paraId="4F5D36DE" w14:textId="77777777" w:rsidR="00091176" w:rsidRPr="00556843" w:rsidRDefault="00091176" w:rsidP="001E4811">
            <w:pPr>
              <w:pStyle w:val="TableText"/>
              <w:ind w:left="312" w:hanging="312"/>
            </w:pPr>
            <w:r w:rsidRPr="00556843">
              <w:t>(d)</w:t>
            </w:r>
            <w:r w:rsidRPr="00556843">
              <w:tab/>
              <w:t>actual or potential levels of exploitation</w:t>
            </w:r>
          </w:p>
          <w:p w14:paraId="460EBDE9" w14:textId="77777777" w:rsidR="00091176" w:rsidRPr="00556843" w:rsidRDefault="00091176" w:rsidP="001E4811">
            <w:pPr>
              <w:pStyle w:val="TableText"/>
              <w:ind w:left="312" w:hanging="312"/>
            </w:pPr>
            <w:r w:rsidRPr="00556843">
              <w:t>(e)</w:t>
            </w:r>
            <w:r w:rsidRPr="00556843">
              <w:tab/>
              <w:t>the effects of introduced taxa, hybridization, pathogens, pollutants, competitors or parasites</w:t>
            </w:r>
          </w:p>
        </w:tc>
      </w:tr>
    </w:tbl>
    <w:p w14:paraId="7A0BAFF0" w14:textId="77777777" w:rsidR="00091176" w:rsidRPr="00477D7C" w:rsidRDefault="00091176" w:rsidP="00033EA4">
      <w:pPr>
        <w:pStyle w:val="Heading3"/>
        <w:numPr>
          <w:ilvl w:val="0"/>
          <w:numId w:val="0"/>
        </w:numPr>
        <w:rPr>
          <w:sz w:val="28"/>
          <w:szCs w:val="28"/>
          <w:lang w:eastAsia="ja-JP"/>
        </w:rPr>
      </w:pPr>
      <w:r w:rsidRPr="00477D7C">
        <w:rPr>
          <w:sz w:val="28"/>
          <w:szCs w:val="28"/>
          <w:lang w:eastAsia="ja-JP"/>
        </w:rPr>
        <w:t>Criterion 1 evidence</w:t>
      </w:r>
    </w:p>
    <w:p w14:paraId="2D6985E5" w14:textId="77777777" w:rsidR="00091176" w:rsidRPr="00477D7C" w:rsidRDefault="00091176" w:rsidP="00091176">
      <w:pPr>
        <w:rPr>
          <w:rStyle w:val="Strong"/>
          <w:rFonts w:asciiTheme="majorHAnsi" w:hAnsiTheme="majorHAnsi"/>
        </w:rPr>
      </w:pPr>
      <w:r w:rsidRPr="00477D7C">
        <w:rPr>
          <w:rStyle w:val="Strong"/>
          <w:rFonts w:asciiTheme="majorHAnsi" w:hAnsiTheme="majorHAnsi"/>
        </w:rPr>
        <w:t>Insufficient data to determine eligibility</w:t>
      </w:r>
    </w:p>
    <w:p w14:paraId="444277D6" w14:textId="77777777" w:rsidR="00091176" w:rsidRPr="00477D7C" w:rsidRDefault="00091176" w:rsidP="00091176">
      <w:pPr>
        <w:pStyle w:val="Heading4"/>
        <w:rPr>
          <w:rFonts w:asciiTheme="majorHAnsi" w:hAnsiTheme="majorHAnsi"/>
        </w:rPr>
      </w:pPr>
      <w:r w:rsidRPr="00477D7C">
        <w:rPr>
          <w:rFonts w:asciiTheme="majorHAnsi" w:eastAsiaTheme="minorHAnsi" w:hAnsiTheme="majorHAnsi"/>
        </w:rPr>
        <w:t>Generation length</w:t>
      </w:r>
    </w:p>
    <w:p w14:paraId="44FC17D2"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One method for estimating generation time given in IUCN (2022) is: Generation time = age of first reproduction + [</w:t>
      </w:r>
      <w:r w:rsidRPr="00477D7C">
        <w:rPr>
          <w:rFonts w:asciiTheme="majorHAnsi" w:hAnsiTheme="majorHAnsi"/>
          <w:i/>
          <w:iCs/>
          <w:vertAlign w:val="subscript"/>
          <w:lang w:eastAsia="ja-JP"/>
        </w:rPr>
        <w:t>Z</w:t>
      </w:r>
      <w:r w:rsidRPr="00477D7C">
        <w:rPr>
          <w:rFonts w:asciiTheme="majorHAnsi" w:hAnsiTheme="majorHAnsi"/>
          <w:lang w:eastAsia="ja-JP"/>
        </w:rPr>
        <w:t xml:space="preserve"> * (length of reproductive period] where </w:t>
      </w:r>
      <w:r w:rsidRPr="00477D7C">
        <w:rPr>
          <w:rFonts w:asciiTheme="majorHAnsi" w:hAnsiTheme="majorHAnsi"/>
          <w:i/>
          <w:iCs/>
          <w:vertAlign w:val="subscript"/>
          <w:lang w:eastAsia="ja-JP"/>
        </w:rPr>
        <w:t>Z</w:t>
      </w:r>
      <w:r w:rsidRPr="00477D7C">
        <w:rPr>
          <w:rFonts w:asciiTheme="majorHAnsi" w:hAnsiTheme="majorHAnsi"/>
          <w:lang w:eastAsia="ja-JP"/>
        </w:rPr>
        <w:t xml:space="preserve"> is usually &lt;0.5, depending on survivorship and the relative fecundity of young vs. old individuals in the population.</w:t>
      </w:r>
    </w:p>
    <w:p w14:paraId="162AAD48"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 xml:space="preserve">The primary juvenile period of Ginninderra peppercress in the wild is not documented, but plants grown from seed ex situ have reached reproductive maturity within approximately six months from germination (Taylor et al. 2013). The longevity of the Ginninderra peppercress is also not documented, but perennial herbaceous </w:t>
      </w:r>
      <w:r w:rsidRPr="00477D7C">
        <w:rPr>
          <w:rFonts w:asciiTheme="majorHAnsi" w:hAnsiTheme="majorHAnsi"/>
          <w:i/>
          <w:iCs/>
          <w:lang w:eastAsia="ja-JP"/>
        </w:rPr>
        <w:t>Lepidium</w:t>
      </w:r>
      <w:r w:rsidRPr="00477D7C">
        <w:rPr>
          <w:rFonts w:asciiTheme="majorHAnsi" w:hAnsiTheme="majorHAnsi"/>
          <w:lang w:eastAsia="ja-JP"/>
        </w:rPr>
        <w:t xml:space="preserve"> species from temperate south-east Australia are estimated to live up to 10 years (White et al. 2020 in Falster et al. 2021) and Ginninderra peppercress is assumed to have similar traits. Lastly, the value of </w:t>
      </w:r>
      <w:r w:rsidRPr="00477D7C">
        <w:rPr>
          <w:rFonts w:asciiTheme="majorHAnsi" w:hAnsiTheme="majorHAnsi"/>
          <w:i/>
          <w:iCs/>
          <w:vertAlign w:val="subscript"/>
          <w:lang w:eastAsia="ja-JP"/>
        </w:rPr>
        <w:t>Z</w:t>
      </w:r>
      <w:r w:rsidRPr="00477D7C">
        <w:rPr>
          <w:rFonts w:asciiTheme="majorHAnsi" w:hAnsiTheme="majorHAnsi"/>
          <w:lang w:eastAsia="ja-JP"/>
        </w:rPr>
        <w:t xml:space="preserve"> is also not documented, and it is </w:t>
      </w:r>
      <w:r w:rsidRPr="00477D7C">
        <w:rPr>
          <w:rFonts w:asciiTheme="majorHAnsi" w:hAnsiTheme="majorHAnsi"/>
          <w:lang w:eastAsia="ja-JP"/>
        </w:rPr>
        <w:lastRenderedPageBreak/>
        <w:t xml:space="preserve">possible that old individuals are equally fecund as young. However, based on population size fluctuations, it is inferred that high densities of young plants contribute disproportionately to the reproductive output of the population, and a </w:t>
      </w:r>
      <w:r w:rsidRPr="00477D7C">
        <w:rPr>
          <w:rFonts w:asciiTheme="majorHAnsi" w:hAnsiTheme="majorHAnsi"/>
          <w:i/>
          <w:iCs/>
          <w:vertAlign w:val="subscript"/>
          <w:lang w:eastAsia="ja-JP"/>
        </w:rPr>
        <w:t>Z</w:t>
      </w:r>
      <w:r w:rsidRPr="00477D7C">
        <w:rPr>
          <w:rFonts w:asciiTheme="majorHAnsi" w:hAnsiTheme="majorHAnsi"/>
          <w:lang w:eastAsia="ja-JP"/>
        </w:rPr>
        <w:t xml:space="preserve"> value of 0.2 is used in this assessment.</w:t>
      </w:r>
    </w:p>
    <w:p w14:paraId="7E465C66" w14:textId="77777777" w:rsidR="00091176" w:rsidRPr="00477D7C" w:rsidRDefault="00091176" w:rsidP="00091176">
      <w:pPr>
        <w:keepNext/>
        <w:rPr>
          <w:rFonts w:asciiTheme="majorHAnsi" w:hAnsiTheme="majorHAnsi"/>
          <w:lang w:eastAsia="ja-JP"/>
        </w:rPr>
      </w:pPr>
      <w:r w:rsidRPr="00477D7C">
        <w:rPr>
          <w:rFonts w:asciiTheme="majorHAnsi" w:hAnsiTheme="majorHAnsi"/>
          <w:lang w:eastAsia="ja-JP"/>
        </w:rPr>
        <w:t>Based on the information above, the plausible maximum and minimum generation times are likely to be:</w:t>
      </w:r>
    </w:p>
    <w:p w14:paraId="6C53AC90" w14:textId="77777777" w:rsidR="00091176" w:rsidRPr="00477D7C" w:rsidRDefault="00091176" w:rsidP="00091176">
      <w:pPr>
        <w:keepNext/>
        <w:rPr>
          <w:rFonts w:asciiTheme="majorHAnsi" w:hAnsiTheme="majorHAnsi"/>
          <w:lang w:eastAsia="ja-JP"/>
        </w:rPr>
      </w:pPr>
      <w:r w:rsidRPr="00477D7C">
        <w:rPr>
          <w:rFonts w:asciiTheme="majorHAnsi" w:hAnsiTheme="majorHAnsi"/>
          <w:lang w:eastAsia="ja-JP"/>
        </w:rPr>
        <w:t>Maximum (longer lifespan plants that live for ten years):</w:t>
      </w:r>
    </w:p>
    <w:p w14:paraId="611005B9"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Generation time = 0.5 + [0.2 * (10-0.5)] = 2.4, assuming a juvenile period of six months and longevity of 10 years.</w:t>
      </w:r>
    </w:p>
    <w:p w14:paraId="3EB87C53"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Minimum (shorter lifespan plants that live for one year):</w:t>
      </w:r>
    </w:p>
    <w:p w14:paraId="46864821"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Generation time = 0.5 + [0.2 * (1-0.5)] = 0.6, assuming a juvenile period of six months and longevity of 1 year.</w:t>
      </w:r>
    </w:p>
    <w:p w14:paraId="2889FADF"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Therefore, the species’ generation length is between 0.6 and 2.4 years (noting that there is a degree of uncertainty with this estimate). This gives an estimated three-generation period of approximately 2–7 years. IUCN guidelines require population reduction measurements are based on the longer of 10 years or 3 generations (IUCN 2022), making 10 years the period used in this assessment.</w:t>
      </w:r>
    </w:p>
    <w:p w14:paraId="506A1188" w14:textId="77777777" w:rsidR="00091176" w:rsidRPr="00477D7C" w:rsidRDefault="00091176" w:rsidP="00091176">
      <w:pPr>
        <w:pStyle w:val="Heading4"/>
        <w:rPr>
          <w:rFonts w:asciiTheme="majorHAnsi" w:hAnsiTheme="majorHAnsi"/>
          <w:b/>
          <w:bCs w:val="0"/>
        </w:rPr>
      </w:pPr>
      <w:r w:rsidRPr="00477D7C">
        <w:rPr>
          <w:rFonts w:asciiTheme="majorHAnsi" w:eastAsiaTheme="minorHAnsi" w:hAnsiTheme="majorHAnsi"/>
        </w:rPr>
        <w:t>Past population reduction</w:t>
      </w:r>
    </w:p>
    <w:p w14:paraId="102F640D"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The number of mature individuals of Ginninderra peppercress is inferred from the number of total individuals and is estimated to be 2218 (Table 4). One of the three extant subpopulations was discovered within the last six years, which is shorter than the minimum ten-year period required for estimating population size reductions (IUCN 2022). Ginninderra peppercress undergoes natural fluctuations in population size (Table 1) and monitoring shows both upward and downward phases of fluctuation but are limited to few monitoring events. Current available data cannot be used to conclusively demonstrate a reduction in the whole population and as such, the species does not meet the requirements for listing under A1 or A2.</w:t>
      </w:r>
    </w:p>
    <w:p w14:paraId="051E11CE" w14:textId="77777777" w:rsidR="00091176" w:rsidRPr="00477D7C" w:rsidRDefault="00091176" w:rsidP="00091176">
      <w:pPr>
        <w:pStyle w:val="Heading4"/>
        <w:rPr>
          <w:rFonts w:asciiTheme="majorHAnsi" w:hAnsiTheme="majorHAnsi"/>
        </w:rPr>
      </w:pPr>
      <w:r w:rsidRPr="00477D7C">
        <w:rPr>
          <w:rFonts w:asciiTheme="majorHAnsi" w:eastAsiaTheme="minorHAnsi" w:hAnsiTheme="majorHAnsi"/>
        </w:rPr>
        <w:t>Future population reduction</w:t>
      </w:r>
    </w:p>
    <w:p w14:paraId="6D9DBF76" w14:textId="77777777" w:rsidR="00091176" w:rsidRPr="00477D7C" w:rsidRDefault="00091176" w:rsidP="00091176">
      <w:pPr>
        <w:keepLines/>
        <w:rPr>
          <w:rFonts w:asciiTheme="majorHAnsi" w:hAnsiTheme="majorHAnsi"/>
          <w:lang w:eastAsia="ja-JP"/>
        </w:rPr>
      </w:pPr>
      <w:r w:rsidRPr="00477D7C">
        <w:rPr>
          <w:rFonts w:asciiTheme="majorHAnsi" w:hAnsiTheme="majorHAnsi"/>
          <w:lang w:eastAsia="ja-JP"/>
        </w:rPr>
        <w:t xml:space="preserve">Recent (2023) surveys of the Jerrabomberra subpopulation show a downward trend, including no individuals seen at Jerrabomberra East Grasslands. Due to natural fluctuations in population size, it is difficult to determine if this is a genuine population reduction or a downward phase of population fluctuation. If the subpopulation does not recover then permanent decline may occur, but this cannot be forecast with confidence. </w:t>
      </w:r>
    </w:p>
    <w:p w14:paraId="57C6F179" w14:textId="77777777" w:rsidR="00091176" w:rsidRPr="00477D7C" w:rsidRDefault="00091176" w:rsidP="00091176">
      <w:pPr>
        <w:keepLines/>
        <w:rPr>
          <w:rFonts w:asciiTheme="majorHAnsi" w:hAnsiTheme="majorHAnsi"/>
          <w:lang w:eastAsia="ja-JP"/>
        </w:rPr>
      </w:pPr>
      <w:r w:rsidRPr="00477D7C">
        <w:rPr>
          <w:rFonts w:asciiTheme="majorHAnsi" w:hAnsiTheme="majorHAnsi"/>
          <w:lang w:eastAsia="ja-JP"/>
        </w:rPr>
        <w:t>At the Lawson subpopulation, 2023 surveys revealed a subpopulation size increase, but most plants are concentrated in a new area on a vehicle track (see Disturbance ecology), which may be exposed to high risk of future decline if plants fail to persist and suitable habitat is not available elsewhere. The Budjan Galindji subpopulation appears to be stable and future subpopulation declines also cannot be forecast with confidence. As such, there is insufficient information to assess the requirements for listing under A3 or A4.</w:t>
      </w:r>
    </w:p>
    <w:p w14:paraId="062AA679" w14:textId="77777777" w:rsidR="00091176" w:rsidRPr="00477D7C" w:rsidRDefault="00091176" w:rsidP="00091176">
      <w:pPr>
        <w:pStyle w:val="Heading4"/>
        <w:rPr>
          <w:rFonts w:asciiTheme="majorHAnsi" w:hAnsiTheme="majorHAnsi"/>
        </w:rPr>
      </w:pPr>
      <w:r w:rsidRPr="00477D7C">
        <w:rPr>
          <w:rFonts w:asciiTheme="majorHAnsi" w:eastAsiaTheme="minorHAnsi" w:hAnsiTheme="majorHAnsi"/>
        </w:rPr>
        <w:t>Conclusion</w:t>
      </w:r>
    </w:p>
    <w:p w14:paraId="2D411892" w14:textId="77777777" w:rsidR="00091176" w:rsidRDefault="00091176" w:rsidP="00091176">
      <w:pPr>
        <w:rPr>
          <w:rFonts w:asciiTheme="majorHAnsi" w:hAnsiTheme="majorHAnsi"/>
          <w:lang w:eastAsia="ja-JP"/>
        </w:rPr>
      </w:pPr>
      <w:r w:rsidRPr="00477D7C">
        <w:rPr>
          <w:rFonts w:asciiTheme="majorHAnsi" w:hAnsiTheme="majorHAnsi"/>
          <w:lang w:eastAsia="ja-JP"/>
        </w:rPr>
        <w:t>The Committee considers that there is insufficient information to determine the eligibility of the species for listing in any category under this criterion.</w:t>
      </w:r>
    </w:p>
    <w:p w14:paraId="75F2AAF1" w14:textId="77777777" w:rsidR="0043017F" w:rsidRPr="00477D7C" w:rsidRDefault="0043017F" w:rsidP="00091176">
      <w:pPr>
        <w:rPr>
          <w:rFonts w:asciiTheme="majorHAnsi" w:hAnsiTheme="majorHAnsi"/>
          <w:lang w:eastAsia="ja-JP"/>
        </w:rPr>
      </w:pPr>
    </w:p>
    <w:p w14:paraId="35585DC0" w14:textId="77777777" w:rsidR="00091176" w:rsidRPr="00477D7C" w:rsidRDefault="00091176" w:rsidP="00091176">
      <w:pPr>
        <w:pStyle w:val="Caption"/>
        <w:rPr>
          <w:sz w:val="28"/>
          <w:szCs w:val="28"/>
          <w:lang w:eastAsia="ja-JP"/>
        </w:rPr>
      </w:pPr>
      <w:r w:rsidRPr="00477D7C">
        <w:rPr>
          <w:sz w:val="28"/>
          <w:szCs w:val="28"/>
          <w:lang w:eastAsia="ja-JP"/>
        </w:rPr>
        <w:lastRenderedPageBreak/>
        <w:t>Criterion 2 Geographic distribution as indicators for either extent of occurrence AND/OR area of occupancy</w:t>
      </w:r>
    </w:p>
    <w:tbl>
      <w:tblPr>
        <w:tblStyle w:val="TableGrid"/>
        <w:tblW w:w="0" w:type="auto"/>
        <w:tblInd w:w="-34" w:type="dxa"/>
        <w:tblCellMar>
          <w:top w:w="57" w:type="dxa"/>
          <w:bottom w:w="57" w:type="dxa"/>
        </w:tblCellMar>
        <w:tblLook w:val="04A0" w:firstRow="1" w:lastRow="0" w:firstColumn="1" w:lastColumn="0" w:noHBand="0" w:noVBand="1"/>
      </w:tblPr>
      <w:tblGrid>
        <w:gridCol w:w="3245"/>
        <w:gridCol w:w="2049"/>
        <w:gridCol w:w="1858"/>
        <w:gridCol w:w="1898"/>
      </w:tblGrid>
      <w:tr w:rsidR="00091176" w:rsidRPr="00556843" w14:paraId="2665375E" w14:textId="77777777" w:rsidTr="001E4811">
        <w:trPr>
          <w:trHeight w:val="350"/>
        </w:trPr>
        <w:tc>
          <w:tcPr>
            <w:tcW w:w="10738" w:type="dxa"/>
            <w:gridSpan w:val="4"/>
            <w:tcBorders>
              <w:bottom w:val="nil"/>
            </w:tcBorders>
            <w:shd w:val="clear" w:color="auto" w:fill="595959" w:themeFill="text1" w:themeFillTint="A6"/>
            <w:vAlign w:val="center"/>
          </w:tcPr>
          <w:p w14:paraId="1A1157E2" w14:textId="77777777" w:rsidR="00091176" w:rsidRPr="00556843" w:rsidRDefault="00091176" w:rsidP="001E4811">
            <w:pPr>
              <w:keepNext/>
              <w:tabs>
                <w:tab w:val="left" w:pos="284"/>
              </w:tabs>
              <w:ind w:left="1452" w:hanging="1452"/>
              <w:rPr>
                <w:rFonts w:ascii="Arial" w:hAnsi="Arial" w:cs="Arial"/>
                <w:b/>
                <w:color w:val="FFFFFF" w:themeColor="background1"/>
              </w:rPr>
            </w:pPr>
          </w:p>
        </w:tc>
      </w:tr>
      <w:tr w:rsidR="00091176" w:rsidRPr="00556843" w14:paraId="10FDF065" w14:textId="77777777" w:rsidTr="001E4811">
        <w:tc>
          <w:tcPr>
            <w:tcW w:w="4111" w:type="dxa"/>
            <w:tcBorders>
              <w:top w:val="nil"/>
              <w:bottom w:val="nil"/>
              <w:right w:val="nil"/>
            </w:tcBorders>
          </w:tcPr>
          <w:p w14:paraId="1409E8D1" w14:textId="77777777" w:rsidR="00091176" w:rsidRPr="00556843" w:rsidRDefault="00091176" w:rsidP="001E4811">
            <w:pPr>
              <w:pStyle w:val="TableText"/>
              <w:keepNext/>
            </w:pPr>
            <w:r w:rsidRPr="00AE31DA">
              <w:rPr>
                <w:color w:val="FFFFFF" w:themeColor="background1"/>
              </w:rPr>
              <w:t>–</w:t>
            </w:r>
          </w:p>
        </w:tc>
        <w:tc>
          <w:tcPr>
            <w:tcW w:w="2268" w:type="dxa"/>
            <w:tcBorders>
              <w:top w:val="single" w:sz="4" w:space="0" w:color="FFFFFF" w:themeColor="background1"/>
              <w:left w:val="nil"/>
              <w:bottom w:val="nil"/>
              <w:right w:val="single" w:sz="4" w:space="0" w:color="FFFFFF" w:themeColor="background1"/>
            </w:tcBorders>
            <w:shd w:val="clear" w:color="auto" w:fill="FF0000"/>
          </w:tcPr>
          <w:p w14:paraId="5B356155" w14:textId="77777777" w:rsidR="00091176" w:rsidRPr="00795F43" w:rsidRDefault="00091176" w:rsidP="001E4811">
            <w:pPr>
              <w:pStyle w:val="TableText"/>
              <w:keepNext/>
              <w:rPr>
                <w:rStyle w:val="Strong"/>
              </w:rPr>
            </w:pPr>
            <w:r w:rsidRPr="00795F43">
              <w:rPr>
                <w:rStyle w:val="Strong"/>
              </w:rPr>
              <w:t>Critically Endangered</w:t>
            </w:r>
          </w:p>
          <w:p w14:paraId="29E3D7B1" w14:textId="77777777" w:rsidR="00091176" w:rsidRPr="00556843" w:rsidRDefault="00091176" w:rsidP="001E4811">
            <w:pPr>
              <w:pStyle w:val="TableText"/>
              <w:keepNext/>
              <w:rPr>
                <w:b/>
              </w:rPr>
            </w:pPr>
            <w:r w:rsidRPr="00795F43">
              <w:rPr>
                <w:rStyle w:val="Strong"/>
              </w:rPr>
              <w:t>Very restricted</w:t>
            </w:r>
          </w:p>
        </w:tc>
        <w:tc>
          <w:tcPr>
            <w:tcW w:w="21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6600"/>
          </w:tcPr>
          <w:p w14:paraId="24D664AA" w14:textId="77777777" w:rsidR="00091176" w:rsidRPr="00556843" w:rsidRDefault="00091176" w:rsidP="001E4811">
            <w:pPr>
              <w:pStyle w:val="TableText"/>
              <w:keepNext/>
              <w:rPr>
                <w:b/>
              </w:rPr>
            </w:pPr>
            <w:r w:rsidRPr="00556843">
              <w:rPr>
                <w:b/>
              </w:rPr>
              <w:t>Endangered</w:t>
            </w:r>
          </w:p>
          <w:p w14:paraId="4FE08C8C" w14:textId="77777777" w:rsidR="00091176" w:rsidRPr="00556843" w:rsidRDefault="00091176" w:rsidP="001E4811">
            <w:pPr>
              <w:pStyle w:val="TableText"/>
              <w:keepNext/>
              <w:rPr>
                <w:b/>
              </w:rPr>
            </w:pPr>
            <w:r w:rsidRPr="00556843">
              <w:rPr>
                <w:b/>
              </w:rPr>
              <w:t>Restricted</w:t>
            </w:r>
          </w:p>
        </w:tc>
        <w:tc>
          <w:tcPr>
            <w:tcW w:w="2232" w:type="dxa"/>
            <w:tcBorders>
              <w:top w:val="single" w:sz="4" w:space="0" w:color="FFFFFF" w:themeColor="background1"/>
              <w:left w:val="single" w:sz="4" w:space="0" w:color="FFFFFF" w:themeColor="background1"/>
              <w:bottom w:val="nil"/>
            </w:tcBorders>
            <w:shd w:val="clear" w:color="auto" w:fill="FFFF00"/>
          </w:tcPr>
          <w:p w14:paraId="747CB8F0" w14:textId="77777777" w:rsidR="00091176" w:rsidRPr="00556843" w:rsidRDefault="00091176" w:rsidP="001E4811">
            <w:pPr>
              <w:pStyle w:val="TableText"/>
              <w:keepNext/>
              <w:rPr>
                <w:b/>
              </w:rPr>
            </w:pPr>
            <w:r w:rsidRPr="00556843">
              <w:rPr>
                <w:b/>
              </w:rPr>
              <w:t>Vulnerable</w:t>
            </w:r>
          </w:p>
          <w:p w14:paraId="6FCFC679" w14:textId="77777777" w:rsidR="00091176" w:rsidRPr="00556843" w:rsidRDefault="00091176" w:rsidP="001E4811">
            <w:pPr>
              <w:pStyle w:val="TableText"/>
              <w:keepNext/>
              <w:rPr>
                <w:b/>
              </w:rPr>
            </w:pPr>
            <w:r w:rsidRPr="00556843">
              <w:rPr>
                <w:b/>
              </w:rPr>
              <w:t>Limited</w:t>
            </w:r>
          </w:p>
        </w:tc>
      </w:tr>
      <w:tr w:rsidR="00091176" w:rsidRPr="00556843" w14:paraId="0B1EC1A8" w14:textId="77777777" w:rsidTr="001E4811">
        <w:tc>
          <w:tcPr>
            <w:tcW w:w="4111" w:type="dxa"/>
            <w:tcBorders>
              <w:top w:val="nil"/>
              <w:left w:val="single" w:sz="4" w:space="0" w:color="auto"/>
              <w:bottom w:val="single" w:sz="4" w:space="0" w:color="FFFFFF" w:themeColor="background1"/>
              <w:right w:val="nil"/>
            </w:tcBorders>
            <w:shd w:val="clear" w:color="auto" w:fill="BFBFBF" w:themeFill="background1" w:themeFillShade="BF"/>
          </w:tcPr>
          <w:p w14:paraId="78FBFD79" w14:textId="77777777" w:rsidR="00091176" w:rsidRPr="00556843" w:rsidRDefault="00091176" w:rsidP="001E4811">
            <w:pPr>
              <w:pStyle w:val="TableText"/>
              <w:keepNext/>
              <w:ind w:left="492" w:hanging="492"/>
            </w:pPr>
            <w:r w:rsidRPr="00936152">
              <w:rPr>
                <w:rStyle w:val="Strong"/>
              </w:rPr>
              <w:t>B1.</w:t>
            </w:r>
            <w:r w:rsidRPr="00556843">
              <w:tab/>
              <w:t>Extent of occurrence (EOO)</w:t>
            </w:r>
          </w:p>
        </w:tc>
        <w:tc>
          <w:tcPr>
            <w:tcW w:w="2268" w:type="dxa"/>
            <w:tcBorders>
              <w:top w:val="nil"/>
              <w:left w:val="nil"/>
              <w:bottom w:val="single" w:sz="4" w:space="0" w:color="FFFFFF" w:themeColor="background1"/>
              <w:right w:val="single" w:sz="4" w:space="0" w:color="FFFFFF" w:themeColor="background1"/>
            </w:tcBorders>
            <w:shd w:val="clear" w:color="auto" w:fill="FF7C80"/>
          </w:tcPr>
          <w:p w14:paraId="7638004B" w14:textId="77777777" w:rsidR="00091176" w:rsidRPr="00556843" w:rsidRDefault="00091176" w:rsidP="001E4811">
            <w:pPr>
              <w:pStyle w:val="TableText"/>
              <w:keepNext/>
              <w:rPr>
                <w:b/>
              </w:rPr>
            </w:pPr>
            <w:r w:rsidRPr="00556843">
              <w:rPr>
                <w:b/>
              </w:rPr>
              <w:t>&lt; 100 km</w:t>
            </w:r>
            <w:r w:rsidRPr="00556843">
              <w:rPr>
                <w:b/>
                <w:vertAlign w:val="superscript"/>
              </w:rPr>
              <w:t>2</w:t>
            </w:r>
          </w:p>
        </w:tc>
        <w:tc>
          <w:tcPr>
            <w:tcW w:w="212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tcPr>
          <w:p w14:paraId="5D702878" w14:textId="77777777" w:rsidR="00091176" w:rsidRPr="00556843" w:rsidRDefault="00091176" w:rsidP="001E4811">
            <w:pPr>
              <w:pStyle w:val="TableText"/>
              <w:keepNext/>
            </w:pPr>
            <w:r w:rsidRPr="00556843">
              <w:rPr>
                <w:b/>
              </w:rPr>
              <w:t>&lt; 5,000 km</w:t>
            </w:r>
            <w:r w:rsidRPr="00556843">
              <w:rPr>
                <w:b/>
                <w:vertAlign w:val="superscript"/>
              </w:rPr>
              <w:t>2</w:t>
            </w:r>
          </w:p>
        </w:tc>
        <w:tc>
          <w:tcPr>
            <w:tcW w:w="2232" w:type="dxa"/>
            <w:tcBorders>
              <w:top w:val="nil"/>
              <w:left w:val="single" w:sz="4" w:space="0" w:color="FFFFFF" w:themeColor="background1"/>
              <w:bottom w:val="single" w:sz="4" w:space="0" w:color="FFFFFF" w:themeColor="background1"/>
            </w:tcBorders>
            <w:shd w:val="clear" w:color="auto" w:fill="FFFF66"/>
          </w:tcPr>
          <w:p w14:paraId="32CD5ABD" w14:textId="77777777" w:rsidR="00091176" w:rsidRPr="00556843" w:rsidRDefault="00091176" w:rsidP="001E4811">
            <w:pPr>
              <w:pStyle w:val="TableText"/>
              <w:keepNext/>
            </w:pPr>
            <w:r w:rsidRPr="00556843">
              <w:rPr>
                <w:b/>
              </w:rPr>
              <w:t>&lt; 20,000 km</w:t>
            </w:r>
            <w:r w:rsidRPr="00556843">
              <w:rPr>
                <w:b/>
                <w:vertAlign w:val="superscript"/>
              </w:rPr>
              <w:t>2</w:t>
            </w:r>
          </w:p>
        </w:tc>
      </w:tr>
      <w:tr w:rsidR="00091176" w:rsidRPr="00556843" w14:paraId="2D8B5287" w14:textId="77777777" w:rsidTr="001E4811">
        <w:tc>
          <w:tcPr>
            <w:tcW w:w="4111" w:type="dxa"/>
            <w:tcBorders>
              <w:top w:val="single" w:sz="4" w:space="0" w:color="FFFFFF" w:themeColor="background1"/>
              <w:left w:val="single" w:sz="4" w:space="0" w:color="auto"/>
              <w:bottom w:val="nil"/>
              <w:right w:val="nil"/>
            </w:tcBorders>
            <w:shd w:val="clear" w:color="auto" w:fill="BFBFBF" w:themeFill="background1" w:themeFillShade="BF"/>
          </w:tcPr>
          <w:p w14:paraId="35F7F7F7" w14:textId="77777777" w:rsidR="00091176" w:rsidRPr="00556843" w:rsidRDefault="00091176" w:rsidP="001E4811">
            <w:pPr>
              <w:pStyle w:val="TableText"/>
              <w:keepNext/>
              <w:ind w:left="492" w:hanging="492"/>
            </w:pPr>
            <w:r w:rsidRPr="00936152">
              <w:rPr>
                <w:rStyle w:val="Strong"/>
              </w:rPr>
              <w:t>B2.</w:t>
            </w:r>
            <w:r w:rsidRPr="00556843">
              <w:tab/>
              <w:t>Area of occupancy (AOO)</w:t>
            </w:r>
          </w:p>
        </w:tc>
        <w:tc>
          <w:tcPr>
            <w:tcW w:w="2268" w:type="dxa"/>
            <w:tcBorders>
              <w:top w:val="single" w:sz="4" w:space="0" w:color="FFFFFF" w:themeColor="background1"/>
              <w:left w:val="nil"/>
              <w:bottom w:val="nil"/>
              <w:right w:val="single" w:sz="4" w:space="0" w:color="FFFFFF" w:themeColor="background1"/>
            </w:tcBorders>
            <w:shd w:val="clear" w:color="auto" w:fill="FF7C80"/>
          </w:tcPr>
          <w:p w14:paraId="04F07F79" w14:textId="77777777" w:rsidR="00091176" w:rsidRPr="00556843" w:rsidRDefault="00091176" w:rsidP="001E4811">
            <w:pPr>
              <w:pStyle w:val="TableText"/>
              <w:keepNext/>
              <w:rPr>
                <w:b/>
              </w:rPr>
            </w:pPr>
            <w:r w:rsidRPr="00556843">
              <w:rPr>
                <w:b/>
              </w:rPr>
              <w:t>&lt; 10 km</w:t>
            </w:r>
            <w:r w:rsidRPr="00556843">
              <w:rPr>
                <w:b/>
                <w:vertAlign w:val="superscript"/>
              </w:rPr>
              <w:t>2</w:t>
            </w:r>
          </w:p>
        </w:tc>
        <w:tc>
          <w:tcPr>
            <w:tcW w:w="21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1956F60A" w14:textId="77777777" w:rsidR="00091176" w:rsidRPr="00556843" w:rsidRDefault="00091176" w:rsidP="001E4811">
            <w:pPr>
              <w:pStyle w:val="TableText"/>
              <w:keepNext/>
            </w:pPr>
            <w:r w:rsidRPr="00556843">
              <w:rPr>
                <w:b/>
              </w:rPr>
              <w:t>&lt; 500 km</w:t>
            </w:r>
            <w:r w:rsidRPr="00556843">
              <w:rPr>
                <w:b/>
                <w:vertAlign w:val="superscript"/>
              </w:rPr>
              <w:t>2</w:t>
            </w:r>
          </w:p>
        </w:tc>
        <w:tc>
          <w:tcPr>
            <w:tcW w:w="2232" w:type="dxa"/>
            <w:tcBorders>
              <w:top w:val="single" w:sz="4" w:space="0" w:color="FFFFFF" w:themeColor="background1"/>
              <w:left w:val="single" w:sz="4" w:space="0" w:color="FFFFFF" w:themeColor="background1"/>
              <w:bottom w:val="nil"/>
            </w:tcBorders>
            <w:shd w:val="clear" w:color="auto" w:fill="FFFF66"/>
          </w:tcPr>
          <w:p w14:paraId="38299023" w14:textId="77777777" w:rsidR="00091176" w:rsidRPr="00556843" w:rsidRDefault="00091176" w:rsidP="001E4811">
            <w:pPr>
              <w:pStyle w:val="TableText"/>
              <w:keepNext/>
            </w:pPr>
            <w:r w:rsidRPr="00556843">
              <w:rPr>
                <w:b/>
              </w:rPr>
              <w:t>&lt; 2,000 km</w:t>
            </w:r>
            <w:r w:rsidRPr="00556843">
              <w:rPr>
                <w:b/>
                <w:vertAlign w:val="superscript"/>
              </w:rPr>
              <w:t>2</w:t>
            </w:r>
          </w:p>
        </w:tc>
      </w:tr>
      <w:tr w:rsidR="00091176" w:rsidRPr="00556843" w14:paraId="278EDE83" w14:textId="77777777" w:rsidTr="001E4811">
        <w:tc>
          <w:tcPr>
            <w:tcW w:w="10738" w:type="dxa"/>
            <w:gridSpan w:val="4"/>
            <w:tcBorders>
              <w:top w:val="nil"/>
              <w:bottom w:val="nil"/>
            </w:tcBorders>
          </w:tcPr>
          <w:p w14:paraId="54E9C747" w14:textId="77777777" w:rsidR="00091176" w:rsidRPr="00936152" w:rsidRDefault="00091176" w:rsidP="001E4811">
            <w:pPr>
              <w:pStyle w:val="TableText"/>
              <w:keepNext/>
              <w:rPr>
                <w:rStyle w:val="Strong"/>
              </w:rPr>
            </w:pPr>
            <w:r w:rsidRPr="00936152">
              <w:rPr>
                <w:rStyle w:val="Strong"/>
              </w:rPr>
              <w:t>AND at least 2 of the following 3 conditions:</w:t>
            </w:r>
          </w:p>
        </w:tc>
      </w:tr>
      <w:tr w:rsidR="00091176" w:rsidRPr="00556843" w14:paraId="6CA2FBA9" w14:textId="77777777" w:rsidTr="001E4811">
        <w:tc>
          <w:tcPr>
            <w:tcW w:w="4111" w:type="dxa"/>
            <w:tcBorders>
              <w:top w:val="nil"/>
              <w:bottom w:val="single" w:sz="4" w:space="0" w:color="FFFFFF" w:themeColor="background1"/>
              <w:right w:val="single" w:sz="4" w:space="0" w:color="FFFFFF" w:themeColor="background1"/>
            </w:tcBorders>
            <w:shd w:val="clear" w:color="auto" w:fill="BFBFBF" w:themeFill="background1" w:themeFillShade="BF"/>
          </w:tcPr>
          <w:p w14:paraId="2EFB1AC3" w14:textId="77777777" w:rsidR="00091176" w:rsidRPr="00556843" w:rsidRDefault="00091176" w:rsidP="001E4811">
            <w:pPr>
              <w:pStyle w:val="TableText"/>
              <w:keepNext/>
              <w:ind w:left="492" w:hanging="492"/>
            </w:pPr>
            <w:r w:rsidRPr="00556843">
              <w:t>(a)</w:t>
            </w:r>
            <w:r w:rsidRPr="00556843">
              <w:tab/>
              <w:t>Severely fragmented OR Number of locations</w:t>
            </w:r>
          </w:p>
        </w:tc>
        <w:tc>
          <w:tcPr>
            <w:tcW w:w="2268" w:type="dxa"/>
            <w:tcBorders>
              <w:top w:val="nil"/>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723E7624" w14:textId="77777777" w:rsidR="00091176" w:rsidRPr="00556843" w:rsidRDefault="00091176" w:rsidP="001E4811">
            <w:pPr>
              <w:pStyle w:val="TableText"/>
              <w:keepNext/>
              <w:rPr>
                <w:b/>
              </w:rPr>
            </w:pPr>
            <w:r w:rsidRPr="00556843">
              <w:rPr>
                <w:b/>
              </w:rPr>
              <w:t>= 1</w:t>
            </w:r>
          </w:p>
        </w:tc>
        <w:tc>
          <w:tcPr>
            <w:tcW w:w="212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614731F8" w14:textId="77777777" w:rsidR="00091176" w:rsidRPr="00556843" w:rsidRDefault="00091176" w:rsidP="001E4811">
            <w:pPr>
              <w:pStyle w:val="TableText"/>
              <w:keepNext/>
              <w:rPr>
                <w:b/>
              </w:rPr>
            </w:pPr>
            <w:r w:rsidRPr="00556843">
              <w:rPr>
                <w:b/>
              </w:rPr>
              <w:t>≤ 5</w:t>
            </w:r>
          </w:p>
        </w:tc>
        <w:tc>
          <w:tcPr>
            <w:tcW w:w="2232" w:type="dxa"/>
            <w:tcBorders>
              <w:top w:val="nil"/>
              <w:left w:val="single" w:sz="4" w:space="0" w:color="FFFFFF" w:themeColor="background1"/>
              <w:bottom w:val="single" w:sz="4" w:space="0" w:color="FFFFFF" w:themeColor="background1"/>
            </w:tcBorders>
            <w:shd w:val="clear" w:color="auto" w:fill="FFFF66"/>
            <w:vAlign w:val="center"/>
          </w:tcPr>
          <w:p w14:paraId="0354F0B5" w14:textId="77777777" w:rsidR="00091176" w:rsidRPr="00556843" w:rsidRDefault="00091176" w:rsidP="001E4811">
            <w:pPr>
              <w:pStyle w:val="TableText"/>
              <w:keepNext/>
              <w:rPr>
                <w:b/>
              </w:rPr>
            </w:pPr>
            <w:r w:rsidRPr="00556843">
              <w:rPr>
                <w:b/>
              </w:rPr>
              <w:t>≤ 10</w:t>
            </w:r>
          </w:p>
        </w:tc>
      </w:tr>
      <w:tr w:rsidR="00091176" w:rsidRPr="00556843" w14:paraId="0971F53F" w14:textId="77777777" w:rsidTr="001E4811">
        <w:tc>
          <w:tcPr>
            <w:tcW w:w="10738" w:type="dxa"/>
            <w:gridSpan w:val="4"/>
            <w:tcBorders>
              <w:top w:val="single" w:sz="4" w:space="0" w:color="FFFFFF" w:themeColor="background1"/>
              <w:bottom w:val="single" w:sz="4" w:space="0" w:color="FFFFFF" w:themeColor="background1"/>
            </w:tcBorders>
            <w:shd w:val="clear" w:color="auto" w:fill="BFBFBF" w:themeFill="background1" w:themeFillShade="BF"/>
          </w:tcPr>
          <w:p w14:paraId="439D6D2B" w14:textId="77777777" w:rsidR="00091176" w:rsidRPr="00556843" w:rsidRDefault="00091176" w:rsidP="001E4811">
            <w:pPr>
              <w:pStyle w:val="TableText"/>
              <w:keepNext/>
              <w:ind w:left="492" w:hanging="492"/>
            </w:pPr>
            <w:r w:rsidRPr="00556843">
              <w:t>(b)</w:t>
            </w:r>
            <w:r w:rsidRPr="00556843">
              <w:tab/>
              <w:t>Continuing decline observed, estimated, inferred or projected in any of: (i) extent of occurrence; (ii) area of occupancy; (iii) area, extent and/or quality of habitat; (iv) number of locations or subpopulations; (v) number of mature individuals</w:t>
            </w:r>
          </w:p>
        </w:tc>
      </w:tr>
      <w:tr w:rsidR="00091176" w:rsidRPr="00556843" w14:paraId="1592B309" w14:textId="77777777" w:rsidTr="001E4811">
        <w:tc>
          <w:tcPr>
            <w:tcW w:w="10738" w:type="dxa"/>
            <w:gridSpan w:val="4"/>
            <w:tcBorders>
              <w:top w:val="single" w:sz="4" w:space="0" w:color="FFFFFF" w:themeColor="background1"/>
            </w:tcBorders>
            <w:shd w:val="clear" w:color="auto" w:fill="BFBFBF" w:themeFill="background1" w:themeFillShade="BF"/>
          </w:tcPr>
          <w:p w14:paraId="73DA3791" w14:textId="77777777" w:rsidR="00091176" w:rsidRPr="00556843" w:rsidRDefault="00091176" w:rsidP="001E4811">
            <w:pPr>
              <w:pStyle w:val="TableText"/>
              <w:ind w:left="492" w:hanging="492"/>
            </w:pPr>
            <w:r w:rsidRPr="00556843">
              <w:t>(c)</w:t>
            </w:r>
            <w:r w:rsidRPr="00556843">
              <w:tab/>
              <w:t>Extreme fluctuations in any of: (i) extent of occurrence; (ii) area of occupancy; (iii) number of locations or subpopulations; (iv) number of mature individuals</w:t>
            </w:r>
          </w:p>
        </w:tc>
      </w:tr>
    </w:tbl>
    <w:p w14:paraId="37EB0F66" w14:textId="77777777" w:rsidR="00091176" w:rsidRPr="00477D7C" w:rsidRDefault="00091176" w:rsidP="00033EA4">
      <w:pPr>
        <w:pStyle w:val="Heading3"/>
        <w:numPr>
          <w:ilvl w:val="0"/>
          <w:numId w:val="0"/>
        </w:numPr>
        <w:rPr>
          <w:sz w:val="28"/>
          <w:szCs w:val="28"/>
          <w:lang w:eastAsia="ja-JP"/>
        </w:rPr>
      </w:pPr>
      <w:r w:rsidRPr="00477D7C">
        <w:rPr>
          <w:sz w:val="28"/>
          <w:szCs w:val="28"/>
          <w:lang w:eastAsia="ja-JP"/>
        </w:rPr>
        <w:t>Criterion 2 evidence</w:t>
      </w:r>
    </w:p>
    <w:p w14:paraId="4FBA9F8F" w14:textId="77777777" w:rsidR="00091176" w:rsidRPr="00477D7C" w:rsidRDefault="00091176" w:rsidP="00091176">
      <w:pPr>
        <w:rPr>
          <w:rStyle w:val="Strong"/>
          <w:rFonts w:asciiTheme="majorHAnsi" w:hAnsiTheme="majorHAnsi"/>
        </w:rPr>
      </w:pPr>
      <w:r w:rsidRPr="00477D7C">
        <w:rPr>
          <w:rStyle w:val="Strong"/>
          <w:rFonts w:asciiTheme="majorHAnsi" w:hAnsiTheme="majorHAnsi"/>
        </w:rPr>
        <w:t>Eligible under Criterion 2 B1ab(</w:t>
      </w:r>
      <w:proofErr w:type="spellStart"/>
      <w:r w:rsidRPr="00477D7C">
        <w:rPr>
          <w:rStyle w:val="Strong"/>
          <w:rFonts w:asciiTheme="majorHAnsi" w:hAnsiTheme="majorHAnsi"/>
        </w:rPr>
        <w:t>i,ii,iii,iv,v</w:t>
      </w:r>
      <w:proofErr w:type="spellEnd"/>
      <w:r w:rsidRPr="00477D7C">
        <w:rPr>
          <w:rStyle w:val="Strong"/>
          <w:rFonts w:asciiTheme="majorHAnsi" w:hAnsiTheme="majorHAnsi"/>
        </w:rPr>
        <w:t xml:space="preserve">)c(iv) for listing as </w:t>
      </w:r>
      <w:sdt>
        <w:sdtPr>
          <w:rPr>
            <w:rStyle w:val="Strong"/>
            <w:rFonts w:asciiTheme="majorHAnsi" w:hAnsiTheme="majorHAnsi"/>
          </w:rPr>
          <w:id w:val="1779288282"/>
          <w:placeholder>
            <w:docPart w:val="40AD8F4BB2864BD2BDF490BBF1521FF3"/>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Extinct" w:value="Extinct"/>
            <w:listItem w:displayText="Extinct in the Wild" w:value="Extinct in the Wild"/>
          </w:dropDownList>
        </w:sdtPr>
        <w:sdtEndPr>
          <w:rPr>
            <w:rStyle w:val="Strong"/>
          </w:rPr>
        </w:sdtEndPr>
        <w:sdtContent>
          <w:r w:rsidRPr="00477D7C">
            <w:rPr>
              <w:rStyle w:val="Strong"/>
              <w:rFonts w:asciiTheme="majorHAnsi" w:hAnsiTheme="majorHAnsi"/>
            </w:rPr>
            <w:t>Critically Endangered</w:t>
          </w:r>
        </w:sdtContent>
      </w:sdt>
    </w:p>
    <w:p w14:paraId="4588132E" w14:textId="77777777" w:rsidR="00091176" w:rsidRPr="00477D7C" w:rsidRDefault="00091176" w:rsidP="00091176">
      <w:pPr>
        <w:pStyle w:val="Heading4"/>
        <w:rPr>
          <w:rFonts w:asciiTheme="majorHAnsi" w:hAnsiTheme="majorHAnsi"/>
        </w:rPr>
      </w:pPr>
      <w:r w:rsidRPr="00477D7C">
        <w:rPr>
          <w:rFonts w:asciiTheme="majorHAnsi" w:eastAsiaTheme="minorHAnsi" w:hAnsiTheme="majorHAnsi"/>
        </w:rPr>
        <w:t>Extent of occurrence (EOO) and area of occupancy (AOO)</w:t>
      </w:r>
    </w:p>
    <w:p w14:paraId="1054AA93" w14:textId="77777777" w:rsidR="00091176" w:rsidRPr="00477D7C" w:rsidRDefault="00091176" w:rsidP="00091176">
      <w:pPr>
        <w:rPr>
          <w:rFonts w:asciiTheme="majorHAnsi" w:hAnsiTheme="majorHAnsi"/>
          <w:bCs/>
          <w:lang w:eastAsia="ja-JP"/>
        </w:rPr>
      </w:pPr>
      <w:r w:rsidRPr="00477D7C">
        <w:rPr>
          <w:rFonts w:asciiTheme="majorHAnsi" w:hAnsiTheme="majorHAnsi"/>
          <w:bCs/>
          <w:lang w:eastAsia="ja-JP"/>
        </w:rPr>
        <w:t>The EOO and AOO of Ginninderra peppercress are estimated at 58 km</w:t>
      </w:r>
      <w:r w:rsidRPr="00477D7C">
        <w:rPr>
          <w:rFonts w:asciiTheme="majorHAnsi" w:hAnsiTheme="majorHAnsi"/>
          <w:bCs/>
          <w:vertAlign w:val="superscript"/>
          <w:lang w:eastAsia="ja-JP"/>
        </w:rPr>
        <w:t>2</w:t>
      </w:r>
      <w:r w:rsidRPr="00477D7C">
        <w:rPr>
          <w:rFonts w:asciiTheme="majorHAnsi" w:hAnsiTheme="majorHAnsi"/>
          <w:bCs/>
          <w:lang w:eastAsia="ja-JP"/>
        </w:rPr>
        <w:t xml:space="preserve"> (very restricted) and 20 km</w:t>
      </w:r>
      <w:r w:rsidRPr="00477D7C">
        <w:rPr>
          <w:rFonts w:asciiTheme="majorHAnsi" w:hAnsiTheme="majorHAnsi"/>
          <w:bCs/>
          <w:vertAlign w:val="superscript"/>
          <w:lang w:eastAsia="ja-JP"/>
        </w:rPr>
        <w:t>2</w:t>
      </w:r>
      <w:r w:rsidRPr="00477D7C">
        <w:rPr>
          <w:rFonts w:asciiTheme="majorHAnsi" w:hAnsiTheme="majorHAnsi"/>
          <w:bCs/>
          <w:lang w:eastAsia="ja-JP"/>
        </w:rPr>
        <w:t xml:space="preserve"> (restricted) respectively (Table 4). These figures are based on the mapping of known accurate point records collected from 2001–2021 obtained from state governments, museums and CSIRO. </w:t>
      </w:r>
      <w:r w:rsidRPr="00477D7C">
        <w:rPr>
          <w:rFonts w:asciiTheme="majorHAnsi" w:hAnsiTheme="majorHAnsi"/>
        </w:rPr>
        <w:t xml:space="preserve"> </w:t>
      </w:r>
      <w:r w:rsidRPr="00477D7C">
        <w:rPr>
          <w:rFonts w:asciiTheme="majorHAnsi" w:hAnsiTheme="majorHAnsi"/>
          <w:bCs/>
          <w:lang w:eastAsia="ja-JP"/>
        </w:rPr>
        <w:t xml:space="preserve">The EOO was calculated using a minimum convex hull. The AOO was calculated using the 2 </w:t>
      </w:r>
      <w:r w:rsidRPr="00477D7C">
        <w:rPr>
          <w:rFonts w:asciiTheme="majorHAnsi" w:hAnsiTheme="majorHAnsi" w:cs="Calibri"/>
          <w:bCs/>
          <w:lang w:eastAsia="ja-JP"/>
        </w:rPr>
        <w:t xml:space="preserve">x </w:t>
      </w:r>
      <w:r w:rsidRPr="00477D7C">
        <w:rPr>
          <w:rFonts w:asciiTheme="majorHAnsi" w:hAnsiTheme="majorHAnsi"/>
          <w:bCs/>
          <w:lang w:eastAsia="ja-JP"/>
        </w:rPr>
        <w:t>2 km grid cell method, as outlined in the IUCN Red List Guidelines (IUCN 2022).</w:t>
      </w:r>
    </w:p>
    <w:p w14:paraId="1B207B3B" w14:textId="77777777" w:rsidR="00091176" w:rsidRPr="00477D7C" w:rsidRDefault="00091176" w:rsidP="00091176">
      <w:pPr>
        <w:rPr>
          <w:rFonts w:asciiTheme="majorHAnsi" w:hAnsiTheme="majorHAnsi"/>
          <w:lang w:eastAsia="ja-JP"/>
        </w:rPr>
      </w:pPr>
      <w:bookmarkStart w:id="6" w:name="_Hlk98168428"/>
      <w:r w:rsidRPr="00477D7C">
        <w:rPr>
          <w:rFonts w:asciiTheme="majorHAnsi" w:hAnsiTheme="majorHAnsi"/>
          <w:lang w:eastAsia="ja-JP"/>
        </w:rPr>
        <w:t>The species’ EOO and AOO appear to meet the thresholds for listing as Critically Endangered under B1 (EOO &lt;100 km</w:t>
      </w:r>
      <w:r w:rsidRPr="00477D7C">
        <w:rPr>
          <w:rFonts w:asciiTheme="majorHAnsi" w:hAnsiTheme="majorHAnsi"/>
          <w:vertAlign w:val="superscript"/>
          <w:lang w:eastAsia="ja-JP"/>
        </w:rPr>
        <w:t>2</w:t>
      </w:r>
      <w:r w:rsidRPr="00477D7C">
        <w:rPr>
          <w:rFonts w:asciiTheme="majorHAnsi" w:hAnsiTheme="majorHAnsi"/>
          <w:lang w:eastAsia="ja-JP"/>
        </w:rPr>
        <w:t>) and Endangered under B2 (AOO &lt;500 km</w:t>
      </w:r>
      <w:r w:rsidRPr="00477D7C">
        <w:rPr>
          <w:rFonts w:asciiTheme="majorHAnsi" w:hAnsiTheme="majorHAnsi"/>
          <w:vertAlign w:val="superscript"/>
          <w:lang w:eastAsia="ja-JP"/>
        </w:rPr>
        <w:t>2</w:t>
      </w:r>
      <w:r w:rsidRPr="00477D7C">
        <w:rPr>
          <w:rFonts w:asciiTheme="majorHAnsi" w:hAnsiTheme="majorHAnsi"/>
          <w:lang w:eastAsia="ja-JP"/>
        </w:rPr>
        <w:t>).</w:t>
      </w:r>
      <w:bookmarkEnd w:id="6"/>
    </w:p>
    <w:p w14:paraId="48245841" w14:textId="77777777" w:rsidR="00091176" w:rsidRPr="00477D7C" w:rsidRDefault="00091176" w:rsidP="00091176">
      <w:pPr>
        <w:pStyle w:val="Heading4"/>
        <w:rPr>
          <w:rFonts w:asciiTheme="majorHAnsi" w:hAnsiTheme="majorHAnsi"/>
        </w:rPr>
      </w:pPr>
      <w:r w:rsidRPr="00477D7C">
        <w:rPr>
          <w:rFonts w:asciiTheme="majorHAnsi" w:eastAsiaTheme="minorHAnsi" w:hAnsiTheme="majorHAnsi"/>
        </w:rPr>
        <w:t>Severely fragmented</w:t>
      </w:r>
    </w:p>
    <w:p w14:paraId="355A9CF1" w14:textId="77777777" w:rsidR="00091176" w:rsidRPr="00477D7C" w:rsidRDefault="00091176" w:rsidP="00091176">
      <w:pPr>
        <w:keepLines/>
        <w:rPr>
          <w:rFonts w:asciiTheme="majorHAnsi" w:hAnsiTheme="majorHAnsi"/>
          <w:lang w:eastAsia="ja-JP"/>
        </w:rPr>
      </w:pPr>
      <w:r w:rsidRPr="00477D7C">
        <w:rPr>
          <w:rFonts w:asciiTheme="majorHAnsi" w:hAnsiTheme="majorHAnsi"/>
          <w:lang w:eastAsia="ja-JP"/>
        </w:rPr>
        <w:t>The species is severely fragmented. It only occurs in specific microhabitats within the highly fragmented Natural Temperate Grasslands of the South Eastern Highlands ecological community, and this habitat fragmentation is inferred to be resulting in population fragmentation. Subpopulations may not be viable due to the small subpopulation sizes and the threats facing the species, as evidenced by the likely extinction of the Reid subpopulation and apparent declines at the Lawson subpopulation. Subpopulations that go extinct are unlikely to be recolonised due to the distances between subpopulations, habitat fragmentation and inefficient long-distance dispersal of diaspores (Table 4).</w:t>
      </w:r>
    </w:p>
    <w:p w14:paraId="70438F88" w14:textId="77777777" w:rsidR="00091176" w:rsidRPr="00477D7C" w:rsidRDefault="00091176" w:rsidP="00091176">
      <w:pPr>
        <w:pStyle w:val="Heading4"/>
        <w:rPr>
          <w:rFonts w:asciiTheme="majorHAnsi" w:hAnsiTheme="majorHAnsi"/>
        </w:rPr>
      </w:pPr>
      <w:r w:rsidRPr="00477D7C">
        <w:rPr>
          <w:rFonts w:asciiTheme="majorHAnsi" w:eastAsiaTheme="minorHAnsi" w:hAnsiTheme="majorHAnsi"/>
        </w:rPr>
        <w:lastRenderedPageBreak/>
        <w:t>Number of locations</w:t>
      </w:r>
    </w:p>
    <w:p w14:paraId="6AE64745" w14:textId="77777777" w:rsidR="00091176" w:rsidRPr="00477D7C" w:rsidRDefault="00091176" w:rsidP="00091176">
      <w:pPr>
        <w:keepLines/>
        <w:rPr>
          <w:rFonts w:asciiTheme="majorHAnsi" w:hAnsiTheme="majorHAnsi"/>
          <w:lang w:eastAsia="ja-JP"/>
        </w:rPr>
      </w:pPr>
      <w:r w:rsidRPr="00477D7C">
        <w:rPr>
          <w:rFonts w:asciiTheme="majorHAnsi" w:hAnsiTheme="majorHAnsi"/>
          <w:lang w:eastAsia="ja-JP"/>
        </w:rPr>
        <w:t>Ginninderra peppercress is estimated to occur at four locations, with a plausible range of 1</w:t>
      </w:r>
      <w:r w:rsidRPr="00477D7C">
        <w:rPr>
          <w:rFonts w:asciiTheme="majorHAnsi" w:hAnsiTheme="majorHAnsi"/>
        </w:rPr>
        <w:t>–4</w:t>
      </w:r>
      <w:r w:rsidRPr="00477D7C">
        <w:rPr>
          <w:rFonts w:asciiTheme="majorHAnsi" w:hAnsiTheme="majorHAnsi"/>
          <w:lang w:eastAsia="ja-JP"/>
        </w:rPr>
        <w:t xml:space="preserve">. The location risk exposure to the species is related to the drivers of population size fluctuations and the most serious plausible threats of competitive exclusion, weed invasion, changes to site hydrology, drought, and inappropriate vegetation and soil disturbance, most of which have impacted one subpopulation (Lawson) and could feasibly impact all other subpopulations (Table 1 &amp; 2). </w:t>
      </w:r>
    </w:p>
    <w:p w14:paraId="1F490D71"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Population size fluctuations in Ginninderra peppercress appear to be driven by factors operating at the landscape and the site scale. Regional climate influences biomass levels, droughts, and grazer (macropod) populations and are likely to affect the population uniformly (driving synchronous population change across all subpopulations), suggesting one location. However Ginninderra peppercress appears to undergo asynchronous population size fluctuations at the subpopulation and individual site scale (recognising Jerrabomberra East Grasslands and Bonshaw as separate sites) because land management, weed populations and grazing controls have been shown to independently affect subpopulation sizes (Table 1). Therefore, the most plausible number of locations is four.</w:t>
      </w:r>
    </w:p>
    <w:p w14:paraId="509566C4" w14:textId="77777777" w:rsidR="00091176" w:rsidRPr="00477D7C" w:rsidRDefault="00091176" w:rsidP="00091176">
      <w:pPr>
        <w:pStyle w:val="Heading4"/>
        <w:rPr>
          <w:rFonts w:asciiTheme="majorHAnsi" w:hAnsiTheme="majorHAnsi"/>
        </w:rPr>
      </w:pPr>
      <w:r w:rsidRPr="00477D7C">
        <w:rPr>
          <w:rFonts w:asciiTheme="majorHAnsi" w:eastAsiaTheme="minorHAnsi" w:hAnsiTheme="majorHAnsi"/>
        </w:rPr>
        <w:t>Continuing decline</w:t>
      </w:r>
    </w:p>
    <w:p w14:paraId="0E944852"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The number of mature individuals at Lawson is likely to have declined in recent years, with three targeted surveys from 2018 to 2020 failing to locate any individuals. In 2023 more comprehensive surveys recorded a large number of individuals in a new area of the site where most plants have colonised a vehicle track (Table 1, Disturbance ecology). Habitat quality at Lawson has severely declined as a result of significant biomass accumulation, which is likely to be driven by interactions between regional climate, growth of exotic grass and broadleaf weeds, and low grazing pressure (Table 2) (ACTG 2023. pers comm 7 March). Recent surveys also detected fewer mature individuals at the Jerrabomberra subpopulation including no individuals at Jerrabomberra East, which poses a risk of decline if the subpopulation fails to recover. A decline in mature individuals at Budjan Galindji Grasslands Nature Reserve is inferred as two of the twelve colonies of Ginninderra peppercress, recorded during the 2015 survey, were never re-discovered (see Distribution), although the impact of this decline on the total population size is unclear based on the available monitoring data.</w:t>
      </w:r>
    </w:p>
    <w:p w14:paraId="69A72078"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 xml:space="preserve">The soil-stored seed bank of Ginninderra peppercress provides the species with some resilience to year-to-year variation in site conditions. However, most subpopulation surveys always recorded mature individuals at each subpopulation, and subpopulation size fluctuations have never dropped to zero until this was observed in the recent surveys at Lawson and at Jerrabomberra East Grasslands (Table 1). At Lawson, plants have colonised new areas of the site due to low habitat quality at previously occupied sites and these new plants may only partially compensate for declines in formerly occupied areas. </w:t>
      </w:r>
    </w:p>
    <w:p w14:paraId="4B957BA7"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Therefore, it is likely that the Lawson subpopulation and possibly the Jerrabomberra subpopulation are at risk of genuine declines in the number of mature individuals. If habitat conditions do not improve and the species does not recover (i.e. from a seed bank), then the loss of plants at Lawson will drive projected decline in the extent of occurrence, area of occupancy, area of habitat, and the number of locations and subpopulations.</w:t>
      </w:r>
    </w:p>
    <w:p w14:paraId="40B58A43" w14:textId="77777777" w:rsidR="00091176" w:rsidRPr="00477D7C" w:rsidRDefault="00091176" w:rsidP="00091176">
      <w:pPr>
        <w:keepLines/>
        <w:rPr>
          <w:rFonts w:asciiTheme="majorHAnsi" w:hAnsiTheme="majorHAnsi"/>
          <w:lang w:eastAsia="ja-JP"/>
        </w:rPr>
      </w:pPr>
      <w:r w:rsidRPr="00477D7C">
        <w:rPr>
          <w:rFonts w:asciiTheme="majorHAnsi" w:hAnsiTheme="majorHAnsi"/>
          <w:lang w:eastAsia="ja-JP"/>
        </w:rPr>
        <w:lastRenderedPageBreak/>
        <w:t>Across all extant subpopulations of Ginninderra peppercress, the historic distribution may have been much greater than the current distribution. The historic extent of suitable habitat likely declined as native grasslands were destroyed for agricultural and urban developments (Table 2), however specific losses are unable to be confirmed due to a lack of historic records in herbaria or other sources. The species is currently known from subpopulations in secure tenure or proposed to be transferred to secure tenure, and on current knowledge there are unlikely to be ongoing declines associated with development. However, there may be indirect impacts to the species arising from urban developments and construction works, for example through increased public use pressure or weed spread in urban landscapes.</w:t>
      </w:r>
    </w:p>
    <w:p w14:paraId="0F8608F4" w14:textId="77777777" w:rsidR="00091176" w:rsidRPr="00477D7C" w:rsidRDefault="00091176" w:rsidP="00091176">
      <w:pPr>
        <w:keepLines/>
        <w:rPr>
          <w:rFonts w:asciiTheme="majorHAnsi" w:hAnsiTheme="majorHAnsi"/>
          <w:lang w:eastAsia="ja-JP"/>
        </w:rPr>
      </w:pPr>
      <w:r w:rsidRPr="00477D7C">
        <w:rPr>
          <w:rFonts w:asciiTheme="majorHAnsi" w:hAnsiTheme="majorHAnsi"/>
          <w:lang w:eastAsia="ja-JP"/>
        </w:rPr>
        <w:t>Declines in habitat quality have been observed at Lawson, Budjan Galindji and Jerrabomberra in recent years (Table 2) and inferred at Budjan Galindji in 2015 (see Distribution). The species has complex habitat requirements, and inappropriate soil and vegetation disturbance, including lack of biomass disturbance, is reducing habitat suitability which will limit recruitment, survivorship of seedlings and mature individuals, and deplete the seedbank over time if mature individuals fail to recover. This ongoing threat is therefore driving continuing decline in habitat quality. While the seedbank may offer some resilience to short-term disturbances, if habitat quality is not restored then the seedbank will be depleted and the species’ capacity for population recovery will decline.</w:t>
      </w:r>
    </w:p>
    <w:p w14:paraId="24123F9A" w14:textId="77777777" w:rsidR="00091176" w:rsidRPr="00477D7C" w:rsidRDefault="00091176" w:rsidP="00091176">
      <w:pPr>
        <w:keepLines/>
        <w:rPr>
          <w:rFonts w:asciiTheme="majorHAnsi" w:hAnsiTheme="majorHAnsi"/>
          <w:lang w:eastAsia="ja-JP"/>
        </w:rPr>
      </w:pPr>
      <w:r w:rsidRPr="00477D7C">
        <w:rPr>
          <w:rFonts w:asciiTheme="majorHAnsi" w:hAnsiTheme="majorHAnsi"/>
          <w:lang w:eastAsia="ja-JP"/>
        </w:rPr>
        <w:t xml:space="preserve">Therefore, the species meets the requirement for </w:t>
      </w:r>
      <w:r w:rsidRPr="00477D7C">
        <w:rPr>
          <w:rFonts w:asciiTheme="majorHAnsi" w:hAnsiTheme="majorHAnsi"/>
          <w:bCs/>
          <w:lang w:eastAsia="ja-JP"/>
        </w:rPr>
        <w:t xml:space="preserve">estimated </w:t>
      </w:r>
      <w:r w:rsidRPr="00477D7C">
        <w:rPr>
          <w:rFonts w:asciiTheme="majorHAnsi" w:hAnsiTheme="majorHAnsi"/>
          <w:lang w:eastAsia="ja-JP"/>
        </w:rPr>
        <w:t xml:space="preserve">continuing decline </w:t>
      </w:r>
      <w:r w:rsidRPr="00477D7C">
        <w:rPr>
          <w:rFonts w:asciiTheme="majorHAnsi" w:hAnsiTheme="majorHAnsi"/>
          <w:bCs/>
          <w:lang w:eastAsia="ja-JP"/>
        </w:rPr>
        <w:t xml:space="preserve">for the number of mature individuals, </w:t>
      </w:r>
      <w:r w:rsidRPr="00477D7C">
        <w:rPr>
          <w:rFonts w:asciiTheme="majorHAnsi" w:hAnsiTheme="majorHAnsi"/>
          <w:lang w:eastAsia="ja-JP"/>
        </w:rPr>
        <w:t>projected continuing decline in extent of occurrence, area of occupancy, and number of locations or subpopulations, and inferred continuing decline in area, extent and/or quality of habitat.</w:t>
      </w:r>
    </w:p>
    <w:p w14:paraId="6B1EAAF1" w14:textId="77777777" w:rsidR="00091176" w:rsidRPr="00477D7C" w:rsidRDefault="00091176" w:rsidP="00091176">
      <w:pPr>
        <w:pStyle w:val="Heading4"/>
        <w:rPr>
          <w:rFonts w:asciiTheme="majorHAnsi" w:hAnsiTheme="majorHAnsi"/>
        </w:rPr>
      </w:pPr>
      <w:r w:rsidRPr="00477D7C">
        <w:rPr>
          <w:rFonts w:asciiTheme="majorHAnsi" w:eastAsiaTheme="minorHAnsi" w:hAnsiTheme="majorHAnsi"/>
        </w:rPr>
        <w:t>Extreme fluctuations</w:t>
      </w:r>
    </w:p>
    <w:p w14:paraId="1290E201" w14:textId="77777777" w:rsidR="00091176" w:rsidRPr="00477D7C" w:rsidRDefault="00091176" w:rsidP="00091176">
      <w:pPr>
        <w:keepLines/>
        <w:rPr>
          <w:rFonts w:asciiTheme="majorHAnsi" w:hAnsiTheme="majorHAnsi"/>
          <w:lang w:eastAsia="ja-JP"/>
        </w:rPr>
      </w:pPr>
      <w:r w:rsidRPr="00477D7C">
        <w:rPr>
          <w:rFonts w:asciiTheme="majorHAnsi" w:hAnsiTheme="majorHAnsi"/>
          <w:lang w:eastAsia="ja-JP"/>
        </w:rPr>
        <w:t xml:space="preserve">Under IUCN guidelines, extreme fluctuations occur when population size undergo a tenfold increase or decrease, which can be diagnosed based on population trajectories or inferred based on the life history of the species (IUCN 2022). At Lawson, past fluctuations in subpopulation size range from fewer than 100 up to several thousand mature individuals, while at the remaining subpopulations, which are smaller overall, fluctuations range up to 1000 or more individuals (Table 1). The factors that contribute to these fluctuations are not all documented but likely to be strongly related to interactions between site productivity and disturbance. Habitat suitability for Ginninderra peppercress declines as vegetation cover increases, which correlates with population decline due to competitive exclusion (see Disturbance ecology). </w:t>
      </w:r>
    </w:p>
    <w:p w14:paraId="5B3AFCFB" w14:textId="77777777" w:rsidR="00091176" w:rsidRPr="00477D7C" w:rsidRDefault="00091176" w:rsidP="00091176">
      <w:pPr>
        <w:rPr>
          <w:rFonts w:asciiTheme="majorHAnsi" w:hAnsiTheme="majorHAnsi"/>
          <w:lang w:eastAsia="ja-JP"/>
        </w:rPr>
      </w:pPr>
      <w:r w:rsidRPr="00477D7C">
        <w:rPr>
          <w:rFonts w:asciiTheme="majorHAnsi" w:hAnsiTheme="majorHAnsi"/>
          <w:lang w:eastAsia="ja-JP"/>
        </w:rPr>
        <w:t xml:space="preserve">Patterns of fluctuation across all three subpopulations appear to be largely asynchronous (Table 1), and there is currently no evidence that fluctuations are triggered by specific disturbance events (noting positive germination responses to smoke suggests the seed may have fire-related germination cues) (see Relevant biology and ecology). </w:t>
      </w:r>
    </w:p>
    <w:p w14:paraId="01080101" w14:textId="77777777" w:rsidR="00091176" w:rsidRPr="00477D7C" w:rsidRDefault="00091176" w:rsidP="00091176">
      <w:pPr>
        <w:rPr>
          <w:rFonts w:asciiTheme="majorHAnsi" w:hAnsiTheme="majorHAnsi"/>
          <w:b/>
          <w:bCs/>
          <w:lang w:eastAsia="ja-JP"/>
        </w:rPr>
      </w:pPr>
      <w:r w:rsidRPr="00477D7C">
        <w:rPr>
          <w:rFonts w:asciiTheme="majorHAnsi" w:hAnsiTheme="majorHAnsi"/>
          <w:lang w:eastAsia="ja-JP"/>
        </w:rPr>
        <w:t>Therefore, Ginninderra peppercress meets the requirement for extreme fluctuations of mature individuals under IUCN Guidelines (IUCN 2022). The species is not subject to extreme fluctuations in EOO, AOO, number of subpopulations or locations.</w:t>
      </w:r>
    </w:p>
    <w:p w14:paraId="2B1B3258" w14:textId="77777777" w:rsidR="00091176" w:rsidRPr="00477D7C" w:rsidRDefault="00091176" w:rsidP="00091176">
      <w:pPr>
        <w:pStyle w:val="Heading4"/>
        <w:rPr>
          <w:rFonts w:asciiTheme="majorHAnsi" w:hAnsiTheme="majorHAnsi"/>
        </w:rPr>
      </w:pPr>
      <w:r w:rsidRPr="00477D7C">
        <w:rPr>
          <w:rFonts w:asciiTheme="majorHAnsi" w:eastAsiaTheme="minorHAnsi" w:hAnsiTheme="majorHAnsi"/>
        </w:rPr>
        <w:lastRenderedPageBreak/>
        <w:t>Conclusion</w:t>
      </w:r>
    </w:p>
    <w:p w14:paraId="4D672F8A" w14:textId="77777777" w:rsidR="00091176" w:rsidRPr="00477D7C" w:rsidRDefault="00091176" w:rsidP="00091176">
      <w:pPr>
        <w:keepLines/>
        <w:rPr>
          <w:rFonts w:asciiTheme="majorHAnsi" w:hAnsiTheme="majorHAnsi"/>
          <w:lang w:eastAsia="ja-JP"/>
        </w:rPr>
      </w:pPr>
      <w:r w:rsidRPr="00477D7C">
        <w:rPr>
          <w:rFonts w:asciiTheme="majorHAnsi" w:hAnsiTheme="majorHAnsi"/>
          <w:bCs/>
          <w:lang w:eastAsia="ja-JP"/>
        </w:rPr>
        <w:t xml:space="preserve">The Committee considers that the </w:t>
      </w:r>
      <w:r w:rsidRPr="00477D7C">
        <w:rPr>
          <w:rFonts w:asciiTheme="majorHAnsi" w:hAnsiTheme="majorHAnsi"/>
          <w:lang w:eastAsia="ja-JP"/>
        </w:rPr>
        <w:t xml:space="preserve">Ginninderra peppercress’ </w:t>
      </w:r>
      <w:r w:rsidRPr="00477D7C">
        <w:rPr>
          <w:rFonts w:asciiTheme="majorHAnsi" w:hAnsiTheme="majorHAnsi"/>
          <w:bCs/>
          <w:lang w:eastAsia="ja-JP"/>
        </w:rPr>
        <w:t xml:space="preserve">EOO is very restricted </w:t>
      </w:r>
      <w:r w:rsidRPr="00477D7C">
        <w:rPr>
          <w:rFonts w:asciiTheme="majorHAnsi" w:hAnsiTheme="majorHAnsi"/>
          <w:lang w:eastAsia="ja-JP"/>
        </w:rPr>
        <w:t>(&lt;100 km</w:t>
      </w:r>
      <w:r w:rsidRPr="00477D7C">
        <w:rPr>
          <w:rFonts w:asciiTheme="majorHAnsi" w:hAnsiTheme="majorHAnsi"/>
          <w:vertAlign w:val="superscript"/>
          <w:lang w:eastAsia="ja-JP"/>
        </w:rPr>
        <w:t>2</w:t>
      </w:r>
      <w:r w:rsidRPr="00477D7C">
        <w:rPr>
          <w:rFonts w:asciiTheme="majorHAnsi" w:hAnsiTheme="majorHAnsi"/>
          <w:lang w:eastAsia="ja-JP"/>
        </w:rPr>
        <w:t>)</w:t>
      </w:r>
      <w:r w:rsidRPr="00477D7C">
        <w:rPr>
          <w:rFonts w:asciiTheme="majorHAnsi" w:hAnsiTheme="majorHAnsi"/>
          <w:bCs/>
          <w:lang w:eastAsia="ja-JP"/>
        </w:rPr>
        <w:t xml:space="preserve">, its AOO is restricted </w:t>
      </w:r>
      <w:r w:rsidRPr="00477D7C">
        <w:rPr>
          <w:rFonts w:asciiTheme="majorHAnsi" w:hAnsiTheme="majorHAnsi"/>
          <w:lang w:eastAsia="ja-JP"/>
        </w:rPr>
        <w:t>(&lt;500 km</w:t>
      </w:r>
      <w:r w:rsidRPr="00477D7C">
        <w:rPr>
          <w:rFonts w:asciiTheme="majorHAnsi" w:hAnsiTheme="majorHAnsi"/>
          <w:vertAlign w:val="superscript"/>
          <w:lang w:eastAsia="ja-JP"/>
        </w:rPr>
        <w:t>2</w:t>
      </w:r>
      <w:r w:rsidRPr="00477D7C">
        <w:rPr>
          <w:rFonts w:asciiTheme="majorHAnsi" w:hAnsiTheme="majorHAnsi"/>
          <w:lang w:eastAsia="ja-JP"/>
        </w:rPr>
        <w:t xml:space="preserve">), </w:t>
      </w:r>
      <w:r w:rsidRPr="00477D7C">
        <w:rPr>
          <w:rFonts w:asciiTheme="majorHAnsi" w:hAnsiTheme="majorHAnsi"/>
          <w:bCs/>
          <w:lang w:eastAsia="ja-JP"/>
        </w:rPr>
        <w:t>the geographic distribution is severely fragmented and the number of locations is restricted. T</w:t>
      </w:r>
      <w:r w:rsidRPr="00477D7C">
        <w:rPr>
          <w:rFonts w:asciiTheme="majorHAnsi" w:hAnsiTheme="majorHAnsi"/>
          <w:lang w:eastAsia="ja-JP"/>
        </w:rPr>
        <w:t xml:space="preserve">here are also extreme fluctuations in the number of mature individuals, </w:t>
      </w:r>
      <w:r w:rsidRPr="00477D7C">
        <w:rPr>
          <w:rFonts w:asciiTheme="majorHAnsi" w:hAnsiTheme="majorHAnsi"/>
          <w:bCs/>
          <w:lang w:eastAsia="ja-JP"/>
        </w:rPr>
        <w:t xml:space="preserve">and continuing decline is estimated for the number of mature individuals, projected for extent of occurrence, area of occupancy, and number of locations or subpopulations, and inferred for the area, extent or quality of habitat. Therefore, the species has met the relevant elements of Criterion 2 to make it eligible for listing as </w:t>
      </w:r>
      <w:sdt>
        <w:sdtPr>
          <w:rPr>
            <w:rFonts w:asciiTheme="majorHAnsi" w:hAnsiTheme="majorHAnsi"/>
            <w:color w:val="2B579A"/>
            <w:shd w:val="clear" w:color="auto" w:fill="E6E6E6"/>
          </w:rPr>
          <w:id w:val="-239801411"/>
          <w:placeholder>
            <w:docPart w:val="CB6E453C8A8340F0A10DE8D5C069B0FF"/>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Extinct" w:value="Extinct"/>
            <w:listItem w:displayText="Extinct in the Wild" w:value="Extinct in the Wild"/>
          </w:dropDownList>
        </w:sdtPr>
        <w:sdtEndPr>
          <w:rPr>
            <w:color w:val="auto"/>
            <w:shd w:val="clear" w:color="auto" w:fill="auto"/>
          </w:rPr>
        </w:sdtEndPr>
        <w:sdtContent>
          <w:r w:rsidRPr="00477D7C">
            <w:rPr>
              <w:rFonts w:asciiTheme="majorHAnsi" w:hAnsiTheme="majorHAnsi"/>
            </w:rPr>
            <w:t>Critically Endangered</w:t>
          </w:r>
        </w:sdtContent>
      </w:sdt>
      <w:r w:rsidRPr="00477D7C">
        <w:rPr>
          <w:rFonts w:asciiTheme="majorHAnsi" w:hAnsiTheme="majorHAnsi"/>
          <w:bCs/>
          <w:lang w:eastAsia="ja-JP"/>
        </w:rPr>
        <w:t>.</w:t>
      </w:r>
    </w:p>
    <w:p w14:paraId="0A9790BF" w14:textId="77777777" w:rsidR="00091176" w:rsidRPr="00477D7C" w:rsidRDefault="00091176" w:rsidP="0043017F">
      <w:pPr>
        <w:pStyle w:val="Caption"/>
        <w:rPr>
          <w:sz w:val="28"/>
          <w:szCs w:val="28"/>
          <w:lang w:eastAsia="ja-JP"/>
        </w:rPr>
      </w:pPr>
      <w:r w:rsidRPr="00477D7C">
        <w:rPr>
          <w:sz w:val="28"/>
          <w:szCs w:val="28"/>
          <w:lang w:eastAsia="ja-JP"/>
        </w:rPr>
        <w:t>Criterion 3 Population size and decline</w:t>
      </w:r>
    </w:p>
    <w:tbl>
      <w:tblPr>
        <w:tblStyle w:val="TableGrid"/>
        <w:tblW w:w="0" w:type="auto"/>
        <w:tblCellMar>
          <w:top w:w="57" w:type="dxa"/>
          <w:left w:w="85" w:type="dxa"/>
          <w:bottom w:w="57" w:type="dxa"/>
        </w:tblCellMar>
        <w:tblLook w:val="04A0" w:firstRow="1" w:lastRow="0" w:firstColumn="1" w:lastColumn="0" w:noHBand="0" w:noVBand="1"/>
      </w:tblPr>
      <w:tblGrid>
        <w:gridCol w:w="561"/>
        <w:gridCol w:w="2866"/>
        <w:gridCol w:w="1904"/>
        <w:gridCol w:w="1807"/>
        <w:gridCol w:w="1878"/>
      </w:tblGrid>
      <w:tr w:rsidR="00091176" w:rsidRPr="00556843" w14:paraId="4484093D" w14:textId="77777777" w:rsidTr="001E4811">
        <w:trPr>
          <w:trHeight w:val="350"/>
        </w:trPr>
        <w:tc>
          <w:tcPr>
            <w:tcW w:w="9060" w:type="dxa"/>
            <w:gridSpan w:val="5"/>
            <w:tcBorders>
              <w:left w:val="single" w:sz="4" w:space="0" w:color="auto"/>
              <w:bottom w:val="nil"/>
              <w:right w:val="single" w:sz="4" w:space="0" w:color="auto"/>
            </w:tcBorders>
            <w:shd w:val="clear" w:color="auto" w:fill="595959" w:themeFill="text1" w:themeFillTint="A6"/>
            <w:vAlign w:val="center"/>
          </w:tcPr>
          <w:p w14:paraId="7398B5D1" w14:textId="77777777" w:rsidR="00091176" w:rsidRPr="00556843" w:rsidRDefault="00091176" w:rsidP="001E4811">
            <w:pPr>
              <w:keepNext/>
              <w:tabs>
                <w:tab w:val="left" w:pos="284"/>
              </w:tabs>
              <w:rPr>
                <w:rFonts w:ascii="Arial" w:hAnsi="Arial" w:cs="Arial"/>
                <w:b/>
                <w:color w:val="FFFFFF" w:themeColor="background1"/>
              </w:rPr>
            </w:pPr>
          </w:p>
        </w:tc>
      </w:tr>
      <w:tr w:rsidR="00091176" w:rsidRPr="00556843" w14:paraId="55E0D3C9" w14:textId="77777777" w:rsidTr="001E4811">
        <w:tc>
          <w:tcPr>
            <w:tcW w:w="3395" w:type="dxa"/>
            <w:gridSpan w:val="2"/>
            <w:tcBorders>
              <w:top w:val="nil"/>
              <w:left w:val="single" w:sz="4" w:space="0" w:color="auto"/>
              <w:bottom w:val="nil"/>
              <w:right w:val="nil"/>
            </w:tcBorders>
          </w:tcPr>
          <w:p w14:paraId="18633BCF" w14:textId="77777777" w:rsidR="00091176" w:rsidRPr="00AE31DA" w:rsidRDefault="00091176" w:rsidP="001E4811">
            <w:pPr>
              <w:pStyle w:val="TableText"/>
              <w:keepNext/>
            </w:pPr>
            <w:r w:rsidRPr="00AE31DA">
              <w:rPr>
                <w:color w:val="FFFFFF" w:themeColor="background1"/>
              </w:rPr>
              <w:t>–</w:t>
            </w:r>
          </w:p>
        </w:tc>
        <w:tc>
          <w:tcPr>
            <w:tcW w:w="1930" w:type="dxa"/>
            <w:tcBorders>
              <w:top w:val="single" w:sz="4" w:space="0" w:color="FFFFFF" w:themeColor="background1"/>
              <w:left w:val="nil"/>
              <w:bottom w:val="nil"/>
              <w:right w:val="single" w:sz="4" w:space="0" w:color="FFFFFF" w:themeColor="background1"/>
            </w:tcBorders>
            <w:shd w:val="clear" w:color="auto" w:fill="FF0000"/>
          </w:tcPr>
          <w:p w14:paraId="31FA3517" w14:textId="77777777" w:rsidR="00091176" w:rsidRPr="00556843" w:rsidRDefault="00091176" w:rsidP="001E4811">
            <w:pPr>
              <w:pStyle w:val="TableText"/>
              <w:keepNext/>
              <w:rPr>
                <w:b/>
              </w:rPr>
            </w:pPr>
            <w:r w:rsidRPr="00556843">
              <w:rPr>
                <w:b/>
              </w:rPr>
              <w:t>Critically Endangered</w:t>
            </w:r>
          </w:p>
          <w:p w14:paraId="66D3725E" w14:textId="77777777" w:rsidR="00091176" w:rsidRPr="00556843" w:rsidRDefault="00091176" w:rsidP="001E4811">
            <w:pPr>
              <w:pStyle w:val="TableText"/>
              <w:keepNext/>
              <w:rPr>
                <w:b/>
              </w:rPr>
            </w:pPr>
            <w:r w:rsidRPr="00556843">
              <w:rPr>
                <w:b/>
              </w:rPr>
              <w:t>Very low</w:t>
            </w:r>
          </w:p>
        </w:tc>
        <w:tc>
          <w:tcPr>
            <w:tcW w:w="183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6600"/>
          </w:tcPr>
          <w:p w14:paraId="58D77722" w14:textId="77777777" w:rsidR="00091176" w:rsidRPr="00556843" w:rsidRDefault="00091176" w:rsidP="001E4811">
            <w:pPr>
              <w:pStyle w:val="TableText"/>
              <w:keepNext/>
              <w:rPr>
                <w:b/>
              </w:rPr>
            </w:pPr>
            <w:r w:rsidRPr="00556843">
              <w:rPr>
                <w:b/>
              </w:rPr>
              <w:t>Endangered</w:t>
            </w:r>
          </w:p>
          <w:p w14:paraId="5D023E46" w14:textId="77777777" w:rsidR="00091176" w:rsidRPr="00556843" w:rsidRDefault="00091176" w:rsidP="001E4811">
            <w:pPr>
              <w:pStyle w:val="TableText"/>
              <w:keepNext/>
              <w:rPr>
                <w:b/>
              </w:rPr>
            </w:pPr>
            <w:r w:rsidRPr="00556843">
              <w:rPr>
                <w:b/>
              </w:rPr>
              <w:t>Low</w:t>
            </w:r>
          </w:p>
        </w:tc>
        <w:tc>
          <w:tcPr>
            <w:tcW w:w="1902" w:type="dxa"/>
            <w:tcBorders>
              <w:top w:val="single" w:sz="4" w:space="0" w:color="FFFFFF" w:themeColor="background1"/>
              <w:left w:val="single" w:sz="4" w:space="0" w:color="FFFFFF" w:themeColor="background1"/>
              <w:bottom w:val="nil"/>
              <w:right w:val="single" w:sz="4" w:space="0" w:color="auto"/>
            </w:tcBorders>
            <w:shd w:val="clear" w:color="auto" w:fill="FFFF00"/>
          </w:tcPr>
          <w:p w14:paraId="3A1BE4FD" w14:textId="77777777" w:rsidR="00091176" w:rsidRPr="00556843" w:rsidRDefault="00091176" w:rsidP="001E4811">
            <w:pPr>
              <w:pStyle w:val="TableText"/>
              <w:keepNext/>
              <w:rPr>
                <w:b/>
              </w:rPr>
            </w:pPr>
            <w:r w:rsidRPr="00556843">
              <w:rPr>
                <w:b/>
              </w:rPr>
              <w:t>Vulnerable</w:t>
            </w:r>
          </w:p>
          <w:p w14:paraId="5B2C846B" w14:textId="77777777" w:rsidR="00091176" w:rsidRPr="00556843" w:rsidRDefault="00091176" w:rsidP="001E4811">
            <w:pPr>
              <w:pStyle w:val="TableText"/>
              <w:keepNext/>
              <w:rPr>
                <w:b/>
              </w:rPr>
            </w:pPr>
            <w:r w:rsidRPr="00556843">
              <w:rPr>
                <w:b/>
              </w:rPr>
              <w:t>Limited</w:t>
            </w:r>
          </w:p>
        </w:tc>
      </w:tr>
      <w:tr w:rsidR="00091176" w:rsidRPr="00556843" w14:paraId="1A503226" w14:textId="77777777" w:rsidTr="001E4811">
        <w:tc>
          <w:tcPr>
            <w:tcW w:w="3395" w:type="dxa"/>
            <w:gridSpan w:val="2"/>
            <w:tcBorders>
              <w:top w:val="nil"/>
              <w:left w:val="single" w:sz="4" w:space="0" w:color="auto"/>
              <w:bottom w:val="single" w:sz="4" w:space="0" w:color="FFFFFF" w:themeColor="background1"/>
              <w:right w:val="nil"/>
            </w:tcBorders>
            <w:shd w:val="clear" w:color="auto" w:fill="BFBFBF" w:themeFill="background1" w:themeFillShade="BF"/>
          </w:tcPr>
          <w:p w14:paraId="2D29BAD6" w14:textId="77777777" w:rsidR="00091176" w:rsidRPr="00556843" w:rsidRDefault="00091176" w:rsidP="001E4811">
            <w:pPr>
              <w:pStyle w:val="TableText"/>
              <w:keepNext/>
            </w:pPr>
            <w:r w:rsidRPr="00556843">
              <w:t>Estimated number of mature individuals</w:t>
            </w:r>
          </w:p>
        </w:tc>
        <w:tc>
          <w:tcPr>
            <w:tcW w:w="1930" w:type="dxa"/>
            <w:tcBorders>
              <w:top w:val="nil"/>
              <w:left w:val="nil"/>
              <w:bottom w:val="single" w:sz="4" w:space="0" w:color="FFFFFF" w:themeColor="background1"/>
              <w:right w:val="single" w:sz="4" w:space="0" w:color="FFFFFF" w:themeColor="background1"/>
            </w:tcBorders>
            <w:shd w:val="clear" w:color="auto" w:fill="FF7C80"/>
          </w:tcPr>
          <w:p w14:paraId="34F15E0A" w14:textId="77777777" w:rsidR="00091176" w:rsidRPr="00556843" w:rsidRDefault="00091176" w:rsidP="001E4811">
            <w:pPr>
              <w:pStyle w:val="TableText"/>
              <w:keepNext/>
              <w:rPr>
                <w:b/>
              </w:rPr>
            </w:pPr>
            <w:r w:rsidRPr="00556843">
              <w:rPr>
                <w:b/>
              </w:rPr>
              <w:t>&lt; 250</w:t>
            </w: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tcPr>
          <w:p w14:paraId="2AB16540" w14:textId="77777777" w:rsidR="00091176" w:rsidRPr="00556843" w:rsidRDefault="00091176" w:rsidP="001E4811">
            <w:pPr>
              <w:pStyle w:val="TableText"/>
              <w:keepNext/>
            </w:pPr>
            <w:r w:rsidRPr="00556843">
              <w:rPr>
                <w:b/>
              </w:rPr>
              <w:t xml:space="preserve">&lt; 2,500 </w:t>
            </w: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FFFF66"/>
          </w:tcPr>
          <w:p w14:paraId="728603E4" w14:textId="77777777" w:rsidR="00091176" w:rsidRPr="00556843" w:rsidRDefault="00091176" w:rsidP="001E4811">
            <w:pPr>
              <w:pStyle w:val="TableText"/>
              <w:keepNext/>
            </w:pPr>
            <w:r w:rsidRPr="00556843">
              <w:rPr>
                <w:b/>
              </w:rPr>
              <w:t xml:space="preserve">&lt; 10,000 </w:t>
            </w:r>
          </w:p>
        </w:tc>
      </w:tr>
      <w:tr w:rsidR="00091176" w:rsidRPr="00556843" w14:paraId="2588659E" w14:textId="77777777" w:rsidTr="001E4811">
        <w:tc>
          <w:tcPr>
            <w:tcW w:w="3395" w:type="dxa"/>
            <w:gridSpan w:val="2"/>
            <w:tcBorders>
              <w:top w:val="nil"/>
              <w:left w:val="single" w:sz="4" w:space="0" w:color="auto"/>
              <w:bottom w:val="single" w:sz="4" w:space="0" w:color="FFFFFF" w:themeColor="background1"/>
              <w:right w:val="nil"/>
            </w:tcBorders>
            <w:shd w:val="clear" w:color="auto" w:fill="auto"/>
          </w:tcPr>
          <w:p w14:paraId="11A09A13" w14:textId="77777777" w:rsidR="00091176" w:rsidRPr="00556843" w:rsidRDefault="00091176" w:rsidP="001E4811">
            <w:pPr>
              <w:pStyle w:val="TableText"/>
              <w:keepNext/>
            </w:pPr>
            <w:r w:rsidRPr="00556843">
              <w:t>AND either (C1) or (C2) is true</w:t>
            </w:r>
          </w:p>
        </w:tc>
        <w:tc>
          <w:tcPr>
            <w:tcW w:w="1930" w:type="dxa"/>
            <w:tcBorders>
              <w:top w:val="nil"/>
              <w:left w:val="nil"/>
              <w:bottom w:val="single" w:sz="4" w:space="0" w:color="FFFFFF" w:themeColor="background1"/>
              <w:right w:val="single" w:sz="4" w:space="0" w:color="FFFFFF" w:themeColor="background1"/>
            </w:tcBorders>
            <w:shd w:val="clear" w:color="auto" w:fill="auto"/>
          </w:tcPr>
          <w:p w14:paraId="59437C34" w14:textId="77777777" w:rsidR="00091176" w:rsidRPr="00556843" w:rsidRDefault="00091176" w:rsidP="001E4811">
            <w:pPr>
              <w:pStyle w:val="TableText"/>
              <w:keepNext/>
              <w:rPr>
                <w:b/>
              </w:rPr>
            </w:pP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tcPr>
          <w:p w14:paraId="0D00C4AA" w14:textId="77777777" w:rsidR="00091176" w:rsidRPr="00556843" w:rsidRDefault="00091176" w:rsidP="001E4811">
            <w:pPr>
              <w:pStyle w:val="TableText"/>
              <w:keepNext/>
              <w:rPr>
                <w:b/>
              </w:rPr>
            </w:pP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auto"/>
          </w:tcPr>
          <w:p w14:paraId="71856534" w14:textId="77777777" w:rsidR="00091176" w:rsidRPr="00556843" w:rsidRDefault="00091176" w:rsidP="001E4811">
            <w:pPr>
              <w:pStyle w:val="TableText"/>
              <w:keepNext/>
              <w:rPr>
                <w:b/>
              </w:rPr>
            </w:pPr>
          </w:p>
        </w:tc>
      </w:tr>
      <w:tr w:rsidR="00091176" w:rsidRPr="00556843" w14:paraId="66120086" w14:textId="77777777" w:rsidTr="001E4811">
        <w:tc>
          <w:tcPr>
            <w:tcW w:w="3395" w:type="dxa"/>
            <w:gridSpan w:val="2"/>
            <w:tcBorders>
              <w:top w:val="single" w:sz="4" w:space="0" w:color="FFFFFF" w:themeColor="background1"/>
              <w:left w:val="single" w:sz="4" w:space="0" w:color="auto"/>
              <w:bottom w:val="nil"/>
              <w:right w:val="nil"/>
            </w:tcBorders>
            <w:shd w:val="clear" w:color="auto" w:fill="BFBFBF" w:themeFill="background1" w:themeFillShade="BF"/>
          </w:tcPr>
          <w:p w14:paraId="7CAF1D43" w14:textId="77777777" w:rsidR="00091176" w:rsidRPr="00556843" w:rsidRDefault="00091176" w:rsidP="001E4811">
            <w:pPr>
              <w:pStyle w:val="TableText"/>
              <w:keepNext/>
              <w:ind w:left="334" w:hanging="334"/>
            </w:pPr>
            <w:r w:rsidRPr="00855316">
              <w:rPr>
                <w:rStyle w:val="Strong"/>
              </w:rPr>
              <w:t>C1</w:t>
            </w:r>
            <w:r>
              <w:rPr>
                <w:rStyle w:val="Strong"/>
              </w:rPr>
              <w:t>.</w:t>
            </w:r>
            <w:r w:rsidRPr="00556843">
              <w:tab/>
              <w:t>An observed, estimated or projected continuing decline of at least (up to a max. of 100 years in future)</w:t>
            </w:r>
          </w:p>
        </w:tc>
        <w:tc>
          <w:tcPr>
            <w:tcW w:w="1930" w:type="dxa"/>
            <w:tcBorders>
              <w:top w:val="single" w:sz="4" w:space="0" w:color="FFFFFF" w:themeColor="background1"/>
              <w:left w:val="nil"/>
              <w:bottom w:val="nil"/>
              <w:right w:val="single" w:sz="4" w:space="0" w:color="FFFFFF" w:themeColor="background1"/>
            </w:tcBorders>
            <w:shd w:val="clear" w:color="auto" w:fill="FF7C80"/>
          </w:tcPr>
          <w:p w14:paraId="65027C63" w14:textId="77777777" w:rsidR="00091176" w:rsidRPr="00556843" w:rsidRDefault="00091176" w:rsidP="001E4811">
            <w:pPr>
              <w:pStyle w:val="TableText"/>
              <w:keepNext/>
              <w:rPr>
                <w:b/>
              </w:rPr>
            </w:pPr>
            <w:r w:rsidRPr="00556843">
              <w:rPr>
                <w:b/>
              </w:rPr>
              <w:t>Very high rate</w:t>
            </w:r>
          </w:p>
          <w:p w14:paraId="2B6AD548" w14:textId="77777777" w:rsidR="00091176" w:rsidRPr="00556843" w:rsidRDefault="00091176" w:rsidP="001E4811">
            <w:pPr>
              <w:pStyle w:val="TableText"/>
              <w:keepNext/>
              <w:rPr>
                <w:b/>
              </w:rPr>
            </w:pPr>
            <w:r w:rsidRPr="00556843">
              <w:rPr>
                <w:b/>
              </w:rPr>
              <w:t>25% in 3 years or 1 generation</w:t>
            </w:r>
          </w:p>
          <w:p w14:paraId="3C84F38A" w14:textId="77777777" w:rsidR="00091176" w:rsidRPr="00556843" w:rsidRDefault="00091176" w:rsidP="001E4811">
            <w:pPr>
              <w:pStyle w:val="TableText"/>
              <w:keepNext/>
              <w:rPr>
                <w:b/>
              </w:rPr>
            </w:pPr>
            <w:r w:rsidRPr="00556843">
              <w:rPr>
                <w:b/>
              </w:rPr>
              <w:t>(whichever is longer)</w:t>
            </w:r>
          </w:p>
        </w:tc>
        <w:tc>
          <w:tcPr>
            <w:tcW w:w="183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537FBA71" w14:textId="77777777" w:rsidR="00091176" w:rsidRPr="00556843" w:rsidRDefault="00091176" w:rsidP="001E4811">
            <w:pPr>
              <w:pStyle w:val="TableText"/>
              <w:keepNext/>
              <w:rPr>
                <w:b/>
              </w:rPr>
            </w:pPr>
            <w:r w:rsidRPr="00556843">
              <w:rPr>
                <w:b/>
              </w:rPr>
              <w:t>High rate</w:t>
            </w:r>
          </w:p>
          <w:p w14:paraId="66205B90" w14:textId="77777777" w:rsidR="00091176" w:rsidRPr="00556843" w:rsidRDefault="00091176" w:rsidP="001E4811">
            <w:pPr>
              <w:pStyle w:val="TableText"/>
              <w:keepNext/>
              <w:rPr>
                <w:b/>
              </w:rPr>
            </w:pPr>
            <w:r w:rsidRPr="00556843">
              <w:rPr>
                <w:b/>
              </w:rPr>
              <w:t>20% in 5 years or 2 generation</w:t>
            </w:r>
          </w:p>
          <w:p w14:paraId="02658D57" w14:textId="77777777" w:rsidR="00091176" w:rsidRPr="00556843" w:rsidRDefault="00091176" w:rsidP="001E4811">
            <w:pPr>
              <w:pStyle w:val="TableText"/>
              <w:keepNext/>
              <w:rPr>
                <w:b/>
              </w:rPr>
            </w:pPr>
            <w:r w:rsidRPr="00556843">
              <w:rPr>
                <w:b/>
              </w:rPr>
              <w:t>(whichever is longer)</w:t>
            </w:r>
          </w:p>
        </w:tc>
        <w:tc>
          <w:tcPr>
            <w:tcW w:w="1902" w:type="dxa"/>
            <w:tcBorders>
              <w:top w:val="single" w:sz="4" w:space="0" w:color="FFFFFF" w:themeColor="background1"/>
              <w:left w:val="single" w:sz="4" w:space="0" w:color="FFFFFF" w:themeColor="background1"/>
              <w:bottom w:val="nil"/>
              <w:right w:val="single" w:sz="4" w:space="0" w:color="auto"/>
            </w:tcBorders>
            <w:shd w:val="clear" w:color="auto" w:fill="FFFF66"/>
          </w:tcPr>
          <w:p w14:paraId="0CEBF6E9" w14:textId="77777777" w:rsidR="00091176" w:rsidRPr="00556843" w:rsidRDefault="00091176" w:rsidP="001E4811">
            <w:pPr>
              <w:pStyle w:val="TableText"/>
              <w:keepNext/>
              <w:rPr>
                <w:b/>
              </w:rPr>
            </w:pPr>
            <w:r w:rsidRPr="00556843">
              <w:rPr>
                <w:b/>
              </w:rPr>
              <w:t>Substantial rate</w:t>
            </w:r>
          </w:p>
          <w:p w14:paraId="536BF3E1" w14:textId="77777777" w:rsidR="00091176" w:rsidRPr="00556843" w:rsidRDefault="00091176" w:rsidP="001E4811">
            <w:pPr>
              <w:pStyle w:val="TableText"/>
              <w:keepNext/>
              <w:rPr>
                <w:b/>
              </w:rPr>
            </w:pPr>
            <w:r w:rsidRPr="00556843">
              <w:rPr>
                <w:b/>
              </w:rPr>
              <w:t>10% in 10 years or 3 generations</w:t>
            </w:r>
          </w:p>
          <w:p w14:paraId="6F77E827" w14:textId="77777777" w:rsidR="00091176" w:rsidRPr="00556843" w:rsidRDefault="00091176" w:rsidP="001E4811">
            <w:pPr>
              <w:pStyle w:val="TableText"/>
              <w:keepNext/>
              <w:rPr>
                <w:b/>
              </w:rPr>
            </w:pPr>
            <w:r w:rsidRPr="00556843">
              <w:rPr>
                <w:b/>
              </w:rPr>
              <w:t>(whichever is longer)</w:t>
            </w:r>
          </w:p>
        </w:tc>
      </w:tr>
      <w:tr w:rsidR="00091176" w:rsidRPr="00556843" w14:paraId="26F84C75" w14:textId="77777777" w:rsidTr="001E4811">
        <w:tc>
          <w:tcPr>
            <w:tcW w:w="3395" w:type="dxa"/>
            <w:gridSpan w:val="2"/>
            <w:tcBorders>
              <w:top w:val="nil"/>
              <w:left w:val="single" w:sz="4" w:space="0" w:color="auto"/>
              <w:bottom w:val="nil"/>
              <w:right w:val="nil"/>
            </w:tcBorders>
            <w:shd w:val="clear" w:color="auto" w:fill="BFBFBF" w:themeFill="background1" w:themeFillShade="BF"/>
          </w:tcPr>
          <w:p w14:paraId="5BAB054C" w14:textId="77777777" w:rsidR="00091176" w:rsidRPr="00556843" w:rsidRDefault="00091176" w:rsidP="001E4811">
            <w:pPr>
              <w:pStyle w:val="TableText"/>
              <w:keepNext/>
              <w:ind w:left="336" w:hanging="336"/>
            </w:pPr>
            <w:r w:rsidRPr="00855316">
              <w:rPr>
                <w:rStyle w:val="Strong"/>
              </w:rPr>
              <w:t>C2</w:t>
            </w:r>
            <w:r>
              <w:rPr>
                <w:rStyle w:val="Strong"/>
              </w:rPr>
              <w:t>.</w:t>
            </w:r>
            <w:r w:rsidRPr="00556843">
              <w:tab/>
              <w:t>An observed, estimated, projected or inferred continuing decline AND its geographic distribution is precarious for its survival based on at least 1 of the following 3 conditions:</w:t>
            </w:r>
          </w:p>
        </w:tc>
        <w:tc>
          <w:tcPr>
            <w:tcW w:w="1930" w:type="dxa"/>
            <w:tcBorders>
              <w:top w:val="nil"/>
              <w:left w:val="nil"/>
              <w:bottom w:val="nil"/>
              <w:right w:val="nil"/>
            </w:tcBorders>
          </w:tcPr>
          <w:p w14:paraId="4AF70EAC" w14:textId="77777777" w:rsidR="00091176" w:rsidRPr="00556843" w:rsidRDefault="00091176" w:rsidP="001E4811">
            <w:pPr>
              <w:pStyle w:val="TableText"/>
              <w:keepNext/>
            </w:pPr>
          </w:p>
        </w:tc>
        <w:tc>
          <w:tcPr>
            <w:tcW w:w="1833" w:type="dxa"/>
            <w:tcBorders>
              <w:top w:val="nil"/>
              <w:left w:val="nil"/>
              <w:bottom w:val="nil"/>
              <w:right w:val="nil"/>
            </w:tcBorders>
          </w:tcPr>
          <w:p w14:paraId="02FAC311" w14:textId="77777777" w:rsidR="00091176" w:rsidRPr="00556843" w:rsidRDefault="00091176" w:rsidP="001E4811">
            <w:pPr>
              <w:pStyle w:val="TableText"/>
              <w:keepNext/>
            </w:pPr>
          </w:p>
        </w:tc>
        <w:tc>
          <w:tcPr>
            <w:tcW w:w="1902" w:type="dxa"/>
            <w:tcBorders>
              <w:top w:val="nil"/>
              <w:left w:val="nil"/>
              <w:bottom w:val="nil"/>
              <w:right w:val="single" w:sz="4" w:space="0" w:color="auto"/>
            </w:tcBorders>
          </w:tcPr>
          <w:p w14:paraId="691A09D6" w14:textId="77777777" w:rsidR="00091176" w:rsidRPr="00556843" w:rsidRDefault="00091176" w:rsidP="001E4811">
            <w:pPr>
              <w:pStyle w:val="TableText"/>
              <w:keepNext/>
            </w:pPr>
          </w:p>
        </w:tc>
      </w:tr>
      <w:tr w:rsidR="00091176" w:rsidRPr="00556843" w14:paraId="47BB4C88" w14:textId="77777777" w:rsidTr="001E4811">
        <w:tc>
          <w:tcPr>
            <w:tcW w:w="419" w:type="dxa"/>
            <w:vMerge w:val="restart"/>
            <w:tcBorders>
              <w:top w:val="nil"/>
              <w:left w:val="single" w:sz="4" w:space="0" w:color="auto"/>
              <w:right w:val="nil"/>
            </w:tcBorders>
            <w:shd w:val="clear" w:color="auto" w:fill="D9D9D9" w:themeFill="background1" w:themeFillShade="D9"/>
            <w:vAlign w:val="center"/>
          </w:tcPr>
          <w:p w14:paraId="1E99FCB2" w14:textId="77777777" w:rsidR="00091176" w:rsidRPr="00556843" w:rsidRDefault="00091176" w:rsidP="001E4811">
            <w:pPr>
              <w:pStyle w:val="TableText"/>
              <w:keepNext/>
            </w:pPr>
            <w:r w:rsidRPr="00556843">
              <w:t>(a)</w:t>
            </w:r>
          </w:p>
        </w:tc>
        <w:tc>
          <w:tcPr>
            <w:tcW w:w="2976"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tcPr>
          <w:p w14:paraId="14800A7D" w14:textId="77777777" w:rsidR="00091176" w:rsidRPr="00556843" w:rsidRDefault="00091176" w:rsidP="001E4811">
            <w:pPr>
              <w:pStyle w:val="TableText"/>
              <w:keepNext/>
              <w:ind w:left="340" w:hanging="340"/>
            </w:pPr>
            <w:r w:rsidRPr="00556843">
              <w:t>(i)</w:t>
            </w:r>
            <w:r w:rsidRPr="00556843">
              <w:tab/>
              <w:t xml:space="preserve">Number of mature individuals in each subpopulation </w:t>
            </w:r>
          </w:p>
        </w:tc>
        <w:tc>
          <w:tcPr>
            <w:tcW w:w="193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0F1F1E60" w14:textId="77777777" w:rsidR="00091176" w:rsidRPr="00556843" w:rsidRDefault="00091176" w:rsidP="001E4811">
            <w:pPr>
              <w:pStyle w:val="TableText"/>
              <w:keepNext/>
              <w:rPr>
                <w:b/>
              </w:rPr>
            </w:pPr>
            <w:r w:rsidRPr="00556843">
              <w:rPr>
                <w:b/>
              </w:rPr>
              <w:t>≤ 50</w:t>
            </w: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37DD0EDC" w14:textId="77777777" w:rsidR="00091176" w:rsidRPr="00556843" w:rsidRDefault="00091176" w:rsidP="001E4811">
            <w:pPr>
              <w:pStyle w:val="TableText"/>
              <w:keepNext/>
              <w:rPr>
                <w:b/>
              </w:rPr>
            </w:pPr>
            <w:r w:rsidRPr="00556843">
              <w:rPr>
                <w:b/>
              </w:rPr>
              <w:t>≤ 250</w:t>
            </w: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FFFF66"/>
            <w:vAlign w:val="center"/>
          </w:tcPr>
          <w:p w14:paraId="368FDA6D" w14:textId="77777777" w:rsidR="00091176" w:rsidRPr="00556843" w:rsidRDefault="00091176" w:rsidP="001E4811">
            <w:pPr>
              <w:pStyle w:val="TableText"/>
              <w:keepNext/>
              <w:rPr>
                <w:b/>
              </w:rPr>
            </w:pPr>
            <w:r w:rsidRPr="00556843">
              <w:rPr>
                <w:b/>
              </w:rPr>
              <w:t>≤ 1,000</w:t>
            </w:r>
          </w:p>
        </w:tc>
      </w:tr>
      <w:tr w:rsidR="00091176" w:rsidRPr="00556843" w14:paraId="2E75C17F" w14:textId="77777777" w:rsidTr="001E4811">
        <w:tc>
          <w:tcPr>
            <w:tcW w:w="419" w:type="dxa"/>
            <w:vMerge/>
            <w:tcBorders>
              <w:left w:val="single" w:sz="4" w:space="0" w:color="auto"/>
              <w:bottom w:val="single" w:sz="4" w:space="0" w:color="FFFFFF" w:themeColor="background1"/>
              <w:right w:val="single" w:sz="4" w:space="0" w:color="FFFFFF" w:themeColor="background1"/>
            </w:tcBorders>
            <w:shd w:val="clear" w:color="auto" w:fill="D9D9D9" w:themeFill="background1" w:themeFillShade="D9"/>
          </w:tcPr>
          <w:p w14:paraId="7773DB70" w14:textId="77777777" w:rsidR="00091176" w:rsidRPr="00556843" w:rsidRDefault="00091176" w:rsidP="001E4811">
            <w:pPr>
              <w:pStyle w:val="TableText"/>
              <w:keepNext/>
            </w:pPr>
          </w:p>
        </w:tc>
        <w:tc>
          <w:tcPr>
            <w:tcW w:w="2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2B65651" w14:textId="77777777" w:rsidR="00091176" w:rsidRPr="00556843" w:rsidRDefault="00091176" w:rsidP="001E4811">
            <w:pPr>
              <w:pStyle w:val="TableText"/>
              <w:keepNext/>
              <w:ind w:left="340" w:hanging="340"/>
            </w:pPr>
            <w:r w:rsidRPr="00556843">
              <w:t xml:space="preserve">(ii) </w:t>
            </w:r>
            <w:r w:rsidRPr="00556843">
              <w:tab/>
              <w:t>% of mature individuals in one subpopulation =</w:t>
            </w:r>
          </w:p>
        </w:tc>
        <w:tc>
          <w:tcPr>
            <w:tcW w:w="1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181A3A5E" w14:textId="77777777" w:rsidR="00091176" w:rsidRPr="00556843" w:rsidRDefault="00091176" w:rsidP="001E4811">
            <w:pPr>
              <w:pStyle w:val="TableText"/>
              <w:keepNext/>
              <w:rPr>
                <w:b/>
              </w:rPr>
            </w:pPr>
            <w:r w:rsidRPr="00556843">
              <w:rPr>
                <w:b/>
              </w:rPr>
              <w:t>90 – 100%</w:t>
            </w:r>
          </w:p>
        </w:tc>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413DF2ED" w14:textId="77777777" w:rsidR="00091176" w:rsidRPr="00556843" w:rsidRDefault="00091176" w:rsidP="001E4811">
            <w:pPr>
              <w:pStyle w:val="TableText"/>
              <w:keepNext/>
              <w:rPr>
                <w:b/>
              </w:rPr>
            </w:pPr>
            <w:r w:rsidRPr="00556843">
              <w:rPr>
                <w:b/>
              </w:rPr>
              <w:t>95 – 100%</w:t>
            </w:r>
          </w:p>
        </w:tc>
        <w:tc>
          <w:tcPr>
            <w:tcW w:w="190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66"/>
            <w:vAlign w:val="center"/>
          </w:tcPr>
          <w:p w14:paraId="009D5295" w14:textId="77777777" w:rsidR="00091176" w:rsidRPr="00556843" w:rsidRDefault="00091176" w:rsidP="001E4811">
            <w:pPr>
              <w:pStyle w:val="TableText"/>
              <w:keepNext/>
              <w:rPr>
                <w:b/>
              </w:rPr>
            </w:pPr>
            <w:r w:rsidRPr="00556843">
              <w:rPr>
                <w:b/>
              </w:rPr>
              <w:t>100%</w:t>
            </w:r>
          </w:p>
        </w:tc>
      </w:tr>
      <w:tr w:rsidR="00091176" w:rsidRPr="00556843" w14:paraId="5C39F0AF" w14:textId="77777777" w:rsidTr="001E4811">
        <w:tc>
          <w:tcPr>
            <w:tcW w:w="3395" w:type="dxa"/>
            <w:gridSpan w:val="2"/>
            <w:tcBorders>
              <w:top w:val="single" w:sz="4" w:space="0" w:color="FFFFFF" w:themeColor="background1"/>
              <w:left w:val="single" w:sz="4" w:space="0" w:color="auto"/>
              <w:right w:val="single" w:sz="4" w:space="0" w:color="FFFFFF" w:themeColor="background1"/>
            </w:tcBorders>
            <w:shd w:val="clear" w:color="auto" w:fill="D9D9D9" w:themeFill="background1" w:themeFillShade="D9"/>
          </w:tcPr>
          <w:p w14:paraId="768CF4C9" w14:textId="77777777" w:rsidR="00091176" w:rsidRPr="00556843" w:rsidRDefault="00091176" w:rsidP="00033EA4">
            <w:pPr>
              <w:pStyle w:val="TableText"/>
              <w:ind w:left="334" w:hanging="334"/>
            </w:pPr>
            <w:r w:rsidRPr="00556843">
              <w:t>(b)</w:t>
            </w:r>
            <w:r w:rsidRPr="00556843">
              <w:tab/>
              <w:t>Extreme fluctuations in the number of mature individuals</w:t>
            </w:r>
          </w:p>
        </w:tc>
        <w:tc>
          <w:tcPr>
            <w:tcW w:w="1930" w:type="dxa"/>
            <w:tcBorders>
              <w:top w:val="single" w:sz="4" w:space="0" w:color="FFFFFF" w:themeColor="background1"/>
              <w:left w:val="single" w:sz="4" w:space="0" w:color="FFFFFF" w:themeColor="background1"/>
              <w:right w:val="nil"/>
            </w:tcBorders>
            <w:shd w:val="clear" w:color="auto" w:fill="auto"/>
          </w:tcPr>
          <w:p w14:paraId="1897AB96" w14:textId="77777777" w:rsidR="00091176" w:rsidRPr="00556843" w:rsidRDefault="00091176" w:rsidP="00033EA4">
            <w:pPr>
              <w:pStyle w:val="TableText"/>
            </w:pPr>
          </w:p>
        </w:tc>
        <w:tc>
          <w:tcPr>
            <w:tcW w:w="1833" w:type="dxa"/>
            <w:tcBorders>
              <w:top w:val="single" w:sz="4" w:space="0" w:color="FFFFFF" w:themeColor="background1"/>
              <w:left w:val="nil"/>
              <w:right w:val="nil"/>
            </w:tcBorders>
            <w:shd w:val="clear" w:color="auto" w:fill="auto"/>
          </w:tcPr>
          <w:p w14:paraId="0D9E4C39" w14:textId="77777777" w:rsidR="00091176" w:rsidRPr="00556843" w:rsidRDefault="00091176" w:rsidP="00033EA4">
            <w:pPr>
              <w:pStyle w:val="TableText"/>
            </w:pPr>
          </w:p>
        </w:tc>
        <w:tc>
          <w:tcPr>
            <w:tcW w:w="1902" w:type="dxa"/>
            <w:tcBorders>
              <w:top w:val="single" w:sz="4" w:space="0" w:color="FFFFFF" w:themeColor="background1"/>
              <w:left w:val="nil"/>
              <w:right w:val="single" w:sz="4" w:space="0" w:color="auto"/>
            </w:tcBorders>
            <w:shd w:val="clear" w:color="auto" w:fill="auto"/>
          </w:tcPr>
          <w:p w14:paraId="0CDED910" w14:textId="77777777" w:rsidR="00091176" w:rsidRPr="00556843" w:rsidRDefault="00091176" w:rsidP="00033EA4">
            <w:pPr>
              <w:pStyle w:val="TableText"/>
            </w:pPr>
          </w:p>
        </w:tc>
      </w:tr>
    </w:tbl>
    <w:p w14:paraId="35D35A6B" w14:textId="77777777" w:rsidR="00091176" w:rsidRPr="00477D7C" w:rsidRDefault="00091176" w:rsidP="00033EA4">
      <w:pPr>
        <w:pStyle w:val="Heading3"/>
        <w:numPr>
          <w:ilvl w:val="0"/>
          <w:numId w:val="0"/>
        </w:numPr>
        <w:rPr>
          <w:sz w:val="28"/>
          <w:szCs w:val="28"/>
        </w:rPr>
      </w:pPr>
      <w:r w:rsidRPr="00477D7C">
        <w:rPr>
          <w:sz w:val="28"/>
          <w:szCs w:val="28"/>
        </w:rPr>
        <w:t>Criterion 3 evidence</w:t>
      </w:r>
    </w:p>
    <w:p w14:paraId="0840837B" w14:textId="77777777" w:rsidR="00091176" w:rsidRPr="00477D7C" w:rsidRDefault="00091176" w:rsidP="00091176">
      <w:pPr>
        <w:rPr>
          <w:rStyle w:val="Strong"/>
          <w:rFonts w:asciiTheme="majorHAnsi" w:hAnsiTheme="majorHAnsi"/>
        </w:rPr>
      </w:pPr>
      <w:r w:rsidRPr="00477D7C">
        <w:rPr>
          <w:rStyle w:val="Strong"/>
          <w:rFonts w:asciiTheme="majorHAnsi" w:hAnsiTheme="majorHAnsi"/>
        </w:rPr>
        <w:t xml:space="preserve">Eligible under Criterion 3 C2b for listing as </w:t>
      </w:r>
      <w:sdt>
        <w:sdtPr>
          <w:rPr>
            <w:rStyle w:val="Strong"/>
            <w:rFonts w:asciiTheme="majorHAnsi" w:hAnsiTheme="majorHAnsi"/>
          </w:rPr>
          <w:id w:val="702371327"/>
          <w:placeholder>
            <w:docPart w:val="03237363DA484C1898C407C493A335B1"/>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Extinct in the Wild" w:value="Extinct in the Wild"/>
            <w:listItem w:displayText="Extinct" w:value="Extinct"/>
          </w:dropDownList>
        </w:sdtPr>
        <w:sdtEndPr>
          <w:rPr>
            <w:rStyle w:val="Strong"/>
          </w:rPr>
        </w:sdtEndPr>
        <w:sdtContent>
          <w:r w:rsidRPr="00477D7C">
            <w:rPr>
              <w:rStyle w:val="Strong"/>
              <w:rFonts w:asciiTheme="majorHAnsi" w:hAnsiTheme="majorHAnsi"/>
            </w:rPr>
            <w:t>Endangered</w:t>
          </w:r>
        </w:sdtContent>
      </w:sdt>
    </w:p>
    <w:p w14:paraId="2E00B989" w14:textId="77777777" w:rsidR="00091176" w:rsidRPr="00477D7C" w:rsidRDefault="00091176" w:rsidP="00091176">
      <w:pPr>
        <w:pStyle w:val="Heading4"/>
        <w:rPr>
          <w:rFonts w:asciiTheme="majorHAnsi" w:eastAsiaTheme="minorHAnsi" w:hAnsiTheme="majorHAnsi"/>
        </w:rPr>
      </w:pPr>
      <w:r w:rsidRPr="00477D7C">
        <w:rPr>
          <w:rFonts w:asciiTheme="majorHAnsi" w:eastAsiaTheme="minorHAnsi" w:hAnsiTheme="majorHAnsi"/>
        </w:rPr>
        <w:t xml:space="preserve">Number of mature individuals </w:t>
      </w:r>
    </w:p>
    <w:p w14:paraId="6CDA8AEB" w14:textId="77777777" w:rsidR="00091176" w:rsidRPr="00477D7C" w:rsidRDefault="00091176" w:rsidP="00091176">
      <w:pPr>
        <w:rPr>
          <w:rFonts w:asciiTheme="majorHAnsi" w:hAnsiTheme="majorHAnsi"/>
          <w:bCs/>
        </w:rPr>
      </w:pPr>
      <w:r w:rsidRPr="00477D7C">
        <w:rPr>
          <w:rFonts w:asciiTheme="majorHAnsi" w:hAnsiTheme="majorHAnsi"/>
          <w:bCs/>
        </w:rPr>
        <w:t xml:space="preserve">The total median number of mature individuals is estimated to be 2218 (see Criterion 1 above and Table 4). This suggests the species meets the threshold for listing as Endangered under this criterion as applicable </w:t>
      </w:r>
      <w:proofErr w:type="spellStart"/>
      <w:r w:rsidRPr="00477D7C">
        <w:rPr>
          <w:rFonts w:asciiTheme="majorHAnsi" w:hAnsiTheme="majorHAnsi"/>
          <w:bCs/>
        </w:rPr>
        <w:t>subcriteria</w:t>
      </w:r>
      <w:proofErr w:type="spellEnd"/>
      <w:r w:rsidRPr="00477D7C">
        <w:rPr>
          <w:rFonts w:asciiTheme="majorHAnsi" w:hAnsiTheme="majorHAnsi"/>
          <w:bCs/>
        </w:rPr>
        <w:t xml:space="preserve"> are also met.</w:t>
      </w:r>
    </w:p>
    <w:p w14:paraId="17104485" w14:textId="77777777" w:rsidR="00091176" w:rsidRPr="00477D7C" w:rsidRDefault="00091176" w:rsidP="00091176">
      <w:pPr>
        <w:pStyle w:val="Heading4"/>
        <w:rPr>
          <w:rFonts w:asciiTheme="majorHAnsi" w:hAnsiTheme="majorHAnsi"/>
        </w:rPr>
      </w:pPr>
      <w:r w:rsidRPr="00477D7C">
        <w:rPr>
          <w:rFonts w:asciiTheme="majorHAnsi" w:hAnsiTheme="majorHAnsi"/>
        </w:rPr>
        <w:lastRenderedPageBreak/>
        <w:t>Continuing decline</w:t>
      </w:r>
    </w:p>
    <w:p w14:paraId="66217290" w14:textId="77777777" w:rsidR="00091176" w:rsidRPr="00477D7C" w:rsidRDefault="00091176" w:rsidP="00091176">
      <w:pPr>
        <w:keepLines/>
        <w:rPr>
          <w:rFonts w:asciiTheme="majorHAnsi" w:hAnsiTheme="majorHAnsi"/>
        </w:rPr>
      </w:pPr>
      <w:r w:rsidRPr="00477D7C">
        <w:rPr>
          <w:rFonts w:asciiTheme="majorHAnsi" w:hAnsiTheme="majorHAnsi"/>
          <w:lang w:eastAsia="ja-JP"/>
        </w:rPr>
        <w:t>As</w:t>
      </w:r>
      <w:r w:rsidRPr="00477D7C">
        <w:rPr>
          <w:rFonts w:asciiTheme="majorHAnsi" w:hAnsiTheme="majorHAnsi"/>
        </w:rPr>
        <w:t xml:space="preserve"> discussed in Criterion 2 (see above), </w:t>
      </w:r>
      <w:bookmarkStart w:id="7" w:name="_Hlk82518554"/>
      <w:r w:rsidRPr="00477D7C">
        <w:rPr>
          <w:rFonts w:asciiTheme="majorHAnsi" w:hAnsiTheme="majorHAnsi"/>
        </w:rPr>
        <w:t xml:space="preserve">the species appears to be undergoing continuing decline in </w:t>
      </w:r>
      <w:r w:rsidRPr="00477D7C">
        <w:rPr>
          <w:rFonts w:asciiTheme="majorHAnsi" w:hAnsiTheme="majorHAnsi"/>
          <w:lang w:eastAsia="ja-JP"/>
        </w:rPr>
        <w:t>the number of mature individuals.</w:t>
      </w:r>
      <w:r w:rsidRPr="00477D7C">
        <w:rPr>
          <w:rFonts w:asciiTheme="majorHAnsi" w:hAnsiTheme="majorHAnsi"/>
        </w:rPr>
        <w:t xml:space="preserve"> </w:t>
      </w:r>
      <w:bookmarkEnd w:id="7"/>
      <w:r w:rsidRPr="00477D7C">
        <w:rPr>
          <w:rFonts w:asciiTheme="majorHAnsi" w:hAnsiTheme="majorHAnsi"/>
          <w:lang w:eastAsia="ja-JP"/>
        </w:rPr>
        <w:t xml:space="preserve">However, </w:t>
      </w:r>
      <w:r w:rsidRPr="00477D7C">
        <w:rPr>
          <w:rFonts w:asciiTheme="majorHAnsi" w:hAnsiTheme="majorHAnsi"/>
          <w:bCs/>
        </w:rPr>
        <w:t xml:space="preserve">there are insufficient data to determine the rate of decline. </w:t>
      </w:r>
      <w:r w:rsidRPr="00477D7C">
        <w:rPr>
          <w:rFonts w:asciiTheme="majorHAnsi" w:hAnsiTheme="majorHAnsi"/>
          <w:lang w:eastAsia="ja-JP"/>
        </w:rPr>
        <w:t>Accordingly, the species</w:t>
      </w:r>
      <w:r w:rsidRPr="00477D7C">
        <w:rPr>
          <w:rFonts w:asciiTheme="majorHAnsi" w:hAnsiTheme="majorHAnsi"/>
        </w:rPr>
        <w:t xml:space="preserve"> appears to only meet the C2 continuing decline requirement for listing under this criterion and not the C1 continuing decline requirement.</w:t>
      </w:r>
    </w:p>
    <w:p w14:paraId="2C34ECC2" w14:textId="77777777" w:rsidR="00091176" w:rsidRPr="00477D7C" w:rsidRDefault="00091176" w:rsidP="00091176">
      <w:pPr>
        <w:pStyle w:val="Heading4"/>
        <w:rPr>
          <w:rFonts w:asciiTheme="majorHAnsi" w:hAnsiTheme="majorHAnsi"/>
        </w:rPr>
      </w:pPr>
      <w:r w:rsidRPr="00477D7C">
        <w:rPr>
          <w:rFonts w:asciiTheme="majorHAnsi" w:hAnsiTheme="majorHAnsi"/>
        </w:rPr>
        <w:t>Number of mature individuals in each subpopulation</w:t>
      </w:r>
    </w:p>
    <w:p w14:paraId="056B9E47" w14:textId="77777777" w:rsidR="00091176" w:rsidRPr="00477D7C" w:rsidRDefault="00091176" w:rsidP="00091176">
      <w:pPr>
        <w:keepNext/>
        <w:keepLines/>
        <w:rPr>
          <w:rFonts w:asciiTheme="majorHAnsi" w:hAnsiTheme="majorHAnsi"/>
        </w:rPr>
      </w:pPr>
      <w:r w:rsidRPr="00477D7C">
        <w:rPr>
          <w:rFonts w:asciiTheme="majorHAnsi" w:hAnsiTheme="majorHAnsi"/>
        </w:rPr>
        <w:t xml:space="preserve">Based on the 2023 population survey the number of mature individuals in the Budjan Galindji subpopulation is 250 and the Jerrabomberra subpopulation is 460 (Table 4). The Lawson subpopulation comprises 1508 mature individuals (Table 4). Therefore, the species does not meet the requirement for listing under this </w:t>
      </w:r>
      <w:proofErr w:type="spellStart"/>
      <w:r w:rsidRPr="00477D7C">
        <w:rPr>
          <w:rFonts w:asciiTheme="majorHAnsi" w:hAnsiTheme="majorHAnsi"/>
        </w:rPr>
        <w:t>subcriterion</w:t>
      </w:r>
      <w:proofErr w:type="spellEnd"/>
      <w:r w:rsidRPr="00477D7C">
        <w:rPr>
          <w:rFonts w:asciiTheme="majorHAnsi" w:hAnsiTheme="majorHAnsi"/>
        </w:rPr>
        <w:t>.</w:t>
      </w:r>
    </w:p>
    <w:p w14:paraId="0CA3CE6E" w14:textId="77777777" w:rsidR="00091176" w:rsidRPr="00477D7C" w:rsidRDefault="00091176" w:rsidP="00091176">
      <w:pPr>
        <w:pStyle w:val="Heading4"/>
        <w:rPr>
          <w:rFonts w:asciiTheme="majorHAnsi" w:hAnsiTheme="majorHAnsi"/>
        </w:rPr>
      </w:pPr>
      <w:r w:rsidRPr="00477D7C">
        <w:rPr>
          <w:rFonts w:asciiTheme="majorHAnsi" w:hAnsiTheme="majorHAnsi"/>
        </w:rPr>
        <w:t>Percentage of mature individuals in one subpopulation</w:t>
      </w:r>
    </w:p>
    <w:p w14:paraId="03331420" w14:textId="77777777" w:rsidR="00091176" w:rsidRPr="00477D7C" w:rsidRDefault="00091176" w:rsidP="00091176">
      <w:pPr>
        <w:keepNext/>
        <w:rPr>
          <w:rFonts w:asciiTheme="majorHAnsi" w:hAnsiTheme="majorHAnsi"/>
        </w:rPr>
      </w:pPr>
      <w:r w:rsidRPr="00477D7C">
        <w:rPr>
          <w:rFonts w:asciiTheme="majorHAnsi" w:hAnsiTheme="majorHAnsi"/>
          <w:bCs/>
        </w:rPr>
        <w:t xml:space="preserve">Given that mature individuals are present across all three known subpopulations (Table 1), it is not possible for 100% of mature individuals to occur in one subpopulation. None of the subpopulations support ≥90% of the total number of mature individuals, </w:t>
      </w:r>
      <w:r w:rsidRPr="00477D7C">
        <w:rPr>
          <w:rFonts w:asciiTheme="majorHAnsi" w:hAnsiTheme="majorHAnsi"/>
        </w:rPr>
        <w:t xml:space="preserve">so the species does not meet this requirement for listing under this </w:t>
      </w:r>
      <w:proofErr w:type="spellStart"/>
      <w:r w:rsidRPr="00477D7C">
        <w:rPr>
          <w:rFonts w:asciiTheme="majorHAnsi" w:hAnsiTheme="majorHAnsi"/>
        </w:rPr>
        <w:t>subcriterion</w:t>
      </w:r>
      <w:proofErr w:type="spellEnd"/>
      <w:r w:rsidRPr="00477D7C">
        <w:rPr>
          <w:rFonts w:asciiTheme="majorHAnsi" w:hAnsiTheme="majorHAnsi"/>
        </w:rPr>
        <w:t>.</w:t>
      </w:r>
    </w:p>
    <w:p w14:paraId="5997D203" w14:textId="77777777" w:rsidR="00091176" w:rsidRPr="00477D7C" w:rsidRDefault="00091176" w:rsidP="00091176">
      <w:pPr>
        <w:pStyle w:val="Heading4"/>
        <w:rPr>
          <w:rFonts w:asciiTheme="majorHAnsi" w:hAnsiTheme="majorHAnsi"/>
        </w:rPr>
      </w:pPr>
      <w:r w:rsidRPr="00477D7C">
        <w:rPr>
          <w:rFonts w:asciiTheme="majorHAnsi" w:hAnsiTheme="majorHAnsi"/>
        </w:rPr>
        <w:t>Extreme fluctuations in the number of mature individuals</w:t>
      </w:r>
    </w:p>
    <w:p w14:paraId="30609463" w14:textId="77777777" w:rsidR="00091176" w:rsidRPr="00477D7C" w:rsidRDefault="00091176" w:rsidP="00091176">
      <w:pPr>
        <w:keepNext/>
        <w:keepLines/>
        <w:rPr>
          <w:rFonts w:asciiTheme="majorHAnsi" w:hAnsiTheme="majorHAnsi"/>
        </w:rPr>
      </w:pPr>
      <w:r w:rsidRPr="00477D7C">
        <w:rPr>
          <w:rFonts w:asciiTheme="majorHAnsi" w:hAnsiTheme="majorHAnsi"/>
        </w:rPr>
        <w:t xml:space="preserve">The species appears to show extreme fluctuations in the number of </w:t>
      </w:r>
      <w:r w:rsidRPr="00477D7C">
        <w:rPr>
          <w:rFonts w:asciiTheme="majorHAnsi" w:hAnsiTheme="majorHAnsi"/>
          <w:lang w:eastAsia="ja-JP"/>
        </w:rPr>
        <w:t xml:space="preserve">mature individuals (Table 4), so the </w:t>
      </w:r>
      <w:r w:rsidRPr="00477D7C">
        <w:rPr>
          <w:rFonts w:asciiTheme="majorHAnsi" w:hAnsiTheme="majorHAnsi"/>
        </w:rPr>
        <w:t xml:space="preserve">species meets the requirement for listing under this </w:t>
      </w:r>
      <w:proofErr w:type="spellStart"/>
      <w:r w:rsidRPr="00477D7C">
        <w:rPr>
          <w:rFonts w:asciiTheme="majorHAnsi" w:hAnsiTheme="majorHAnsi"/>
        </w:rPr>
        <w:t>subcriterion</w:t>
      </w:r>
      <w:proofErr w:type="spellEnd"/>
      <w:r w:rsidRPr="00477D7C">
        <w:rPr>
          <w:rFonts w:asciiTheme="majorHAnsi" w:hAnsiTheme="majorHAnsi"/>
        </w:rPr>
        <w:t>.</w:t>
      </w:r>
    </w:p>
    <w:p w14:paraId="04295589" w14:textId="77777777" w:rsidR="00091176" w:rsidRPr="00477D7C" w:rsidRDefault="00091176" w:rsidP="00091176">
      <w:pPr>
        <w:pStyle w:val="Heading4"/>
        <w:rPr>
          <w:rFonts w:asciiTheme="majorHAnsi" w:hAnsiTheme="majorHAnsi"/>
        </w:rPr>
      </w:pPr>
      <w:r w:rsidRPr="00477D7C">
        <w:rPr>
          <w:rFonts w:asciiTheme="majorHAnsi" w:hAnsiTheme="majorHAnsi"/>
        </w:rPr>
        <w:t>Conclusion</w:t>
      </w:r>
    </w:p>
    <w:p w14:paraId="40C32BC1" w14:textId="77777777" w:rsidR="00091176" w:rsidRPr="00477D7C" w:rsidRDefault="00091176" w:rsidP="00091176">
      <w:pPr>
        <w:rPr>
          <w:rFonts w:asciiTheme="majorHAnsi" w:hAnsiTheme="majorHAnsi"/>
          <w:bCs/>
        </w:rPr>
      </w:pPr>
      <w:r w:rsidRPr="00477D7C">
        <w:rPr>
          <w:rFonts w:asciiTheme="majorHAnsi" w:hAnsiTheme="majorHAnsi"/>
          <w:bCs/>
        </w:rPr>
        <w:t xml:space="preserve">The Committee considers that the estimated total number of mature individuals of Ginninderra peppercress is low (&lt;2500). There is an estimated continuing decline and the species undergoes extreme fluctuations in the number of mature individuals. Therefore, the species has met the relevant elements of Criterion 3 to make it eligible for listing as </w:t>
      </w:r>
      <w:sdt>
        <w:sdtPr>
          <w:rPr>
            <w:rFonts w:asciiTheme="majorHAnsi" w:hAnsiTheme="majorHAnsi"/>
            <w:color w:val="2B579A"/>
            <w:shd w:val="clear" w:color="auto" w:fill="E6E6E6"/>
          </w:rPr>
          <w:id w:val="-1652589955"/>
          <w:placeholder>
            <w:docPart w:val="8CF04D099B794F92A4FA7B52472D5356"/>
          </w:placeholder>
          <w:dropDownList>
            <w:listItem w:displayText="Critically Endangered" w:value="Critically Endangered"/>
            <w:listItem w:displayText="Endangered" w:value="Endangered"/>
            <w:listItem w:displayText="Vulnerable" w:value="Vulnerable"/>
            <w:listItem w:displayText="Insufficient data" w:value="Insufficient data"/>
          </w:dropDownList>
        </w:sdtPr>
        <w:sdtEndPr>
          <w:rPr>
            <w:color w:val="auto"/>
            <w:shd w:val="clear" w:color="auto" w:fill="auto"/>
          </w:rPr>
        </w:sdtEndPr>
        <w:sdtContent>
          <w:r w:rsidRPr="00477D7C">
            <w:rPr>
              <w:rFonts w:asciiTheme="majorHAnsi" w:hAnsiTheme="majorHAnsi"/>
            </w:rPr>
            <w:t>Endangered</w:t>
          </w:r>
        </w:sdtContent>
      </w:sdt>
      <w:r w:rsidRPr="00477D7C">
        <w:rPr>
          <w:rFonts w:asciiTheme="majorHAnsi" w:hAnsiTheme="majorHAnsi"/>
          <w:bCs/>
        </w:rPr>
        <w:t>.</w:t>
      </w:r>
    </w:p>
    <w:p w14:paraId="1A7273CA" w14:textId="77777777" w:rsidR="00091176" w:rsidRPr="00477D7C" w:rsidRDefault="00091176" w:rsidP="0043017F">
      <w:pPr>
        <w:pStyle w:val="Caption"/>
        <w:rPr>
          <w:sz w:val="28"/>
          <w:szCs w:val="28"/>
        </w:rPr>
      </w:pPr>
      <w:r w:rsidRPr="00477D7C">
        <w:rPr>
          <w:sz w:val="28"/>
          <w:szCs w:val="28"/>
        </w:rPr>
        <w:t>Criterion 4 Number of mature individuals</w:t>
      </w:r>
    </w:p>
    <w:tbl>
      <w:tblPr>
        <w:tblW w:w="9346" w:type="dxa"/>
        <w:tblCellMar>
          <w:left w:w="0" w:type="dxa"/>
          <w:right w:w="0" w:type="dxa"/>
        </w:tblCellMar>
        <w:tblLook w:val="04A0" w:firstRow="1" w:lastRow="0" w:firstColumn="1" w:lastColumn="0" w:noHBand="0" w:noVBand="1"/>
      </w:tblPr>
      <w:tblGrid>
        <w:gridCol w:w="3392"/>
        <w:gridCol w:w="2127"/>
        <w:gridCol w:w="1842"/>
        <w:gridCol w:w="1985"/>
      </w:tblGrid>
      <w:tr w:rsidR="00091176" w:rsidRPr="00166185" w14:paraId="6EAFDACD" w14:textId="77777777" w:rsidTr="001E4811">
        <w:trPr>
          <w:trHeight w:val="350"/>
        </w:trPr>
        <w:tc>
          <w:tcPr>
            <w:tcW w:w="9346" w:type="dxa"/>
            <w:gridSpan w:val="4"/>
            <w:tcBorders>
              <w:top w:val="single" w:sz="8" w:space="0" w:color="auto"/>
              <w:left w:val="single" w:sz="8" w:space="0" w:color="auto"/>
              <w:bottom w:val="nil"/>
              <w:right w:val="single" w:sz="4" w:space="0" w:color="auto"/>
            </w:tcBorders>
            <w:shd w:val="clear" w:color="auto" w:fill="595959"/>
            <w:tcMar>
              <w:top w:w="57" w:type="dxa"/>
              <w:left w:w="85" w:type="dxa"/>
              <w:bottom w:w="57" w:type="dxa"/>
              <w:right w:w="108" w:type="dxa"/>
            </w:tcMar>
            <w:vAlign w:val="center"/>
            <w:hideMark/>
          </w:tcPr>
          <w:p w14:paraId="33D0DCB5" w14:textId="77777777" w:rsidR="00091176" w:rsidRPr="00166185" w:rsidRDefault="00091176" w:rsidP="001E4811">
            <w:pPr>
              <w:pStyle w:val="TableText"/>
              <w:keepNext/>
            </w:pPr>
          </w:p>
        </w:tc>
      </w:tr>
      <w:tr w:rsidR="00091176" w:rsidRPr="00166185" w14:paraId="3F2189C1" w14:textId="77777777" w:rsidTr="001E4811">
        <w:trPr>
          <w:trHeight w:val="524"/>
        </w:trPr>
        <w:tc>
          <w:tcPr>
            <w:tcW w:w="3392" w:type="dxa"/>
            <w:tcBorders>
              <w:top w:val="nil"/>
              <w:left w:val="single" w:sz="8" w:space="0" w:color="auto"/>
              <w:bottom w:val="nil"/>
              <w:right w:val="nil"/>
            </w:tcBorders>
            <w:tcMar>
              <w:top w:w="57" w:type="dxa"/>
              <w:left w:w="85" w:type="dxa"/>
              <w:bottom w:w="57" w:type="dxa"/>
              <w:right w:w="108" w:type="dxa"/>
            </w:tcMar>
          </w:tcPr>
          <w:p w14:paraId="6B69DC83" w14:textId="77777777" w:rsidR="00091176" w:rsidRPr="00166185" w:rsidRDefault="00091176" w:rsidP="001E4811">
            <w:pPr>
              <w:pStyle w:val="TableText"/>
              <w:keepNext/>
              <w:rPr>
                <w:szCs w:val="18"/>
              </w:rPr>
            </w:pPr>
            <w:r w:rsidRPr="0095692A">
              <w:rPr>
                <w:color w:val="FFFFFF" w:themeColor="background1"/>
                <w:szCs w:val="18"/>
              </w:rPr>
              <w:t>–</w:t>
            </w:r>
          </w:p>
        </w:tc>
        <w:tc>
          <w:tcPr>
            <w:tcW w:w="2127" w:type="dxa"/>
            <w:tcBorders>
              <w:top w:val="single" w:sz="8" w:space="0" w:color="FFFFFF"/>
              <w:left w:val="nil"/>
              <w:bottom w:val="single" w:sz="8" w:space="0" w:color="FFFFFF"/>
              <w:right w:val="single" w:sz="8" w:space="0" w:color="FFFFFF"/>
            </w:tcBorders>
            <w:shd w:val="clear" w:color="auto" w:fill="FF0000"/>
            <w:tcMar>
              <w:top w:w="57" w:type="dxa"/>
              <w:left w:w="85" w:type="dxa"/>
              <w:bottom w:w="57" w:type="dxa"/>
              <w:right w:w="108" w:type="dxa"/>
            </w:tcMar>
            <w:hideMark/>
          </w:tcPr>
          <w:p w14:paraId="573D791C" w14:textId="77777777" w:rsidR="00091176" w:rsidRPr="009E3E71" w:rsidRDefault="00091176" w:rsidP="001E4811">
            <w:pPr>
              <w:pStyle w:val="TableText"/>
              <w:keepNext/>
              <w:rPr>
                <w:rStyle w:val="Strong"/>
              </w:rPr>
            </w:pPr>
            <w:r w:rsidRPr="009E3E71">
              <w:rPr>
                <w:rStyle w:val="Strong"/>
              </w:rPr>
              <w:t>Critically Endangered</w:t>
            </w:r>
          </w:p>
          <w:p w14:paraId="6C5C1A2F" w14:textId="77777777" w:rsidR="00091176" w:rsidRPr="009E3E71" w:rsidRDefault="00091176" w:rsidP="001E4811">
            <w:pPr>
              <w:pStyle w:val="TableText"/>
              <w:keepNext/>
              <w:rPr>
                <w:rStyle w:val="Strong"/>
              </w:rPr>
            </w:pPr>
            <w:r w:rsidRPr="009E3E71">
              <w:rPr>
                <w:rStyle w:val="Strong"/>
              </w:rPr>
              <w:t>Extremely low</w:t>
            </w:r>
          </w:p>
        </w:tc>
        <w:tc>
          <w:tcPr>
            <w:tcW w:w="1842" w:type="dxa"/>
            <w:tcBorders>
              <w:top w:val="single" w:sz="8" w:space="0" w:color="FFFFFF"/>
              <w:left w:val="nil"/>
              <w:bottom w:val="single" w:sz="8" w:space="0" w:color="FFFFFF"/>
              <w:right w:val="single" w:sz="8" w:space="0" w:color="FFFFFF"/>
            </w:tcBorders>
            <w:shd w:val="clear" w:color="auto" w:fill="FF6600"/>
            <w:tcMar>
              <w:top w:w="57" w:type="dxa"/>
              <w:left w:w="85" w:type="dxa"/>
              <w:bottom w:w="57" w:type="dxa"/>
              <w:right w:w="108" w:type="dxa"/>
            </w:tcMar>
            <w:hideMark/>
          </w:tcPr>
          <w:p w14:paraId="2465764F" w14:textId="77777777" w:rsidR="00091176" w:rsidRPr="009E3E71" w:rsidRDefault="00091176" w:rsidP="001E4811">
            <w:pPr>
              <w:pStyle w:val="TableText"/>
              <w:keepNext/>
              <w:rPr>
                <w:rStyle w:val="Strong"/>
              </w:rPr>
            </w:pPr>
            <w:r w:rsidRPr="009E3E71">
              <w:rPr>
                <w:rStyle w:val="Strong"/>
              </w:rPr>
              <w:t>Endangered</w:t>
            </w:r>
          </w:p>
          <w:p w14:paraId="63788AA4" w14:textId="77777777" w:rsidR="00091176" w:rsidRPr="009E3E71" w:rsidRDefault="00091176" w:rsidP="001E4811">
            <w:pPr>
              <w:pStyle w:val="TableText"/>
              <w:keepNext/>
              <w:rPr>
                <w:rStyle w:val="Strong"/>
              </w:rPr>
            </w:pPr>
            <w:r w:rsidRPr="009E3E71">
              <w:rPr>
                <w:rStyle w:val="Strong"/>
              </w:rPr>
              <w:t>Very Low</w:t>
            </w:r>
          </w:p>
        </w:tc>
        <w:tc>
          <w:tcPr>
            <w:tcW w:w="1985" w:type="dxa"/>
            <w:tcBorders>
              <w:top w:val="single" w:sz="8" w:space="0" w:color="FFFFFF"/>
              <w:left w:val="nil"/>
              <w:bottom w:val="single" w:sz="8" w:space="0" w:color="FFFFFF"/>
              <w:right w:val="single" w:sz="4" w:space="0" w:color="auto"/>
            </w:tcBorders>
            <w:shd w:val="clear" w:color="auto" w:fill="FFFF00"/>
            <w:tcMar>
              <w:top w:w="57" w:type="dxa"/>
              <w:left w:w="85" w:type="dxa"/>
              <w:bottom w:w="57" w:type="dxa"/>
              <w:right w:w="108" w:type="dxa"/>
            </w:tcMar>
            <w:hideMark/>
          </w:tcPr>
          <w:p w14:paraId="226B9C88" w14:textId="77777777" w:rsidR="00091176" w:rsidRPr="009E3E71" w:rsidRDefault="00091176" w:rsidP="001E4811">
            <w:pPr>
              <w:pStyle w:val="TableText"/>
              <w:keepNext/>
              <w:rPr>
                <w:rStyle w:val="Strong"/>
              </w:rPr>
            </w:pPr>
            <w:r w:rsidRPr="009E3E71">
              <w:rPr>
                <w:rStyle w:val="Strong"/>
              </w:rPr>
              <w:t>Vulnerable</w:t>
            </w:r>
          </w:p>
          <w:p w14:paraId="1560D6EA" w14:textId="77777777" w:rsidR="00091176" w:rsidRPr="009E3E71" w:rsidRDefault="00091176" w:rsidP="001E4811">
            <w:pPr>
              <w:pStyle w:val="TableText"/>
              <w:keepNext/>
              <w:rPr>
                <w:rStyle w:val="Strong"/>
              </w:rPr>
            </w:pPr>
            <w:r w:rsidRPr="009E3E71">
              <w:rPr>
                <w:rStyle w:val="Strong"/>
              </w:rPr>
              <w:t>Low</w:t>
            </w:r>
          </w:p>
        </w:tc>
      </w:tr>
      <w:tr w:rsidR="00091176" w:rsidRPr="00166185" w14:paraId="063C2BBB" w14:textId="77777777" w:rsidTr="001E4811">
        <w:trPr>
          <w:trHeight w:val="442"/>
        </w:trPr>
        <w:tc>
          <w:tcPr>
            <w:tcW w:w="3392" w:type="dxa"/>
            <w:tcBorders>
              <w:top w:val="nil"/>
              <w:left w:val="single" w:sz="8" w:space="0" w:color="auto"/>
              <w:bottom w:val="nil"/>
              <w:right w:val="single" w:sz="8" w:space="0" w:color="FFFFFF"/>
            </w:tcBorders>
            <w:shd w:val="clear" w:color="auto" w:fill="BFBFBF"/>
            <w:tcMar>
              <w:top w:w="57" w:type="dxa"/>
              <w:left w:w="85" w:type="dxa"/>
              <w:bottom w:w="57" w:type="dxa"/>
              <w:right w:w="108" w:type="dxa"/>
            </w:tcMar>
            <w:vAlign w:val="center"/>
            <w:hideMark/>
          </w:tcPr>
          <w:p w14:paraId="04AE742E" w14:textId="77777777" w:rsidR="00091176" w:rsidRPr="00166185" w:rsidRDefault="00091176" w:rsidP="001E4811">
            <w:pPr>
              <w:pStyle w:val="TableText"/>
              <w:keepNext/>
              <w:rPr>
                <w:szCs w:val="18"/>
              </w:rPr>
            </w:pPr>
            <w:r w:rsidRPr="004F5429">
              <w:rPr>
                <w:rStyle w:val="Strong"/>
              </w:rPr>
              <w:t>D</w:t>
            </w:r>
            <w:r>
              <w:rPr>
                <w:rStyle w:val="Strong"/>
              </w:rPr>
              <w:t>.</w:t>
            </w:r>
            <w:r w:rsidRPr="004F5429">
              <w:rPr>
                <w:rStyle w:val="Strong"/>
              </w:rPr>
              <w:t xml:space="preserve"> </w:t>
            </w:r>
            <w:r w:rsidRPr="00166185">
              <w:rPr>
                <w:szCs w:val="18"/>
              </w:rPr>
              <w:t>Number of mature individuals</w:t>
            </w:r>
          </w:p>
        </w:tc>
        <w:tc>
          <w:tcPr>
            <w:tcW w:w="2127" w:type="dxa"/>
            <w:tcBorders>
              <w:top w:val="nil"/>
              <w:left w:val="nil"/>
              <w:bottom w:val="single" w:sz="8" w:space="0" w:color="FFFFFF"/>
              <w:right w:val="single" w:sz="8" w:space="0" w:color="FFFFFF"/>
            </w:tcBorders>
            <w:shd w:val="clear" w:color="auto" w:fill="FF7C80"/>
            <w:tcMar>
              <w:top w:w="57" w:type="dxa"/>
              <w:left w:w="85" w:type="dxa"/>
              <w:bottom w:w="57" w:type="dxa"/>
              <w:right w:w="108" w:type="dxa"/>
            </w:tcMar>
            <w:vAlign w:val="center"/>
            <w:hideMark/>
          </w:tcPr>
          <w:p w14:paraId="33ABABA1" w14:textId="77777777" w:rsidR="00091176" w:rsidRPr="00166185" w:rsidRDefault="00091176" w:rsidP="001E4811">
            <w:pPr>
              <w:pStyle w:val="TableText"/>
              <w:keepNext/>
              <w:rPr>
                <w:szCs w:val="18"/>
              </w:rPr>
            </w:pPr>
            <w:r w:rsidRPr="00166185">
              <w:rPr>
                <w:szCs w:val="18"/>
              </w:rPr>
              <w:t>&lt; 50</w:t>
            </w:r>
          </w:p>
        </w:tc>
        <w:tc>
          <w:tcPr>
            <w:tcW w:w="1842" w:type="dxa"/>
            <w:tcBorders>
              <w:top w:val="nil"/>
              <w:left w:val="nil"/>
              <w:bottom w:val="single" w:sz="8" w:space="0" w:color="FFFFFF"/>
              <w:right w:val="single" w:sz="8" w:space="0" w:color="FFFFFF"/>
            </w:tcBorders>
            <w:shd w:val="clear" w:color="auto" w:fill="FF9933"/>
            <w:tcMar>
              <w:top w:w="57" w:type="dxa"/>
              <w:left w:w="85" w:type="dxa"/>
              <w:bottom w:w="57" w:type="dxa"/>
              <w:right w:w="108" w:type="dxa"/>
            </w:tcMar>
            <w:vAlign w:val="center"/>
            <w:hideMark/>
          </w:tcPr>
          <w:p w14:paraId="5BE40BB0" w14:textId="77777777" w:rsidR="00091176" w:rsidRPr="00166185" w:rsidRDefault="00091176" w:rsidP="001E4811">
            <w:pPr>
              <w:pStyle w:val="TableText"/>
              <w:keepNext/>
              <w:rPr>
                <w:rFonts w:ascii="Times New Roman" w:hAnsi="Times New Roman" w:cs="Times New Roman"/>
                <w:szCs w:val="18"/>
              </w:rPr>
            </w:pPr>
            <w:r w:rsidRPr="00166185">
              <w:rPr>
                <w:szCs w:val="18"/>
              </w:rPr>
              <w:t>&lt; 250</w:t>
            </w:r>
          </w:p>
        </w:tc>
        <w:tc>
          <w:tcPr>
            <w:tcW w:w="1985" w:type="dxa"/>
            <w:tcBorders>
              <w:top w:val="single" w:sz="8" w:space="0" w:color="FFFFFF"/>
              <w:left w:val="nil"/>
              <w:bottom w:val="single" w:sz="8" w:space="0" w:color="FFFFFF"/>
              <w:right w:val="single" w:sz="4" w:space="0" w:color="auto"/>
            </w:tcBorders>
            <w:shd w:val="clear" w:color="auto" w:fill="FFFF66"/>
            <w:tcMar>
              <w:top w:w="57" w:type="dxa"/>
              <w:left w:w="85" w:type="dxa"/>
              <w:bottom w:w="57" w:type="dxa"/>
              <w:right w:w="108" w:type="dxa"/>
            </w:tcMar>
            <w:vAlign w:val="center"/>
            <w:hideMark/>
          </w:tcPr>
          <w:p w14:paraId="56A154B9" w14:textId="77777777" w:rsidR="00091176" w:rsidRPr="00166185" w:rsidRDefault="00091176" w:rsidP="001E4811">
            <w:pPr>
              <w:pStyle w:val="TableText"/>
              <w:keepNext/>
              <w:rPr>
                <w:rFonts w:ascii="Times New Roman" w:hAnsi="Times New Roman" w:cs="Times New Roman"/>
                <w:szCs w:val="18"/>
              </w:rPr>
            </w:pPr>
            <w:r w:rsidRPr="00166185">
              <w:rPr>
                <w:szCs w:val="18"/>
              </w:rPr>
              <w:t>&lt; 1,000</w:t>
            </w:r>
          </w:p>
        </w:tc>
      </w:tr>
      <w:tr w:rsidR="00091176" w:rsidRPr="00166185" w14:paraId="5606330C" w14:textId="77777777" w:rsidTr="001E4811">
        <w:trPr>
          <w:trHeight w:val="442"/>
        </w:trPr>
        <w:tc>
          <w:tcPr>
            <w:tcW w:w="3392" w:type="dxa"/>
            <w:tcBorders>
              <w:top w:val="nil"/>
              <w:left w:val="single" w:sz="8" w:space="0" w:color="auto"/>
              <w:bottom w:val="single" w:sz="8" w:space="0" w:color="auto"/>
              <w:right w:val="single" w:sz="8" w:space="0" w:color="FFFFFF"/>
            </w:tcBorders>
            <w:shd w:val="clear" w:color="auto" w:fill="BFBFBF"/>
            <w:tcMar>
              <w:top w:w="57" w:type="dxa"/>
              <w:left w:w="85" w:type="dxa"/>
              <w:bottom w:w="57" w:type="dxa"/>
              <w:right w:w="108" w:type="dxa"/>
            </w:tcMar>
            <w:vAlign w:val="center"/>
            <w:hideMark/>
          </w:tcPr>
          <w:p w14:paraId="4D665556" w14:textId="77777777" w:rsidR="00091176" w:rsidRPr="00166185" w:rsidRDefault="00091176" w:rsidP="00477D7C">
            <w:pPr>
              <w:pStyle w:val="TableText"/>
              <w:rPr>
                <w:szCs w:val="18"/>
              </w:rPr>
            </w:pPr>
            <w:r w:rsidRPr="004F5429">
              <w:rPr>
                <w:rStyle w:val="Strong"/>
              </w:rPr>
              <w:t>D2</w:t>
            </w:r>
            <w:r>
              <w:rPr>
                <w:rStyle w:val="Strong"/>
              </w:rPr>
              <w:t>.</w:t>
            </w:r>
            <w:r w:rsidRPr="00166185">
              <w:rPr>
                <w:szCs w:val="18"/>
                <w:vertAlign w:val="superscript"/>
              </w:rPr>
              <w:t>1</w:t>
            </w:r>
            <w:r w:rsidRPr="00166185">
              <w:rPr>
                <w:szCs w:val="18"/>
              </w:rPr>
              <w:t xml:space="preserve"> </w:t>
            </w:r>
            <w:r w:rsidRPr="00166185">
              <w:rPr>
                <w:i/>
                <w:szCs w:val="18"/>
              </w:rPr>
              <w:t>Only applies to the Vulnerable category</w:t>
            </w:r>
          </w:p>
          <w:p w14:paraId="69E4AB1E" w14:textId="77777777" w:rsidR="00091176" w:rsidRPr="00166185" w:rsidRDefault="00091176" w:rsidP="001E4811">
            <w:pPr>
              <w:pStyle w:val="TableText"/>
              <w:keepNext/>
              <w:rPr>
                <w:szCs w:val="18"/>
              </w:rPr>
            </w:pPr>
            <w:r w:rsidRPr="00166185">
              <w:rPr>
                <w:szCs w:val="18"/>
              </w:rPr>
              <w:t xml:space="preserve">Restricted area of occupancy or number of locations with a plausible future threat that could drive the species to </w:t>
            </w:r>
            <w:r>
              <w:rPr>
                <w:szCs w:val="18"/>
              </w:rPr>
              <w:t>C</w:t>
            </w:r>
            <w:r w:rsidRPr="00166185">
              <w:rPr>
                <w:szCs w:val="18"/>
              </w:rPr>
              <w:t xml:space="preserve">ritically </w:t>
            </w:r>
            <w:r>
              <w:rPr>
                <w:szCs w:val="18"/>
              </w:rPr>
              <w:t>E</w:t>
            </w:r>
            <w:r w:rsidRPr="00166185">
              <w:rPr>
                <w:szCs w:val="18"/>
              </w:rPr>
              <w:t>ndangered or Extinct in a very short time</w:t>
            </w:r>
          </w:p>
        </w:tc>
        <w:tc>
          <w:tcPr>
            <w:tcW w:w="2127" w:type="dxa"/>
            <w:tcBorders>
              <w:top w:val="single" w:sz="8" w:space="0" w:color="FFFFFF"/>
              <w:left w:val="nil"/>
              <w:bottom w:val="single" w:sz="4" w:space="0" w:color="auto"/>
              <w:right w:val="single" w:sz="8" w:space="0" w:color="FFFFFF"/>
            </w:tcBorders>
            <w:shd w:val="clear" w:color="auto" w:fill="auto"/>
            <w:tcMar>
              <w:top w:w="57" w:type="dxa"/>
              <w:left w:w="85" w:type="dxa"/>
              <w:bottom w:w="57" w:type="dxa"/>
              <w:right w:w="108" w:type="dxa"/>
            </w:tcMar>
            <w:vAlign w:val="center"/>
            <w:hideMark/>
          </w:tcPr>
          <w:p w14:paraId="048586CD" w14:textId="77777777" w:rsidR="00091176" w:rsidRPr="00A034C7" w:rsidRDefault="00091176" w:rsidP="001E4811">
            <w:pPr>
              <w:pStyle w:val="TableText"/>
              <w:keepNext/>
              <w:rPr>
                <w:color w:val="FFFFFF" w:themeColor="background1"/>
                <w:szCs w:val="18"/>
              </w:rPr>
            </w:pPr>
            <w:r w:rsidRPr="00A034C7">
              <w:rPr>
                <w:color w:val="FFFFFF" w:themeColor="background1"/>
                <w:szCs w:val="18"/>
              </w:rPr>
              <w:t>-</w:t>
            </w:r>
          </w:p>
        </w:tc>
        <w:tc>
          <w:tcPr>
            <w:tcW w:w="1842" w:type="dxa"/>
            <w:tcBorders>
              <w:top w:val="single" w:sz="8" w:space="0" w:color="FFFFFF"/>
              <w:left w:val="nil"/>
              <w:bottom w:val="single" w:sz="4" w:space="0" w:color="auto"/>
              <w:right w:val="single" w:sz="8" w:space="0" w:color="FFFFFF"/>
            </w:tcBorders>
            <w:shd w:val="clear" w:color="auto" w:fill="auto"/>
            <w:tcMar>
              <w:top w:w="57" w:type="dxa"/>
              <w:left w:w="85" w:type="dxa"/>
              <w:bottom w:w="57" w:type="dxa"/>
              <w:right w:w="108" w:type="dxa"/>
            </w:tcMar>
            <w:vAlign w:val="center"/>
            <w:hideMark/>
          </w:tcPr>
          <w:p w14:paraId="11912557" w14:textId="77777777" w:rsidR="00091176" w:rsidRPr="00A034C7" w:rsidRDefault="00091176" w:rsidP="001E4811">
            <w:pPr>
              <w:pStyle w:val="TableText"/>
              <w:keepNext/>
              <w:rPr>
                <w:color w:val="FFFFFF" w:themeColor="background1"/>
                <w:szCs w:val="18"/>
              </w:rPr>
            </w:pPr>
            <w:r w:rsidRPr="00A034C7">
              <w:rPr>
                <w:color w:val="FFFFFF" w:themeColor="background1"/>
                <w:szCs w:val="18"/>
              </w:rPr>
              <w:t>-</w:t>
            </w:r>
          </w:p>
        </w:tc>
        <w:tc>
          <w:tcPr>
            <w:tcW w:w="1985" w:type="dxa"/>
            <w:tcBorders>
              <w:top w:val="single" w:sz="8" w:space="0" w:color="FFFFFF"/>
              <w:left w:val="nil"/>
              <w:bottom w:val="single" w:sz="8" w:space="0" w:color="auto"/>
              <w:right w:val="single" w:sz="4" w:space="0" w:color="auto"/>
            </w:tcBorders>
            <w:shd w:val="clear" w:color="auto" w:fill="FFFF66"/>
            <w:tcMar>
              <w:top w:w="57" w:type="dxa"/>
              <w:left w:w="85" w:type="dxa"/>
              <w:bottom w:w="57" w:type="dxa"/>
              <w:right w:w="108" w:type="dxa"/>
            </w:tcMar>
            <w:vAlign w:val="center"/>
            <w:hideMark/>
          </w:tcPr>
          <w:p w14:paraId="08523D4C" w14:textId="77777777" w:rsidR="00091176" w:rsidRPr="00166185" w:rsidRDefault="00091176" w:rsidP="001E4811">
            <w:pPr>
              <w:pStyle w:val="TableText"/>
              <w:keepNext/>
              <w:rPr>
                <w:szCs w:val="18"/>
              </w:rPr>
            </w:pPr>
            <w:r w:rsidRPr="00166185">
              <w:rPr>
                <w:szCs w:val="18"/>
              </w:rPr>
              <w:t>D2. Typically: area of occupancy &lt; 20 km</w:t>
            </w:r>
            <w:r w:rsidRPr="00166185">
              <w:rPr>
                <w:szCs w:val="18"/>
                <w:vertAlign w:val="superscript"/>
              </w:rPr>
              <w:t>2</w:t>
            </w:r>
            <w:r w:rsidRPr="00166185">
              <w:rPr>
                <w:szCs w:val="18"/>
              </w:rPr>
              <w:t xml:space="preserve"> or number of locations ≤ 5</w:t>
            </w:r>
          </w:p>
        </w:tc>
      </w:tr>
    </w:tbl>
    <w:p w14:paraId="46E1342B" w14:textId="77777777" w:rsidR="00091176" w:rsidRPr="00166185" w:rsidRDefault="00091176" w:rsidP="00091176">
      <w:pPr>
        <w:pStyle w:val="FigureTableNoteSource"/>
      </w:pPr>
      <w:r w:rsidRPr="00166185">
        <w:rPr>
          <w:vertAlign w:val="superscript"/>
        </w:rPr>
        <w:t>1</w:t>
      </w:r>
      <w:r w:rsidRPr="00166185">
        <w:t xml:space="preserve"> The IUCN Red List Criterion D allows for species to be listed as Vulnerable under Criterion D2. The corresponding Criterion 4 in the EPBC Regulations does not currently include the provision for listing a species under D2. As such, a species cannot currently be listed under the EPBC Act under Criterion D2 only. However, assessments may include information relevant to D2. This information will not be considered by the Committee in making its recommendation of the species’ eligibility for listing under the EPBC Act, but may assist other jurisdictions to adopt the assessment outcome under the </w:t>
      </w:r>
      <w:hyperlink r:id="rId28" w:history="1">
        <w:r w:rsidRPr="00166185">
          <w:rPr>
            <w:rStyle w:val="Hyperlink"/>
            <w:bCs/>
            <w:i/>
            <w:iCs/>
          </w:rPr>
          <w:t>common assessment method</w:t>
        </w:r>
      </w:hyperlink>
      <w:r w:rsidRPr="00166185">
        <w:t>.</w:t>
      </w:r>
    </w:p>
    <w:p w14:paraId="489B232C" w14:textId="77777777" w:rsidR="00091176" w:rsidRPr="00477D7C" w:rsidRDefault="00091176" w:rsidP="00477D7C">
      <w:pPr>
        <w:pStyle w:val="Heading3"/>
        <w:numPr>
          <w:ilvl w:val="0"/>
          <w:numId w:val="0"/>
        </w:numPr>
        <w:rPr>
          <w:sz w:val="28"/>
          <w:szCs w:val="28"/>
        </w:rPr>
      </w:pPr>
      <w:r w:rsidRPr="00477D7C">
        <w:rPr>
          <w:sz w:val="28"/>
          <w:szCs w:val="28"/>
        </w:rPr>
        <w:lastRenderedPageBreak/>
        <w:t>Criterion 4 evidence</w:t>
      </w:r>
    </w:p>
    <w:p w14:paraId="02A128C1" w14:textId="77777777" w:rsidR="00091176" w:rsidRPr="00477D7C" w:rsidRDefault="00091176" w:rsidP="00091176">
      <w:pPr>
        <w:rPr>
          <w:rFonts w:asciiTheme="majorHAnsi" w:hAnsiTheme="majorHAnsi"/>
        </w:rPr>
      </w:pPr>
      <w:bookmarkStart w:id="8" w:name="_Hlk82462597"/>
      <w:r w:rsidRPr="00477D7C">
        <w:rPr>
          <w:rStyle w:val="Strong"/>
          <w:rFonts w:asciiTheme="majorHAnsi" w:hAnsiTheme="majorHAnsi"/>
        </w:rPr>
        <w:t>Not eligible</w:t>
      </w:r>
    </w:p>
    <w:bookmarkEnd w:id="8"/>
    <w:p w14:paraId="7BA51873" w14:textId="77777777" w:rsidR="00091176" w:rsidRPr="00477D7C" w:rsidRDefault="00091176" w:rsidP="00091176">
      <w:pPr>
        <w:pStyle w:val="Heading4"/>
        <w:rPr>
          <w:rFonts w:asciiTheme="majorHAnsi" w:hAnsiTheme="majorHAnsi"/>
        </w:rPr>
      </w:pPr>
      <w:r w:rsidRPr="00477D7C">
        <w:rPr>
          <w:rFonts w:asciiTheme="majorHAnsi" w:hAnsiTheme="majorHAnsi"/>
        </w:rPr>
        <w:t>Number of mature individuals</w:t>
      </w:r>
    </w:p>
    <w:p w14:paraId="07A7F7A8" w14:textId="77777777" w:rsidR="00091176" w:rsidRPr="00477D7C" w:rsidRDefault="00091176" w:rsidP="00091176">
      <w:pPr>
        <w:rPr>
          <w:rFonts w:asciiTheme="majorHAnsi" w:hAnsiTheme="majorHAnsi"/>
          <w:bCs/>
        </w:rPr>
      </w:pPr>
      <w:r w:rsidRPr="00477D7C">
        <w:rPr>
          <w:rFonts w:asciiTheme="majorHAnsi" w:hAnsiTheme="majorHAnsi"/>
          <w:bCs/>
        </w:rPr>
        <w:t>The total median number of mature individuals is estimated to be 2218 (see Criterion 1 above and Table 4), which is above the threshold for Vulnerable (&lt;1000) under Criterion 4.</w:t>
      </w:r>
    </w:p>
    <w:p w14:paraId="51D4A698" w14:textId="77777777" w:rsidR="00091176" w:rsidRPr="00477D7C" w:rsidRDefault="00091176" w:rsidP="00091176">
      <w:pPr>
        <w:rPr>
          <w:rFonts w:asciiTheme="majorHAnsi" w:hAnsiTheme="majorHAnsi"/>
          <w:bCs/>
        </w:rPr>
      </w:pPr>
      <w:r w:rsidRPr="00477D7C">
        <w:rPr>
          <w:rFonts w:asciiTheme="majorHAnsi" w:hAnsiTheme="majorHAnsi"/>
          <w:bCs/>
        </w:rPr>
        <w:t>The species has a restricted area of occupancy at 20 km</w:t>
      </w:r>
      <w:r w:rsidRPr="00477D7C">
        <w:rPr>
          <w:rFonts w:asciiTheme="majorHAnsi" w:hAnsiTheme="majorHAnsi"/>
          <w:bCs/>
          <w:vertAlign w:val="superscript"/>
        </w:rPr>
        <w:t>2</w:t>
      </w:r>
      <w:r w:rsidRPr="00477D7C">
        <w:rPr>
          <w:rFonts w:asciiTheme="majorHAnsi" w:hAnsiTheme="majorHAnsi"/>
          <w:bCs/>
        </w:rPr>
        <w:t>, but not &lt;20 km</w:t>
      </w:r>
      <w:r w:rsidRPr="00477D7C">
        <w:rPr>
          <w:rFonts w:asciiTheme="majorHAnsi" w:hAnsiTheme="majorHAnsi"/>
          <w:bCs/>
          <w:vertAlign w:val="superscript"/>
        </w:rPr>
        <w:t>2</w:t>
      </w:r>
      <w:r w:rsidRPr="00477D7C">
        <w:rPr>
          <w:rFonts w:asciiTheme="majorHAnsi" w:hAnsiTheme="majorHAnsi"/>
          <w:bCs/>
        </w:rPr>
        <w:t xml:space="preserve"> and number of locations (≤5), and there is a plausible future threat that could drive the species to Critically Endangered or Extinct in a very short time. Therefore, the species may meet the relevant elements of Criterion 4 to make it eligible for listing as </w:t>
      </w:r>
      <w:sdt>
        <w:sdtPr>
          <w:rPr>
            <w:rFonts w:asciiTheme="majorHAnsi" w:hAnsiTheme="majorHAnsi"/>
            <w:color w:val="2B579A"/>
            <w:shd w:val="clear" w:color="auto" w:fill="E6E6E6"/>
          </w:rPr>
          <w:id w:val="-2006965124"/>
          <w:placeholder>
            <w:docPart w:val="2C0B34D8C0C54E2BA71968CCF4D82204"/>
          </w:placeholder>
          <w:dropDownList>
            <w:listItem w:displayText="D Critically Endangered" w:value="D Critically Endangered"/>
            <w:listItem w:displayText="D Endangered" w:value="D Endangered"/>
            <w:listItem w:displayText="D Vulnerable" w:value="D Vulnerable"/>
            <w:listItem w:displayText="D2 Vulnerable" w:value="D2 Vulnerable"/>
            <w:listItem w:displayText="Insufficient data" w:value="Insufficient data"/>
          </w:dropDownList>
        </w:sdtPr>
        <w:sdtEndPr>
          <w:rPr>
            <w:color w:val="auto"/>
            <w:shd w:val="clear" w:color="auto" w:fill="auto"/>
          </w:rPr>
        </w:sdtEndPr>
        <w:sdtContent>
          <w:r w:rsidRPr="00477D7C">
            <w:rPr>
              <w:rFonts w:asciiTheme="majorHAnsi" w:hAnsiTheme="majorHAnsi"/>
            </w:rPr>
            <w:t>D2 Vulnerable</w:t>
          </w:r>
        </w:sdtContent>
      </w:sdt>
      <w:r w:rsidRPr="00477D7C">
        <w:rPr>
          <w:rFonts w:asciiTheme="majorHAnsi" w:hAnsiTheme="majorHAnsi"/>
          <w:bCs/>
        </w:rPr>
        <w:t>.</w:t>
      </w:r>
    </w:p>
    <w:p w14:paraId="660808C2" w14:textId="77777777" w:rsidR="00091176" w:rsidRPr="00477D7C" w:rsidRDefault="00091176" w:rsidP="00091176">
      <w:pPr>
        <w:rPr>
          <w:rFonts w:asciiTheme="majorHAnsi" w:hAnsiTheme="majorHAnsi"/>
          <w:bCs/>
        </w:rPr>
      </w:pPr>
      <w:r w:rsidRPr="00477D7C">
        <w:rPr>
          <w:rFonts w:asciiTheme="majorHAnsi" w:hAnsiTheme="majorHAnsi"/>
          <w:bCs/>
        </w:rPr>
        <w:t xml:space="preserve">However, EPBC regulations do not currently include provisions for listing species under </w:t>
      </w:r>
      <w:proofErr w:type="spellStart"/>
      <w:r w:rsidRPr="00477D7C">
        <w:rPr>
          <w:rFonts w:asciiTheme="majorHAnsi" w:hAnsiTheme="majorHAnsi"/>
          <w:bCs/>
        </w:rPr>
        <w:t>subcriterion</w:t>
      </w:r>
      <w:proofErr w:type="spellEnd"/>
      <w:r w:rsidRPr="00477D7C">
        <w:rPr>
          <w:rFonts w:asciiTheme="majorHAnsi" w:hAnsiTheme="majorHAnsi"/>
          <w:bCs/>
        </w:rPr>
        <w:t xml:space="preserve"> D2 (see </w:t>
      </w:r>
      <w:r w:rsidRPr="00477D7C">
        <w:rPr>
          <w:rFonts w:asciiTheme="majorHAnsi" w:hAnsiTheme="majorHAnsi"/>
          <w:bCs/>
          <w:vertAlign w:val="superscript"/>
        </w:rPr>
        <w:t>1</w:t>
      </w:r>
      <w:r w:rsidRPr="00477D7C">
        <w:rPr>
          <w:rFonts w:asciiTheme="majorHAnsi" w:hAnsiTheme="majorHAnsi"/>
          <w:bCs/>
        </w:rPr>
        <w:t>).</w:t>
      </w:r>
    </w:p>
    <w:p w14:paraId="5D44D7C3" w14:textId="77777777" w:rsidR="00091176" w:rsidRPr="00477D7C" w:rsidRDefault="00091176" w:rsidP="00091176">
      <w:pPr>
        <w:pStyle w:val="Heading4"/>
        <w:rPr>
          <w:rFonts w:asciiTheme="majorHAnsi" w:hAnsiTheme="majorHAnsi"/>
        </w:rPr>
      </w:pPr>
      <w:r w:rsidRPr="00477D7C">
        <w:rPr>
          <w:rFonts w:asciiTheme="majorHAnsi" w:hAnsiTheme="majorHAnsi"/>
        </w:rPr>
        <w:t>Conclusion</w:t>
      </w:r>
    </w:p>
    <w:p w14:paraId="35163326" w14:textId="77777777" w:rsidR="00091176" w:rsidRPr="00477D7C" w:rsidRDefault="00091176" w:rsidP="00091176">
      <w:pPr>
        <w:rPr>
          <w:rFonts w:asciiTheme="majorHAnsi" w:hAnsiTheme="majorHAnsi"/>
          <w:lang w:eastAsia="ja-JP"/>
        </w:rPr>
      </w:pPr>
      <w:r w:rsidRPr="00477D7C">
        <w:rPr>
          <w:rFonts w:asciiTheme="majorHAnsi" w:hAnsiTheme="majorHAnsi"/>
          <w:bCs/>
        </w:rPr>
        <w:t>The total number of mature individuals is 2218 which is not low. Therefore, the species has not met this required element of this criterion.</w:t>
      </w:r>
    </w:p>
    <w:p w14:paraId="2FB51471" w14:textId="77777777" w:rsidR="00091176" w:rsidRPr="00477D7C" w:rsidRDefault="00091176" w:rsidP="0043017F">
      <w:pPr>
        <w:pStyle w:val="Caption"/>
        <w:rPr>
          <w:sz w:val="28"/>
          <w:szCs w:val="28"/>
        </w:rPr>
      </w:pPr>
      <w:r w:rsidRPr="00477D7C">
        <w:rPr>
          <w:sz w:val="28"/>
          <w:szCs w:val="28"/>
        </w:rPr>
        <w:t>Criterion 5 Quantitative analysis</w:t>
      </w:r>
    </w:p>
    <w:tbl>
      <w:tblPr>
        <w:tblStyle w:val="TableGrid"/>
        <w:tblW w:w="0" w:type="auto"/>
        <w:tblCellMar>
          <w:top w:w="57" w:type="dxa"/>
          <w:left w:w="85" w:type="dxa"/>
          <w:bottom w:w="57" w:type="dxa"/>
        </w:tblCellMar>
        <w:tblLook w:val="04A0" w:firstRow="1" w:lastRow="0" w:firstColumn="1" w:lastColumn="0" w:noHBand="0" w:noVBand="1"/>
      </w:tblPr>
      <w:tblGrid>
        <w:gridCol w:w="3156"/>
        <w:gridCol w:w="2038"/>
        <w:gridCol w:w="1948"/>
        <w:gridCol w:w="1874"/>
      </w:tblGrid>
      <w:tr w:rsidR="00091176" w:rsidRPr="00556843" w14:paraId="7278EECC" w14:textId="77777777" w:rsidTr="001E4811">
        <w:trPr>
          <w:trHeight w:val="350"/>
        </w:trPr>
        <w:tc>
          <w:tcPr>
            <w:tcW w:w="10624" w:type="dxa"/>
            <w:gridSpan w:val="4"/>
            <w:tcBorders>
              <w:left w:val="single" w:sz="4" w:space="0" w:color="auto"/>
              <w:bottom w:val="nil"/>
              <w:right w:val="single" w:sz="4" w:space="0" w:color="auto"/>
            </w:tcBorders>
            <w:shd w:val="clear" w:color="auto" w:fill="595959" w:themeFill="text1" w:themeFillTint="A6"/>
            <w:vAlign w:val="center"/>
          </w:tcPr>
          <w:p w14:paraId="50DE1282" w14:textId="77777777" w:rsidR="00091176" w:rsidRPr="00556843" w:rsidRDefault="00091176" w:rsidP="001E4811">
            <w:pPr>
              <w:keepNext/>
              <w:tabs>
                <w:tab w:val="left" w:pos="284"/>
              </w:tabs>
              <w:rPr>
                <w:rFonts w:ascii="Arial" w:hAnsi="Arial" w:cs="Arial"/>
                <w:b/>
                <w:color w:val="FFFFFF" w:themeColor="background1"/>
              </w:rPr>
            </w:pPr>
          </w:p>
        </w:tc>
      </w:tr>
      <w:tr w:rsidR="00091176" w:rsidRPr="00556843" w14:paraId="0065C79C" w14:textId="77777777" w:rsidTr="001E4811">
        <w:trPr>
          <w:trHeight w:val="439"/>
        </w:trPr>
        <w:tc>
          <w:tcPr>
            <w:tcW w:w="4042" w:type="dxa"/>
            <w:tcBorders>
              <w:top w:val="nil"/>
              <w:left w:val="single" w:sz="4" w:space="0" w:color="auto"/>
              <w:bottom w:val="nil"/>
              <w:right w:val="nil"/>
            </w:tcBorders>
          </w:tcPr>
          <w:p w14:paraId="246E05B1" w14:textId="77777777" w:rsidR="00091176" w:rsidRPr="00556843" w:rsidRDefault="00091176" w:rsidP="001E4811">
            <w:pPr>
              <w:pStyle w:val="TableText"/>
              <w:keepNext/>
            </w:pPr>
            <w:r w:rsidRPr="00E73F60">
              <w:rPr>
                <w:color w:val="FFFFFF" w:themeColor="background1"/>
              </w:rPr>
              <w:t>–</w:t>
            </w:r>
          </w:p>
        </w:tc>
        <w:tc>
          <w:tcPr>
            <w:tcW w:w="2252" w:type="dxa"/>
            <w:tcBorders>
              <w:top w:val="single" w:sz="4" w:space="0" w:color="FFFFFF" w:themeColor="background1"/>
              <w:left w:val="nil"/>
              <w:bottom w:val="single" w:sz="4" w:space="0" w:color="FFFFFF" w:themeColor="background1"/>
              <w:right w:val="single" w:sz="4" w:space="0" w:color="FFFFFF" w:themeColor="background1"/>
            </w:tcBorders>
            <w:shd w:val="clear" w:color="auto" w:fill="FF0000"/>
          </w:tcPr>
          <w:p w14:paraId="2BDD1B43" w14:textId="77777777" w:rsidR="00091176" w:rsidRPr="009E3E71" w:rsidRDefault="00091176" w:rsidP="001E4811">
            <w:pPr>
              <w:pStyle w:val="TableText"/>
              <w:keepNext/>
              <w:rPr>
                <w:rStyle w:val="Strong"/>
              </w:rPr>
            </w:pPr>
            <w:r w:rsidRPr="009E3E71">
              <w:rPr>
                <w:rStyle w:val="Strong"/>
              </w:rPr>
              <w:t>Critically Endangered</w:t>
            </w:r>
          </w:p>
          <w:p w14:paraId="5C6BA983" w14:textId="77777777" w:rsidR="00091176" w:rsidRPr="00556843" w:rsidRDefault="00091176" w:rsidP="001E4811">
            <w:pPr>
              <w:pStyle w:val="TableText"/>
              <w:keepNext/>
              <w:rPr>
                <w:b/>
              </w:rPr>
            </w:pPr>
            <w:r w:rsidRPr="009E3E71">
              <w:rPr>
                <w:rStyle w:val="Strong"/>
              </w:rPr>
              <w:t>Immediate future</w:t>
            </w:r>
          </w:p>
        </w:tc>
        <w:tc>
          <w:tcPr>
            <w:tcW w:w="2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2952EE11" w14:textId="77777777" w:rsidR="00091176" w:rsidRPr="009E3E71" w:rsidRDefault="00091176" w:rsidP="001E4811">
            <w:pPr>
              <w:pStyle w:val="TableText"/>
              <w:keepNext/>
              <w:rPr>
                <w:rStyle w:val="Strong"/>
              </w:rPr>
            </w:pPr>
            <w:r w:rsidRPr="009E3E71">
              <w:rPr>
                <w:rStyle w:val="Strong"/>
              </w:rPr>
              <w:t>Endangered</w:t>
            </w:r>
          </w:p>
          <w:p w14:paraId="6D83D618" w14:textId="77777777" w:rsidR="00091176" w:rsidRPr="009E3E71" w:rsidRDefault="00091176" w:rsidP="001E4811">
            <w:pPr>
              <w:pStyle w:val="TableText"/>
              <w:keepNext/>
              <w:rPr>
                <w:rStyle w:val="Strong"/>
              </w:rPr>
            </w:pPr>
            <w:r w:rsidRPr="009E3E71">
              <w:rPr>
                <w:rStyle w:val="Strong"/>
              </w:rPr>
              <w:t>Near future</w:t>
            </w:r>
          </w:p>
        </w:tc>
        <w:tc>
          <w:tcPr>
            <w:tcW w:w="2217"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00"/>
          </w:tcPr>
          <w:p w14:paraId="75B94157" w14:textId="77777777" w:rsidR="00091176" w:rsidRPr="009E3E71" w:rsidRDefault="00091176" w:rsidP="001E4811">
            <w:pPr>
              <w:pStyle w:val="TableText"/>
              <w:keepNext/>
              <w:rPr>
                <w:rStyle w:val="Strong"/>
              </w:rPr>
            </w:pPr>
            <w:r w:rsidRPr="009E3E71">
              <w:rPr>
                <w:rStyle w:val="Strong"/>
              </w:rPr>
              <w:t>Vulnerable</w:t>
            </w:r>
          </w:p>
          <w:p w14:paraId="5F0C92BA" w14:textId="77777777" w:rsidR="00091176" w:rsidRPr="009E3E71" w:rsidRDefault="00091176" w:rsidP="001E4811">
            <w:pPr>
              <w:pStyle w:val="TableText"/>
              <w:keepNext/>
              <w:rPr>
                <w:rStyle w:val="Strong"/>
              </w:rPr>
            </w:pPr>
            <w:r w:rsidRPr="009E3E71">
              <w:rPr>
                <w:rStyle w:val="Strong"/>
              </w:rPr>
              <w:t>Medium-term future</w:t>
            </w:r>
          </w:p>
        </w:tc>
      </w:tr>
      <w:tr w:rsidR="00091176" w:rsidRPr="004F5429" w14:paraId="7C9F06FA" w14:textId="77777777" w:rsidTr="001E4811">
        <w:trPr>
          <w:trHeight w:val="442"/>
        </w:trPr>
        <w:tc>
          <w:tcPr>
            <w:tcW w:w="4042" w:type="dxa"/>
            <w:tcBorders>
              <w:top w:val="nil"/>
              <w:left w:val="single" w:sz="4" w:space="0" w:color="auto"/>
              <w:bottom w:val="single" w:sz="4" w:space="0" w:color="auto"/>
              <w:right w:val="nil"/>
            </w:tcBorders>
            <w:shd w:val="clear" w:color="auto" w:fill="BFBFBF" w:themeFill="background1" w:themeFillShade="BF"/>
            <w:vAlign w:val="center"/>
          </w:tcPr>
          <w:p w14:paraId="5BA75D93" w14:textId="77777777" w:rsidR="00091176" w:rsidRPr="004F5429" w:rsidRDefault="00091176" w:rsidP="001E4811">
            <w:pPr>
              <w:pStyle w:val="TableText"/>
              <w:rPr>
                <w:rStyle w:val="Strong"/>
              </w:rPr>
            </w:pPr>
            <w:r w:rsidRPr="004F5429">
              <w:rPr>
                <w:rStyle w:val="Strong"/>
              </w:rPr>
              <w:t xml:space="preserve">Indicating the probability of extinction in the wild to be: </w:t>
            </w:r>
          </w:p>
        </w:tc>
        <w:tc>
          <w:tcPr>
            <w:tcW w:w="2252" w:type="dxa"/>
            <w:tcBorders>
              <w:top w:val="single" w:sz="4" w:space="0" w:color="FFFFFF" w:themeColor="background1"/>
              <w:left w:val="nil"/>
              <w:bottom w:val="single" w:sz="4" w:space="0" w:color="auto"/>
              <w:right w:val="single" w:sz="4" w:space="0" w:color="FFFFFF" w:themeColor="background1"/>
            </w:tcBorders>
            <w:shd w:val="clear" w:color="auto" w:fill="FF7C80"/>
            <w:vAlign w:val="center"/>
          </w:tcPr>
          <w:p w14:paraId="3EBDA932" w14:textId="77777777" w:rsidR="00091176" w:rsidRPr="004F5429" w:rsidRDefault="00091176" w:rsidP="001E4811">
            <w:pPr>
              <w:pStyle w:val="TableText"/>
              <w:rPr>
                <w:rStyle w:val="Strong"/>
                <w:b w:val="0"/>
                <w:bCs w:val="0"/>
              </w:rPr>
            </w:pPr>
            <w:r w:rsidRPr="004F5429">
              <w:rPr>
                <w:rStyle w:val="Strong"/>
              </w:rPr>
              <w:t>≥ 50% in 10 years or 3 generations, whichever is longer (100 years max.)</w:t>
            </w:r>
          </w:p>
        </w:tc>
        <w:tc>
          <w:tcPr>
            <w:tcW w:w="211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9933"/>
            <w:vAlign w:val="center"/>
          </w:tcPr>
          <w:p w14:paraId="0D10AE65" w14:textId="77777777" w:rsidR="00091176" w:rsidRPr="004F5429" w:rsidRDefault="00091176" w:rsidP="001E4811">
            <w:pPr>
              <w:pStyle w:val="TableText"/>
              <w:rPr>
                <w:rStyle w:val="Strong"/>
                <w:b w:val="0"/>
                <w:bCs w:val="0"/>
              </w:rPr>
            </w:pPr>
            <w:r w:rsidRPr="004F5429">
              <w:rPr>
                <w:rStyle w:val="Strong"/>
              </w:rPr>
              <w:t>≥ 20% in 20 years or 5 generations, whichever is longer (100 years max.)</w:t>
            </w:r>
          </w:p>
        </w:tc>
        <w:tc>
          <w:tcPr>
            <w:tcW w:w="2217"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66"/>
            <w:vAlign w:val="center"/>
          </w:tcPr>
          <w:p w14:paraId="53FF1A41" w14:textId="77777777" w:rsidR="00091176" w:rsidRPr="004F5429" w:rsidRDefault="00091176" w:rsidP="001E4811">
            <w:pPr>
              <w:pStyle w:val="TableText"/>
              <w:rPr>
                <w:rStyle w:val="Strong"/>
                <w:b w:val="0"/>
                <w:bCs w:val="0"/>
              </w:rPr>
            </w:pPr>
            <w:r w:rsidRPr="004F5429">
              <w:rPr>
                <w:rStyle w:val="Strong"/>
              </w:rPr>
              <w:t xml:space="preserve">≥ 10% in 100 years </w:t>
            </w:r>
          </w:p>
        </w:tc>
      </w:tr>
    </w:tbl>
    <w:p w14:paraId="7BDB9D14" w14:textId="77777777" w:rsidR="00091176" w:rsidRPr="00477D7C" w:rsidRDefault="00091176" w:rsidP="00033EA4">
      <w:pPr>
        <w:pStyle w:val="Heading3"/>
        <w:numPr>
          <w:ilvl w:val="0"/>
          <w:numId w:val="0"/>
        </w:numPr>
        <w:rPr>
          <w:rFonts w:asciiTheme="minorHAnsi" w:hAnsiTheme="minorHAnsi" w:cstheme="minorHAnsi"/>
          <w:sz w:val="28"/>
          <w:szCs w:val="28"/>
        </w:rPr>
      </w:pPr>
      <w:r w:rsidRPr="00477D7C">
        <w:rPr>
          <w:rFonts w:asciiTheme="minorHAnsi" w:hAnsiTheme="minorHAnsi" w:cstheme="minorHAnsi"/>
          <w:sz w:val="28"/>
          <w:szCs w:val="28"/>
        </w:rPr>
        <w:t>Criterion 5 evidence</w:t>
      </w:r>
    </w:p>
    <w:p w14:paraId="3325F6A3" w14:textId="77777777" w:rsidR="00091176" w:rsidRPr="00033EA4" w:rsidRDefault="00091176" w:rsidP="00091176">
      <w:pPr>
        <w:rPr>
          <w:rStyle w:val="Strong"/>
          <w:rFonts w:asciiTheme="majorHAnsi" w:hAnsiTheme="majorHAnsi"/>
        </w:rPr>
      </w:pPr>
      <w:r w:rsidRPr="00033EA4">
        <w:rPr>
          <w:rStyle w:val="Strong"/>
          <w:rFonts w:asciiTheme="majorHAnsi" w:hAnsiTheme="majorHAnsi"/>
        </w:rPr>
        <w:t>Insufficient data to determine eligibility</w:t>
      </w:r>
    </w:p>
    <w:p w14:paraId="5273941F" w14:textId="77777777" w:rsidR="00091176" w:rsidRPr="00033EA4" w:rsidRDefault="00091176" w:rsidP="00091176">
      <w:pPr>
        <w:keepNext/>
        <w:keepLines/>
        <w:rPr>
          <w:rFonts w:asciiTheme="majorHAnsi" w:hAnsiTheme="majorHAnsi"/>
          <w:bCs/>
        </w:rPr>
      </w:pPr>
      <w:r w:rsidRPr="00033EA4">
        <w:rPr>
          <w:rFonts w:asciiTheme="majorHAnsi" w:hAnsiTheme="majorHAnsi"/>
          <w:bCs/>
        </w:rPr>
        <w:t>Population viability analysis has not been undertaken.</w:t>
      </w:r>
    </w:p>
    <w:p w14:paraId="370638FC" w14:textId="77777777" w:rsidR="00091176" w:rsidRPr="00033EA4" w:rsidRDefault="00091176" w:rsidP="00091176">
      <w:pPr>
        <w:pStyle w:val="Heading4"/>
        <w:rPr>
          <w:rFonts w:asciiTheme="majorHAnsi" w:hAnsiTheme="majorHAnsi"/>
        </w:rPr>
      </w:pPr>
      <w:r w:rsidRPr="00033EA4">
        <w:rPr>
          <w:rFonts w:asciiTheme="majorHAnsi" w:hAnsiTheme="majorHAnsi"/>
        </w:rPr>
        <w:t>Conclusion</w:t>
      </w:r>
    </w:p>
    <w:p w14:paraId="04C4FF95" w14:textId="77777777" w:rsidR="00091176" w:rsidRPr="00033EA4" w:rsidRDefault="00091176" w:rsidP="00091176">
      <w:pPr>
        <w:keepNext/>
        <w:keepLines/>
        <w:rPr>
          <w:rFonts w:asciiTheme="majorHAnsi" w:hAnsiTheme="majorHAnsi"/>
          <w:lang w:eastAsia="ja-JP"/>
        </w:rPr>
      </w:pPr>
      <w:r w:rsidRPr="00033EA4">
        <w:rPr>
          <w:rFonts w:asciiTheme="majorHAnsi" w:hAnsiTheme="majorHAnsi"/>
          <w:lang w:eastAsia="ja-JP"/>
        </w:rPr>
        <w:t xml:space="preserve">There is currently insufficient information </w:t>
      </w:r>
      <w:r w:rsidRPr="00033EA4">
        <w:rPr>
          <w:rFonts w:asciiTheme="majorHAnsi" w:hAnsiTheme="majorHAnsi"/>
          <w:bCs/>
        </w:rPr>
        <w:t>to determine the eligibility of the species for listing in any category under this criterion.</w:t>
      </w:r>
    </w:p>
    <w:p w14:paraId="148D970D" w14:textId="77777777" w:rsidR="00091176" w:rsidRPr="00033EA4" w:rsidRDefault="00091176" w:rsidP="00033EA4">
      <w:pPr>
        <w:pStyle w:val="Heading3"/>
        <w:numPr>
          <w:ilvl w:val="0"/>
          <w:numId w:val="0"/>
        </w:numPr>
        <w:rPr>
          <w:rFonts w:asciiTheme="majorHAnsi" w:hAnsiTheme="majorHAnsi"/>
        </w:rPr>
      </w:pPr>
      <w:r w:rsidRPr="00033EA4">
        <w:rPr>
          <w:rFonts w:asciiTheme="majorHAnsi" w:hAnsiTheme="majorHAnsi"/>
        </w:rPr>
        <w:t>Adequacy of survey</w:t>
      </w:r>
    </w:p>
    <w:p w14:paraId="16E88FBD" w14:textId="77777777" w:rsidR="00091176" w:rsidRPr="00033EA4" w:rsidRDefault="00091176" w:rsidP="00091176">
      <w:pPr>
        <w:rPr>
          <w:rFonts w:asciiTheme="majorHAnsi" w:hAnsiTheme="majorHAnsi"/>
        </w:rPr>
      </w:pPr>
      <w:r w:rsidRPr="00033EA4">
        <w:rPr>
          <w:rFonts w:asciiTheme="majorHAnsi" w:hAnsiTheme="majorHAnsi"/>
        </w:rPr>
        <w:t>The survey effort has been considered adequate and there is sufficient scientific evidence to support the assessment.</w:t>
      </w:r>
    </w:p>
    <w:p w14:paraId="72DEFA1B" w14:textId="77777777" w:rsidR="00091176" w:rsidRPr="00033EA4" w:rsidRDefault="00091176" w:rsidP="00033EA4">
      <w:pPr>
        <w:pStyle w:val="Heading3"/>
        <w:numPr>
          <w:ilvl w:val="0"/>
          <w:numId w:val="0"/>
        </w:numPr>
        <w:rPr>
          <w:rFonts w:asciiTheme="majorHAnsi" w:hAnsiTheme="majorHAnsi"/>
        </w:rPr>
      </w:pPr>
      <w:r w:rsidRPr="00033EA4">
        <w:rPr>
          <w:rFonts w:asciiTheme="majorHAnsi" w:hAnsiTheme="majorHAnsi"/>
        </w:rPr>
        <w:t>Public consultation</w:t>
      </w:r>
    </w:p>
    <w:p w14:paraId="6F2DE3B4" w14:textId="77777777" w:rsidR="00091176" w:rsidRPr="00033EA4" w:rsidRDefault="00091176" w:rsidP="00091176">
      <w:pPr>
        <w:rPr>
          <w:rFonts w:asciiTheme="majorHAnsi" w:hAnsiTheme="majorHAnsi"/>
          <w:bCs/>
        </w:rPr>
      </w:pPr>
      <w:r w:rsidRPr="00033EA4">
        <w:rPr>
          <w:rFonts w:asciiTheme="majorHAnsi" w:hAnsiTheme="majorHAnsi"/>
          <w:bCs/>
        </w:rPr>
        <w:t>Notice of the proposed amendment and a consultation document was made available for public comment for 31 business days between 17 April to 31 May 2023. Any comments received that were relevant to the survival of the species were considered by the Committee as part of the assessment process and provided to the Minister for the Environment with the Committee’s advice.</w:t>
      </w:r>
    </w:p>
    <w:p w14:paraId="4E856102" w14:textId="77777777" w:rsidR="00091176" w:rsidRPr="00033EA4" w:rsidRDefault="00091176" w:rsidP="00033EA4">
      <w:pPr>
        <w:pStyle w:val="Heading3"/>
        <w:numPr>
          <w:ilvl w:val="0"/>
          <w:numId w:val="0"/>
        </w:numPr>
        <w:rPr>
          <w:rFonts w:asciiTheme="majorHAnsi" w:hAnsiTheme="majorHAnsi"/>
        </w:rPr>
      </w:pPr>
      <w:r w:rsidRPr="00033EA4">
        <w:rPr>
          <w:rFonts w:asciiTheme="majorHAnsi" w:hAnsiTheme="majorHAnsi"/>
        </w:rPr>
        <w:lastRenderedPageBreak/>
        <w:t>Listing and Recovery Plan Recommendations</w:t>
      </w:r>
    </w:p>
    <w:p w14:paraId="6DE763DD" w14:textId="77777777" w:rsidR="00091176" w:rsidRPr="00033EA4" w:rsidRDefault="00091176" w:rsidP="00091176">
      <w:pPr>
        <w:rPr>
          <w:rFonts w:asciiTheme="majorHAnsi" w:hAnsiTheme="majorHAnsi"/>
          <w:bCs/>
        </w:rPr>
      </w:pPr>
      <w:r w:rsidRPr="00033EA4">
        <w:rPr>
          <w:rFonts w:asciiTheme="majorHAnsi" w:hAnsiTheme="majorHAnsi"/>
          <w:bCs/>
        </w:rPr>
        <w:t>The Threatened Species Scientific Committee recommends:</w:t>
      </w:r>
    </w:p>
    <w:p w14:paraId="60EF02D4" w14:textId="77777777" w:rsidR="00091176" w:rsidRPr="00033EA4" w:rsidRDefault="00091176" w:rsidP="00091176">
      <w:pPr>
        <w:pStyle w:val="ListNumber3"/>
        <w:numPr>
          <w:ilvl w:val="2"/>
          <w:numId w:val="32"/>
        </w:numPr>
        <w:rPr>
          <w:rFonts w:asciiTheme="majorHAnsi" w:hAnsiTheme="majorHAnsi" w:cstheme="minorHAnsi"/>
        </w:rPr>
      </w:pPr>
      <w:r w:rsidRPr="00033EA4">
        <w:rPr>
          <w:rFonts w:asciiTheme="majorHAnsi" w:hAnsiTheme="majorHAnsi" w:cstheme="minorHAnsi"/>
        </w:rPr>
        <w:t xml:space="preserve">That the list referred to in section 178 of the EPBC Act be amended by transferring </w:t>
      </w:r>
      <w:r w:rsidRPr="00033EA4">
        <w:rPr>
          <w:rFonts w:asciiTheme="majorHAnsi" w:hAnsiTheme="majorHAnsi" w:cstheme="minorHAnsi"/>
          <w:i/>
        </w:rPr>
        <w:t xml:space="preserve">Lepidium </w:t>
      </w:r>
      <w:proofErr w:type="spellStart"/>
      <w:r w:rsidRPr="00033EA4">
        <w:rPr>
          <w:rFonts w:asciiTheme="majorHAnsi" w:hAnsiTheme="majorHAnsi" w:cstheme="minorHAnsi"/>
          <w:i/>
        </w:rPr>
        <w:t>ginninderrense</w:t>
      </w:r>
      <w:proofErr w:type="spellEnd"/>
      <w:r w:rsidRPr="00033EA4">
        <w:rPr>
          <w:rFonts w:asciiTheme="majorHAnsi" w:hAnsiTheme="majorHAnsi" w:cstheme="minorHAnsi"/>
        </w:rPr>
        <w:t xml:space="preserve"> from the </w:t>
      </w:r>
      <w:sdt>
        <w:sdtPr>
          <w:rPr>
            <w:rFonts w:asciiTheme="majorHAnsi" w:hAnsiTheme="majorHAnsi" w:cstheme="minorHAnsi"/>
            <w:color w:val="2B579A"/>
            <w:shd w:val="clear" w:color="auto" w:fill="E6E6E6"/>
          </w:rPr>
          <w:id w:val="1400865291"/>
          <w:placeholder>
            <w:docPart w:val="B27A8E2D42974602BC4B5DEFFAA4E9AB"/>
          </w:placeholder>
          <w:dropDownList>
            <w:listItem w:displayText="Critically Endangered" w:value="Critically Endangered"/>
            <w:listItem w:displayText="Endangered" w:value="Endangered"/>
            <w:listItem w:displayText="Vulnerable" w:value="Vulnerable"/>
            <w:listItem w:displayText="Extinct" w:value="Extinct"/>
            <w:listItem w:displayText="Extinct in the Wild" w:value="Extinct in the Wild"/>
          </w:dropDownList>
        </w:sdtPr>
        <w:sdtEndPr>
          <w:rPr>
            <w:color w:val="auto"/>
            <w:shd w:val="clear" w:color="auto" w:fill="auto"/>
          </w:rPr>
        </w:sdtEndPr>
        <w:sdtContent>
          <w:r w:rsidRPr="00033EA4">
            <w:rPr>
              <w:rFonts w:asciiTheme="majorHAnsi" w:hAnsiTheme="majorHAnsi" w:cstheme="minorHAnsi"/>
            </w:rPr>
            <w:t>Vulnerable</w:t>
          </w:r>
        </w:sdtContent>
      </w:sdt>
      <w:r w:rsidRPr="00033EA4">
        <w:rPr>
          <w:rFonts w:asciiTheme="majorHAnsi" w:hAnsiTheme="majorHAnsi" w:cstheme="minorHAnsi"/>
        </w:rPr>
        <w:t xml:space="preserve"> category to the </w:t>
      </w:r>
      <w:sdt>
        <w:sdtPr>
          <w:rPr>
            <w:rFonts w:asciiTheme="majorHAnsi" w:hAnsiTheme="majorHAnsi" w:cstheme="minorHAnsi"/>
            <w:color w:val="2B579A"/>
            <w:shd w:val="clear" w:color="auto" w:fill="E6E6E6"/>
          </w:rPr>
          <w:id w:val="1208306560"/>
          <w:placeholder>
            <w:docPart w:val="7647D2AE35EA4158937CBC99FFBA855B"/>
          </w:placeholder>
          <w:dropDownList>
            <w:listItem w:displayText="Critically Endangered" w:value="Critically Endangered"/>
            <w:listItem w:displayText="Endangered" w:value="Endangered"/>
            <w:listItem w:displayText="Vulnerable" w:value="Vulnerable"/>
            <w:listItem w:displayText="Extinct" w:value="Extinct"/>
            <w:listItem w:displayText="Extinct in the Wild" w:value="Extinct in the Wild"/>
          </w:dropDownList>
        </w:sdtPr>
        <w:sdtEndPr>
          <w:rPr>
            <w:color w:val="auto"/>
            <w:shd w:val="clear" w:color="auto" w:fill="auto"/>
          </w:rPr>
        </w:sdtEndPr>
        <w:sdtContent>
          <w:r w:rsidRPr="00033EA4">
            <w:rPr>
              <w:rFonts w:asciiTheme="majorHAnsi" w:hAnsiTheme="majorHAnsi" w:cstheme="minorHAnsi"/>
            </w:rPr>
            <w:t>Critically Endangered</w:t>
          </w:r>
        </w:sdtContent>
      </w:sdt>
      <w:r w:rsidRPr="00033EA4">
        <w:rPr>
          <w:rFonts w:asciiTheme="majorHAnsi" w:hAnsiTheme="majorHAnsi" w:cstheme="minorHAnsi"/>
        </w:rPr>
        <w:t xml:space="preserve"> category.</w:t>
      </w:r>
    </w:p>
    <w:p w14:paraId="4C4C6E6F" w14:textId="77777777" w:rsidR="00091176" w:rsidRPr="00033EA4" w:rsidRDefault="00091176" w:rsidP="00091176">
      <w:pPr>
        <w:pStyle w:val="ListNumber3"/>
        <w:numPr>
          <w:ilvl w:val="2"/>
          <w:numId w:val="32"/>
        </w:numPr>
        <w:rPr>
          <w:rFonts w:asciiTheme="majorHAnsi" w:hAnsiTheme="majorHAnsi" w:cstheme="minorHAnsi"/>
        </w:rPr>
      </w:pPr>
      <w:r w:rsidRPr="00033EA4">
        <w:rPr>
          <w:rFonts w:asciiTheme="majorHAnsi" w:hAnsiTheme="majorHAnsi" w:cstheme="minorHAnsi"/>
        </w:rPr>
        <w:t xml:space="preserve">That there be a Recovery Plan for this species in accordance with the provisions of the EPBC Act and the Committee’s conservation planning principles as follows: </w:t>
      </w:r>
    </w:p>
    <w:p w14:paraId="2B3575FC" w14:textId="77777777" w:rsidR="00091176" w:rsidRPr="00033EA4" w:rsidRDefault="00091176" w:rsidP="00091176">
      <w:pPr>
        <w:pStyle w:val="ListBullet3"/>
        <w:ind w:left="1701"/>
        <w:rPr>
          <w:rFonts w:asciiTheme="majorHAnsi" w:hAnsiTheme="majorHAnsi" w:cstheme="minorHAnsi"/>
        </w:rPr>
      </w:pPr>
      <w:r w:rsidRPr="00033EA4">
        <w:rPr>
          <w:rFonts w:asciiTheme="majorHAnsi" w:hAnsiTheme="majorHAnsi" w:cstheme="minorHAnsi"/>
        </w:rPr>
        <w:t xml:space="preserve">A recovery plan will provide a clear, concise guiding framework to improve knowledge of the ecology and conservation requirements of the species and to better understand the </w:t>
      </w:r>
      <w:r w:rsidRPr="00033EA4">
        <w:rPr>
          <w:rFonts w:asciiTheme="majorHAnsi" w:hAnsiTheme="majorHAnsi" w:cstheme="minorHAnsi"/>
          <w:lang w:eastAsia="en-AU"/>
        </w:rPr>
        <w:t>multiple, significant</w:t>
      </w:r>
      <w:r w:rsidRPr="00033EA4">
        <w:rPr>
          <w:rFonts w:asciiTheme="majorHAnsi" w:hAnsiTheme="majorHAnsi" w:cstheme="minorHAnsi"/>
        </w:rPr>
        <w:t xml:space="preserve"> threats.</w:t>
      </w:r>
    </w:p>
    <w:p w14:paraId="3CFC2056" w14:textId="77777777" w:rsidR="00091176" w:rsidRPr="00033EA4" w:rsidRDefault="00091176" w:rsidP="00091176">
      <w:pPr>
        <w:pStyle w:val="ListBullet3"/>
        <w:ind w:left="1701"/>
        <w:rPr>
          <w:rFonts w:asciiTheme="majorHAnsi" w:hAnsiTheme="majorHAnsi" w:cstheme="minorHAnsi"/>
        </w:rPr>
      </w:pPr>
      <w:r w:rsidRPr="00033EA4">
        <w:rPr>
          <w:rFonts w:asciiTheme="majorHAnsi" w:hAnsiTheme="majorHAnsi" w:cstheme="minorHAnsi"/>
        </w:rPr>
        <w:t>The species is under high development pressure that can be regulated under the EPBC Act.</w:t>
      </w:r>
    </w:p>
    <w:p w14:paraId="2F714A47" w14:textId="77777777" w:rsidR="00091176" w:rsidRPr="00033EA4" w:rsidRDefault="00091176" w:rsidP="00091176">
      <w:pPr>
        <w:pStyle w:val="ListBullet3"/>
        <w:ind w:left="1701"/>
        <w:rPr>
          <w:rFonts w:asciiTheme="majorHAnsi" w:hAnsiTheme="majorHAnsi"/>
        </w:rPr>
      </w:pPr>
      <w:r w:rsidRPr="00033EA4">
        <w:rPr>
          <w:rFonts w:asciiTheme="majorHAnsi" w:hAnsiTheme="majorHAnsi"/>
        </w:rPr>
        <w:t>A recovery plan will help to ensure the recovery of the Lawson subpopulation, which is on Commonwealth land managed by Defence Housing Australia and includes a site on the Register of Critical Habitat.</w:t>
      </w:r>
    </w:p>
    <w:p w14:paraId="283B40C3" w14:textId="77777777" w:rsidR="00091176" w:rsidRPr="00033EA4" w:rsidRDefault="00091176" w:rsidP="00091176">
      <w:pPr>
        <w:pStyle w:val="ListBullet3"/>
        <w:ind w:left="1701"/>
        <w:rPr>
          <w:rFonts w:asciiTheme="majorHAnsi" w:hAnsiTheme="majorHAnsi"/>
        </w:rPr>
      </w:pPr>
      <w:r w:rsidRPr="00033EA4">
        <w:rPr>
          <w:rFonts w:asciiTheme="majorHAnsi" w:hAnsiTheme="majorHAnsi"/>
        </w:rPr>
        <w:t>Having regard to the aforementioned factors, a recovery plan is required as it would provide a significant conservation planning benefit above existing mechanisms.</w:t>
      </w:r>
    </w:p>
    <w:p w14:paraId="043050CF" w14:textId="77777777" w:rsidR="00091176" w:rsidRPr="00033EA4" w:rsidRDefault="00091176" w:rsidP="00091176">
      <w:pPr>
        <w:pStyle w:val="ListBullet3"/>
        <w:ind w:left="1701"/>
        <w:rPr>
          <w:rFonts w:asciiTheme="majorHAnsi" w:hAnsiTheme="majorHAnsi"/>
        </w:rPr>
      </w:pPr>
      <w:r w:rsidRPr="00033EA4">
        <w:rPr>
          <w:rFonts w:asciiTheme="majorHAnsi" w:hAnsiTheme="majorHAnsi"/>
        </w:rPr>
        <w:t xml:space="preserve">The Committee’s conservation planning principles can be found </w:t>
      </w:r>
      <w:hyperlink r:id="rId29" w:history="1">
        <w:r w:rsidRPr="00033EA4">
          <w:rPr>
            <w:rStyle w:val="Hyperlink"/>
            <w:rFonts w:asciiTheme="majorHAnsi" w:hAnsiTheme="majorHAnsi"/>
          </w:rPr>
          <w:t>here</w:t>
        </w:r>
      </w:hyperlink>
      <w:r w:rsidRPr="00033EA4">
        <w:rPr>
          <w:rFonts w:asciiTheme="majorHAnsi" w:hAnsiTheme="majorHAnsi"/>
        </w:rPr>
        <w:t>.</w:t>
      </w:r>
    </w:p>
    <w:p w14:paraId="627DECBC" w14:textId="77777777" w:rsidR="00AC2CBD" w:rsidRPr="00AC2CBD" w:rsidRDefault="00AC2CBD" w:rsidP="00091176">
      <w:pPr>
        <w:spacing w:after="0" w:line="240" w:lineRule="auto"/>
      </w:pPr>
    </w:p>
    <w:sectPr w:rsidR="00AC2CBD" w:rsidRPr="00AC2CBD" w:rsidSect="00003FA0">
      <w:headerReference w:type="firs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A38B" w14:textId="77777777" w:rsidR="00003FA0" w:rsidRDefault="00003FA0" w:rsidP="00DF4FEA">
      <w:pPr>
        <w:spacing w:after="0" w:line="240" w:lineRule="auto"/>
      </w:pPr>
      <w:r>
        <w:separator/>
      </w:r>
    </w:p>
    <w:p w14:paraId="193AE75D" w14:textId="77777777" w:rsidR="00003FA0" w:rsidRDefault="00003FA0"/>
  </w:endnote>
  <w:endnote w:type="continuationSeparator" w:id="0">
    <w:p w14:paraId="0E6CBEBF" w14:textId="77777777" w:rsidR="00003FA0" w:rsidRDefault="00003FA0" w:rsidP="00DF4FEA">
      <w:pPr>
        <w:spacing w:after="0" w:line="240" w:lineRule="auto"/>
      </w:pPr>
      <w:r>
        <w:continuationSeparator/>
      </w:r>
    </w:p>
    <w:p w14:paraId="7CDE582F" w14:textId="77777777" w:rsidR="00003FA0" w:rsidRDefault="00003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Baskerville BT">
    <w:altName w:val="Baskerville Old Face"/>
    <w:charset w:val="00"/>
    <w:family w:val="roman"/>
    <w:pitch w:val="variable"/>
    <w:sig w:usb0="00000087" w:usb1="00000000" w:usb2="00000000" w:usb3="00000000" w:csb0="0000001B"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Neue LT 55 Roman">
    <w:altName w:val="HelveticaNeue LT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88E0" w14:textId="77777777" w:rsidR="00E40EC3" w:rsidRDefault="00E40EC3">
    <w:pPr>
      <w:pStyle w:val="Footer"/>
    </w:pPr>
  </w:p>
  <w:p w14:paraId="256E54DD" w14:textId="77777777" w:rsidR="005670E1" w:rsidRDefault="005670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2816"/>
      <w:docPartObj>
        <w:docPartGallery w:val="Page Numbers (Bottom of Page)"/>
        <w:docPartUnique/>
      </w:docPartObj>
    </w:sdtPr>
    <w:sdtEndPr/>
    <w:sdtContent>
      <w:p w14:paraId="06F02673" w14:textId="77777777" w:rsidR="008740E8" w:rsidRDefault="00677C43">
        <w:pPr>
          <w:pStyle w:val="Footer"/>
          <w:jc w:val="right"/>
        </w:pPr>
        <w:r>
          <w:fldChar w:fldCharType="begin"/>
        </w:r>
        <w:r>
          <w:instrText xml:space="preserve"> PAGE   \* MERGEFORMAT </w:instrText>
        </w:r>
        <w:r>
          <w:fldChar w:fldCharType="separate"/>
        </w:r>
        <w:r w:rsidR="003A65CB">
          <w:rPr>
            <w:noProof/>
          </w:rPr>
          <w:t>2</w:t>
        </w:r>
        <w:r>
          <w:rPr>
            <w:noProof/>
          </w:rPr>
          <w:fldChar w:fldCharType="end"/>
        </w:r>
      </w:p>
    </w:sdtContent>
  </w:sdt>
  <w:p w14:paraId="1F94D91B" w14:textId="04C21AF8" w:rsidR="005670E1" w:rsidRPr="006D1E0B" w:rsidRDefault="006D1E0B" w:rsidP="006D1E0B">
    <w:pPr>
      <w:jc w:val="center"/>
      <w:rPr>
        <w:rFonts w:ascii="Arial" w:hAnsi="Arial" w:cs="Arial"/>
        <w:sz w:val="14"/>
      </w:rPr>
    </w:pPr>
    <w:r w:rsidRPr="006D1E0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5C8F" w14:textId="4E8CA5D1" w:rsidR="005B2ACD" w:rsidRPr="006D1E0B" w:rsidRDefault="006D1E0B" w:rsidP="006D1E0B">
    <w:pPr>
      <w:pStyle w:val="Footer"/>
      <w:jc w:val="center"/>
      <w:rPr>
        <w:rFonts w:ascii="Arial" w:hAnsi="Arial" w:cs="Arial"/>
        <w:sz w:val="14"/>
      </w:rPr>
    </w:pPr>
    <w:r w:rsidRPr="006D1E0B">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BD2A" w14:textId="58CB94F8" w:rsidR="005B2ACD" w:rsidRPr="006D1E0B" w:rsidRDefault="006D1E0B" w:rsidP="006D1E0B">
    <w:pPr>
      <w:pStyle w:val="Footer"/>
      <w:jc w:val="center"/>
      <w:rPr>
        <w:rFonts w:ascii="Arial" w:hAnsi="Arial" w:cs="Arial"/>
        <w:sz w:val="14"/>
      </w:rPr>
    </w:pPr>
    <w:r w:rsidRPr="006D1E0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5900" w14:textId="77777777" w:rsidR="00003FA0" w:rsidRDefault="00003FA0" w:rsidP="00DF4FEA">
      <w:pPr>
        <w:spacing w:after="0" w:line="240" w:lineRule="auto"/>
      </w:pPr>
      <w:r>
        <w:separator/>
      </w:r>
    </w:p>
    <w:p w14:paraId="4C83FE83" w14:textId="77777777" w:rsidR="00003FA0" w:rsidRDefault="00003FA0"/>
  </w:footnote>
  <w:footnote w:type="continuationSeparator" w:id="0">
    <w:p w14:paraId="4E324334" w14:textId="77777777" w:rsidR="00003FA0" w:rsidRDefault="00003FA0" w:rsidP="00DF4FEA">
      <w:pPr>
        <w:spacing w:after="0" w:line="240" w:lineRule="auto"/>
      </w:pPr>
      <w:r>
        <w:continuationSeparator/>
      </w:r>
    </w:p>
    <w:p w14:paraId="79490B03" w14:textId="77777777" w:rsidR="00003FA0" w:rsidRDefault="00003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931B" w14:textId="77777777" w:rsidR="00E40EC3" w:rsidRDefault="00E40EC3">
    <w:pPr>
      <w:pStyle w:val="Header"/>
    </w:pPr>
  </w:p>
  <w:p w14:paraId="67C38325" w14:textId="77777777" w:rsidR="005670E1" w:rsidRDefault="005670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D09F" w14:textId="77777777" w:rsidR="00E40EC3" w:rsidRDefault="00E40EC3">
    <w:pPr>
      <w:pStyle w:val="Header"/>
    </w:pPr>
  </w:p>
  <w:p w14:paraId="270B200B" w14:textId="77777777" w:rsidR="005670E1" w:rsidRDefault="005670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F2F3" w14:textId="77777777" w:rsidR="005B2ACD" w:rsidRDefault="005B2A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9CDE" w14:textId="77777777" w:rsidR="005B2ACD" w:rsidRDefault="005B2ACD">
    <w:pPr>
      <w:pStyle w:val="Header"/>
    </w:pPr>
    <w:r>
      <w:rPr>
        <w:noProof/>
        <w:lang w:eastAsia="en-AU"/>
      </w:rPr>
      <w:drawing>
        <wp:anchor distT="0" distB="0" distL="114300" distR="114300" simplePos="0" relativeHeight="251659264" behindDoc="0" locked="0" layoutInCell="1" allowOverlap="1" wp14:anchorId="21E3D7FA" wp14:editId="3CE157E1">
          <wp:simplePos x="0" y="0"/>
          <wp:positionH relativeFrom="column">
            <wp:posOffset>4599940</wp:posOffset>
          </wp:positionH>
          <wp:positionV relativeFrom="paragraph">
            <wp:posOffset>-28575</wp:posOffset>
          </wp:positionV>
          <wp:extent cx="1101090" cy="1102360"/>
          <wp:effectExtent l="19050" t="0" r="3810" b="0"/>
          <wp:wrapNone/>
          <wp:docPr id="4" name="Picture 6" descr="ACT Scientific Committe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CT Scientific Committee logo "/>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2BF52636" wp14:editId="76C7A66D">
          <wp:extent cx="2028825" cy="752475"/>
          <wp:effectExtent l="19050" t="0" r="9525" b="0"/>
          <wp:docPr id="8" name="Picture 1" descr="ACT Government E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CT Government EPSD"/>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10A227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BED451F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68186D"/>
    <w:multiLevelType w:val="hybridMultilevel"/>
    <w:tmpl w:val="F18ABFA0"/>
    <w:lvl w:ilvl="0" w:tplc="ED323CAC">
      <w:start w:val="1"/>
      <w:numFmt w:val="decimal"/>
      <w:pStyle w:val="TSSC"/>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81B2C98"/>
    <w:multiLevelType w:val="hybridMultilevel"/>
    <w:tmpl w:val="19CCEF82"/>
    <w:lvl w:ilvl="0" w:tplc="3716A6DA">
      <w:start w:val="1"/>
      <w:numFmt w:val="bullet"/>
      <w:lvlText w:val="–"/>
      <w:lvlJc w:val="left"/>
      <w:pPr>
        <w:ind w:left="720" w:hanging="360"/>
      </w:pPr>
      <w:rPr>
        <w:rFonts w:ascii="Baskerville BT" w:hAnsi="Baskerville B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3B534F"/>
    <w:multiLevelType w:val="hybridMultilevel"/>
    <w:tmpl w:val="8398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EFD25B7"/>
    <w:multiLevelType w:val="hybridMultilevel"/>
    <w:tmpl w:val="1548B5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1842D5C"/>
    <w:multiLevelType w:val="hybridMultilevel"/>
    <w:tmpl w:val="A27041DC"/>
    <w:lvl w:ilvl="0" w:tplc="EEEA14E8">
      <w:start w:val="1"/>
      <w:numFmt w:val="bullet"/>
      <w:lvlText w:val=""/>
      <w:lvlJc w:val="left"/>
      <w:pPr>
        <w:ind w:left="1060" w:hanging="360"/>
      </w:pPr>
      <w:rPr>
        <w:rFonts w:ascii="Symbol" w:hAnsi="Symbol"/>
      </w:rPr>
    </w:lvl>
    <w:lvl w:ilvl="1" w:tplc="54A80408">
      <w:start w:val="1"/>
      <w:numFmt w:val="bullet"/>
      <w:lvlText w:val=""/>
      <w:lvlJc w:val="left"/>
      <w:pPr>
        <w:ind w:left="1060" w:hanging="360"/>
      </w:pPr>
      <w:rPr>
        <w:rFonts w:ascii="Symbol" w:hAnsi="Symbol"/>
      </w:rPr>
    </w:lvl>
    <w:lvl w:ilvl="2" w:tplc="0EE2366A">
      <w:start w:val="1"/>
      <w:numFmt w:val="bullet"/>
      <w:lvlText w:val=""/>
      <w:lvlJc w:val="left"/>
      <w:pPr>
        <w:ind w:left="1060" w:hanging="360"/>
      </w:pPr>
      <w:rPr>
        <w:rFonts w:ascii="Symbol" w:hAnsi="Symbol"/>
      </w:rPr>
    </w:lvl>
    <w:lvl w:ilvl="3" w:tplc="F6967A96">
      <w:start w:val="1"/>
      <w:numFmt w:val="bullet"/>
      <w:lvlText w:val=""/>
      <w:lvlJc w:val="left"/>
      <w:pPr>
        <w:ind w:left="1060" w:hanging="360"/>
      </w:pPr>
      <w:rPr>
        <w:rFonts w:ascii="Symbol" w:hAnsi="Symbol"/>
      </w:rPr>
    </w:lvl>
    <w:lvl w:ilvl="4" w:tplc="644AD458">
      <w:start w:val="1"/>
      <w:numFmt w:val="bullet"/>
      <w:lvlText w:val=""/>
      <w:lvlJc w:val="left"/>
      <w:pPr>
        <w:ind w:left="1060" w:hanging="360"/>
      </w:pPr>
      <w:rPr>
        <w:rFonts w:ascii="Symbol" w:hAnsi="Symbol"/>
      </w:rPr>
    </w:lvl>
    <w:lvl w:ilvl="5" w:tplc="AE0A39A6">
      <w:start w:val="1"/>
      <w:numFmt w:val="bullet"/>
      <w:lvlText w:val=""/>
      <w:lvlJc w:val="left"/>
      <w:pPr>
        <w:ind w:left="1060" w:hanging="360"/>
      </w:pPr>
      <w:rPr>
        <w:rFonts w:ascii="Symbol" w:hAnsi="Symbol"/>
      </w:rPr>
    </w:lvl>
    <w:lvl w:ilvl="6" w:tplc="EDFCA13C">
      <w:start w:val="1"/>
      <w:numFmt w:val="bullet"/>
      <w:lvlText w:val=""/>
      <w:lvlJc w:val="left"/>
      <w:pPr>
        <w:ind w:left="1060" w:hanging="360"/>
      </w:pPr>
      <w:rPr>
        <w:rFonts w:ascii="Symbol" w:hAnsi="Symbol"/>
      </w:rPr>
    </w:lvl>
    <w:lvl w:ilvl="7" w:tplc="E2C2D3D2">
      <w:start w:val="1"/>
      <w:numFmt w:val="bullet"/>
      <w:lvlText w:val=""/>
      <w:lvlJc w:val="left"/>
      <w:pPr>
        <w:ind w:left="1060" w:hanging="360"/>
      </w:pPr>
      <w:rPr>
        <w:rFonts w:ascii="Symbol" w:hAnsi="Symbol"/>
      </w:rPr>
    </w:lvl>
    <w:lvl w:ilvl="8" w:tplc="DCA893AC">
      <w:start w:val="1"/>
      <w:numFmt w:val="bullet"/>
      <w:lvlText w:val=""/>
      <w:lvlJc w:val="left"/>
      <w:pPr>
        <w:ind w:left="1060" w:hanging="360"/>
      </w:pPr>
      <w:rPr>
        <w:rFonts w:ascii="Symbol" w:hAnsi="Symbol"/>
      </w:rPr>
    </w:lvl>
  </w:abstractNum>
  <w:abstractNum w:abstractNumId="1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70E2957"/>
    <w:multiLevelType w:val="hybridMultilevel"/>
    <w:tmpl w:val="6FEAD96C"/>
    <w:lvl w:ilvl="0" w:tplc="96A60210">
      <w:start w:val="1"/>
      <w:numFmt w:val="bullet"/>
      <w:lvlText w:val=""/>
      <w:lvlJc w:val="left"/>
      <w:pPr>
        <w:ind w:left="1140" w:hanging="360"/>
      </w:pPr>
      <w:rPr>
        <w:rFonts w:ascii="Symbol" w:hAnsi="Symbol"/>
      </w:rPr>
    </w:lvl>
    <w:lvl w:ilvl="1" w:tplc="C2688600">
      <w:start w:val="1"/>
      <w:numFmt w:val="bullet"/>
      <w:lvlText w:val=""/>
      <w:lvlJc w:val="left"/>
      <w:pPr>
        <w:ind w:left="1560" w:hanging="360"/>
      </w:pPr>
      <w:rPr>
        <w:rFonts w:ascii="Symbol" w:hAnsi="Symbol"/>
      </w:rPr>
    </w:lvl>
    <w:lvl w:ilvl="2" w:tplc="0FF8169A">
      <w:start w:val="1"/>
      <w:numFmt w:val="bullet"/>
      <w:lvlText w:val=""/>
      <w:lvlJc w:val="left"/>
      <w:pPr>
        <w:ind w:left="1140" w:hanging="360"/>
      </w:pPr>
      <w:rPr>
        <w:rFonts w:ascii="Symbol" w:hAnsi="Symbol"/>
      </w:rPr>
    </w:lvl>
    <w:lvl w:ilvl="3" w:tplc="65640EC8">
      <w:start w:val="1"/>
      <w:numFmt w:val="bullet"/>
      <w:lvlText w:val=""/>
      <w:lvlJc w:val="left"/>
      <w:pPr>
        <w:ind w:left="1140" w:hanging="360"/>
      </w:pPr>
      <w:rPr>
        <w:rFonts w:ascii="Symbol" w:hAnsi="Symbol"/>
      </w:rPr>
    </w:lvl>
    <w:lvl w:ilvl="4" w:tplc="8BA8195C">
      <w:start w:val="1"/>
      <w:numFmt w:val="bullet"/>
      <w:lvlText w:val=""/>
      <w:lvlJc w:val="left"/>
      <w:pPr>
        <w:ind w:left="1140" w:hanging="360"/>
      </w:pPr>
      <w:rPr>
        <w:rFonts w:ascii="Symbol" w:hAnsi="Symbol"/>
      </w:rPr>
    </w:lvl>
    <w:lvl w:ilvl="5" w:tplc="54CEEDC4">
      <w:start w:val="1"/>
      <w:numFmt w:val="bullet"/>
      <w:lvlText w:val=""/>
      <w:lvlJc w:val="left"/>
      <w:pPr>
        <w:ind w:left="1140" w:hanging="360"/>
      </w:pPr>
      <w:rPr>
        <w:rFonts w:ascii="Symbol" w:hAnsi="Symbol"/>
      </w:rPr>
    </w:lvl>
    <w:lvl w:ilvl="6" w:tplc="3B78BA04">
      <w:start w:val="1"/>
      <w:numFmt w:val="bullet"/>
      <w:lvlText w:val=""/>
      <w:lvlJc w:val="left"/>
      <w:pPr>
        <w:ind w:left="1140" w:hanging="360"/>
      </w:pPr>
      <w:rPr>
        <w:rFonts w:ascii="Symbol" w:hAnsi="Symbol"/>
      </w:rPr>
    </w:lvl>
    <w:lvl w:ilvl="7" w:tplc="CDA02E02">
      <w:start w:val="1"/>
      <w:numFmt w:val="bullet"/>
      <w:lvlText w:val=""/>
      <w:lvlJc w:val="left"/>
      <w:pPr>
        <w:ind w:left="1140" w:hanging="360"/>
      </w:pPr>
      <w:rPr>
        <w:rFonts w:ascii="Symbol" w:hAnsi="Symbol"/>
      </w:rPr>
    </w:lvl>
    <w:lvl w:ilvl="8" w:tplc="89F626D2">
      <w:start w:val="1"/>
      <w:numFmt w:val="bullet"/>
      <w:lvlText w:val=""/>
      <w:lvlJc w:val="left"/>
      <w:pPr>
        <w:ind w:left="1140" w:hanging="360"/>
      </w:pPr>
      <w:rPr>
        <w:rFonts w:ascii="Symbol" w:hAnsi="Symbol"/>
      </w:rPr>
    </w:lvl>
  </w:abstractNum>
  <w:abstractNum w:abstractNumId="12" w15:restartNumberingAfterBreak="0">
    <w:nsid w:val="18F0654F"/>
    <w:multiLevelType w:val="hybridMultilevel"/>
    <w:tmpl w:val="24A6526E"/>
    <w:lvl w:ilvl="0" w:tplc="0C09000F">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4" w15:restartNumberingAfterBreak="0">
    <w:nsid w:val="1DB571F0"/>
    <w:multiLevelType w:val="hybridMultilevel"/>
    <w:tmpl w:val="AD38A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A328D5"/>
    <w:multiLevelType w:val="multilevel"/>
    <w:tmpl w:val="BE78A4F8"/>
    <w:numStyleLink w:val="Numberlist"/>
  </w:abstractNum>
  <w:abstractNum w:abstractNumId="16" w15:restartNumberingAfterBreak="0">
    <w:nsid w:val="21CB207D"/>
    <w:multiLevelType w:val="hybridMultilevel"/>
    <w:tmpl w:val="16DEB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40E66ED"/>
    <w:multiLevelType w:val="hybridMultilevel"/>
    <w:tmpl w:val="CCE06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520D0F"/>
    <w:multiLevelType w:val="hybridMultilevel"/>
    <w:tmpl w:val="47ACE3DA"/>
    <w:lvl w:ilvl="0" w:tplc="A4340864">
      <w:start w:val="1"/>
      <w:numFmt w:val="bullet"/>
      <w:lvlText w:val=""/>
      <w:lvlJc w:val="left"/>
      <w:pPr>
        <w:ind w:left="1060" w:hanging="360"/>
      </w:pPr>
      <w:rPr>
        <w:rFonts w:ascii="Symbol" w:hAnsi="Symbol"/>
      </w:rPr>
    </w:lvl>
    <w:lvl w:ilvl="1" w:tplc="23BE9DDA">
      <w:start w:val="1"/>
      <w:numFmt w:val="bullet"/>
      <w:lvlText w:val=""/>
      <w:lvlJc w:val="left"/>
      <w:pPr>
        <w:ind w:left="1060" w:hanging="360"/>
      </w:pPr>
      <w:rPr>
        <w:rFonts w:ascii="Symbol" w:hAnsi="Symbol"/>
      </w:rPr>
    </w:lvl>
    <w:lvl w:ilvl="2" w:tplc="64DE21AC">
      <w:start w:val="1"/>
      <w:numFmt w:val="bullet"/>
      <w:lvlText w:val=""/>
      <w:lvlJc w:val="left"/>
      <w:pPr>
        <w:ind w:left="1060" w:hanging="360"/>
      </w:pPr>
      <w:rPr>
        <w:rFonts w:ascii="Symbol" w:hAnsi="Symbol"/>
      </w:rPr>
    </w:lvl>
    <w:lvl w:ilvl="3" w:tplc="44EA311E">
      <w:start w:val="1"/>
      <w:numFmt w:val="bullet"/>
      <w:lvlText w:val=""/>
      <w:lvlJc w:val="left"/>
      <w:pPr>
        <w:ind w:left="1060" w:hanging="360"/>
      </w:pPr>
      <w:rPr>
        <w:rFonts w:ascii="Symbol" w:hAnsi="Symbol"/>
      </w:rPr>
    </w:lvl>
    <w:lvl w:ilvl="4" w:tplc="A684AADA">
      <w:start w:val="1"/>
      <w:numFmt w:val="bullet"/>
      <w:lvlText w:val=""/>
      <w:lvlJc w:val="left"/>
      <w:pPr>
        <w:ind w:left="1060" w:hanging="360"/>
      </w:pPr>
      <w:rPr>
        <w:rFonts w:ascii="Symbol" w:hAnsi="Symbol"/>
      </w:rPr>
    </w:lvl>
    <w:lvl w:ilvl="5" w:tplc="F4169E66">
      <w:start w:val="1"/>
      <w:numFmt w:val="bullet"/>
      <w:lvlText w:val=""/>
      <w:lvlJc w:val="left"/>
      <w:pPr>
        <w:ind w:left="1060" w:hanging="360"/>
      </w:pPr>
      <w:rPr>
        <w:rFonts w:ascii="Symbol" w:hAnsi="Symbol"/>
      </w:rPr>
    </w:lvl>
    <w:lvl w:ilvl="6" w:tplc="32F0A4E2">
      <w:start w:val="1"/>
      <w:numFmt w:val="bullet"/>
      <w:lvlText w:val=""/>
      <w:lvlJc w:val="left"/>
      <w:pPr>
        <w:ind w:left="1060" w:hanging="360"/>
      </w:pPr>
      <w:rPr>
        <w:rFonts w:ascii="Symbol" w:hAnsi="Symbol"/>
      </w:rPr>
    </w:lvl>
    <w:lvl w:ilvl="7" w:tplc="FD32E93C">
      <w:start w:val="1"/>
      <w:numFmt w:val="bullet"/>
      <w:lvlText w:val=""/>
      <w:lvlJc w:val="left"/>
      <w:pPr>
        <w:ind w:left="1060" w:hanging="360"/>
      </w:pPr>
      <w:rPr>
        <w:rFonts w:ascii="Symbol" w:hAnsi="Symbol"/>
      </w:rPr>
    </w:lvl>
    <w:lvl w:ilvl="8" w:tplc="630C23D4">
      <w:start w:val="1"/>
      <w:numFmt w:val="bullet"/>
      <w:lvlText w:val=""/>
      <w:lvlJc w:val="left"/>
      <w:pPr>
        <w:ind w:left="1060" w:hanging="360"/>
      </w:pPr>
      <w:rPr>
        <w:rFonts w:ascii="Symbol" w:hAnsi="Symbol"/>
      </w:rPr>
    </w:lvl>
  </w:abstractNum>
  <w:abstractNum w:abstractNumId="20" w15:restartNumberingAfterBreak="0">
    <w:nsid w:val="2BEA5B27"/>
    <w:multiLevelType w:val="hybridMultilevel"/>
    <w:tmpl w:val="46C0B820"/>
    <w:lvl w:ilvl="0" w:tplc="37FE675C">
      <w:start w:val="1"/>
      <w:numFmt w:val="bullet"/>
      <w:lvlText w:val=""/>
      <w:lvlJc w:val="left"/>
      <w:pPr>
        <w:ind w:left="1060" w:hanging="360"/>
      </w:pPr>
      <w:rPr>
        <w:rFonts w:ascii="Symbol" w:hAnsi="Symbol"/>
      </w:rPr>
    </w:lvl>
    <w:lvl w:ilvl="1" w:tplc="CC3EF2F4">
      <w:start w:val="1"/>
      <w:numFmt w:val="bullet"/>
      <w:lvlText w:val=""/>
      <w:lvlJc w:val="left"/>
      <w:pPr>
        <w:ind w:left="1060" w:hanging="360"/>
      </w:pPr>
      <w:rPr>
        <w:rFonts w:ascii="Symbol" w:hAnsi="Symbol"/>
      </w:rPr>
    </w:lvl>
    <w:lvl w:ilvl="2" w:tplc="01046A9A">
      <w:start w:val="1"/>
      <w:numFmt w:val="bullet"/>
      <w:lvlText w:val=""/>
      <w:lvlJc w:val="left"/>
      <w:pPr>
        <w:ind w:left="1060" w:hanging="360"/>
      </w:pPr>
      <w:rPr>
        <w:rFonts w:ascii="Symbol" w:hAnsi="Symbol"/>
      </w:rPr>
    </w:lvl>
    <w:lvl w:ilvl="3" w:tplc="F1A4E960">
      <w:start w:val="1"/>
      <w:numFmt w:val="bullet"/>
      <w:lvlText w:val=""/>
      <w:lvlJc w:val="left"/>
      <w:pPr>
        <w:ind w:left="1060" w:hanging="360"/>
      </w:pPr>
      <w:rPr>
        <w:rFonts w:ascii="Symbol" w:hAnsi="Symbol"/>
      </w:rPr>
    </w:lvl>
    <w:lvl w:ilvl="4" w:tplc="B088DAB8">
      <w:start w:val="1"/>
      <w:numFmt w:val="bullet"/>
      <w:lvlText w:val=""/>
      <w:lvlJc w:val="left"/>
      <w:pPr>
        <w:ind w:left="1060" w:hanging="360"/>
      </w:pPr>
      <w:rPr>
        <w:rFonts w:ascii="Symbol" w:hAnsi="Symbol"/>
      </w:rPr>
    </w:lvl>
    <w:lvl w:ilvl="5" w:tplc="58AE9BB0">
      <w:start w:val="1"/>
      <w:numFmt w:val="bullet"/>
      <w:lvlText w:val=""/>
      <w:lvlJc w:val="left"/>
      <w:pPr>
        <w:ind w:left="1060" w:hanging="360"/>
      </w:pPr>
      <w:rPr>
        <w:rFonts w:ascii="Symbol" w:hAnsi="Symbol"/>
      </w:rPr>
    </w:lvl>
    <w:lvl w:ilvl="6" w:tplc="2EEA2DFC">
      <w:start w:val="1"/>
      <w:numFmt w:val="bullet"/>
      <w:lvlText w:val=""/>
      <w:lvlJc w:val="left"/>
      <w:pPr>
        <w:ind w:left="1060" w:hanging="360"/>
      </w:pPr>
      <w:rPr>
        <w:rFonts w:ascii="Symbol" w:hAnsi="Symbol"/>
      </w:rPr>
    </w:lvl>
    <w:lvl w:ilvl="7" w:tplc="A912C7C4">
      <w:start w:val="1"/>
      <w:numFmt w:val="bullet"/>
      <w:lvlText w:val=""/>
      <w:lvlJc w:val="left"/>
      <w:pPr>
        <w:ind w:left="1060" w:hanging="360"/>
      </w:pPr>
      <w:rPr>
        <w:rFonts w:ascii="Symbol" w:hAnsi="Symbol"/>
      </w:rPr>
    </w:lvl>
    <w:lvl w:ilvl="8" w:tplc="42869C94">
      <w:start w:val="1"/>
      <w:numFmt w:val="bullet"/>
      <w:lvlText w:val=""/>
      <w:lvlJc w:val="left"/>
      <w:pPr>
        <w:ind w:left="1060" w:hanging="360"/>
      </w:pPr>
      <w:rPr>
        <w:rFonts w:ascii="Symbol" w:hAnsi="Symbol"/>
      </w:rPr>
    </w:lvl>
  </w:abstractNum>
  <w:abstractNum w:abstractNumId="21" w15:restartNumberingAfterBreak="0">
    <w:nsid w:val="2CC83C9E"/>
    <w:multiLevelType w:val="hybridMultilevel"/>
    <w:tmpl w:val="6A746692"/>
    <w:lvl w:ilvl="0" w:tplc="63FAD1F4">
      <w:start w:val="1"/>
      <w:numFmt w:val="bullet"/>
      <w:lvlText w:val=""/>
      <w:lvlJc w:val="left"/>
      <w:pPr>
        <w:ind w:left="1640" w:hanging="360"/>
      </w:pPr>
      <w:rPr>
        <w:rFonts w:ascii="Symbol" w:hAnsi="Symbol"/>
      </w:rPr>
    </w:lvl>
    <w:lvl w:ilvl="1" w:tplc="F88CC5AA">
      <w:start w:val="1"/>
      <w:numFmt w:val="bullet"/>
      <w:lvlText w:val=""/>
      <w:lvlJc w:val="left"/>
      <w:pPr>
        <w:ind w:left="1640" w:hanging="360"/>
      </w:pPr>
      <w:rPr>
        <w:rFonts w:ascii="Symbol" w:hAnsi="Symbol"/>
      </w:rPr>
    </w:lvl>
    <w:lvl w:ilvl="2" w:tplc="9E34B798">
      <w:start w:val="1"/>
      <w:numFmt w:val="bullet"/>
      <w:lvlText w:val=""/>
      <w:lvlJc w:val="left"/>
      <w:pPr>
        <w:ind w:left="1640" w:hanging="360"/>
      </w:pPr>
      <w:rPr>
        <w:rFonts w:ascii="Symbol" w:hAnsi="Symbol"/>
      </w:rPr>
    </w:lvl>
    <w:lvl w:ilvl="3" w:tplc="F3A479C6">
      <w:start w:val="1"/>
      <w:numFmt w:val="bullet"/>
      <w:lvlText w:val=""/>
      <w:lvlJc w:val="left"/>
      <w:pPr>
        <w:ind w:left="1640" w:hanging="360"/>
      </w:pPr>
      <w:rPr>
        <w:rFonts w:ascii="Symbol" w:hAnsi="Symbol"/>
      </w:rPr>
    </w:lvl>
    <w:lvl w:ilvl="4" w:tplc="30384EEA">
      <w:start w:val="1"/>
      <w:numFmt w:val="bullet"/>
      <w:lvlText w:val=""/>
      <w:lvlJc w:val="left"/>
      <w:pPr>
        <w:ind w:left="1640" w:hanging="360"/>
      </w:pPr>
      <w:rPr>
        <w:rFonts w:ascii="Symbol" w:hAnsi="Symbol"/>
      </w:rPr>
    </w:lvl>
    <w:lvl w:ilvl="5" w:tplc="CBE80ADE">
      <w:start w:val="1"/>
      <w:numFmt w:val="bullet"/>
      <w:lvlText w:val=""/>
      <w:lvlJc w:val="left"/>
      <w:pPr>
        <w:ind w:left="1640" w:hanging="360"/>
      </w:pPr>
      <w:rPr>
        <w:rFonts w:ascii="Symbol" w:hAnsi="Symbol"/>
      </w:rPr>
    </w:lvl>
    <w:lvl w:ilvl="6" w:tplc="3522CD72">
      <w:start w:val="1"/>
      <w:numFmt w:val="bullet"/>
      <w:lvlText w:val=""/>
      <w:lvlJc w:val="left"/>
      <w:pPr>
        <w:ind w:left="1640" w:hanging="360"/>
      </w:pPr>
      <w:rPr>
        <w:rFonts w:ascii="Symbol" w:hAnsi="Symbol"/>
      </w:rPr>
    </w:lvl>
    <w:lvl w:ilvl="7" w:tplc="2EE80298">
      <w:start w:val="1"/>
      <w:numFmt w:val="bullet"/>
      <w:lvlText w:val=""/>
      <w:lvlJc w:val="left"/>
      <w:pPr>
        <w:ind w:left="1640" w:hanging="360"/>
      </w:pPr>
      <w:rPr>
        <w:rFonts w:ascii="Symbol" w:hAnsi="Symbol"/>
      </w:rPr>
    </w:lvl>
    <w:lvl w:ilvl="8" w:tplc="FD100CB8">
      <w:start w:val="1"/>
      <w:numFmt w:val="bullet"/>
      <w:lvlText w:val=""/>
      <w:lvlJc w:val="left"/>
      <w:pPr>
        <w:ind w:left="1640" w:hanging="360"/>
      </w:pPr>
      <w:rPr>
        <w:rFonts w:ascii="Symbol" w:hAnsi="Symbol"/>
      </w:rPr>
    </w:lvl>
  </w:abstractNum>
  <w:abstractNum w:abstractNumId="2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2B07CF"/>
    <w:multiLevelType w:val="hybridMultilevel"/>
    <w:tmpl w:val="8B965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2F68B7"/>
    <w:multiLevelType w:val="hybridMultilevel"/>
    <w:tmpl w:val="0146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EE178C"/>
    <w:multiLevelType w:val="hybridMultilevel"/>
    <w:tmpl w:val="99C6E062"/>
    <w:lvl w:ilvl="0" w:tplc="3716A6DA">
      <w:start w:val="1"/>
      <w:numFmt w:val="bullet"/>
      <w:lvlText w:val="–"/>
      <w:lvlJc w:val="left"/>
      <w:pPr>
        <w:ind w:left="720" w:hanging="360"/>
      </w:pPr>
      <w:rPr>
        <w:rFonts w:ascii="Baskerville BT" w:hAnsi="Baskerville B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0E0262"/>
    <w:multiLevelType w:val="hybridMultilevel"/>
    <w:tmpl w:val="1FD6D862"/>
    <w:lvl w:ilvl="0" w:tplc="C51C7F5E">
      <w:start w:val="1"/>
      <w:numFmt w:val="bullet"/>
      <w:lvlText w:val=""/>
      <w:lvlJc w:val="left"/>
      <w:pPr>
        <w:ind w:left="1640" w:hanging="360"/>
      </w:pPr>
      <w:rPr>
        <w:rFonts w:ascii="Symbol" w:hAnsi="Symbol"/>
      </w:rPr>
    </w:lvl>
    <w:lvl w:ilvl="1" w:tplc="B7F6010C">
      <w:start w:val="1"/>
      <w:numFmt w:val="bullet"/>
      <w:lvlText w:val=""/>
      <w:lvlJc w:val="left"/>
      <w:pPr>
        <w:ind w:left="1640" w:hanging="360"/>
      </w:pPr>
      <w:rPr>
        <w:rFonts w:ascii="Symbol" w:hAnsi="Symbol"/>
      </w:rPr>
    </w:lvl>
    <w:lvl w:ilvl="2" w:tplc="78280E9C">
      <w:start w:val="1"/>
      <w:numFmt w:val="bullet"/>
      <w:lvlText w:val=""/>
      <w:lvlJc w:val="left"/>
      <w:pPr>
        <w:ind w:left="1640" w:hanging="360"/>
      </w:pPr>
      <w:rPr>
        <w:rFonts w:ascii="Symbol" w:hAnsi="Symbol"/>
      </w:rPr>
    </w:lvl>
    <w:lvl w:ilvl="3" w:tplc="B6EE69DC">
      <w:start w:val="1"/>
      <w:numFmt w:val="bullet"/>
      <w:lvlText w:val=""/>
      <w:lvlJc w:val="left"/>
      <w:pPr>
        <w:ind w:left="1640" w:hanging="360"/>
      </w:pPr>
      <w:rPr>
        <w:rFonts w:ascii="Symbol" w:hAnsi="Symbol"/>
      </w:rPr>
    </w:lvl>
    <w:lvl w:ilvl="4" w:tplc="98768500">
      <w:start w:val="1"/>
      <w:numFmt w:val="bullet"/>
      <w:lvlText w:val=""/>
      <w:lvlJc w:val="left"/>
      <w:pPr>
        <w:ind w:left="1640" w:hanging="360"/>
      </w:pPr>
      <w:rPr>
        <w:rFonts w:ascii="Symbol" w:hAnsi="Symbol"/>
      </w:rPr>
    </w:lvl>
    <w:lvl w:ilvl="5" w:tplc="CA50119E">
      <w:start w:val="1"/>
      <w:numFmt w:val="bullet"/>
      <w:lvlText w:val=""/>
      <w:lvlJc w:val="left"/>
      <w:pPr>
        <w:ind w:left="1640" w:hanging="360"/>
      </w:pPr>
      <w:rPr>
        <w:rFonts w:ascii="Symbol" w:hAnsi="Symbol"/>
      </w:rPr>
    </w:lvl>
    <w:lvl w:ilvl="6" w:tplc="164A97DE">
      <w:start w:val="1"/>
      <w:numFmt w:val="bullet"/>
      <w:lvlText w:val=""/>
      <w:lvlJc w:val="left"/>
      <w:pPr>
        <w:ind w:left="1640" w:hanging="360"/>
      </w:pPr>
      <w:rPr>
        <w:rFonts w:ascii="Symbol" w:hAnsi="Symbol"/>
      </w:rPr>
    </w:lvl>
    <w:lvl w:ilvl="7" w:tplc="89342A86">
      <w:start w:val="1"/>
      <w:numFmt w:val="bullet"/>
      <w:lvlText w:val=""/>
      <w:lvlJc w:val="left"/>
      <w:pPr>
        <w:ind w:left="1640" w:hanging="360"/>
      </w:pPr>
      <w:rPr>
        <w:rFonts w:ascii="Symbol" w:hAnsi="Symbol"/>
      </w:rPr>
    </w:lvl>
    <w:lvl w:ilvl="8" w:tplc="AF0257D0">
      <w:start w:val="1"/>
      <w:numFmt w:val="bullet"/>
      <w:lvlText w:val=""/>
      <w:lvlJc w:val="left"/>
      <w:pPr>
        <w:ind w:left="1640" w:hanging="360"/>
      </w:pPr>
      <w:rPr>
        <w:rFonts w:ascii="Symbol" w:hAnsi="Symbol"/>
      </w:rPr>
    </w:lvl>
  </w:abstractNum>
  <w:abstractNum w:abstractNumId="27"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8" w15:restartNumberingAfterBreak="0">
    <w:nsid w:val="4AFD2177"/>
    <w:multiLevelType w:val="hybridMultilevel"/>
    <w:tmpl w:val="18303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AF1604"/>
    <w:multiLevelType w:val="hybridMultilevel"/>
    <w:tmpl w:val="93605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F61D07"/>
    <w:multiLevelType w:val="hybridMultilevel"/>
    <w:tmpl w:val="0676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AF4751"/>
    <w:multiLevelType w:val="hybridMultilevel"/>
    <w:tmpl w:val="7D12BD9C"/>
    <w:lvl w:ilvl="0" w:tplc="8BB076D6">
      <w:start w:val="1"/>
      <w:numFmt w:val="bullet"/>
      <w:lvlText w:val=""/>
      <w:lvlJc w:val="left"/>
      <w:pPr>
        <w:ind w:left="1640" w:hanging="360"/>
      </w:pPr>
      <w:rPr>
        <w:rFonts w:ascii="Symbol" w:hAnsi="Symbol"/>
      </w:rPr>
    </w:lvl>
    <w:lvl w:ilvl="1" w:tplc="58F64B08">
      <w:start w:val="1"/>
      <w:numFmt w:val="bullet"/>
      <w:lvlText w:val=""/>
      <w:lvlJc w:val="left"/>
      <w:pPr>
        <w:ind w:left="1640" w:hanging="360"/>
      </w:pPr>
      <w:rPr>
        <w:rFonts w:ascii="Symbol" w:hAnsi="Symbol"/>
      </w:rPr>
    </w:lvl>
    <w:lvl w:ilvl="2" w:tplc="CE064D2A">
      <w:start w:val="1"/>
      <w:numFmt w:val="bullet"/>
      <w:lvlText w:val=""/>
      <w:lvlJc w:val="left"/>
      <w:pPr>
        <w:ind w:left="1640" w:hanging="360"/>
      </w:pPr>
      <w:rPr>
        <w:rFonts w:ascii="Symbol" w:hAnsi="Symbol"/>
      </w:rPr>
    </w:lvl>
    <w:lvl w:ilvl="3" w:tplc="D0ACDC92">
      <w:start w:val="1"/>
      <w:numFmt w:val="bullet"/>
      <w:lvlText w:val=""/>
      <w:lvlJc w:val="left"/>
      <w:pPr>
        <w:ind w:left="1640" w:hanging="360"/>
      </w:pPr>
      <w:rPr>
        <w:rFonts w:ascii="Symbol" w:hAnsi="Symbol"/>
      </w:rPr>
    </w:lvl>
    <w:lvl w:ilvl="4" w:tplc="512EC0C0">
      <w:start w:val="1"/>
      <w:numFmt w:val="bullet"/>
      <w:lvlText w:val=""/>
      <w:lvlJc w:val="left"/>
      <w:pPr>
        <w:ind w:left="1640" w:hanging="360"/>
      </w:pPr>
      <w:rPr>
        <w:rFonts w:ascii="Symbol" w:hAnsi="Symbol"/>
      </w:rPr>
    </w:lvl>
    <w:lvl w:ilvl="5" w:tplc="1164A34C">
      <w:start w:val="1"/>
      <w:numFmt w:val="bullet"/>
      <w:lvlText w:val=""/>
      <w:lvlJc w:val="left"/>
      <w:pPr>
        <w:ind w:left="1640" w:hanging="360"/>
      </w:pPr>
      <w:rPr>
        <w:rFonts w:ascii="Symbol" w:hAnsi="Symbol"/>
      </w:rPr>
    </w:lvl>
    <w:lvl w:ilvl="6" w:tplc="205E409A">
      <w:start w:val="1"/>
      <w:numFmt w:val="bullet"/>
      <w:lvlText w:val=""/>
      <w:lvlJc w:val="left"/>
      <w:pPr>
        <w:ind w:left="1640" w:hanging="360"/>
      </w:pPr>
      <w:rPr>
        <w:rFonts w:ascii="Symbol" w:hAnsi="Symbol"/>
      </w:rPr>
    </w:lvl>
    <w:lvl w:ilvl="7" w:tplc="DDD23CF6">
      <w:start w:val="1"/>
      <w:numFmt w:val="bullet"/>
      <w:lvlText w:val=""/>
      <w:lvlJc w:val="left"/>
      <w:pPr>
        <w:ind w:left="1640" w:hanging="360"/>
      </w:pPr>
      <w:rPr>
        <w:rFonts w:ascii="Symbol" w:hAnsi="Symbol"/>
      </w:rPr>
    </w:lvl>
    <w:lvl w:ilvl="8" w:tplc="0B96B9BE">
      <w:start w:val="1"/>
      <w:numFmt w:val="bullet"/>
      <w:lvlText w:val=""/>
      <w:lvlJc w:val="left"/>
      <w:pPr>
        <w:ind w:left="1640" w:hanging="360"/>
      </w:pPr>
      <w:rPr>
        <w:rFonts w:ascii="Symbol" w:hAnsi="Symbol"/>
      </w:rPr>
    </w:lvl>
  </w:abstractNum>
  <w:abstractNum w:abstractNumId="33"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4" w15:restartNumberingAfterBreak="0">
    <w:nsid w:val="59AC761E"/>
    <w:multiLevelType w:val="hybridMultilevel"/>
    <w:tmpl w:val="FF3ADCFE"/>
    <w:lvl w:ilvl="0" w:tplc="3716A6DA">
      <w:start w:val="1"/>
      <w:numFmt w:val="bullet"/>
      <w:lvlText w:val="–"/>
      <w:lvlJc w:val="left"/>
      <w:pPr>
        <w:ind w:left="720" w:hanging="360"/>
      </w:pPr>
      <w:rPr>
        <w:rFonts w:ascii="Baskerville BT" w:hAnsi="Baskerville B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A3563BA"/>
    <w:multiLevelType w:val="hybridMultilevel"/>
    <w:tmpl w:val="29561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8" w15:restartNumberingAfterBreak="0">
    <w:nsid w:val="650A02AF"/>
    <w:multiLevelType w:val="hybridMultilevel"/>
    <w:tmpl w:val="4A503876"/>
    <w:lvl w:ilvl="0" w:tplc="524807BE">
      <w:start w:val="1"/>
      <w:numFmt w:val="bullet"/>
      <w:lvlText w:val=""/>
      <w:lvlJc w:val="left"/>
      <w:pPr>
        <w:ind w:left="1640" w:hanging="360"/>
      </w:pPr>
      <w:rPr>
        <w:rFonts w:ascii="Symbol" w:hAnsi="Symbol"/>
      </w:rPr>
    </w:lvl>
    <w:lvl w:ilvl="1" w:tplc="40FEA328">
      <w:start w:val="1"/>
      <w:numFmt w:val="bullet"/>
      <w:lvlText w:val=""/>
      <w:lvlJc w:val="left"/>
      <w:pPr>
        <w:ind w:left="1640" w:hanging="360"/>
      </w:pPr>
      <w:rPr>
        <w:rFonts w:ascii="Symbol" w:hAnsi="Symbol"/>
      </w:rPr>
    </w:lvl>
    <w:lvl w:ilvl="2" w:tplc="B3C66964">
      <w:start w:val="1"/>
      <w:numFmt w:val="bullet"/>
      <w:lvlText w:val=""/>
      <w:lvlJc w:val="left"/>
      <w:pPr>
        <w:ind w:left="1640" w:hanging="360"/>
      </w:pPr>
      <w:rPr>
        <w:rFonts w:ascii="Symbol" w:hAnsi="Symbol"/>
      </w:rPr>
    </w:lvl>
    <w:lvl w:ilvl="3" w:tplc="91B2EBBE">
      <w:start w:val="1"/>
      <w:numFmt w:val="bullet"/>
      <w:lvlText w:val=""/>
      <w:lvlJc w:val="left"/>
      <w:pPr>
        <w:ind w:left="1640" w:hanging="360"/>
      </w:pPr>
      <w:rPr>
        <w:rFonts w:ascii="Symbol" w:hAnsi="Symbol"/>
      </w:rPr>
    </w:lvl>
    <w:lvl w:ilvl="4" w:tplc="9034B43E">
      <w:start w:val="1"/>
      <w:numFmt w:val="bullet"/>
      <w:lvlText w:val=""/>
      <w:lvlJc w:val="left"/>
      <w:pPr>
        <w:ind w:left="1640" w:hanging="360"/>
      </w:pPr>
      <w:rPr>
        <w:rFonts w:ascii="Symbol" w:hAnsi="Symbol"/>
      </w:rPr>
    </w:lvl>
    <w:lvl w:ilvl="5" w:tplc="2C366CDA">
      <w:start w:val="1"/>
      <w:numFmt w:val="bullet"/>
      <w:lvlText w:val=""/>
      <w:lvlJc w:val="left"/>
      <w:pPr>
        <w:ind w:left="1640" w:hanging="360"/>
      </w:pPr>
      <w:rPr>
        <w:rFonts w:ascii="Symbol" w:hAnsi="Symbol"/>
      </w:rPr>
    </w:lvl>
    <w:lvl w:ilvl="6" w:tplc="4F5860E0">
      <w:start w:val="1"/>
      <w:numFmt w:val="bullet"/>
      <w:lvlText w:val=""/>
      <w:lvlJc w:val="left"/>
      <w:pPr>
        <w:ind w:left="1640" w:hanging="360"/>
      </w:pPr>
      <w:rPr>
        <w:rFonts w:ascii="Symbol" w:hAnsi="Symbol"/>
      </w:rPr>
    </w:lvl>
    <w:lvl w:ilvl="7" w:tplc="FF6EA2A4">
      <w:start w:val="1"/>
      <w:numFmt w:val="bullet"/>
      <w:lvlText w:val=""/>
      <w:lvlJc w:val="left"/>
      <w:pPr>
        <w:ind w:left="1640" w:hanging="360"/>
      </w:pPr>
      <w:rPr>
        <w:rFonts w:ascii="Symbol" w:hAnsi="Symbol"/>
      </w:rPr>
    </w:lvl>
    <w:lvl w:ilvl="8" w:tplc="029C57FE">
      <w:start w:val="1"/>
      <w:numFmt w:val="bullet"/>
      <w:lvlText w:val=""/>
      <w:lvlJc w:val="left"/>
      <w:pPr>
        <w:ind w:left="1640" w:hanging="360"/>
      </w:pPr>
      <w:rPr>
        <w:rFonts w:ascii="Symbol" w:hAnsi="Symbol"/>
      </w:rPr>
    </w:lvl>
  </w:abstractNum>
  <w:abstractNum w:abstractNumId="39" w15:restartNumberingAfterBreak="0">
    <w:nsid w:val="6BC3747C"/>
    <w:multiLevelType w:val="hybridMultilevel"/>
    <w:tmpl w:val="36E08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A14FB1"/>
    <w:multiLevelType w:val="hybridMultilevel"/>
    <w:tmpl w:val="12768A72"/>
    <w:lvl w:ilvl="0" w:tplc="A2EA7E04">
      <w:start w:val="1"/>
      <w:numFmt w:val="bullet"/>
      <w:lvlText w:val=""/>
      <w:lvlJc w:val="left"/>
      <w:pPr>
        <w:ind w:left="720" w:hanging="360"/>
      </w:pPr>
      <w:rPr>
        <w:rFonts w:ascii="Symbol" w:hAnsi="Symbol"/>
      </w:rPr>
    </w:lvl>
    <w:lvl w:ilvl="1" w:tplc="C330857E">
      <w:start w:val="1"/>
      <w:numFmt w:val="bullet"/>
      <w:lvlText w:val=""/>
      <w:lvlJc w:val="left"/>
      <w:pPr>
        <w:ind w:left="720" w:hanging="360"/>
      </w:pPr>
      <w:rPr>
        <w:rFonts w:ascii="Symbol" w:hAnsi="Symbol"/>
      </w:rPr>
    </w:lvl>
    <w:lvl w:ilvl="2" w:tplc="DA42A7F6">
      <w:start w:val="1"/>
      <w:numFmt w:val="bullet"/>
      <w:lvlText w:val=""/>
      <w:lvlJc w:val="left"/>
      <w:pPr>
        <w:ind w:left="720" w:hanging="360"/>
      </w:pPr>
      <w:rPr>
        <w:rFonts w:ascii="Symbol" w:hAnsi="Symbol"/>
      </w:rPr>
    </w:lvl>
    <w:lvl w:ilvl="3" w:tplc="057E3276">
      <w:start w:val="1"/>
      <w:numFmt w:val="bullet"/>
      <w:lvlText w:val=""/>
      <w:lvlJc w:val="left"/>
      <w:pPr>
        <w:ind w:left="720" w:hanging="360"/>
      </w:pPr>
      <w:rPr>
        <w:rFonts w:ascii="Symbol" w:hAnsi="Symbol"/>
      </w:rPr>
    </w:lvl>
    <w:lvl w:ilvl="4" w:tplc="3044172A">
      <w:start w:val="1"/>
      <w:numFmt w:val="bullet"/>
      <w:lvlText w:val=""/>
      <w:lvlJc w:val="left"/>
      <w:pPr>
        <w:ind w:left="720" w:hanging="360"/>
      </w:pPr>
      <w:rPr>
        <w:rFonts w:ascii="Symbol" w:hAnsi="Symbol"/>
      </w:rPr>
    </w:lvl>
    <w:lvl w:ilvl="5" w:tplc="F45AE2B2">
      <w:start w:val="1"/>
      <w:numFmt w:val="bullet"/>
      <w:lvlText w:val=""/>
      <w:lvlJc w:val="left"/>
      <w:pPr>
        <w:ind w:left="720" w:hanging="360"/>
      </w:pPr>
      <w:rPr>
        <w:rFonts w:ascii="Symbol" w:hAnsi="Symbol"/>
      </w:rPr>
    </w:lvl>
    <w:lvl w:ilvl="6" w:tplc="4E045670">
      <w:start w:val="1"/>
      <w:numFmt w:val="bullet"/>
      <w:lvlText w:val=""/>
      <w:lvlJc w:val="left"/>
      <w:pPr>
        <w:ind w:left="720" w:hanging="360"/>
      </w:pPr>
      <w:rPr>
        <w:rFonts w:ascii="Symbol" w:hAnsi="Symbol"/>
      </w:rPr>
    </w:lvl>
    <w:lvl w:ilvl="7" w:tplc="82C407C4">
      <w:start w:val="1"/>
      <w:numFmt w:val="bullet"/>
      <w:lvlText w:val=""/>
      <w:lvlJc w:val="left"/>
      <w:pPr>
        <w:ind w:left="720" w:hanging="360"/>
      </w:pPr>
      <w:rPr>
        <w:rFonts w:ascii="Symbol" w:hAnsi="Symbol"/>
      </w:rPr>
    </w:lvl>
    <w:lvl w:ilvl="8" w:tplc="44F27C4C">
      <w:start w:val="1"/>
      <w:numFmt w:val="bullet"/>
      <w:lvlText w:val=""/>
      <w:lvlJc w:val="left"/>
      <w:pPr>
        <w:ind w:left="720" w:hanging="360"/>
      </w:pPr>
      <w:rPr>
        <w:rFonts w:ascii="Symbol" w:hAnsi="Symbol"/>
      </w:rPr>
    </w:lvl>
  </w:abstractNum>
  <w:num w:numId="1" w16cid:durableId="1671448442">
    <w:abstractNumId w:val="5"/>
  </w:num>
  <w:num w:numId="2" w16cid:durableId="820852608">
    <w:abstractNumId w:val="7"/>
  </w:num>
  <w:num w:numId="3" w16cid:durableId="2088796000">
    <w:abstractNumId w:val="31"/>
  </w:num>
  <w:num w:numId="4" w16cid:durableId="391659633">
    <w:abstractNumId w:val="6"/>
  </w:num>
  <w:num w:numId="5" w16cid:durableId="318003572">
    <w:abstractNumId w:val="18"/>
  </w:num>
  <w:num w:numId="6" w16cid:durableId="485367914">
    <w:abstractNumId w:val="27"/>
  </w:num>
  <w:num w:numId="7" w16cid:durableId="2017028985">
    <w:abstractNumId w:val="13"/>
  </w:num>
  <w:num w:numId="8" w16cid:durableId="1860700259">
    <w:abstractNumId w:val="36"/>
  </w:num>
  <w:num w:numId="9" w16cid:durableId="1190218955">
    <w:abstractNumId w:val="37"/>
  </w:num>
  <w:num w:numId="10" w16cid:durableId="1741054868">
    <w:abstractNumId w:val="17"/>
  </w:num>
  <w:num w:numId="11" w16cid:durableId="200170456">
    <w:abstractNumId w:val="33"/>
  </w:num>
  <w:num w:numId="12" w16cid:durableId="520431550">
    <w:abstractNumId w:val="15"/>
  </w:num>
  <w:num w:numId="13" w16cid:durableId="383795503">
    <w:abstractNumId w:val="29"/>
  </w:num>
  <w:num w:numId="14" w16cid:durableId="1699969904">
    <w:abstractNumId w:val="10"/>
  </w:num>
  <w:num w:numId="15" w16cid:durableId="1314290390">
    <w:abstractNumId w:val="24"/>
  </w:num>
  <w:num w:numId="16" w16cid:durableId="378938347">
    <w:abstractNumId w:val="14"/>
  </w:num>
  <w:num w:numId="17" w16cid:durableId="1343627888">
    <w:abstractNumId w:val="39"/>
  </w:num>
  <w:num w:numId="18" w16cid:durableId="248734714">
    <w:abstractNumId w:val="23"/>
  </w:num>
  <w:num w:numId="19" w16cid:durableId="130561833">
    <w:abstractNumId w:val="35"/>
  </w:num>
  <w:num w:numId="20" w16cid:durableId="812602215">
    <w:abstractNumId w:val="28"/>
  </w:num>
  <w:num w:numId="21" w16cid:durableId="332031733">
    <w:abstractNumId w:val="16"/>
  </w:num>
  <w:num w:numId="22" w16cid:durableId="60562912">
    <w:abstractNumId w:val="30"/>
  </w:num>
  <w:num w:numId="23" w16cid:durableId="104467551">
    <w:abstractNumId w:val="25"/>
  </w:num>
  <w:num w:numId="24" w16cid:durableId="683941792">
    <w:abstractNumId w:val="34"/>
  </w:num>
  <w:num w:numId="25" w16cid:durableId="272399752">
    <w:abstractNumId w:val="8"/>
  </w:num>
  <w:num w:numId="26" w16cid:durableId="45643203">
    <w:abstractNumId w:val="4"/>
  </w:num>
  <w:num w:numId="27" w16cid:durableId="887766840">
    <w:abstractNumId w:val="2"/>
  </w:num>
  <w:num w:numId="28" w16cid:durableId="249581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28010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555160">
    <w:abstractNumId w:val="22"/>
  </w:num>
  <w:num w:numId="31" w16cid:durableId="376589791">
    <w:abstractNumId w:val="3"/>
  </w:num>
  <w:num w:numId="32" w16cid:durableId="6268121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2725073">
    <w:abstractNumId w:val="1"/>
  </w:num>
  <w:num w:numId="34" w16cid:durableId="1213272731">
    <w:abstractNumId w:val="11"/>
  </w:num>
  <w:num w:numId="35" w16cid:durableId="1278179225">
    <w:abstractNumId w:val="9"/>
  </w:num>
  <w:num w:numId="36" w16cid:durableId="471140387">
    <w:abstractNumId w:val="38"/>
  </w:num>
  <w:num w:numId="37" w16cid:durableId="1749687662">
    <w:abstractNumId w:val="40"/>
  </w:num>
  <w:num w:numId="38" w16cid:durableId="372774364">
    <w:abstractNumId w:val="21"/>
  </w:num>
  <w:num w:numId="39" w16cid:durableId="1130325582">
    <w:abstractNumId w:val="20"/>
  </w:num>
  <w:num w:numId="40" w16cid:durableId="482351800">
    <w:abstractNumId w:val="26"/>
  </w:num>
  <w:num w:numId="41" w16cid:durableId="1741823985">
    <w:abstractNumId w:val="19"/>
  </w:num>
  <w:num w:numId="42" w16cid:durableId="853037995">
    <w:abstractNumId w:val="32"/>
  </w:num>
  <w:num w:numId="43" w16cid:durableId="208372039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oNotTrackFormatting/>
  <w:defaultTabStop w:val="720"/>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77C43"/>
    <w:rsid w:val="00003246"/>
    <w:rsid w:val="00003FA0"/>
    <w:rsid w:val="000052EB"/>
    <w:rsid w:val="000121E1"/>
    <w:rsid w:val="000329EA"/>
    <w:rsid w:val="00033E29"/>
    <w:rsid w:val="00033EA4"/>
    <w:rsid w:val="00034426"/>
    <w:rsid w:val="00037275"/>
    <w:rsid w:val="00046C4E"/>
    <w:rsid w:val="00053BB3"/>
    <w:rsid w:val="00054A9C"/>
    <w:rsid w:val="00055E36"/>
    <w:rsid w:val="00056603"/>
    <w:rsid w:val="00057C29"/>
    <w:rsid w:val="00063C88"/>
    <w:rsid w:val="00064924"/>
    <w:rsid w:val="0007020F"/>
    <w:rsid w:val="00070A59"/>
    <w:rsid w:val="00072F58"/>
    <w:rsid w:val="00074724"/>
    <w:rsid w:val="00074B3F"/>
    <w:rsid w:val="000825BB"/>
    <w:rsid w:val="00090810"/>
    <w:rsid w:val="000910A8"/>
    <w:rsid w:val="00091176"/>
    <w:rsid w:val="00091991"/>
    <w:rsid w:val="00093B06"/>
    <w:rsid w:val="00093F5C"/>
    <w:rsid w:val="0009466F"/>
    <w:rsid w:val="00095165"/>
    <w:rsid w:val="00095E97"/>
    <w:rsid w:val="000A218C"/>
    <w:rsid w:val="000A5D90"/>
    <w:rsid w:val="000A7D16"/>
    <w:rsid w:val="000B1B27"/>
    <w:rsid w:val="000B1E9B"/>
    <w:rsid w:val="000D19A3"/>
    <w:rsid w:val="000D1B6E"/>
    <w:rsid w:val="000D76FE"/>
    <w:rsid w:val="000E1E4F"/>
    <w:rsid w:val="000E1EFD"/>
    <w:rsid w:val="000E5CCE"/>
    <w:rsid w:val="000E66C2"/>
    <w:rsid w:val="000E6708"/>
    <w:rsid w:val="000F0A63"/>
    <w:rsid w:val="000F17B5"/>
    <w:rsid w:val="000F7227"/>
    <w:rsid w:val="000F7882"/>
    <w:rsid w:val="000F7E0D"/>
    <w:rsid w:val="00104C42"/>
    <w:rsid w:val="001063BF"/>
    <w:rsid w:val="00107635"/>
    <w:rsid w:val="001135E6"/>
    <w:rsid w:val="00124CD1"/>
    <w:rsid w:val="00126B77"/>
    <w:rsid w:val="00130F0C"/>
    <w:rsid w:val="00132BD9"/>
    <w:rsid w:val="00134BBA"/>
    <w:rsid w:val="001351B4"/>
    <w:rsid w:val="001559CA"/>
    <w:rsid w:val="00157935"/>
    <w:rsid w:val="00165156"/>
    <w:rsid w:val="001723FA"/>
    <w:rsid w:val="001742D2"/>
    <w:rsid w:val="00174BD7"/>
    <w:rsid w:val="001824C6"/>
    <w:rsid w:val="00185D5C"/>
    <w:rsid w:val="00191F1C"/>
    <w:rsid w:val="0019226D"/>
    <w:rsid w:val="001A186A"/>
    <w:rsid w:val="001A7D86"/>
    <w:rsid w:val="001B4528"/>
    <w:rsid w:val="001B4687"/>
    <w:rsid w:val="001B4EB8"/>
    <w:rsid w:val="001B5CDB"/>
    <w:rsid w:val="001B5FF8"/>
    <w:rsid w:val="001B6CF4"/>
    <w:rsid w:val="001C2DE7"/>
    <w:rsid w:val="001C2E7F"/>
    <w:rsid w:val="001C3038"/>
    <w:rsid w:val="001C334A"/>
    <w:rsid w:val="001C3851"/>
    <w:rsid w:val="001C52BE"/>
    <w:rsid w:val="001C5C84"/>
    <w:rsid w:val="001D4727"/>
    <w:rsid w:val="001D57F4"/>
    <w:rsid w:val="001D717A"/>
    <w:rsid w:val="001E3049"/>
    <w:rsid w:val="001E5348"/>
    <w:rsid w:val="001E57C5"/>
    <w:rsid w:val="001F00B0"/>
    <w:rsid w:val="001F159E"/>
    <w:rsid w:val="001F25B2"/>
    <w:rsid w:val="001F75AE"/>
    <w:rsid w:val="00201A42"/>
    <w:rsid w:val="0021131C"/>
    <w:rsid w:val="00216BF3"/>
    <w:rsid w:val="00217D71"/>
    <w:rsid w:val="002206D5"/>
    <w:rsid w:val="00221E0A"/>
    <w:rsid w:val="00222D50"/>
    <w:rsid w:val="00224C9D"/>
    <w:rsid w:val="00225814"/>
    <w:rsid w:val="0023254F"/>
    <w:rsid w:val="00233696"/>
    <w:rsid w:val="00233FC5"/>
    <w:rsid w:val="00240B89"/>
    <w:rsid w:val="00242FD6"/>
    <w:rsid w:val="00243B8B"/>
    <w:rsid w:val="0024518F"/>
    <w:rsid w:val="00247581"/>
    <w:rsid w:val="0025061B"/>
    <w:rsid w:val="00252018"/>
    <w:rsid w:val="002555E6"/>
    <w:rsid w:val="002601DF"/>
    <w:rsid w:val="00261D67"/>
    <w:rsid w:val="00263247"/>
    <w:rsid w:val="00272A24"/>
    <w:rsid w:val="00276DB5"/>
    <w:rsid w:val="00280A15"/>
    <w:rsid w:val="00281C73"/>
    <w:rsid w:val="00286953"/>
    <w:rsid w:val="00293315"/>
    <w:rsid w:val="002937C6"/>
    <w:rsid w:val="00295F06"/>
    <w:rsid w:val="002A11F8"/>
    <w:rsid w:val="002A2BBF"/>
    <w:rsid w:val="002A5F06"/>
    <w:rsid w:val="002B2486"/>
    <w:rsid w:val="002C5951"/>
    <w:rsid w:val="002C5B60"/>
    <w:rsid w:val="002D1236"/>
    <w:rsid w:val="002D2286"/>
    <w:rsid w:val="002D4AB0"/>
    <w:rsid w:val="002D518E"/>
    <w:rsid w:val="002D57D9"/>
    <w:rsid w:val="002D6301"/>
    <w:rsid w:val="002D7FC2"/>
    <w:rsid w:val="002E04C6"/>
    <w:rsid w:val="002E0742"/>
    <w:rsid w:val="002E2409"/>
    <w:rsid w:val="002E3E8D"/>
    <w:rsid w:val="002E497D"/>
    <w:rsid w:val="002E6711"/>
    <w:rsid w:val="002F3093"/>
    <w:rsid w:val="002F7670"/>
    <w:rsid w:val="0030141A"/>
    <w:rsid w:val="00302259"/>
    <w:rsid w:val="003049ED"/>
    <w:rsid w:val="0031153F"/>
    <w:rsid w:val="00313142"/>
    <w:rsid w:val="003163BC"/>
    <w:rsid w:val="003170F4"/>
    <w:rsid w:val="00321696"/>
    <w:rsid w:val="00321CA9"/>
    <w:rsid w:val="00321D19"/>
    <w:rsid w:val="00325794"/>
    <w:rsid w:val="00331936"/>
    <w:rsid w:val="0033246A"/>
    <w:rsid w:val="00332642"/>
    <w:rsid w:val="00332E2E"/>
    <w:rsid w:val="00333776"/>
    <w:rsid w:val="003413D8"/>
    <w:rsid w:val="00342B36"/>
    <w:rsid w:val="00346948"/>
    <w:rsid w:val="00347582"/>
    <w:rsid w:val="00347E48"/>
    <w:rsid w:val="00352496"/>
    <w:rsid w:val="003525B1"/>
    <w:rsid w:val="0035400A"/>
    <w:rsid w:val="0035600D"/>
    <w:rsid w:val="00356849"/>
    <w:rsid w:val="003603C1"/>
    <w:rsid w:val="00375BD5"/>
    <w:rsid w:val="00380F9A"/>
    <w:rsid w:val="00381FCC"/>
    <w:rsid w:val="0038261A"/>
    <w:rsid w:val="003841D7"/>
    <w:rsid w:val="00385B65"/>
    <w:rsid w:val="00390148"/>
    <w:rsid w:val="0039270C"/>
    <w:rsid w:val="00393431"/>
    <w:rsid w:val="00394DE2"/>
    <w:rsid w:val="0039640D"/>
    <w:rsid w:val="003A099F"/>
    <w:rsid w:val="003A161F"/>
    <w:rsid w:val="003A1D2D"/>
    <w:rsid w:val="003A2967"/>
    <w:rsid w:val="003A48D4"/>
    <w:rsid w:val="003A56A1"/>
    <w:rsid w:val="003A5D82"/>
    <w:rsid w:val="003A65CB"/>
    <w:rsid w:val="003A66C5"/>
    <w:rsid w:val="003B1796"/>
    <w:rsid w:val="003B4286"/>
    <w:rsid w:val="003B7BD4"/>
    <w:rsid w:val="003C0374"/>
    <w:rsid w:val="003C15E3"/>
    <w:rsid w:val="003D3BF3"/>
    <w:rsid w:val="003D65CF"/>
    <w:rsid w:val="003E56CD"/>
    <w:rsid w:val="003F4424"/>
    <w:rsid w:val="003F750F"/>
    <w:rsid w:val="004047D8"/>
    <w:rsid w:val="00406159"/>
    <w:rsid w:val="0040620D"/>
    <w:rsid w:val="0040720E"/>
    <w:rsid w:val="00414295"/>
    <w:rsid w:val="004148F0"/>
    <w:rsid w:val="00414ABF"/>
    <w:rsid w:val="0043017F"/>
    <w:rsid w:val="004304A5"/>
    <w:rsid w:val="004326CD"/>
    <w:rsid w:val="00436496"/>
    <w:rsid w:val="004373BD"/>
    <w:rsid w:val="00441BFA"/>
    <w:rsid w:val="0045178B"/>
    <w:rsid w:val="00465EE4"/>
    <w:rsid w:val="00466128"/>
    <w:rsid w:val="004715CF"/>
    <w:rsid w:val="00473173"/>
    <w:rsid w:val="004737FA"/>
    <w:rsid w:val="00474607"/>
    <w:rsid w:val="00474E95"/>
    <w:rsid w:val="00477D7C"/>
    <w:rsid w:val="00482B41"/>
    <w:rsid w:val="00483867"/>
    <w:rsid w:val="00484E51"/>
    <w:rsid w:val="0048704E"/>
    <w:rsid w:val="00493326"/>
    <w:rsid w:val="00493C60"/>
    <w:rsid w:val="00495BD6"/>
    <w:rsid w:val="004A12D0"/>
    <w:rsid w:val="004A1911"/>
    <w:rsid w:val="004A1F64"/>
    <w:rsid w:val="004A3B6D"/>
    <w:rsid w:val="004B3A66"/>
    <w:rsid w:val="004B613C"/>
    <w:rsid w:val="004B754D"/>
    <w:rsid w:val="004C2000"/>
    <w:rsid w:val="004C2A0A"/>
    <w:rsid w:val="004D03BA"/>
    <w:rsid w:val="004D1EED"/>
    <w:rsid w:val="004D2029"/>
    <w:rsid w:val="004D3F5F"/>
    <w:rsid w:val="004D71B5"/>
    <w:rsid w:val="004D79CE"/>
    <w:rsid w:val="004E730E"/>
    <w:rsid w:val="004E7DEA"/>
    <w:rsid w:val="004F0C2F"/>
    <w:rsid w:val="004F4157"/>
    <w:rsid w:val="004F4878"/>
    <w:rsid w:val="004F71DC"/>
    <w:rsid w:val="004F76B9"/>
    <w:rsid w:val="00501400"/>
    <w:rsid w:val="00507602"/>
    <w:rsid w:val="005106EC"/>
    <w:rsid w:val="00511A29"/>
    <w:rsid w:val="00511EEE"/>
    <w:rsid w:val="0051218F"/>
    <w:rsid w:val="0051397F"/>
    <w:rsid w:val="00515453"/>
    <w:rsid w:val="00522E1C"/>
    <w:rsid w:val="00523323"/>
    <w:rsid w:val="00524CDA"/>
    <w:rsid w:val="00531B69"/>
    <w:rsid w:val="00537362"/>
    <w:rsid w:val="00544067"/>
    <w:rsid w:val="00546FB2"/>
    <w:rsid w:val="0054767D"/>
    <w:rsid w:val="00547838"/>
    <w:rsid w:val="00550D63"/>
    <w:rsid w:val="00552053"/>
    <w:rsid w:val="00561AA0"/>
    <w:rsid w:val="00562B9A"/>
    <w:rsid w:val="00565763"/>
    <w:rsid w:val="005670E1"/>
    <w:rsid w:val="00571038"/>
    <w:rsid w:val="00572CEF"/>
    <w:rsid w:val="005730DA"/>
    <w:rsid w:val="005769DE"/>
    <w:rsid w:val="005822A7"/>
    <w:rsid w:val="005827A8"/>
    <w:rsid w:val="00582C13"/>
    <w:rsid w:val="0058707F"/>
    <w:rsid w:val="00587A70"/>
    <w:rsid w:val="00587D13"/>
    <w:rsid w:val="005905A7"/>
    <w:rsid w:val="00590818"/>
    <w:rsid w:val="00597E65"/>
    <w:rsid w:val="005A46E8"/>
    <w:rsid w:val="005A718B"/>
    <w:rsid w:val="005B12EA"/>
    <w:rsid w:val="005B1742"/>
    <w:rsid w:val="005B2ACD"/>
    <w:rsid w:val="005B5EB2"/>
    <w:rsid w:val="005B6F58"/>
    <w:rsid w:val="005C7AEF"/>
    <w:rsid w:val="005D2F6A"/>
    <w:rsid w:val="005D3A1C"/>
    <w:rsid w:val="005D3EB6"/>
    <w:rsid w:val="005E1D5A"/>
    <w:rsid w:val="005E3EE9"/>
    <w:rsid w:val="005E49E2"/>
    <w:rsid w:val="005E56C4"/>
    <w:rsid w:val="005E5764"/>
    <w:rsid w:val="005E584E"/>
    <w:rsid w:val="00600F76"/>
    <w:rsid w:val="006041AB"/>
    <w:rsid w:val="00604EFE"/>
    <w:rsid w:val="0060501F"/>
    <w:rsid w:val="00605199"/>
    <w:rsid w:val="00607B28"/>
    <w:rsid w:val="00607D5B"/>
    <w:rsid w:val="006162E4"/>
    <w:rsid w:val="006233F9"/>
    <w:rsid w:val="00623FF5"/>
    <w:rsid w:val="00626646"/>
    <w:rsid w:val="00631D75"/>
    <w:rsid w:val="00632876"/>
    <w:rsid w:val="00633B74"/>
    <w:rsid w:val="00633DC6"/>
    <w:rsid w:val="0063544C"/>
    <w:rsid w:val="00640522"/>
    <w:rsid w:val="0064062E"/>
    <w:rsid w:val="00642190"/>
    <w:rsid w:val="00642208"/>
    <w:rsid w:val="00645B3F"/>
    <w:rsid w:val="00651B08"/>
    <w:rsid w:val="00656FD0"/>
    <w:rsid w:val="00657315"/>
    <w:rsid w:val="006611AC"/>
    <w:rsid w:val="00663BA6"/>
    <w:rsid w:val="00664795"/>
    <w:rsid w:val="00667DD8"/>
    <w:rsid w:val="00672738"/>
    <w:rsid w:val="0067293A"/>
    <w:rsid w:val="0067350C"/>
    <w:rsid w:val="006751EC"/>
    <w:rsid w:val="00675F1F"/>
    <w:rsid w:val="00676DC6"/>
    <w:rsid w:val="00677794"/>
    <w:rsid w:val="00677C43"/>
    <w:rsid w:val="00677C80"/>
    <w:rsid w:val="00680A3F"/>
    <w:rsid w:val="006842AA"/>
    <w:rsid w:val="00696562"/>
    <w:rsid w:val="006969D2"/>
    <w:rsid w:val="006A1D91"/>
    <w:rsid w:val="006A23C8"/>
    <w:rsid w:val="006A24F3"/>
    <w:rsid w:val="006A2F49"/>
    <w:rsid w:val="006A348F"/>
    <w:rsid w:val="006A669F"/>
    <w:rsid w:val="006B1089"/>
    <w:rsid w:val="006B75C7"/>
    <w:rsid w:val="006B7CD3"/>
    <w:rsid w:val="006C2490"/>
    <w:rsid w:val="006D1E0B"/>
    <w:rsid w:val="006D4276"/>
    <w:rsid w:val="006D4956"/>
    <w:rsid w:val="006D6B42"/>
    <w:rsid w:val="006E100E"/>
    <w:rsid w:val="006E119E"/>
    <w:rsid w:val="006E17D3"/>
    <w:rsid w:val="006E5674"/>
    <w:rsid w:val="006F0796"/>
    <w:rsid w:val="006F4468"/>
    <w:rsid w:val="006F56B6"/>
    <w:rsid w:val="006F6217"/>
    <w:rsid w:val="00700279"/>
    <w:rsid w:val="00700333"/>
    <w:rsid w:val="00700BC2"/>
    <w:rsid w:val="0070112D"/>
    <w:rsid w:val="00702DE2"/>
    <w:rsid w:val="00704138"/>
    <w:rsid w:val="007054CE"/>
    <w:rsid w:val="0071098F"/>
    <w:rsid w:val="007150D4"/>
    <w:rsid w:val="007221B3"/>
    <w:rsid w:val="007264B4"/>
    <w:rsid w:val="0073042E"/>
    <w:rsid w:val="00730CB4"/>
    <w:rsid w:val="0073564B"/>
    <w:rsid w:val="00735C85"/>
    <w:rsid w:val="007360D1"/>
    <w:rsid w:val="00744439"/>
    <w:rsid w:val="00745429"/>
    <w:rsid w:val="0074617F"/>
    <w:rsid w:val="00747F48"/>
    <w:rsid w:val="00750135"/>
    <w:rsid w:val="00751E1F"/>
    <w:rsid w:val="00754260"/>
    <w:rsid w:val="00755273"/>
    <w:rsid w:val="00755684"/>
    <w:rsid w:val="00757757"/>
    <w:rsid w:val="00765BB9"/>
    <w:rsid w:val="0077453B"/>
    <w:rsid w:val="007762DC"/>
    <w:rsid w:val="00776751"/>
    <w:rsid w:val="0077798E"/>
    <w:rsid w:val="00782D47"/>
    <w:rsid w:val="0078503A"/>
    <w:rsid w:val="007866E2"/>
    <w:rsid w:val="00787D51"/>
    <w:rsid w:val="00790C55"/>
    <w:rsid w:val="00795F99"/>
    <w:rsid w:val="00796C46"/>
    <w:rsid w:val="007976A6"/>
    <w:rsid w:val="007A182B"/>
    <w:rsid w:val="007A18E2"/>
    <w:rsid w:val="007A632C"/>
    <w:rsid w:val="007B372F"/>
    <w:rsid w:val="007C2ED9"/>
    <w:rsid w:val="007C30DE"/>
    <w:rsid w:val="007C4825"/>
    <w:rsid w:val="007C5EF3"/>
    <w:rsid w:val="007D262C"/>
    <w:rsid w:val="007D4EBB"/>
    <w:rsid w:val="007D5028"/>
    <w:rsid w:val="007D5D5F"/>
    <w:rsid w:val="007F1A49"/>
    <w:rsid w:val="007F1ACF"/>
    <w:rsid w:val="007F2C20"/>
    <w:rsid w:val="00800487"/>
    <w:rsid w:val="00800685"/>
    <w:rsid w:val="00802BF8"/>
    <w:rsid w:val="008031AD"/>
    <w:rsid w:val="00803EB4"/>
    <w:rsid w:val="0081425B"/>
    <w:rsid w:val="0081665B"/>
    <w:rsid w:val="00817F6A"/>
    <w:rsid w:val="0082049E"/>
    <w:rsid w:val="008267C6"/>
    <w:rsid w:val="008267D3"/>
    <w:rsid w:val="0082782F"/>
    <w:rsid w:val="0083082B"/>
    <w:rsid w:val="008411C2"/>
    <w:rsid w:val="008441C8"/>
    <w:rsid w:val="00852453"/>
    <w:rsid w:val="0085340F"/>
    <w:rsid w:val="008534D6"/>
    <w:rsid w:val="0085351A"/>
    <w:rsid w:val="00860CD1"/>
    <w:rsid w:val="00863822"/>
    <w:rsid w:val="00864C44"/>
    <w:rsid w:val="0086609B"/>
    <w:rsid w:val="00867F24"/>
    <w:rsid w:val="00873D89"/>
    <w:rsid w:val="008740E8"/>
    <w:rsid w:val="00875A80"/>
    <w:rsid w:val="00876DA1"/>
    <w:rsid w:val="00880B51"/>
    <w:rsid w:val="0088153A"/>
    <w:rsid w:val="00884613"/>
    <w:rsid w:val="00887520"/>
    <w:rsid w:val="00891DD7"/>
    <w:rsid w:val="00893380"/>
    <w:rsid w:val="00896CAD"/>
    <w:rsid w:val="008972B1"/>
    <w:rsid w:val="008A173C"/>
    <w:rsid w:val="008A2C91"/>
    <w:rsid w:val="008A6B41"/>
    <w:rsid w:val="008B52A1"/>
    <w:rsid w:val="008C1C3E"/>
    <w:rsid w:val="008C3D7C"/>
    <w:rsid w:val="008C42EC"/>
    <w:rsid w:val="008D1AA2"/>
    <w:rsid w:val="008D25B5"/>
    <w:rsid w:val="008D3AAC"/>
    <w:rsid w:val="008D5643"/>
    <w:rsid w:val="008E125F"/>
    <w:rsid w:val="008E3186"/>
    <w:rsid w:val="008F05FF"/>
    <w:rsid w:val="008F0E94"/>
    <w:rsid w:val="008F15FD"/>
    <w:rsid w:val="008F23CF"/>
    <w:rsid w:val="008F3C27"/>
    <w:rsid w:val="008F68E4"/>
    <w:rsid w:val="00901CF2"/>
    <w:rsid w:val="00905577"/>
    <w:rsid w:val="00906E6D"/>
    <w:rsid w:val="00907154"/>
    <w:rsid w:val="00911BDB"/>
    <w:rsid w:val="00911E34"/>
    <w:rsid w:val="00913F94"/>
    <w:rsid w:val="009150EC"/>
    <w:rsid w:val="009179E5"/>
    <w:rsid w:val="00917B4A"/>
    <w:rsid w:val="0092506B"/>
    <w:rsid w:val="0092733F"/>
    <w:rsid w:val="009273BC"/>
    <w:rsid w:val="00927548"/>
    <w:rsid w:val="00927874"/>
    <w:rsid w:val="00934BC0"/>
    <w:rsid w:val="009359D3"/>
    <w:rsid w:val="00936B9D"/>
    <w:rsid w:val="00937913"/>
    <w:rsid w:val="00944814"/>
    <w:rsid w:val="00944AA9"/>
    <w:rsid w:val="009461C5"/>
    <w:rsid w:val="00946C1B"/>
    <w:rsid w:val="009503B6"/>
    <w:rsid w:val="00951589"/>
    <w:rsid w:val="009528C3"/>
    <w:rsid w:val="00956854"/>
    <w:rsid w:val="009574DA"/>
    <w:rsid w:val="00961869"/>
    <w:rsid w:val="00962465"/>
    <w:rsid w:val="00963014"/>
    <w:rsid w:val="0097355B"/>
    <w:rsid w:val="009764D9"/>
    <w:rsid w:val="009774CD"/>
    <w:rsid w:val="00977F27"/>
    <w:rsid w:val="00985D18"/>
    <w:rsid w:val="0098694D"/>
    <w:rsid w:val="00990B06"/>
    <w:rsid w:val="009921B8"/>
    <w:rsid w:val="0099270C"/>
    <w:rsid w:val="00996595"/>
    <w:rsid w:val="00997AF9"/>
    <w:rsid w:val="009A27E5"/>
    <w:rsid w:val="009A33F9"/>
    <w:rsid w:val="009A3AAB"/>
    <w:rsid w:val="009A4C5B"/>
    <w:rsid w:val="009A618C"/>
    <w:rsid w:val="009B662C"/>
    <w:rsid w:val="009C373E"/>
    <w:rsid w:val="009C7A58"/>
    <w:rsid w:val="009D2D26"/>
    <w:rsid w:val="009D44B2"/>
    <w:rsid w:val="009D5257"/>
    <w:rsid w:val="009E0147"/>
    <w:rsid w:val="009E1CAB"/>
    <w:rsid w:val="009E27BD"/>
    <w:rsid w:val="00A03DAA"/>
    <w:rsid w:val="00A07914"/>
    <w:rsid w:val="00A1175C"/>
    <w:rsid w:val="00A16A3C"/>
    <w:rsid w:val="00A1762B"/>
    <w:rsid w:val="00A17E7C"/>
    <w:rsid w:val="00A203A6"/>
    <w:rsid w:val="00A203FF"/>
    <w:rsid w:val="00A26161"/>
    <w:rsid w:val="00A27DC1"/>
    <w:rsid w:val="00A307AC"/>
    <w:rsid w:val="00A32DB5"/>
    <w:rsid w:val="00A34B9F"/>
    <w:rsid w:val="00A34D72"/>
    <w:rsid w:val="00A40ABD"/>
    <w:rsid w:val="00A42B70"/>
    <w:rsid w:val="00A44921"/>
    <w:rsid w:val="00A45E33"/>
    <w:rsid w:val="00A47FEE"/>
    <w:rsid w:val="00A529E2"/>
    <w:rsid w:val="00A52F51"/>
    <w:rsid w:val="00A571A7"/>
    <w:rsid w:val="00A608B9"/>
    <w:rsid w:val="00A6133C"/>
    <w:rsid w:val="00A6581F"/>
    <w:rsid w:val="00A67AB6"/>
    <w:rsid w:val="00A7267F"/>
    <w:rsid w:val="00A72ABD"/>
    <w:rsid w:val="00A74071"/>
    <w:rsid w:val="00A74CF8"/>
    <w:rsid w:val="00A75062"/>
    <w:rsid w:val="00A77F33"/>
    <w:rsid w:val="00A80F67"/>
    <w:rsid w:val="00A824A2"/>
    <w:rsid w:val="00A8740C"/>
    <w:rsid w:val="00A91D41"/>
    <w:rsid w:val="00A92D0F"/>
    <w:rsid w:val="00A93F51"/>
    <w:rsid w:val="00A95081"/>
    <w:rsid w:val="00AA2B23"/>
    <w:rsid w:val="00AA522A"/>
    <w:rsid w:val="00AA5706"/>
    <w:rsid w:val="00AA68E4"/>
    <w:rsid w:val="00AB0061"/>
    <w:rsid w:val="00AB0121"/>
    <w:rsid w:val="00AB07A2"/>
    <w:rsid w:val="00AB0F8E"/>
    <w:rsid w:val="00AB5478"/>
    <w:rsid w:val="00AC094C"/>
    <w:rsid w:val="00AC1365"/>
    <w:rsid w:val="00AC2CBD"/>
    <w:rsid w:val="00AC7D40"/>
    <w:rsid w:val="00AD08D9"/>
    <w:rsid w:val="00AD0E5B"/>
    <w:rsid w:val="00AD26A5"/>
    <w:rsid w:val="00AD2CCB"/>
    <w:rsid w:val="00AD3099"/>
    <w:rsid w:val="00AD4B9D"/>
    <w:rsid w:val="00AE17F1"/>
    <w:rsid w:val="00AE3D56"/>
    <w:rsid w:val="00AE73A7"/>
    <w:rsid w:val="00AE78FC"/>
    <w:rsid w:val="00AF27D7"/>
    <w:rsid w:val="00AF2B93"/>
    <w:rsid w:val="00AF790A"/>
    <w:rsid w:val="00B00CB5"/>
    <w:rsid w:val="00B01977"/>
    <w:rsid w:val="00B053E4"/>
    <w:rsid w:val="00B123C1"/>
    <w:rsid w:val="00B14071"/>
    <w:rsid w:val="00B15067"/>
    <w:rsid w:val="00B15E60"/>
    <w:rsid w:val="00B16AFA"/>
    <w:rsid w:val="00B16E0C"/>
    <w:rsid w:val="00B1753C"/>
    <w:rsid w:val="00B23F5A"/>
    <w:rsid w:val="00B30064"/>
    <w:rsid w:val="00B30D87"/>
    <w:rsid w:val="00B3288C"/>
    <w:rsid w:val="00B432C2"/>
    <w:rsid w:val="00B50D41"/>
    <w:rsid w:val="00B51FE9"/>
    <w:rsid w:val="00B5345E"/>
    <w:rsid w:val="00B6232D"/>
    <w:rsid w:val="00B649B0"/>
    <w:rsid w:val="00B718E4"/>
    <w:rsid w:val="00B71DDD"/>
    <w:rsid w:val="00B724B8"/>
    <w:rsid w:val="00B731CA"/>
    <w:rsid w:val="00B7516C"/>
    <w:rsid w:val="00B764B9"/>
    <w:rsid w:val="00B86294"/>
    <w:rsid w:val="00B86B5F"/>
    <w:rsid w:val="00B90EA6"/>
    <w:rsid w:val="00B912D2"/>
    <w:rsid w:val="00B941A9"/>
    <w:rsid w:val="00B942A5"/>
    <w:rsid w:val="00B94A57"/>
    <w:rsid w:val="00B97211"/>
    <w:rsid w:val="00BA732F"/>
    <w:rsid w:val="00BB779E"/>
    <w:rsid w:val="00BC1BAD"/>
    <w:rsid w:val="00BD1C9C"/>
    <w:rsid w:val="00BD2225"/>
    <w:rsid w:val="00BD3936"/>
    <w:rsid w:val="00BD59E6"/>
    <w:rsid w:val="00BD5FD9"/>
    <w:rsid w:val="00BE20AA"/>
    <w:rsid w:val="00BE3F4D"/>
    <w:rsid w:val="00BE4774"/>
    <w:rsid w:val="00BE5934"/>
    <w:rsid w:val="00BE64A0"/>
    <w:rsid w:val="00BE7A5B"/>
    <w:rsid w:val="00BF28F9"/>
    <w:rsid w:val="00C031D4"/>
    <w:rsid w:val="00C034D6"/>
    <w:rsid w:val="00C07B18"/>
    <w:rsid w:val="00C100A3"/>
    <w:rsid w:val="00C10451"/>
    <w:rsid w:val="00C128F4"/>
    <w:rsid w:val="00C13AA0"/>
    <w:rsid w:val="00C151AE"/>
    <w:rsid w:val="00C1581C"/>
    <w:rsid w:val="00C27397"/>
    <w:rsid w:val="00C30645"/>
    <w:rsid w:val="00C3302C"/>
    <w:rsid w:val="00C359A0"/>
    <w:rsid w:val="00C370E6"/>
    <w:rsid w:val="00C37C44"/>
    <w:rsid w:val="00C4676C"/>
    <w:rsid w:val="00C515F8"/>
    <w:rsid w:val="00C530AB"/>
    <w:rsid w:val="00C5512B"/>
    <w:rsid w:val="00C5768C"/>
    <w:rsid w:val="00C60026"/>
    <w:rsid w:val="00C64B45"/>
    <w:rsid w:val="00C679DC"/>
    <w:rsid w:val="00C7464E"/>
    <w:rsid w:val="00C77759"/>
    <w:rsid w:val="00C800DB"/>
    <w:rsid w:val="00C808AA"/>
    <w:rsid w:val="00C81231"/>
    <w:rsid w:val="00C8132E"/>
    <w:rsid w:val="00C82688"/>
    <w:rsid w:val="00C831E2"/>
    <w:rsid w:val="00C849CF"/>
    <w:rsid w:val="00C8658E"/>
    <w:rsid w:val="00C90851"/>
    <w:rsid w:val="00CA1D13"/>
    <w:rsid w:val="00CA4999"/>
    <w:rsid w:val="00CA58CD"/>
    <w:rsid w:val="00CB1D7D"/>
    <w:rsid w:val="00CB29CD"/>
    <w:rsid w:val="00CB308C"/>
    <w:rsid w:val="00CB4665"/>
    <w:rsid w:val="00CB6043"/>
    <w:rsid w:val="00CB64F2"/>
    <w:rsid w:val="00CC4555"/>
    <w:rsid w:val="00CE177F"/>
    <w:rsid w:val="00CE23D7"/>
    <w:rsid w:val="00CE24EF"/>
    <w:rsid w:val="00CE376B"/>
    <w:rsid w:val="00CE4D6E"/>
    <w:rsid w:val="00CF2FD1"/>
    <w:rsid w:val="00D01616"/>
    <w:rsid w:val="00D01EA0"/>
    <w:rsid w:val="00D0285F"/>
    <w:rsid w:val="00D12001"/>
    <w:rsid w:val="00D14DE2"/>
    <w:rsid w:val="00D2144E"/>
    <w:rsid w:val="00D23DBD"/>
    <w:rsid w:val="00D276F4"/>
    <w:rsid w:val="00D301A1"/>
    <w:rsid w:val="00D44B5D"/>
    <w:rsid w:val="00D47EC4"/>
    <w:rsid w:val="00D534D7"/>
    <w:rsid w:val="00D54FEF"/>
    <w:rsid w:val="00D60C21"/>
    <w:rsid w:val="00D636A0"/>
    <w:rsid w:val="00D63D22"/>
    <w:rsid w:val="00D72843"/>
    <w:rsid w:val="00D742BE"/>
    <w:rsid w:val="00D802E1"/>
    <w:rsid w:val="00D80DAA"/>
    <w:rsid w:val="00D909DF"/>
    <w:rsid w:val="00D91C6D"/>
    <w:rsid w:val="00D945F2"/>
    <w:rsid w:val="00DA0B8B"/>
    <w:rsid w:val="00DA185B"/>
    <w:rsid w:val="00DA36C1"/>
    <w:rsid w:val="00DA426C"/>
    <w:rsid w:val="00DA4D17"/>
    <w:rsid w:val="00DA5B87"/>
    <w:rsid w:val="00DA6EC1"/>
    <w:rsid w:val="00DB1798"/>
    <w:rsid w:val="00DB1ED7"/>
    <w:rsid w:val="00DB40EE"/>
    <w:rsid w:val="00DB466D"/>
    <w:rsid w:val="00DB573B"/>
    <w:rsid w:val="00DC1736"/>
    <w:rsid w:val="00DC290E"/>
    <w:rsid w:val="00DC3C55"/>
    <w:rsid w:val="00DC3C72"/>
    <w:rsid w:val="00DC4FA1"/>
    <w:rsid w:val="00DC50B3"/>
    <w:rsid w:val="00DD5EDB"/>
    <w:rsid w:val="00DD69AB"/>
    <w:rsid w:val="00DE0D44"/>
    <w:rsid w:val="00DE7CC1"/>
    <w:rsid w:val="00DF08F8"/>
    <w:rsid w:val="00DF1956"/>
    <w:rsid w:val="00DF3FF1"/>
    <w:rsid w:val="00DF4FEA"/>
    <w:rsid w:val="00E047E7"/>
    <w:rsid w:val="00E053D5"/>
    <w:rsid w:val="00E17E75"/>
    <w:rsid w:val="00E23373"/>
    <w:rsid w:val="00E25425"/>
    <w:rsid w:val="00E26516"/>
    <w:rsid w:val="00E27CF8"/>
    <w:rsid w:val="00E33778"/>
    <w:rsid w:val="00E33A17"/>
    <w:rsid w:val="00E33BE5"/>
    <w:rsid w:val="00E40EC3"/>
    <w:rsid w:val="00E432FE"/>
    <w:rsid w:val="00E43475"/>
    <w:rsid w:val="00E46615"/>
    <w:rsid w:val="00E46A9F"/>
    <w:rsid w:val="00E4778B"/>
    <w:rsid w:val="00E50E1E"/>
    <w:rsid w:val="00E52BBA"/>
    <w:rsid w:val="00E540FB"/>
    <w:rsid w:val="00E552CE"/>
    <w:rsid w:val="00E57F54"/>
    <w:rsid w:val="00E613A6"/>
    <w:rsid w:val="00E63B1F"/>
    <w:rsid w:val="00E65E74"/>
    <w:rsid w:val="00E65F3C"/>
    <w:rsid w:val="00E71ABF"/>
    <w:rsid w:val="00E72B54"/>
    <w:rsid w:val="00E73400"/>
    <w:rsid w:val="00E75369"/>
    <w:rsid w:val="00E75645"/>
    <w:rsid w:val="00E76B9A"/>
    <w:rsid w:val="00E801CB"/>
    <w:rsid w:val="00E81060"/>
    <w:rsid w:val="00E915F4"/>
    <w:rsid w:val="00E91EC8"/>
    <w:rsid w:val="00E96C74"/>
    <w:rsid w:val="00EA42C0"/>
    <w:rsid w:val="00EB1921"/>
    <w:rsid w:val="00EB766F"/>
    <w:rsid w:val="00EC0DA8"/>
    <w:rsid w:val="00EC4619"/>
    <w:rsid w:val="00EC7377"/>
    <w:rsid w:val="00ED2793"/>
    <w:rsid w:val="00ED5A8C"/>
    <w:rsid w:val="00ED628F"/>
    <w:rsid w:val="00ED67C4"/>
    <w:rsid w:val="00EE10F8"/>
    <w:rsid w:val="00EE14B8"/>
    <w:rsid w:val="00EE301E"/>
    <w:rsid w:val="00EE42D6"/>
    <w:rsid w:val="00EE4308"/>
    <w:rsid w:val="00EE70B5"/>
    <w:rsid w:val="00EF1227"/>
    <w:rsid w:val="00EF1457"/>
    <w:rsid w:val="00EF2856"/>
    <w:rsid w:val="00EF596A"/>
    <w:rsid w:val="00EF69E1"/>
    <w:rsid w:val="00F0319C"/>
    <w:rsid w:val="00F0701D"/>
    <w:rsid w:val="00F125AA"/>
    <w:rsid w:val="00F14014"/>
    <w:rsid w:val="00F1430E"/>
    <w:rsid w:val="00F14ED3"/>
    <w:rsid w:val="00F167B7"/>
    <w:rsid w:val="00F2128E"/>
    <w:rsid w:val="00F224CA"/>
    <w:rsid w:val="00F24C8B"/>
    <w:rsid w:val="00F27476"/>
    <w:rsid w:val="00F27F55"/>
    <w:rsid w:val="00F3133C"/>
    <w:rsid w:val="00F31AF3"/>
    <w:rsid w:val="00F33D25"/>
    <w:rsid w:val="00F40829"/>
    <w:rsid w:val="00F41A77"/>
    <w:rsid w:val="00F44741"/>
    <w:rsid w:val="00F46FE1"/>
    <w:rsid w:val="00F53987"/>
    <w:rsid w:val="00F55078"/>
    <w:rsid w:val="00F55440"/>
    <w:rsid w:val="00F623DD"/>
    <w:rsid w:val="00F66923"/>
    <w:rsid w:val="00F72BFA"/>
    <w:rsid w:val="00F7774E"/>
    <w:rsid w:val="00F8365D"/>
    <w:rsid w:val="00F92976"/>
    <w:rsid w:val="00F9726F"/>
    <w:rsid w:val="00FA034E"/>
    <w:rsid w:val="00FA3495"/>
    <w:rsid w:val="00FA457B"/>
    <w:rsid w:val="00FA4A04"/>
    <w:rsid w:val="00FA577A"/>
    <w:rsid w:val="00FA6216"/>
    <w:rsid w:val="00FA6D0A"/>
    <w:rsid w:val="00FA733C"/>
    <w:rsid w:val="00FC52A7"/>
    <w:rsid w:val="00FC5F8F"/>
    <w:rsid w:val="00FC6D5D"/>
    <w:rsid w:val="00FD3A16"/>
    <w:rsid w:val="00FD69BC"/>
    <w:rsid w:val="00FE0CFE"/>
    <w:rsid w:val="00FE22C4"/>
    <w:rsid w:val="00FE38AF"/>
    <w:rsid w:val="00FE5DCE"/>
    <w:rsid w:val="00FF0825"/>
    <w:rsid w:val="00FF0E20"/>
    <w:rsid w:val="00FF4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3B1C4"/>
  <w15:docId w15:val="{5063F55A-7768-468C-BB93-7B91B51F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1"/>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3"/>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4"/>
    <w:unhideWhenUsed/>
    <w:qFormat/>
    <w:rsid w:val="00A32DB5"/>
    <w:pPr>
      <w:keepNext/>
      <w:keepLines/>
      <w:numPr>
        <w:ilvl w:val="2"/>
        <w:numId w:val="2"/>
      </w:numPr>
      <w:spacing w:before="240" w:after="0" w:line="240" w:lineRule="auto"/>
      <w:ind w:left="709" w:hanging="709"/>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iPriority w:val="5"/>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6"/>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3"/>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4"/>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uiPriority w:val="5"/>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6"/>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27"/>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27"/>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26"/>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26"/>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qFormat/>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3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23"/>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23"/>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99"/>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12"/>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99"/>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styleId="UnresolvedMention">
    <w:name w:val="Unresolved Mention"/>
    <w:basedOn w:val="DefaultParagraphFont"/>
    <w:uiPriority w:val="99"/>
    <w:semiHidden/>
    <w:unhideWhenUsed/>
    <w:rsid w:val="008D5643"/>
    <w:rPr>
      <w:color w:val="605E5C"/>
      <w:shd w:val="clear" w:color="auto" w:fill="E1DFDD"/>
    </w:rPr>
  </w:style>
  <w:style w:type="paragraph" w:styleId="Bibliography">
    <w:name w:val="Bibliography"/>
    <w:basedOn w:val="Normal"/>
    <w:next w:val="Normal"/>
    <w:uiPriority w:val="37"/>
    <w:unhideWhenUsed/>
    <w:rsid w:val="000F17B5"/>
  </w:style>
  <w:style w:type="character" w:styleId="HTMLCite">
    <w:name w:val="HTML Cite"/>
    <w:basedOn w:val="DefaultParagraphFont"/>
    <w:uiPriority w:val="99"/>
    <w:semiHidden/>
    <w:unhideWhenUsed/>
    <w:rsid w:val="00F3133C"/>
    <w:rPr>
      <w:i/>
      <w:iCs/>
    </w:rPr>
  </w:style>
  <w:style w:type="table" w:customStyle="1" w:styleId="GridTable6Colorful-Accent31">
    <w:name w:val="Grid Table 6 Colorful - Accent 31"/>
    <w:basedOn w:val="TableNormal"/>
    <w:next w:val="GridTable6Colorful-Accent3"/>
    <w:uiPriority w:val="51"/>
    <w:rsid w:val="00AF27D7"/>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AF27D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5">
    <w:name w:val="Grid Table 1 Light Accent 5"/>
    <w:basedOn w:val="TableNormal"/>
    <w:uiPriority w:val="46"/>
    <w:rsid w:val="003A161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f01">
    <w:name w:val="cf01"/>
    <w:basedOn w:val="DefaultParagraphFont"/>
    <w:rsid w:val="004F71DC"/>
    <w:rPr>
      <w:rFonts w:ascii="Segoe UI" w:hAnsi="Segoe UI" w:cs="Segoe UI" w:hint="default"/>
      <w:sz w:val="18"/>
      <w:szCs w:val="18"/>
    </w:rPr>
  </w:style>
  <w:style w:type="paragraph" w:customStyle="1" w:styleId="Footeraddress">
    <w:name w:val="Footer address"/>
    <w:basedOn w:val="Footer"/>
    <w:semiHidden/>
    <w:qFormat/>
    <w:rsid w:val="00091176"/>
    <w:pPr>
      <w:tabs>
        <w:tab w:val="clear" w:pos="4513"/>
        <w:tab w:val="clear" w:pos="9026"/>
        <w:tab w:val="center" w:pos="4536"/>
      </w:tabs>
      <w:spacing w:after="120"/>
      <w:jc w:val="center"/>
    </w:pPr>
    <w:rPr>
      <w:rFonts w:ascii="Calibri" w:hAnsi="Calibri"/>
      <w:sz w:val="16"/>
      <w:szCs w:val="22"/>
    </w:rPr>
  </w:style>
  <w:style w:type="paragraph" w:styleId="Quote">
    <w:name w:val="Quote"/>
    <w:basedOn w:val="Normal"/>
    <w:next w:val="Normal"/>
    <w:link w:val="QuoteChar"/>
    <w:uiPriority w:val="18"/>
    <w:qFormat/>
    <w:rsid w:val="00091176"/>
    <w:pPr>
      <w:ind w:left="709" w:right="567"/>
    </w:pPr>
    <w:rPr>
      <w:rFonts w:ascii="Cambria" w:hAnsi="Cambria"/>
      <w:iCs/>
      <w:color w:val="000000"/>
      <w:sz w:val="22"/>
      <w:szCs w:val="22"/>
    </w:rPr>
  </w:style>
  <w:style w:type="character" w:customStyle="1" w:styleId="QuoteChar">
    <w:name w:val="Quote Char"/>
    <w:basedOn w:val="DefaultParagraphFont"/>
    <w:link w:val="Quote"/>
    <w:uiPriority w:val="18"/>
    <w:rsid w:val="00091176"/>
    <w:rPr>
      <w:rFonts w:ascii="Cambria" w:hAnsi="Cambria"/>
      <w:iCs/>
      <w:color w:val="000000"/>
    </w:rPr>
  </w:style>
  <w:style w:type="paragraph" w:customStyle="1" w:styleId="BoxText">
    <w:name w:val="Box Text"/>
    <w:basedOn w:val="Normal"/>
    <w:uiPriority w:val="19"/>
    <w:qFormat/>
    <w:rsid w:val="00091176"/>
    <w:pPr>
      <w:pBdr>
        <w:top w:val="single" w:sz="4" w:space="10" w:color="auto"/>
        <w:left w:val="single" w:sz="4" w:space="10" w:color="auto"/>
        <w:bottom w:val="single" w:sz="4" w:space="10" w:color="auto"/>
        <w:right w:val="single" w:sz="4" w:space="10" w:color="auto"/>
      </w:pBdr>
      <w:spacing w:before="120" w:after="120"/>
    </w:pPr>
    <w:rPr>
      <w:rFonts w:ascii="Cambria" w:hAnsi="Cambria"/>
      <w:sz w:val="20"/>
      <w:szCs w:val="22"/>
    </w:rPr>
  </w:style>
  <w:style w:type="paragraph" w:customStyle="1" w:styleId="FigureTableNoteSource">
    <w:name w:val="Figure/Table Note/Source"/>
    <w:basedOn w:val="Normal"/>
    <w:next w:val="Normal"/>
    <w:uiPriority w:val="16"/>
    <w:qFormat/>
    <w:rsid w:val="00091176"/>
    <w:pPr>
      <w:spacing w:before="120" w:line="264" w:lineRule="auto"/>
      <w:contextualSpacing/>
    </w:pPr>
    <w:rPr>
      <w:rFonts w:ascii="Calibri" w:hAnsi="Calibri"/>
      <w:sz w:val="18"/>
      <w:szCs w:val="22"/>
    </w:rPr>
  </w:style>
  <w:style w:type="paragraph" w:styleId="ListBullet">
    <w:name w:val="List Bullet"/>
    <w:basedOn w:val="Normal"/>
    <w:uiPriority w:val="99"/>
    <w:qFormat/>
    <w:rsid w:val="00091176"/>
    <w:pPr>
      <w:numPr>
        <w:numId w:val="8"/>
      </w:numPr>
      <w:spacing w:before="120" w:after="120"/>
    </w:pPr>
    <w:rPr>
      <w:rFonts w:ascii="Cambria" w:hAnsi="Cambria"/>
      <w:sz w:val="22"/>
      <w:szCs w:val="22"/>
    </w:rPr>
  </w:style>
  <w:style w:type="paragraph" w:styleId="TableofFigures">
    <w:name w:val="table of figures"/>
    <w:basedOn w:val="Normal"/>
    <w:next w:val="Normal"/>
    <w:uiPriority w:val="99"/>
    <w:rsid w:val="00091176"/>
    <w:pPr>
      <w:spacing w:before="120" w:after="120" w:line="240" w:lineRule="auto"/>
    </w:pPr>
    <w:rPr>
      <w:rFonts w:ascii="Cambria" w:hAnsi="Cambria"/>
      <w:sz w:val="22"/>
      <w:szCs w:val="22"/>
    </w:rPr>
  </w:style>
  <w:style w:type="paragraph" w:styleId="ListBullet2">
    <w:name w:val="List Bullet 2"/>
    <w:basedOn w:val="Normal"/>
    <w:uiPriority w:val="8"/>
    <w:qFormat/>
    <w:rsid w:val="00091176"/>
    <w:pPr>
      <w:numPr>
        <w:ilvl w:val="1"/>
        <w:numId w:val="8"/>
      </w:numPr>
      <w:spacing w:before="120" w:after="120"/>
      <w:contextualSpacing/>
    </w:pPr>
    <w:rPr>
      <w:rFonts w:ascii="Cambria" w:hAnsi="Cambria"/>
      <w:sz w:val="22"/>
      <w:szCs w:val="22"/>
    </w:rPr>
  </w:style>
  <w:style w:type="paragraph" w:styleId="ListNumber">
    <w:name w:val="List Number"/>
    <w:basedOn w:val="Normal"/>
    <w:uiPriority w:val="9"/>
    <w:qFormat/>
    <w:rsid w:val="00091176"/>
    <w:pPr>
      <w:numPr>
        <w:numId w:val="12"/>
      </w:numPr>
      <w:tabs>
        <w:tab w:val="left" w:pos="142"/>
      </w:tabs>
      <w:spacing w:before="120" w:after="120"/>
    </w:pPr>
    <w:rPr>
      <w:rFonts w:ascii="Cambria" w:hAnsi="Cambria"/>
      <w:sz w:val="22"/>
      <w:szCs w:val="22"/>
    </w:rPr>
  </w:style>
  <w:style w:type="paragraph" w:styleId="ListNumber2">
    <w:name w:val="List Number 2"/>
    <w:uiPriority w:val="10"/>
    <w:qFormat/>
    <w:rsid w:val="00091176"/>
    <w:pPr>
      <w:numPr>
        <w:ilvl w:val="1"/>
        <w:numId w:val="12"/>
      </w:numPr>
      <w:tabs>
        <w:tab w:val="left" w:pos="567"/>
      </w:tabs>
      <w:spacing w:before="120" w:after="120" w:line="264" w:lineRule="auto"/>
    </w:pPr>
    <w:rPr>
      <w:rFonts w:ascii="Cambria" w:eastAsia="Times New Roman" w:hAnsi="Cambria" w:cs="Times New Roman"/>
      <w:szCs w:val="24"/>
    </w:rPr>
  </w:style>
  <w:style w:type="paragraph" w:styleId="ListNumber3">
    <w:name w:val="List Number 3"/>
    <w:uiPriority w:val="11"/>
    <w:qFormat/>
    <w:rsid w:val="00091176"/>
    <w:pPr>
      <w:numPr>
        <w:ilvl w:val="2"/>
        <w:numId w:val="12"/>
      </w:numPr>
      <w:spacing w:before="120" w:after="120" w:line="264" w:lineRule="auto"/>
    </w:pPr>
    <w:rPr>
      <w:rFonts w:ascii="Cambria" w:eastAsia="Times New Roman" w:hAnsi="Cambria" w:cs="Times New Roman"/>
      <w:szCs w:val="24"/>
    </w:rPr>
  </w:style>
  <w:style w:type="table" w:customStyle="1" w:styleId="LightShading1">
    <w:name w:val="Light Shading1"/>
    <w:basedOn w:val="TableNormal"/>
    <w:uiPriority w:val="60"/>
    <w:rsid w:val="00091176"/>
    <w:pPr>
      <w:spacing w:after="0" w:line="240" w:lineRule="auto"/>
    </w:pPr>
    <w:rPr>
      <w:rFonts w:ascii="Cambria" w:eastAsia="Cambria" w:hAnsi="Cambria"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091176"/>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link w:val="TableTextChar"/>
    <w:uiPriority w:val="13"/>
    <w:qFormat/>
    <w:rsid w:val="00091176"/>
    <w:pPr>
      <w:spacing w:before="60" w:after="60" w:line="240" w:lineRule="auto"/>
    </w:pPr>
    <w:rPr>
      <w:rFonts w:ascii="Cambria" w:hAnsi="Cambria"/>
      <w:sz w:val="18"/>
      <w:szCs w:val="22"/>
    </w:rPr>
  </w:style>
  <w:style w:type="table" w:styleId="TableGrid1">
    <w:name w:val="Table Grid 1"/>
    <w:basedOn w:val="TableNormal"/>
    <w:uiPriority w:val="99"/>
    <w:semiHidden/>
    <w:unhideWhenUsed/>
    <w:rsid w:val="00091176"/>
    <w:pPr>
      <w:spacing w:line="280" w:lineRule="atLeast"/>
    </w:pPr>
    <w:rPr>
      <w:rFonts w:ascii="Cambria" w:eastAsia="Cambria" w:hAnsi="Cambria"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0">
    <w:name w:val="Table Heading"/>
    <w:basedOn w:val="TableText"/>
    <w:uiPriority w:val="14"/>
    <w:qFormat/>
    <w:rsid w:val="00091176"/>
    <w:pPr>
      <w:keepNext/>
    </w:pPr>
    <w:rPr>
      <w:b/>
    </w:rPr>
  </w:style>
  <w:style w:type="character" w:styleId="PlaceholderText">
    <w:name w:val="Placeholder Text"/>
    <w:basedOn w:val="DefaultParagraphFont"/>
    <w:uiPriority w:val="99"/>
    <w:semiHidden/>
    <w:rsid w:val="00091176"/>
    <w:rPr>
      <w:color w:val="808080"/>
    </w:rPr>
  </w:style>
  <w:style w:type="paragraph" w:customStyle="1" w:styleId="Author">
    <w:name w:val="Author"/>
    <w:basedOn w:val="Normal"/>
    <w:next w:val="Normal"/>
    <w:uiPriority w:val="24"/>
    <w:qFormat/>
    <w:rsid w:val="00091176"/>
    <w:pPr>
      <w:spacing w:after="60"/>
    </w:pPr>
    <w:rPr>
      <w:rFonts w:ascii="Cambria" w:hAnsi="Cambria"/>
      <w:b/>
      <w:sz w:val="24"/>
      <w:szCs w:val="28"/>
    </w:rPr>
  </w:style>
  <w:style w:type="paragraph" w:customStyle="1" w:styleId="AuthorOrganisationAffiliation">
    <w:name w:val="Author Organisation/Affiliation"/>
    <w:basedOn w:val="Normal"/>
    <w:next w:val="Normal"/>
    <w:uiPriority w:val="25"/>
    <w:qFormat/>
    <w:rsid w:val="00091176"/>
    <w:rPr>
      <w:rFonts w:ascii="Cambria" w:hAnsi="Cambria"/>
      <w:sz w:val="22"/>
      <w:szCs w:val="22"/>
    </w:rPr>
  </w:style>
  <w:style w:type="paragraph" w:customStyle="1" w:styleId="Glossary">
    <w:name w:val="Glossary"/>
    <w:basedOn w:val="Normal"/>
    <w:link w:val="GlossaryChar"/>
    <w:uiPriority w:val="28"/>
    <w:semiHidden/>
    <w:locked/>
    <w:rsid w:val="00091176"/>
    <w:pPr>
      <w:spacing w:before="120" w:after="120"/>
      <w:ind w:left="2126" w:hanging="2126"/>
    </w:pPr>
    <w:rPr>
      <w:rFonts w:ascii="Cambria" w:eastAsia="Calibri" w:hAnsi="Cambria"/>
      <w:color w:val="000000"/>
      <w:sz w:val="22"/>
      <w:szCs w:val="22"/>
    </w:rPr>
  </w:style>
  <w:style w:type="character" w:customStyle="1" w:styleId="GlossaryChar">
    <w:name w:val="Glossary Char"/>
    <w:basedOn w:val="DefaultParagraphFont"/>
    <w:link w:val="Glossary"/>
    <w:uiPriority w:val="28"/>
    <w:semiHidden/>
    <w:rsid w:val="00091176"/>
    <w:rPr>
      <w:rFonts w:ascii="Cambria" w:eastAsia="Calibri" w:hAnsi="Cambria"/>
      <w:color w:val="000000"/>
    </w:rPr>
  </w:style>
  <w:style w:type="paragraph" w:styleId="TOAHeading">
    <w:name w:val="toa heading"/>
    <w:basedOn w:val="Heading1"/>
    <w:next w:val="Normal"/>
    <w:uiPriority w:val="99"/>
    <w:semiHidden/>
    <w:unhideWhenUsed/>
    <w:rsid w:val="00091176"/>
    <w:pPr>
      <w:keepNext w:val="0"/>
      <w:keepLines w:val="0"/>
      <w:widowControl w:val="0"/>
      <w:numPr>
        <w:numId w:val="0"/>
      </w:numPr>
      <w:spacing w:before="120" w:after="240" w:line="240" w:lineRule="auto"/>
      <w:contextualSpacing/>
    </w:pPr>
    <w:rPr>
      <w:rFonts w:ascii="Calibri" w:eastAsiaTheme="minorHAnsi" w:hAnsi="Calibri" w:cstheme="minorBidi"/>
      <w:bCs w:val="0"/>
      <w:caps w:val="0"/>
      <w:color w:val="000000"/>
      <w:spacing w:val="5"/>
      <w:kern w:val="28"/>
      <w:sz w:val="24"/>
      <w:szCs w:val="28"/>
    </w:rPr>
  </w:style>
  <w:style w:type="paragraph" w:customStyle="1" w:styleId="BoxTextBullet">
    <w:name w:val="Box Text Bullet"/>
    <w:basedOn w:val="BoxText"/>
    <w:uiPriority w:val="21"/>
    <w:qFormat/>
    <w:rsid w:val="00091176"/>
    <w:pPr>
      <w:numPr>
        <w:numId w:val="6"/>
      </w:numPr>
      <w:ind w:left="357" w:hanging="357"/>
    </w:pPr>
  </w:style>
  <w:style w:type="paragraph" w:customStyle="1" w:styleId="TableBullet1">
    <w:name w:val="Table Bullet 1"/>
    <w:basedOn w:val="TableText"/>
    <w:uiPriority w:val="15"/>
    <w:qFormat/>
    <w:rsid w:val="00091176"/>
    <w:pPr>
      <w:numPr>
        <w:numId w:val="7"/>
      </w:numPr>
      <w:ind w:left="284" w:hanging="284"/>
    </w:pPr>
  </w:style>
  <w:style w:type="paragraph" w:customStyle="1" w:styleId="BoxHeading">
    <w:name w:val="Box Heading"/>
    <w:basedOn w:val="BoxText"/>
    <w:uiPriority w:val="20"/>
    <w:qFormat/>
    <w:rsid w:val="00091176"/>
    <w:pPr>
      <w:spacing w:line="240" w:lineRule="auto"/>
    </w:pPr>
    <w:rPr>
      <w:b/>
    </w:rPr>
  </w:style>
  <w:style w:type="paragraph" w:customStyle="1" w:styleId="Picture">
    <w:name w:val="Picture"/>
    <w:basedOn w:val="Normal"/>
    <w:uiPriority w:val="17"/>
    <w:qFormat/>
    <w:rsid w:val="00091176"/>
    <w:pPr>
      <w:spacing w:before="120" w:after="120" w:line="240" w:lineRule="auto"/>
    </w:pPr>
    <w:rPr>
      <w:rFonts w:ascii="Cambria" w:hAnsi="Cambria"/>
      <w:noProof/>
      <w:sz w:val="22"/>
      <w:szCs w:val="22"/>
      <w:lang w:eastAsia="en-AU"/>
    </w:rPr>
  </w:style>
  <w:style w:type="paragraph" w:customStyle="1" w:styleId="Securityclassification">
    <w:name w:val="Security classification"/>
    <w:basedOn w:val="Header"/>
    <w:next w:val="Header"/>
    <w:uiPriority w:val="26"/>
    <w:qFormat/>
    <w:rsid w:val="00091176"/>
    <w:pPr>
      <w:tabs>
        <w:tab w:val="clear" w:pos="4153"/>
        <w:tab w:val="clear" w:pos="8306"/>
        <w:tab w:val="center" w:pos="4820"/>
      </w:tabs>
      <w:jc w:val="center"/>
    </w:pPr>
    <w:rPr>
      <w:rFonts w:ascii="Calibri" w:eastAsiaTheme="minorHAnsi" w:hAnsi="Calibri" w:cstheme="minorBidi"/>
      <w:b/>
      <w:color w:val="FF0000"/>
      <w:sz w:val="36"/>
      <w:szCs w:val="36"/>
    </w:rPr>
  </w:style>
  <w:style w:type="paragraph" w:customStyle="1" w:styleId="DisseminationLimitingMarker">
    <w:name w:val="Dissemination Limiting Marker"/>
    <w:basedOn w:val="Header"/>
    <w:next w:val="Header"/>
    <w:uiPriority w:val="27"/>
    <w:rsid w:val="00091176"/>
    <w:pPr>
      <w:tabs>
        <w:tab w:val="clear" w:pos="4153"/>
        <w:tab w:val="clear" w:pos="8306"/>
        <w:tab w:val="center" w:pos="4820"/>
      </w:tabs>
      <w:jc w:val="center"/>
    </w:pPr>
    <w:rPr>
      <w:rFonts w:ascii="Calibri" w:eastAsiaTheme="minorHAnsi" w:hAnsi="Calibri" w:cstheme="minorBidi"/>
      <w:b/>
      <w:sz w:val="36"/>
      <w:szCs w:val="36"/>
    </w:rPr>
  </w:style>
  <w:style w:type="paragraph" w:styleId="FootnoteText">
    <w:name w:val="footnote text"/>
    <w:basedOn w:val="Normal"/>
    <w:link w:val="FootnoteTextChar"/>
    <w:unhideWhenUsed/>
    <w:rsid w:val="00091176"/>
    <w:pPr>
      <w:spacing w:after="60" w:line="264" w:lineRule="auto"/>
    </w:pPr>
    <w:rPr>
      <w:rFonts w:ascii="Cambria" w:hAnsi="Cambria"/>
      <w:sz w:val="20"/>
      <w:szCs w:val="20"/>
    </w:rPr>
  </w:style>
  <w:style w:type="character" w:customStyle="1" w:styleId="FootnoteTextChar">
    <w:name w:val="Footnote Text Char"/>
    <w:basedOn w:val="DefaultParagraphFont"/>
    <w:link w:val="FootnoteText"/>
    <w:rsid w:val="00091176"/>
    <w:rPr>
      <w:rFonts w:ascii="Cambria" w:hAnsi="Cambria"/>
      <w:sz w:val="20"/>
      <w:szCs w:val="20"/>
    </w:rPr>
  </w:style>
  <w:style w:type="character" w:styleId="FootnoteReference">
    <w:name w:val="footnote reference"/>
    <w:basedOn w:val="DefaultParagraphFont"/>
    <w:semiHidden/>
    <w:unhideWhenUsed/>
    <w:rsid w:val="00091176"/>
    <w:rPr>
      <w:vertAlign w:val="superscript"/>
    </w:rPr>
  </w:style>
  <w:style w:type="paragraph" w:styleId="EndnoteText">
    <w:name w:val="endnote text"/>
    <w:basedOn w:val="Normal"/>
    <w:link w:val="EndnoteTextChar"/>
    <w:uiPriority w:val="99"/>
    <w:unhideWhenUsed/>
    <w:rsid w:val="00091176"/>
    <w:pPr>
      <w:spacing w:after="60" w:line="264" w:lineRule="auto"/>
    </w:pPr>
    <w:rPr>
      <w:rFonts w:ascii="Cambria" w:hAnsi="Cambria"/>
      <w:sz w:val="20"/>
      <w:szCs w:val="20"/>
    </w:rPr>
  </w:style>
  <w:style w:type="character" w:customStyle="1" w:styleId="EndnoteTextChar">
    <w:name w:val="Endnote Text Char"/>
    <w:basedOn w:val="DefaultParagraphFont"/>
    <w:link w:val="EndnoteText"/>
    <w:uiPriority w:val="99"/>
    <w:rsid w:val="00091176"/>
    <w:rPr>
      <w:rFonts w:ascii="Cambria" w:hAnsi="Cambria"/>
      <w:sz w:val="20"/>
      <w:szCs w:val="20"/>
    </w:rPr>
  </w:style>
  <w:style w:type="character" w:styleId="EndnoteReference">
    <w:name w:val="endnote reference"/>
    <w:basedOn w:val="DefaultParagraphFont"/>
    <w:uiPriority w:val="99"/>
    <w:semiHidden/>
    <w:unhideWhenUsed/>
    <w:rsid w:val="00091176"/>
    <w:rPr>
      <w:vertAlign w:val="superscript"/>
    </w:rPr>
  </w:style>
  <w:style w:type="paragraph" w:customStyle="1" w:styleId="BoxSource">
    <w:name w:val="Box Source"/>
    <w:basedOn w:val="FigureTableNoteSource"/>
    <w:uiPriority w:val="22"/>
    <w:qFormat/>
    <w:rsid w:val="00091176"/>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091176"/>
    <w:pPr>
      <w:numPr>
        <w:numId w:val="8"/>
      </w:numPr>
    </w:pPr>
  </w:style>
  <w:style w:type="paragraph" w:customStyle="1" w:styleId="TOCHeading2">
    <w:name w:val="TOC Heading 2"/>
    <w:next w:val="Normal"/>
    <w:qFormat/>
    <w:rsid w:val="00091176"/>
    <w:pPr>
      <w:spacing w:after="0" w:line="240" w:lineRule="auto"/>
    </w:pPr>
    <w:rPr>
      <w:rFonts w:ascii="Calibri Light" w:hAnsi="Calibri Light"/>
      <w:sz w:val="36"/>
    </w:rPr>
  </w:style>
  <w:style w:type="numbering" w:customStyle="1" w:styleId="Numberlist">
    <w:name w:val="Number list"/>
    <w:uiPriority w:val="99"/>
    <w:rsid w:val="00091176"/>
    <w:pPr>
      <w:numPr>
        <w:numId w:val="9"/>
      </w:numPr>
    </w:pPr>
  </w:style>
  <w:style w:type="numbering" w:customStyle="1" w:styleId="Headinglist">
    <w:name w:val="Heading list"/>
    <w:uiPriority w:val="99"/>
    <w:rsid w:val="00091176"/>
    <w:pPr>
      <w:numPr>
        <w:numId w:val="10"/>
      </w:numPr>
    </w:pPr>
  </w:style>
  <w:style w:type="paragraph" w:customStyle="1" w:styleId="Normalsmall">
    <w:name w:val="Normal small"/>
    <w:qFormat/>
    <w:rsid w:val="00091176"/>
    <w:pPr>
      <w:spacing w:after="120"/>
    </w:pPr>
    <w:rPr>
      <w:rFonts w:ascii="Cambria" w:hAnsi="Cambria"/>
      <w:sz w:val="18"/>
      <w:szCs w:val="18"/>
    </w:rPr>
  </w:style>
  <w:style w:type="paragraph" w:styleId="ListBullet3">
    <w:name w:val="List Bullet 3"/>
    <w:basedOn w:val="Normal"/>
    <w:uiPriority w:val="99"/>
    <w:rsid w:val="00091176"/>
    <w:pPr>
      <w:numPr>
        <w:ilvl w:val="2"/>
        <w:numId w:val="8"/>
      </w:numPr>
      <w:spacing w:after="120"/>
      <w:contextualSpacing/>
    </w:pPr>
    <w:rPr>
      <w:rFonts w:ascii="Cambria" w:hAnsi="Cambria"/>
      <w:sz w:val="22"/>
      <w:szCs w:val="22"/>
    </w:rPr>
  </w:style>
  <w:style w:type="table" w:customStyle="1" w:styleId="ABARESTableleftrightalign">
    <w:name w:val="ABARES Table (left/right align)"/>
    <w:basedOn w:val="TableNormal"/>
    <w:uiPriority w:val="99"/>
    <w:rsid w:val="00091176"/>
    <w:pPr>
      <w:spacing w:before="60" w:after="60" w:line="240" w:lineRule="auto"/>
      <w:jc w:val="right"/>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rsid w:val="00091176"/>
    <w:pPr>
      <w:spacing w:before="60" w:after="60" w:line="240" w:lineRule="auto"/>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091176"/>
    <w:pPr>
      <w:numPr>
        <w:numId w:val="11"/>
      </w:numPr>
      <w:spacing w:before="60" w:after="60" w:line="240" w:lineRule="auto"/>
      <w:ind w:left="403"/>
      <w:contextualSpacing/>
    </w:pPr>
    <w:rPr>
      <w:rFonts w:ascii="Cambria" w:eastAsia="Calibri" w:hAnsi="Cambria" w:cs="Times New Roman"/>
      <w:color w:val="000000" w:themeColor="text1"/>
      <w:sz w:val="18"/>
    </w:rPr>
  </w:style>
  <w:style w:type="character" w:styleId="IntenseEmphasis">
    <w:name w:val="Intense Emphasis"/>
    <w:basedOn w:val="DefaultParagraphFont"/>
    <w:uiPriority w:val="21"/>
    <w:qFormat/>
    <w:rsid w:val="00091176"/>
    <w:rPr>
      <w:i/>
      <w:iCs/>
      <w:color w:val="4F81BD" w:themeColor="accent1"/>
    </w:rPr>
  </w:style>
  <w:style w:type="paragraph" w:customStyle="1" w:styleId="TableBullet2">
    <w:name w:val="Table Bullet 2"/>
    <w:basedOn w:val="TableBullet1"/>
    <w:qFormat/>
    <w:rsid w:val="00091176"/>
    <w:pPr>
      <w:numPr>
        <w:numId w:val="14"/>
      </w:numPr>
      <w:tabs>
        <w:tab w:val="num" w:pos="284"/>
      </w:tabs>
      <w:ind w:left="568" w:hanging="284"/>
    </w:pPr>
  </w:style>
  <w:style w:type="numbering" w:customStyle="1" w:styleId="TableBulletlist">
    <w:name w:val="Table Bullet list"/>
    <w:uiPriority w:val="99"/>
    <w:rsid w:val="00091176"/>
    <w:pPr>
      <w:numPr>
        <w:numId w:val="13"/>
      </w:numPr>
    </w:pPr>
  </w:style>
  <w:style w:type="paragraph" w:styleId="Date">
    <w:name w:val="Date"/>
    <w:basedOn w:val="Normal"/>
    <w:next w:val="Normal"/>
    <w:link w:val="DateChar"/>
    <w:uiPriority w:val="99"/>
    <w:unhideWhenUsed/>
    <w:rsid w:val="00091176"/>
    <w:pPr>
      <w:jc w:val="right"/>
    </w:pPr>
    <w:rPr>
      <w:rFonts w:ascii="Cambria" w:hAnsi="Cambria"/>
      <w:sz w:val="22"/>
      <w:szCs w:val="22"/>
    </w:rPr>
  </w:style>
  <w:style w:type="character" w:customStyle="1" w:styleId="DateChar">
    <w:name w:val="Date Char"/>
    <w:basedOn w:val="DefaultParagraphFont"/>
    <w:link w:val="Date"/>
    <w:uiPriority w:val="99"/>
    <w:rsid w:val="00091176"/>
    <w:rPr>
      <w:rFonts w:ascii="Cambria" w:hAnsi="Cambria"/>
    </w:rPr>
  </w:style>
  <w:style w:type="character" w:customStyle="1" w:styleId="UnresolvedMention1">
    <w:name w:val="Unresolved Mention1"/>
    <w:basedOn w:val="DefaultParagraphFont"/>
    <w:uiPriority w:val="99"/>
    <w:semiHidden/>
    <w:unhideWhenUsed/>
    <w:rsid w:val="00091176"/>
    <w:rPr>
      <w:color w:val="605E5C"/>
      <w:shd w:val="clear" w:color="auto" w:fill="E1DFDD"/>
    </w:rPr>
  </w:style>
  <w:style w:type="paragraph" w:customStyle="1" w:styleId="Instructiontext">
    <w:name w:val="Instruction text"/>
    <w:basedOn w:val="Normal"/>
    <w:next w:val="Normal"/>
    <w:qFormat/>
    <w:rsid w:val="00091176"/>
    <w:rPr>
      <w:rFonts w:ascii="Cambria" w:hAnsi="Cambria"/>
      <w:color w:val="1F497D" w:themeColor="text2"/>
      <w:sz w:val="22"/>
      <w:szCs w:val="22"/>
      <w:shd w:val="clear" w:color="auto" w:fill="DBE5F1" w:themeFill="accent1" w:themeFillTint="33"/>
    </w:rPr>
  </w:style>
  <w:style w:type="character" w:customStyle="1" w:styleId="UnresolvedMention2">
    <w:name w:val="Unresolved Mention2"/>
    <w:basedOn w:val="DefaultParagraphFont"/>
    <w:uiPriority w:val="99"/>
    <w:semiHidden/>
    <w:unhideWhenUsed/>
    <w:rsid w:val="00091176"/>
    <w:rPr>
      <w:color w:val="605E5C"/>
      <w:shd w:val="clear" w:color="auto" w:fill="E1DFDD"/>
    </w:rPr>
  </w:style>
  <w:style w:type="paragraph" w:customStyle="1" w:styleId="Tabletextinstruction">
    <w:name w:val="Table text instruction"/>
    <w:basedOn w:val="TableText"/>
    <w:qFormat/>
    <w:rsid w:val="00091176"/>
    <w:pPr>
      <w:shd w:val="clear" w:color="auto" w:fill="D9D9D9" w:themeFill="background1" w:themeFillShade="D9"/>
    </w:pPr>
  </w:style>
  <w:style w:type="character" w:customStyle="1" w:styleId="UnresolvedMention3">
    <w:name w:val="Unresolved Mention3"/>
    <w:basedOn w:val="DefaultParagraphFont"/>
    <w:uiPriority w:val="99"/>
    <w:semiHidden/>
    <w:unhideWhenUsed/>
    <w:rsid w:val="00091176"/>
    <w:rPr>
      <w:color w:val="605E5C"/>
      <w:shd w:val="clear" w:color="auto" w:fill="E1DFDD"/>
    </w:rPr>
  </w:style>
  <w:style w:type="paragraph" w:customStyle="1" w:styleId="Consultationtext">
    <w:name w:val="Consultation text"/>
    <w:basedOn w:val="Normal"/>
    <w:qFormat/>
    <w:rsid w:val="00091176"/>
    <w:rPr>
      <w:rFonts w:ascii="Cambria" w:hAnsi="Cambria"/>
      <w:color w:val="FF0000"/>
      <w:sz w:val="22"/>
      <w:szCs w:val="22"/>
    </w:rPr>
  </w:style>
  <w:style w:type="character" w:customStyle="1" w:styleId="TableTextChar">
    <w:name w:val="Table Text Char"/>
    <w:basedOn w:val="DefaultParagraphFont"/>
    <w:link w:val="TableText"/>
    <w:uiPriority w:val="13"/>
    <w:rsid w:val="00091176"/>
    <w:rPr>
      <w:rFonts w:ascii="Cambria" w:hAnsi="Cambria"/>
      <w:sz w:val="18"/>
    </w:rPr>
  </w:style>
  <w:style w:type="paragraph" w:customStyle="1" w:styleId="TSSC">
    <w:name w:val="TSSC"/>
    <w:basedOn w:val="Normal"/>
    <w:qFormat/>
    <w:rsid w:val="00091176"/>
    <w:pPr>
      <w:numPr>
        <w:numId w:val="28"/>
      </w:numPr>
      <w:tabs>
        <w:tab w:val="left" w:pos="567"/>
      </w:tabs>
      <w:spacing w:after="240" w:line="240" w:lineRule="auto"/>
      <w:ind w:left="567" w:hanging="567"/>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0911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347">
      <w:bodyDiv w:val="1"/>
      <w:marLeft w:val="0"/>
      <w:marRight w:val="0"/>
      <w:marTop w:val="0"/>
      <w:marBottom w:val="0"/>
      <w:divBdr>
        <w:top w:val="none" w:sz="0" w:space="0" w:color="auto"/>
        <w:left w:val="none" w:sz="0" w:space="0" w:color="auto"/>
        <w:bottom w:val="none" w:sz="0" w:space="0" w:color="auto"/>
        <w:right w:val="none" w:sz="0" w:space="0" w:color="auto"/>
      </w:divBdr>
    </w:div>
    <w:div w:id="8214497">
      <w:bodyDiv w:val="1"/>
      <w:marLeft w:val="0"/>
      <w:marRight w:val="0"/>
      <w:marTop w:val="0"/>
      <w:marBottom w:val="0"/>
      <w:divBdr>
        <w:top w:val="none" w:sz="0" w:space="0" w:color="auto"/>
        <w:left w:val="none" w:sz="0" w:space="0" w:color="auto"/>
        <w:bottom w:val="none" w:sz="0" w:space="0" w:color="auto"/>
        <w:right w:val="none" w:sz="0" w:space="0" w:color="auto"/>
      </w:divBdr>
    </w:div>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138695817">
      <w:bodyDiv w:val="1"/>
      <w:marLeft w:val="0"/>
      <w:marRight w:val="0"/>
      <w:marTop w:val="0"/>
      <w:marBottom w:val="0"/>
      <w:divBdr>
        <w:top w:val="none" w:sz="0" w:space="0" w:color="auto"/>
        <w:left w:val="none" w:sz="0" w:space="0" w:color="auto"/>
        <w:bottom w:val="none" w:sz="0" w:space="0" w:color="auto"/>
        <w:right w:val="none" w:sz="0" w:space="0" w:color="auto"/>
      </w:divBdr>
    </w:div>
    <w:div w:id="139661611">
      <w:bodyDiv w:val="1"/>
      <w:marLeft w:val="0"/>
      <w:marRight w:val="0"/>
      <w:marTop w:val="0"/>
      <w:marBottom w:val="0"/>
      <w:divBdr>
        <w:top w:val="none" w:sz="0" w:space="0" w:color="auto"/>
        <w:left w:val="none" w:sz="0" w:space="0" w:color="auto"/>
        <w:bottom w:val="none" w:sz="0" w:space="0" w:color="auto"/>
        <w:right w:val="none" w:sz="0" w:space="0" w:color="auto"/>
      </w:divBdr>
    </w:div>
    <w:div w:id="158271081">
      <w:bodyDiv w:val="1"/>
      <w:marLeft w:val="0"/>
      <w:marRight w:val="0"/>
      <w:marTop w:val="0"/>
      <w:marBottom w:val="0"/>
      <w:divBdr>
        <w:top w:val="none" w:sz="0" w:space="0" w:color="auto"/>
        <w:left w:val="none" w:sz="0" w:space="0" w:color="auto"/>
        <w:bottom w:val="none" w:sz="0" w:space="0" w:color="auto"/>
        <w:right w:val="none" w:sz="0" w:space="0" w:color="auto"/>
      </w:divBdr>
    </w:div>
    <w:div w:id="274798222">
      <w:bodyDiv w:val="1"/>
      <w:marLeft w:val="0"/>
      <w:marRight w:val="0"/>
      <w:marTop w:val="0"/>
      <w:marBottom w:val="0"/>
      <w:divBdr>
        <w:top w:val="none" w:sz="0" w:space="0" w:color="auto"/>
        <w:left w:val="none" w:sz="0" w:space="0" w:color="auto"/>
        <w:bottom w:val="none" w:sz="0" w:space="0" w:color="auto"/>
        <w:right w:val="none" w:sz="0" w:space="0" w:color="auto"/>
      </w:divBdr>
    </w:div>
    <w:div w:id="465005095">
      <w:bodyDiv w:val="1"/>
      <w:marLeft w:val="0"/>
      <w:marRight w:val="0"/>
      <w:marTop w:val="0"/>
      <w:marBottom w:val="0"/>
      <w:divBdr>
        <w:top w:val="none" w:sz="0" w:space="0" w:color="auto"/>
        <w:left w:val="none" w:sz="0" w:space="0" w:color="auto"/>
        <w:bottom w:val="none" w:sz="0" w:space="0" w:color="auto"/>
        <w:right w:val="none" w:sz="0" w:space="0" w:color="auto"/>
      </w:divBdr>
    </w:div>
    <w:div w:id="575210799">
      <w:bodyDiv w:val="1"/>
      <w:marLeft w:val="0"/>
      <w:marRight w:val="0"/>
      <w:marTop w:val="0"/>
      <w:marBottom w:val="0"/>
      <w:divBdr>
        <w:top w:val="none" w:sz="0" w:space="0" w:color="auto"/>
        <w:left w:val="none" w:sz="0" w:space="0" w:color="auto"/>
        <w:bottom w:val="none" w:sz="0" w:space="0" w:color="auto"/>
        <w:right w:val="none" w:sz="0" w:space="0" w:color="auto"/>
      </w:divBdr>
    </w:div>
    <w:div w:id="592861998">
      <w:bodyDiv w:val="1"/>
      <w:marLeft w:val="0"/>
      <w:marRight w:val="0"/>
      <w:marTop w:val="0"/>
      <w:marBottom w:val="0"/>
      <w:divBdr>
        <w:top w:val="none" w:sz="0" w:space="0" w:color="auto"/>
        <w:left w:val="none" w:sz="0" w:space="0" w:color="auto"/>
        <w:bottom w:val="none" w:sz="0" w:space="0" w:color="auto"/>
        <w:right w:val="none" w:sz="0" w:space="0" w:color="auto"/>
      </w:divBdr>
    </w:div>
    <w:div w:id="595400885">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641353323">
      <w:bodyDiv w:val="1"/>
      <w:marLeft w:val="0"/>
      <w:marRight w:val="0"/>
      <w:marTop w:val="0"/>
      <w:marBottom w:val="0"/>
      <w:divBdr>
        <w:top w:val="none" w:sz="0" w:space="0" w:color="auto"/>
        <w:left w:val="none" w:sz="0" w:space="0" w:color="auto"/>
        <w:bottom w:val="none" w:sz="0" w:space="0" w:color="auto"/>
        <w:right w:val="none" w:sz="0" w:space="0" w:color="auto"/>
      </w:divBdr>
    </w:div>
    <w:div w:id="646128642">
      <w:bodyDiv w:val="1"/>
      <w:marLeft w:val="0"/>
      <w:marRight w:val="0"/>
      <w:marTop w:val="0"/>
      <w:marBottom w:val="0"/>
      <w:divBdr>
        <w:top w:val="none" w:sz="0" w:space="0" w:color="auto"/>
        <w:left w:val="none" w:sz="0" w:space="0" w:color="auto"/>
        <w:bottom w:val="none" w:sz="0" w:space="0" w:color="auto"/>
        <w:right w:val="none" w:sz="0" w:space="0" w:color="auto"/>
      </w:divBdr>
    </w:div>
    <w:div w:id="682360834">
      <w:bodyDiv w:val="1"/>
      <w:marLeft w:val="0"/>
      <w:marRight w:val="0"/>
      <w:marTop w:val="0"/>
      <w:marBottom w:val="0"/>
      <w:divBdr>
        <w:top w:val="none" w:sz="0" w:space="0" w:color="auto"/>
        <w:left w:val="none" w:sz="0" w:space="0" w:color="auto"/>
        <w:bottom w:val="none" w:sz="0" w:space="0" w:color="auto"/>
        <w:right w:val="none" w:sz="0" w:space="0" w:color="auto"/>
      </w:divBdr>
    </w:div>
    <w:div w:id="728648013">
      <w:bodyDiv w:val="1"/>
      <w:marLeft w:val="0"/>
      <w:marRight w:val="0"/>
      <w:marTop w:val="0"/>
      <w:marBottom w:val="0"/>
      <w:divBdr>
        <w:top w:val="none" w:sz="0" w:space="0" w:color="auto"/>
        <w:left w:val="none" w:sz="0" w:space="0" w:color="auto"/>
        <w:bottom w:val="none" w:sz="0" w:space="0" w:color="auto"/>
        <w:right w:val="none" w:sz="0" w:space="0" w:color="auto"/>
      </w:divBdr>
    </w:div>
    <w:div w:id="729814470">
      <w:bodyDiv w:val="1"/>
      <w:marLeft w:val="0"/>
      <w:marRight w:val="0"/>
      <w:marTop w:val="0"/>
      <w:marBottom w:val="0"/>
      <w:divBdr>
        <w:top w:val="none" w:sz="0" w:space="0" w:color="auto"/>
        <w:left w:val="none" w:sz="0" w:space="0" w:color="auto"/>
        <w:bottom w:val="none" w:sz="0" w:space="0" w:color="auto"/>
        <w:right w:val="none" w:sz="0" w:space="0" w:color="auto"/>
      </w:divBdr>
    </w:div>
    <w:div w:id="758209331">
      <w:bodyDiv w:val="1"/>
      <w:marLeft w:val="0"/>
      <w:marRight w:val="0"/>
      <w:marTop w:val="0"/>
      <w:marBottom w:val="0"/>
      <w:divBdr>
        <w:top w:val="none" w:sz="0" w:space="0" w:color="auto"/>
        <w:left w:val="none" w:sz="0" w:space="0" w:color="auto"/>
        <w:bottom w:val="none" w:sz="0" w:space="0" w:color="auto"/>
        <w:right w:val="none" w:sz="0" w:space="0" w:color="auto"/>
      </w:divBdr>
    </w:div>
    <w:div w:id="895973229">
      <w:bodyDiv w:val="1"/>
      <w:marLeft w:val="0"/>
      <w:marRight w:val="0"/>
      <w:marTop w:val="0"/>
      <w:marBottom w:val="0"/>
      <w:divBdr>
        <w:top w:val="none" w:sz="0" w:space="0" w:color="auto"/>
        <w:left w:val="none" w:sz="0" w:space="0" w:color="auto"/>
        <w:bottom w:val="none" w:sz="0" w:space="0" w:color="auto"/>
        <w:right w:val="none" w:sz="0" w:space="0" w:color="auto"/>
      </w:divBdr>
    </w:div>
    <w:div w:id="977420433">
      <w:bodyDiv w:val="1"/>
      <w:marLeft w:val="0"/>
      <w:marRight w:val="0"/>
      <w:marTop w:val="0"/>
      <w:marBottom w:val="0"/>
      <w:divBdr>
        <w:top w:val="none" w:sz="0" w:space="0" w:color="auto"/>
        <w:left w:val="none" w:sz="0" w:space="0" w:color="auto"/>
        <w:bottom w:val="none" w:sz="0" w:space="0" w:color="auto"/>
        <w:right w:val="none" w:sz="0" w:space="0" w:color="auto"/>
      </w:divBdr>
    </w:div>
    <w:div w:id="1011685471">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90018">
      <w:bodyDiv w:val="1"/>
      <w:marLeft w:val="0"/>
      <w:marRight w:val="0"/>
      <w:marTop w:val="0"/>
      <w:marBottom w:val="0"/>
      <w:divBdr>
        <w:top w:val="none" w:sz="0" w:space="0" w:color="auto"/>
        <w:left w:val="none" w:sz="0" w:space="0" w:color="auto"/>
        <w:bottom w:val="none" w:sz="0" w:space="0" w:color="auto"/>
        <w:right w:val="none" w:sz="0" w:space="0" w:color="auto"/>
      </w:divBdr>
    </w:div>
    <w:div w:id="1175916992">
      <w:bodyDiv w:val="1"/>
      <w:marLeft w:val="0"/>
      <w:marRight w:val="0"/>
      <w:marTop w:val="0"/>
      <w:marBottom w:val="0"/>
      <w:divBdr>
        <w:top w:val="none" w:sz="0" w:space="0" w:color="auto"/>
        <w:left w:val="none" w:sz="0" w:space="0" w:color="auto"/>
        <w:bottom w:val="none" w:sz="0" w:space="0" w:color="auto"/>
        <w:right w:val="none" w:sz="0" w:space="0" w:color="auto"/>
      </w:divBdr>
    </w:div>
    <w:div w:id="1274360421">
      <w:bodyDiv w:val="1"/>
      <w:marLeft w:val="0"/>
      <w:marRight w:val="0"/>
      <w:marTop w:val="0"/>
      <w:marBottom w:val="0"/>
      <w:divBdr>
        <w:top w:val="none" w:sz="0" w:space="0" w:color="auto"/>
        <w:left w:val="none" w:sz="0" w:space="0" w:color="auto"/>
        <w:bottom w:val="none" w:sz="0" w:space="0" w:color="auto"/>
        <w:right w:val="none" w:sz="0" w:space="0" w:color="auto"/>
      </w:divBdr>
    </w:div>
    <w:div w:id="1294209729">
      <w:bodyDiv w:val="1"/>
      <w:marLeft w:val="0"/>
      <w:marRight w:val="0"/>
      <w:marTop w:val="0"/>
      <w:marBottom w:val="0"/>
      <w:divBdr>
        <w:top w:val="none" w:sz="0" w:space="0" w:color="auto"/>
        <w:left w:val="none" w:sz="0" w:space="0" w:color="auto"/>
        <w:bottom w:val="none" w:sz="0" w:space="0" w:color="auto"/>
        <w:right w:val="none" w:sz="0" w:space="0" w:color="auto"/>
      </w:divBdr>
    </w:div>
    <w:div w:id="1294553174">
      <w:bodyDiv w:val="1"/>
      <w:marLeft w:val="0"/>
      <w:marRight w:val="0"/>
      <w:marTop w:val="0"/>
      <w:marBottom w:val="0"/>
      <w:divBdr>
        <w:top w:val="none" w:sz="0" w:space="0" w:color="auto"/>
        <w:left w:val="none" w:sz="0" w:space="0" w:color="auto"/>
        <w:bottom w:val="none" w:sz="0" w:space="0" w:color="auto"/>
        <w:right w:val="none" w:sz="0" w:space="0" w:color="auto"/>
      </w:divBdr>
    </w:div>
    <w:div w:id="1361471298">
      <w:bodyDiv w:val="1"/>
      <w:marLeft w:val="0"/>
      <w:marRight w:val="0"/>
      <w:marTop w:val="0"/>
      <w:marBottom w:val="0"/>
      <w:divBdr>
        <w:top w:val="none" w:sz="0" w:space="0" w:color="auto"/>
        <w:left w:val="none" w:sz="0" w:space="0" w:color="auto"/>
        <w:bottom w:val="none" w:sz="0" w:space="0" w:color="auto"/>
        <w:right w:val="none" w:sz="0" w:space="0" w:color="auto"/>
      </w:divBdr>
    </w:div>
    <w:div w:id="1411194598">
      <w:bodyDiv w:val="1"/>
      <w:marLeft w:val="0"/>
      <w:marRight w:val="0"/>
      <w:marTop w:val="0"/>
      <w:marBottom w:val="0"/>
      <w:divBdr>
        <w:top w:val="none" w:sz="0" w:space="0" w:color="auto"/>
        <w:left w:val="none" w:sz="0" w:space="0" w:color="auto"/>
        <w:bottom w:val="none" w:sz="0" w:space="0" w:color="auto"/>
        <w:right w:val="none" w:sz="0" w:space="0" w:color="auto"/>
      </w:divBdr>
    </w:div>
    <w:div w:id="1443458197">
      <w:bodyDiv w:val="1"/>
      <w:marLeft w:val="0"/>
      <w:marRight w:val="0"/>
      <w:marTop w:val="0"/>
      <w:marBottom w:val="0"/>
      <w:divBdr>
        <w:top w:val="none" w:sz="0" w:space="0" w:color="auto"/>
        <w:left w:val="none" w:sz="0" w:space="0" w:color="auto"/>
        <w:bottom w:val="none" w:sz="0" w:space="0" w:color="auto"/>
        <w:right w:val="none" w:sz="0" w:space="0" w:color="auto"/>
      </w:divBdr>
    </w:div>
    <w:div w:id="1449162697">
      <w:bodyDiv w:val="1"/>
      <w:marLeft w:val="0"/>
      <w:marRight w:val="0"/>
      <w:marTop w:val="0"/>
      <w:marBottom w:val="0"/>
      <w:divBdr>
        <w:top w:val="none" w:sz="0" w:space="0" w:color="auto"/>
        <w:left w:val="none" w:sz="0" w:space="0" w:color="auto"/>
        <w:bottom w:val="none" w:sz="0" w:space="0" w:color="auto"/>
        <w:right w:val="none" w:sz="0" w:space="0" w:color="auto"/>
      </w:divBdr>
    </w:div>
    <w:div w:id="1449545164">
      <w:bodyDiv w:val="1"/>
      <w:marLeft w:val="0"/>
      <w:marRight w:val="0"/>
      <w:marTop w:val="0"/>
      <w:marBottom w:val="0"/>
      <w:divBdr>
        <w:top w:val="none" w:sz="0" w:space="0" w:color="auto"/>
        <w:left w:val="none" w:sz="0" w:space="0" w:color="auto"/>
        <w:bottom w:val="none" w:sz="0" w:space="0" w:color="auto"/>
        <w:right w:val="none" w:sz="0" w:space="0" w:color="auto"/>
      </w:divBdr>
    </w:div>
    <w:div w:id="1468205839">
      <w:bodyDiv w:val="1"/>
      <w:marLeft w:val="0"/>
      <w:marRight w:val="0"/>
      <w:marTop w:val="0"/>
      <w:marBottom w:val="0"/>
      <w:divBdr>
        <w:top w:val="none" w:sz="0" w:space="0" w:color="auto"/>
        <w:left w:val="none" w:sz="0" w:space="0" w:color="auto"/>
        <w:bottom w:val="none" w:sz="0" w:space="0" w:color="auto"/>
        <w:right w:val="none" w:sz="0" w:space="0" w:color="auto"/>
      </w:divBdr>
    </w:div>
    <w:div w:id="1472675599">
      <w:bodyDiv w:val="1"/>
      <w:marLeft w:val="0"/>
      <w:marRight w:val="0"/>
      <w:marTop w:val="0"/>
      <w:marBottom w:val="0"/>
      <w:divBdr>
        <w:top w:val="none" w:sz="0" w:space="0" w:color="auto"/>
        <w:left w:val="none" w:sz="0" w:space="0" w:color="auto"/>
        <w:bottom w:val="none" w:sz="0" w:space="0" w:color="auto"/>
        <w:right w:val="none" w:sz="0" w:space="0" w:color="auto"/>
      </w:divBdr>
    </w:div>
    <w:div w:id="1528331815">
      <w:bodyDiv w:val="1"/>
      <w:marLeft w:val="0"/>
      <w:marRight w:val="0"/>
      <w:marTop w:val="0"/>
      <w:marBottom w:val="0"/>
      <w:divBdr>
        <w:top w:val="none" w:sz="0" w:space="0" w:color="auto"/>
        <w:left w:val="none" w:sz="0" w:space="0" w:color="auto"/>
        <w:bottom w:val="none" w:sz="0" w:space="0" w:color="auto"/>
        <w:right w:val="none" w:sz="0" w:space="0" w:color="auto"/>
      </w:divBdr>
      <w:divsChild>
        <w:div w:id="1536235724">
          <w:marLeft w:val="0"/>
          <w:marRight w:val="0"/>
          <w:marTop w:val="0"/>
          <w:marBottom w:val="0"/>
          <w:divBdr>
            <w:top w:val="none" w:sz="0" w:space="0" w:color="auto"/>
            <w:left w:val="none" w:sz="0" w:space="0" w:color="auto"/>
            <w:bottom w:val="none" w:sz="0" w:space="0" w:color="auto"/>
            <w:right w:val="none" w:sz="0" w:space="0" w:color="auto"/>
          </w:divBdr>
          <w:divsChild>
            <w:div w:id="1825927518">
              <w:marLeft w:val="0"/>
              <w:marRight w:val="0"/>
              <w:marTop w:val="0"/>
              <w:marBottom w:val="0"/>
              <w:divBdr>
                <w:top w:val="none" w:sz="0" w:space="0" w:color="auto"/>
                <w:left w:val="none" w:sz="0" w:space="0" w:color="auto"/>
                <w:bottom w:val="none" w:sz="0" w:space="0" w:color="auto"/>
                <w:right w:val="none" w:sz="0" w:space="0" w:color="auto"/>
              </w:divBdr>
              <w:divsChild>
                <w:div w:id="20219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3961">
      <w:bodyDiv w:val="1"/>
      <w:marLeft w:val="0"/>
      <w:marRight w:val="0"/>
      <w:marTop w:val="0"/>
      <w:marBottom w:val="0"/>
      <w:divBdr>
        <w:top w:val="none" w:sz="0" w:space="0" w:color="auto"/>
        <w:left w:val="none" w:sz="0" w:space="0" w:color="auto"/>
        <w:bottom w:val="none" w:sz="0" w:space="0" w:color="auto"/>
        <w:right w:val="none" w:sz="0" w:space="0" w:color="auto"/>
      </w:divBdr>
    </w:div>
    <w:div w:id="1585916183">
      <w:bodyDiv w:val="1"/>
      <w:marLeft w:val="0"/>
      <w:marRight w:val="0"/>
      <w:marTop w:val="0"/>
      <w:marBottom w:val="0"/>
      <w:divBdr>
        <w:top w:val="none" w:sz="0" w:space="0" w:color="auto"/>
        <w:left w:val="none" w:sz="0" w:space="0" w:color="auto"/>
        <w:bottom w:val="none" w:sz="0" w:space="0" w:color="auto"/>
        <w:right w:val="none" w:sz="0" w:space="0" w:color="auto"/>
      </w:divBdr>
      <w:divsChild>
        <w:div w:id="1150824470">
          <w:marLeft w:val="0"/>
          <w:marRight w:val="0"/>
          <w:marTop w:val="0"/>
          <w:marBottom w:val="0"/>
          <w:divBdr>
            <w:top w:val="none" w:sz="0" w:space="0" w:color="auto"/>
            <w:left w:val="none" w:sz="0" w:space="0" w:color="auto"/>
            <w:bottom w:val="none" w:sz="0" w:space="0" w:color="auto"/>
            <w:right w:val="none" w:sz="0" w:space="0" w:color="auto"/>
          </w:divBdr>
          <w:divsChild>
            <w:div w:id="1372684282">
              <w:marLeft w:val="0"/>
              <w:marRight w:val="0"/>
              <w:marTop w:val="0"/>
              <w:marBottom w:val="0"/>
              <w:divBdr>
                <w:top w:val="none" w:sz="0" w:space="0" w:color="auto"/>
                <w:left w:val="none" w:sz="0" w:space="0" w:color="auto"/>
                <w:bottom w:val="none" w:sz="0" w:space="0" w:color="auto"/>
                <w:right w:val="none" w:sz="0" w:space="0" w:color="auto"/>
              </w:divBdr>
              <w:divsChild>
                <w:div w:id="16404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1535">
      <w:bodyDiv w:val="1"/>
      <w:marLeft w:val="0"/>
      <w:marRight w:val="0"/>
      <w:marTop w:val="0"/>
      <w:marBottom w:val="0"/>
      <w:divBdr>
        <w:top w:val="none" w:sz="0" w:space="0" w:color="auto"/>
        <w:left w:val="none" w:sz="0" w:space="0" w:color="auto"/>
        <w:bottom w:val="none" w:sz="0" w:space="0" w:color="auto"/>
        <w:right w:val="none" w:sz="0" w:space="0" w:color="auto"/>
      </w:divBdr>
    </w:div>
    <w:div w:id="1592423390">
      <w:bodyDiv w:val="1"/>
      <w:marLeft w:val="0"/>
      <w:marRight w:val="0"/>
      <w:marTop w:val="0"/>
      <w:marBottom w:val="0"/>
      <w:divBdr>
        <w:top w:val="none" w:sz="0" w:space="0" w:color="auto"/>
        <w:left w:val="none" w:sz="0" w:space="0" w:color="auto"/>
        <w:bottom w:val="none" w:sz="0" w:space="0" w:color="auto"/>
        <w:right w:val="none" w:sz="0" w:space="0" w:color="auto"/>
      </w:divBdr>
    </w:div>
    <w:div w:id="1638140279">
      <w:bodyDiv w:val="1"/>
      <w:marLeft w:val="0"/>
      <w:marRight w:val="0"/>
      <w:marTop w:val="0"/>
      <w:marBottom w:val="0"/>
      <w:divBdr>
        <w:top w:val="none" w:sz="0" w:space="0" w:color="auto"/>
        <w:left w:val="none" w:sz="0" w:space="0" w:color="auto"/>
        <w:bottom w:val="none" w:sz="0" w:space="0" w:color="auto"/>
        <w:right w:val="none" w:sz="0" w:space="0" w:color="auto"/>
      </w:divBdr>
    </w:div>
    <w:div w:id="1655184743">
      <w:bodyDiv w:val="1"/>
      <w:marLeft w:val="0"/>
      <w:marRight w:val="0"/>
      <w:marTop w:val="0"/>
      <w:marBottom w:val="0"/>
      <w:divBdr>
        <w:top w:val="none" w:sz="0" w:space="0" w:color="auto"/>
        <w:left w:val="none" w:sz="0" w:space="0" w:color="auto"/>
        <w:bottom w:val="none" w:sz="0" w:space="0" w:color="auto"/>
        <w:right w:val="none" w:sz="0" w:space="0" w:color="auto"/>
      </w:divBdr>
    </w:div>
    <w:div w:id="1820490573">
      <w:bodyDiv w:val="1"/>
      <w:marLeft w:val="0"/>
      <w:marRight w:val="0"/>
      <w:marTop w:val="0"/>
      <w:marBottom w:val="0"/>
      <w:divBdr>
        <w:top w:val="none" w:sz="0" w:space="0" w:color="auto"/>
        <w:left w:val="none" w:sz="0" w:space="0" w:color="auto"/>
        <w:bottom w:val="none" w:sz="0" w:space="0" w:color="auto"/>
        <w:right w:val="none" w:sz="0" w:space="0" w:color="auto"/>
      </w:divBdr>
    </w:div>
    <w:div w:id="1839029800">
      <w:bodyDiv w:val="1"/>
      <w:marLeft w:val="0"/>
      <w:marRight w:val="0"/>
      <w:marTop w:val="0"/>
      <w:marBottom w:val="0"/>
      <w:divBdr>
        <w:top w:val="none" w:sz="0" w:space="0" w:color="auto"/>
        <w:left w:val="none" w:sz="0" w:space="0" w:color="auto"/>
        <w:bottom w:val="none" w:sz="0" w:space="0" w:color="auto"/>
        <w:right w:val="none" w:sz="0" w:space="0" w:color="auto"/>
      </w:divBdr>
    </w:div>
    <w:div w:id="1854881708">
      <w:bodyDiv w:val="1"/>
      <w:marLeft w:val="0"/>
      <w:marRight w:val="0"/>
      <w:marTop w:val="0"/>
      <w:marBottom w:val="0"/>
      <w:divBdr>
        <w:top w:val="none" w:sz="0" w:space="0" w:color="auto"/>
        <w:left w:val="none" w:sz="0" w:space="0" w:color="auto"/>
        <w:bottom w:val="none" w:sz="0" w:space="0" w:color="auto"/>
        <w:right w:val="none" w:sz="0" w:space="0" w:color="auto"/>
      </w:divBdr>
    </w:div>
    <w:div w:id="1857037279">
      <w:bodyDiv w:val="1"/>
      <w:marLeft w:val="0"/>
      <w:marRight w:val="0"/>
      <w:marTop w:val="0"/>
      <w:marBottom w:val="0"/>
      <w:divBdr>
        <w:top w:val="none" w:sz="0" w:space="0" w:color="auto"/>
        <w:left w:val="none" w:sz="0" w:space="0" w:color="auto"/>
        <w:bottom w:val="none" w:sz="0" w:space="0" w:color="auto"/>
        <w:right w:val="none" w:sz="0" w:space="0" w:color="auto"/>
      </w:divBdr>
    </w:div>
    <w:div w:id="1862890206">
      <w:bodyDiv w:val="1"/>
      <w:marLeft w:val="0"/>
      <w:marRight w:val="0"/>
      <w:marTop w:val="0"/>
      <w:marBottom w:val="0"/>
      <w:divBdr>
        <w:top w:val="none" w:sz="0" w:space="0" w:color="auto"/>
        <w:left w:val="none" w:sz="0" w:space="0" w:color="auto"/>
        <w:bottom w:val="none" w:sz="0" w:space="0" w:color="auto"/>
        <w:right w:val="none" w:sz="0" w:space="0" w:color="auto"/>
      </w:divBdr>
    </w:div>
    <w:div w:id="1901939948">
      <w:bodyDiv w:val="1"/>
      <w:marLeft w:val="0"/>
      <w:marRight w:val="0"/>
      <w:marTop w:val="0"/>
      <w:marBottom w:val="0"/>
      <w:divBdr>
        <w:top w:val="none" w:sz="0" w:space="0" w:color="auto"/>
        <w:left w:val="none" w:sz="0" w:space="0" w:color="auto"/>
        <w:bottom w:val="none" w:sz="0" w:space="0" w:color="auto"/>
        <w:right w:val="none" w:sz="0" w:space="0" w:color="auto"/>
      </w:divBdr>
    </w:div>
    <w:div w:id="1964457496">
      <w:bodyDiv w:val="1"/>
      <w:marLeft w:val="0"/>
      <w:marRight w:val="0"/>
      <w:marTop w:val="0"/>
      <w:marBottom w:val="0"/>
      <w:divBdr>
        <w:top w:val="none" w:sz="0" w:space="0" w:color="auto"/>
        <w:left w:val="none" w:sz="0" w:space="0" w:color="auto"/>
        <w:bottom w:val="none" w:sz="0" w:space="0" w:color="auto"/>
        <w:right w:val="none" w:sz="0" w:space="0" w:color="auto"/>
      </w:divBdr>
    </w:div>
    <w:div w:id="2022319466">
      <w:bodyDiv w:val="1"/>
      <w:marLeft w:val="0"/>
      <w:marRight w:val="0"/>
      <w:marTop w:val="0"/>
      <w:marBottom w:val="0"/>
      <w:divBdr>
        <w:top w:val="none" w:sz="0" w:space="0" w:color="auto"/>
        <w:left w:val="none" w:sz="0" w:space="0" w:color="auto"/>
        <w:bottom w:val="none" w:sz="0" w:space="0" w:color="auto"/>
        <w:right w:val="none" w:sz="0" w:space="0" w:color="auto"/>
      </w:divBdr>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 w:id="2066101308">
      <w:bodyDiv w:val="1"/>
      <w:marLeft w:val="0"/>
      <w:marRight w:val="0"/>
      <w:marTop w:val="0"/>
      <w:marBottom w:val="0"/>
      <w:divBdr>
        <w:top w:val="none" w:sz="0" w:space="0" w:color="auto"/>
        <w:left w:val="none" w:sz="0" w:space="0" w:color="auto"/>
        <w:bottom w:val="none" w:sz="0" w:space="0" w:color="auto"/>
        <w:right w:val="none" w:sz="0" w:space="0" w:color="auto"/>
      </w:divBdr>
    </w:div>
    <w:div w:id="21136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yperlink" Target="https://www.iucnredlist.org/resources/categories-and-criteria" TargetMode="External"/><Relationship Id="rId3" Type="http://schemas.openxmlformats.org/officeDocument/2006/relationships/customXml" Target="../customXml/item3.xml"/><Relationship Id="rId21" Type="http://schemas.openxmlformats.org/officeDocument/2006/relationships/hyperlink" Target="https://www.legislation.act.gov.au/ni/2017-650/"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nvironment.gov.au/system/files/pages/d72dfd1a-f0d8-4699-8d43-5d95bbb02428/files/tssc-guidelines-assessing-species-2018.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nvironment.gov.au/science/erin/databases-maps/snes" TargetMode="External"/><Relationship Id="rId29" Type="http://schemas.openxmlformats.org/officeDocument/2006/relationships/hyperlink" Target="https://www.awe.gov.au/sites/default/files/documents/ongoing-modernisation-conservation-planning-under-the-epbc-act-tssc.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vironment.gov.au/cgi-bin/sprat/public/publicspecies.pl?taxon_id=78474"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vironment.act.gov.au/nature-conservation" TargetMode="External"/><Relationship Id="rId28" Type="http://schemas.openxmlformats.org/officeDocument/2006/relationships/hyperlink" Target="http://www.environment.gov.au/biodiversity/threatened/cam"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mtedd.act.gov.au/open_government/inform/act_government_media_releases/corbell/2013/first-translocation-of-endangered-ginninderra-peppercress" TargetMode="External"/><Relationship Id="rId27" Type="http://schemas.openxmlformats.org/officeDocument/2006/relationships/hyperlink" Target="https://www.iucnredlist.org/resources/redlistguidelines" TargetMode="External"/><Relationship Id="rId30" Type="http://schemas.openxmlformats.org/officeDocument/2006/relationships/header" Target="header4.xml"/><Relationship Id="rId8" Type="http://schemas.openxmlformats.org/officeDocument/2006/relationships/settings" Target="settings.xml"/></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AD8F4BB2864BD2BDF490BBF1521FF3"/>
        <w:category>
          <w:name w:val="General"/>
          <w:gallery w:val="placeholder"/>
        </w:category>
        <w:types>
          <w:type w:val="bbPlcHdr"/>
        </w:types>
        <w:behaviors>
          <w:behavior w:val="content"/>
        </w:behaviors>
        <w:guid w:val="{C99BD765-5CC9-46FF-867E-8B64BBAC360C}"/>
      </w:docPartPr>
      <w:docPartBody>
        <w:p w:rsidR="009D547C" w:rsidRDefault="00CF6B0D" w:rsidP="00CF6B0D">
          <w:pPr>
            <w:pStyle w:val="40AD8F4BB2864BD2BDF490BBF1521FF3"/>
          </w:pPr>
          <w:r w:rsidRPr="00F20180">
            <w:rPr>
              <w:rStyle w:val="PlaceholderText"/>
              <w:highlight w:val="yellow"/>
            </w:rPr>
            <w:t>Choose an item.</w:t>
          </w:r>
        </w:p>
      </w:docPartBody>
    </w:docPart>
    <w:docPart>
      <w:docPartPr>
        <w:name w:val="CB6E453C8A8340F0A10DE8D5C069B0FF"/>
        <w:category>
          <w:name w:val="General"/>
          <w:gallery w:val="placeholder"/>
        </w:category>
        <w:types>
          <w:type w:val="bbPlcHdr"/>
        </w:types>
        <w:behaviors>
          <w:behavior w:val="content"/>
        </w:behaviors>
        <w:guid w:val="{1A985A6F-948D-4FA3-A1E9-039FF92B16D0}"/>
      </w:docPartPr>
      <w:docPartBody>
        <w:p w:rsidR="009D547C" w:rsidRDefault="00CF6B0D" w:rsidP="00CF6B0D">
          <w:pPr>
            <w:pStyle w:val="CB6E453C8A8340F0A10DE8D5C069B0FF"/>
          </w:pPr>
          <w:r w:rsidRPr="0045331C">
            <w:rPr>
              <w:rStyle w:val="PlaceholderText"/>
            </w:rPr>
            <w:t>Choose an item.</w:t>
          </w:r>
        </w:p>
      </w:docPartBody>
    </w:docPart>
    <w:docPart>
      <w:docPartPr>
        <w:name w:val="03237363DA484C1898C407C493A335B1"/>
        <w:category>
          <w:name w:val="General"/>
          <w:gallery w:val="placeholder"/>
        </w:category>
        <w:types>
          <w:type w:val="bbPlcHdr"/>
        </w:types>
        <w:behaviors>
          <w:behavior w:val="content"/>
        </w:behaviors>
        <w:guid w:val="{5E67740A-D732-463F-B50E-4AAE7DDACCDD}"/>
      </w:docPartPr>
      <w:docPartBody>
        <w:p w:rsidR="009D547C" w:rsidRDefault="00CF6B0D" w:rsidP="00CF6B0D">
          <w:pPr>
            <w:pStyle w:val="03237363DA484C1898C407C493A335B1"/>
          </w:pPr>
          <w:r w:rsidRPr="00F20180">
            <w:rPr>
              <w:rStyle w:val="PlaceholderText"/>
              <w:highlight w:val="yellow"/>
            </w:rPr>
            <w:t>Choose an item.</w:t>
          </w:r>
        </w:p>
      </w:docPartBody>
    </w:docPart>
    <w:docPart>
      <w:docPartPr>
        <w:name w:val="8CF04D099B794F92A4FA7B52472D5356"/>
        <w:category>
          <w:name w:val="General"/>
          <w:gallery w:val="placeholder"/>
        </w:category>
        <w:types>
          <w:type w:val="bbPlcHdr"/>
        </w:types>
        <w:behaviors>
          <w:behavior w:val="content"/>
        </w:behaviors>
        <w:guid w:val="{F8219121-7ECC-42A3-9054-14A338F4C01F}"/>
      </w:docPartPr>
      <w:docPartBody>
        <w:p w:rsidR="009D547C" w:rsidRDefault="00CF6B0D" w:rsidP="00CF6B0D">
          <w:pPr>
            <w:pStyle w:val="8CF04D099B794F92A4FA7B52472D5356"/>
          </w:pPr>
          <w:r w:rsidRPr="0045331C">
            <w:rPr>
              <w:rStyle w:val="PlaceholderText"/>
            </w:rPr>
            <w:t>Choose an item.</w:t>
          </w:r>
        </w:p>
      </w:docPartBody>
    </w:docPart>
    <w:docPart>
      <w:docPartPr>
        <w:name w:val="2C0B34D8C0C54E2BA71968CCF4D82204"/>
        <w:category>
          <w:name w:val="General"/>
          <w:gallery w:val="placeholder"/>
        </w:category>
        <w:types>
          <w:type w:val="bbPlcHdr"/>
        </w:types>
        <w:behaviors>
          <w:behavior w:val="content"/>
        </w:behaviors>
        <w:guid w:val="{275E48C3-0259-4997-90D7-2B69AC92B696}"/>
      </w:docPartPr>
      <w:docPartBody>
        <w:p w:rsidR="009D547C" w:rsidRDefault="00CF6B0D" w:rsidP="00CF6B0D">
          <w:pPr>
            <w:pStyle w:val="2C0B34D8C0C54E2BA71968CCF4D82204"/>
          </w:pPr>
          <w:r w:rsidRPr="0045331C">
            <w:rPr>
              <w:rStyle w:val="PlaceholderText"/>
            </w:rPr>
            <w:t>Choose an item.</w:t>
          </w:r>
        </w:p>
      </w:docPartBody>
    </w:docPart>
    <w:docPart>
      <w:docPartPr>
        <w:name w:val="B27A8E2D42974602BC4B5DEFFAA4E9AB"/>
        <w:category>
          <w:name w:val="General"/>
          <w:gallery w:val="placeholder"/>
        </w:category>
        <w:types>
          <w:type w:val="bbPlcHdr"/>
        </w:types>
        <w:behaviors>
          <w:behavior w:val="content"/>
        </w:behaviors>
        <w:guid w:val="{EC2D0924-A8B8-45BB-AD9A-0A3879266ADD}"/>
      </w:docPartPr>
      <w:docPartBody>
        <w:p w:rsidR="009D547C" w:rsidRDefault="00CF6B0D" w:rsidP="00CF6B0D">
          <w:pPr>
            <w:pStyle w:val="B27A8E2D42974602BC4B5DEFFAA4E9AB"/>
          </w:pPr>
          <w:r>
            <w:rPr>
              <w:rStyle w:val="PlaceholderText"/>
            </w:rPr>
            <w:t>Choose an item.</w:t>
          </w:r>
        </w:p>
      </w:docPartBody>
    </w:docPart>
    <w:docPart>
      <w:docPartPr>
        <w:name w:val="7647D2AE35EA4158937CBC99FFBA855B"/>
        <w:category>
          <w:name w:val="General"/>
          <w:gallery w:val="placeholder"/>
        </w:category>
        <w:types>
          <w:type w:val="bbPlcHdr"/>
        </w:types>
        <w:behaviors>
          <w:behavior w:val="content"/>
        </w:behaviors>
        <w:guid w:val="{B7C18B9A-6404-4728-9363-547227B08974}"/>
      </w:docPartPr>
      <w:docPartBody>
        <w:p w:rsidR="009D547C" w:rsidRDefault="00CF6B0D" w:rsidP="00CF6B0D">
          <w:pPr>
            <w:pStyle w:val="7647D2AE35EA4158937CBC99FFBA855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Baskerville BT">
    <w:altName w:val="Baskerville Old Face"/>
    <w:charset w:val="00"/>
    <w:family w:val="roman"/>
    <w:pitch w:val="variable"/>
    <w:sig w:usb0="00000087" w:usb1="00000000" w:usb2="00000000" w:usb3="00000000" w:csb0="0000001B"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Neue LT 55 Roman">
    <w:altName w:val="HelveticaNeue LT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0D"/>
    <w:rsid w:val="00685470"/>
    <w:rsid w:val="006C786B"/>
    <w:rsid w:val="009D547C"/>
    <w:rsid w:val="00CF6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B0D"/>
  </w:style>
  <w:style w:type="paragraph" w:customStyle="1" w:styleId="40AD8F4BB2864BD2BDF490BBF1521FF3">
    <w:name w:val="40AD8F4BB2864BD2BDF490BBF1521FF3"/>
    <w:rsid w:val="00CF6B0D"/>
  </w:style>
  <w:style w:type="paragraph" w:customStyle="1" w:styleId="CB6E453C8A8340F0A10DE8D5C069B0FF">
    <w:name w:val="CB6E453C8A8340F0A10DE8D5C069B0FF"/>
    <w:rsid w:val="00CF6B0D"/>
  </w:style>
  <w:style w:type="paragraph" w:customStyle="1" w:styleId="03237363DA484C1898C407C493A335B1">
    <w:name w:val="03237363DA484C1898C407C493A335B1"/>
    <w:rsid w:val="00CF6B0D"/>
  </w:style>
  <w:style w:type="paragraph" w:customStyle="1" w:styleId="8CF04D099B794F92A4FA7B52472D5356">
    <w:name w:val="8CF04D099B794F92A4FA7B52472D5356"/>
    <w:rsid w:val="00CF6B0D"/>
  </w:style>
  <w:style w:type="paragraph" w:customStyle="1" w:styleId="2C0B34D8C0C54E2BA71968CCF4D82204">
    <w:name w:val="2C0B34D8C0C54E2BA71968CCF4D82204"/>
    <w:rsid w:val="00CF6B0D"/>
  </w:style>
  <w:style w:type="paragraph" w:customStyle="1" w:styleId="B27A8E2D42974602BC4B5DEFFAA4E9AB">
    <w:name w:val="B27A8E2D42974602BC4B5DEFFAA4E9AB"/>
    <w:rsid w:val="00CF6B0D"/>
  </w:style>
  <w:style w:type="paragraph" w:customStyle="1" w:styleId="7647D2AE35EA4158937CBC99FFBA855B">
    <w:name w:val="7647D2AE35EA4158937CBC99FFBA855B"/>
    <w:rsid w:val="00CF6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ACT13</b:Tag>
    <b:SourceType>InternetSite</b:SourceType>
    <b:Guid>{70250F7D-68A2-4434-BF93-7B48CED73AAB}</b:Guid>
    <b:Title>Media Release: First translocation of endangered Ginninderra Peppercress</b:Title>
    <b:Year>2013</b:Year>
    <b:Author>
      <b:Author>
        <b:Corporate>ACT Government</b:Corporate>
      </b:Author>
    </b:Author>
    <b:Month>September</b:Month>
    <b:Day>11</b:Day>
    <b:URL>https://www.cmtedd.act.gov.au/open_government/inform/act_government_media_releases/corbell/2013/first-translocation-of-endangered-ginninderra-peppercress</b:URL>
    <b:YearAccessed>2020</b:YearAccessed>
    <b:MonthAccessed>April</b:MonthAccessed>
    <b:DayAccessed>24</b:DayAccessed>
    <b:RefOrder>11</b:RefOrder>
  </b:Source>
  <b:Source>
    <b:Tag>Sca01</b:Tag>
    <b:SourceType>JournalArticle</b:SourceType>
    <b:Guid>{8FFD4AA1-7091-45FA-897B-F63D6B1CD05A}</b:Guid>
    <b:Title>Leipidum ginninderrense (Brassicacae), a new species from the Australian Capital Territory</b:Title>
    <b:Year>2001</b:Year>
    <b:JournalName>Muelleria</b:JournalName>
    <b:Pages>69-74</b:Pages>
    <b:Author>
      <b:Author>
        <b:NameList>
          <b:Person>
            <b:Last>Scarlett</b:Last>
            <b:First>NH</b:First>
          </b:Person>
        </b:NameList>
      </b:Author>
    </b:Author>
    <b:Volume>15</b:Volume>
    <b:RefOrder>3</b:RefOrder>
  </b:Source>
  <b:Source>
    <b:Tag>Tay14</b:Tag>
    <b:SourceType>JournalArticle</b:SourceType>
    <b:Guid>{79A7EC58-7B57-4BC5-A803-DF30984DB7D1}</b:Guid>
    <b:Title>Seed production project produces translocation spin off for a highly threatened species</b:Title>
    <b:JournalName>Australasian Plant Conservation</b:JournalName>
    <b:Year>2014</b:Year>
    <b:Pages>11-12</b:Pages>
    <b:Author>
      <b:Author>
        <b:NameList>
          <b:Person>
            <b:Last>Taylor</b:Last>
            <b:First>D</b:First>
          </b:Person>
          <b:Person>
            <b:Last>McAuliffe</b:Last>
            <b:First>J</b:First>
          </b:Person>
          <b:Person>
            <b:Last>North</b:Last>
            <b:First>T</b:First>
          </b:Person>
          <b:Person>
            <b:Last>Gibson-Roy</b:Last>
            <b:First>P</b:First>
          </b:Person>
          <b:Person>
            <b:Last>Vanzella</b:Last>
            <b:First>B</b:First>
          </b:Person>
          <b:Person>
            <b:Last>Taws</b:Last>
            <b:First>N</b:First>
          </b:Person>
          <b:Person>
            <b:Last>Baines</b:Last>
            <b:First>G</b:First>
          </b:Person>
          <b:Person>
            <b:Last>Cook</b:Last>
            <b:First>E</b:First>
          </b:Person>
          <b:Person>
            <b:Last>Lepschi</b:Last>
            <b:First>B</b:First>
          </b:Person>
          <b:Person>
            <b:Last>Broadhurst</b:Last>
            <b:First>L</b:First>
          </b:Person>
        </b:NameList>
      </b:Author>
    </b:Author>
    <b:Volume>22</b:Volume>
    <b:Issue>3</b:Issue>
    <b:RefOrder>2</b:RefOrder>
  </b:Source>
  <b:Source>
    <b:Tag>Avi00</b:Tag>
    <b:SourceType>Report</b:SourceType>
    <b:Guid>{3DECC509-A10B-43A1-B96B-4E3AAF4149DC}</b:Guid>
    <b:Title>Monitoring of Lepidium ginninderrense at the Belconnen Naval Transmission Station Lawson ACT</b:Title>
    <b:Year>2000</b:Year>
    <b:Author>
      <b:Author>
        <b:NameList>
          <b:Person>
            <b:Last>Avis</b:Last>
            <b:First>K</b:First>
          </b:Person>
        </b:NameList>
      </b:Author>
    </b:Author>
    <b:Publisher>Canberra Institute of Technology</b:Publisher>
    <b:City>Canberra</b:City>
    <b:RefOrder>1</b:RefOrder>
  </b:Source>
  <b:Source>
    <b:Tag>ACT05</b:Tag>
    <b:SourceType>Report</b:SourceType>
    <b:Guid>{832D3C3C-593E-43DF-82DC-9CD96520F7E6}</b:Guid>
    <b:Author>
      <b:Author>
        <b:Corporate>ACT Government</b:Corporate>
      </b:Author>
    </b:Author>
    <b:Title>A vision splendid of the grassy plains extended: ACT Lowland Native Grassland Conservation Strategy. Action Plan No. 28</b:Title>
    <b:Year>2005</b:Year>
    <b:Publisher>Arts, Hertitage and Environment</b:Publisher>
    <b:City>Canberra</b:City>
    <b:RefOrder>4</b:RefOrder>
  </b:Source>
  <b:Source>
    <b:Tag>AEC09</b:Tag>
    <b:SourceType>Report</b:SourceType>
    <b:Guid>{338534E9-889E-482E-A447-246F6B99CDAF}</b:Guid>
    <b:Author>
      <b:Author>
        <b:Corporate>AECOM</b:Corporate>
      </b:Author>
    </b:Author>
    <b:Title>Threatened Species Monitoring: Five Defence Properties in the ACT. Prepared for Spotless Services.</b:Title>
    <b:Year>2009</b:Year>
    <b:Publisher>AECOM Australia Pty Ltd</b:Publisher>
    <b:City>Canberra</b:City>
    <b:RefOrder>5</b:RefOrder>
  </b:Source>
  <b:Source>
    <b:Tag>ENS08</b:Tag>
    <b:SourceType>Report</b:SourceType>
    <b:Guid>{751BAE2B-1052-4C94-8E9E-7B0084A7DF2C}</b:Guid>
    <b:Author>
      <b:Author>
        <b:Corporate>ENSR (AECOM)</b:Corporate>
      </b:Author>
    </b:Author>
    <b:Title>Flora Monitoring in ACT/SNSW 2007/08. SN01944. Prepared for Spotless Services Pty Ltd.</b:Title>
    <b:Year>2008</b:Year>
    <b:Publisher>ENSR Australia Pty Ltd</b:Publisher>
    <b:City>Canberra</b:City>
    <b:RefOrder>6</b:RefOrder>
  </b:Source>
  <b:Source>
    <b:Tag>Taw13</b:Tag>
    <b:SourceType>JournalArticle</b:SourceType>
    <b:Guid>{16D186E1-41C2-472B-BAE2-9B05FE345077}</b:Guid>
    <b:Author>
      <b:Author>
        <b:NameList>
          <b:Person>
            <b:Last>Taws</b:Last>
            <b:First>N</b:First>
          </b:Person>
        </b:NameList>
      </b:Author>
    </b:Author>
    <b:Title>Check Those Dead Bits! Or Finding The Ginninderra Peppercress.</b:Title>
    <b:Year>2013</b:Year>
    <b:JournalName>News of Friends oof Grasslands</b:JournalName>
    <b:Pages>10</b:Pages>
    <b:Month>January-Feburary</b:Month>
    <b:RefOrder>7</b:RefOrder>
  </b:Source>
  <b:Source>
    <b:Tag>ACT17</b:Tag>
    <b:SourceType>Report</b:SourceType>
    <b:Guid>{CD3C0F57-162E-4CB2-AF2D-3E16EA5E3657}</b:Guid>
    <b:Title>ACT Native Grassland Conservation Strategy and Action Plans</b:Title>
    <b:Year>2017</b:Year>
    <b:Author>
      <b:Author>
        <b:Corporate>ACT  Government</b:Corporate>
      </b:Author>
    </b:Author>
    <b:Publisher>Environment, Planning and Sustainable Development Directorate</b:Publisher>
    <b:City>Canberra</b:City>
    <b:RefOrder>8</b:RefOrder>
  </b:Source>
  <b:Source>
    <b:Tag>SME18</b:Tag>
    <b:SourceType>Report</b:SourceType>
    <b:Guid>{7536C222-B94D-4D31-849E-975458E56C39}</b:Guid>
    <b:Author>
      <b:Author>
        <b:Corporate>SMEC</b:Corporate>
      </b:Author>
    </b:Author>
    <b:Title>Jerrabomberra East Nature Reserve Golden Sun Moth Habitat Mapping 2017. Prepared for: ACT Government- Environment and Plannning</b:Title>
    <b:Year>2018</b:Year>
    <b:City>Canberra</b:City>
    <b:DOI>30002620</b:DOI>
    <b:RefOrder>9</b:RefOrder>
  </b:Source>
  <b:Source>
    <b:Tag>SME19</b:Tag>
    <b:SourceType>Report</b:SourceType>
    <b:Guid>{1E928A97-4982-4C67-A295-4CE957835607}</b:Guid>
    <b:Author>
      <b:Author>
        <b:Corporate>SMEC</b:Corporate>
      </b:Author>
    </b:Author>
    <b:Title>Golden Sun Moth Abundance Monitoring and Habitat Mapping 2018. Bonshaw, Jerrabomberra East and Franklin Grasslands. Prepared for ACT Parks and Conservation Service</b:Title>
    <b:Year>2019</b:Year>
    <b:City>Canberra</b:City>
    <b:RefOrder>10</b:RefOrder>
  </b:Source>
  <b:Source>
    <b:Tag>HLA06</b:Tag>
    <b:SourceType>Report</b:SourceType>
    <b:Guid>{57D2509C-C920-4E96-B8E1-4FD33CAE450F}</b:Guid>
    <b:Author>
      <b:Author>
        <b:Corporate>HLA</b:Corporate>
      </b:Author>
    </b:Author>
    <b:Title>Threatened Species Monitoring at Belconnen Naval Transmitting Station. Prepared for Resolve FM. </b:Title>
    <b:Year>2006</b:Year>
    <b:Publisher>HLA-Envirosciences Pty Ltd</b:Publisher>
    <b:City>Canberra</b:City>
    <b:RefOrder>12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D043500740B445AFFADB0589916D1C" ma:contentTypeVersion="7" ma:contentTypeDescription="Create a new document." ma:contentTypeScope="" ma:versionID="4d2bc6997d1ebcd285b2c86c39fce24d">
  <xsd:schema xmlns:xsd="http://www.w3.org/2001/XMLSchema" xmlns:xs="http://www.w3.org/2001/XMLSchema" xmlns:p="http://schemas.microsoft.com/office/2006/metadata/properties" xmlns:ns3="154abe2b-79be-40b7-abcd-3ff084405efd" xmlns:ns4="076df668-7f99-428e-bedd-0e1b858f9dc7" targetNamespace="http://schemas.microsoft.com/office/2006/metadata/properties" ma:root="true" ma:fieldsID="cfd5b627d91fd3e872d09a0bdc1a2c41" ns3:_="" ns4:_="">
    <xsd:import namespace="154abe2b-79be-40b7-abcd-3ff084405efd"/>
    <xsd:import namespace="076df668-7f99-428e-bedd-0e1b858f9dc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abe2b-79be-40b7-abcd-3ff084405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df668-7f99-428e-bedd-0e1b858f9d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4FEB93B0D38B3BDFE05400144FFB2061" version="1.0.0">
  <systemFields>
    <field name="Objective-Id">
      <value order="0">A25485660</value>
    </field>
    <field name="Objective-Title">
      <value order="0">Conservation Advice - Ginninderra Peppercress - FINAL</value>
    </field>
    <field name="Objective-Description">
      <value order="0">Preparing conservation advice to inform updated listing.</value>
    </field>
    <field name="Objective-CreationStamp">
      <value order="0">2020-04-29T03:08:52Z</value>
    </field>
    <field name="Objective-IsApproved">
      <value order="0">false</value>
    </field>
    <field name="Objective-IsPublished">
      <value order="0">true</value>
    </field>
    <field name="Objective-DatePublished">
      <value order="0">2024-05-07T05:06:48Z</value>
    </field>
    <field name="Objective-ModificationStamp">
      <value order="0">2024-05-07T05:07:01Z</value>
    </field>
    <field name="Objective-Owner">
      <value order="0">Laura Parsons</value>
    </field>
    <field name="Objective-Path">
      <value order="0">Whole of ACT Government:EPSDD - Environment Planning and Sustainable Development Directorate:DIVISION - Environment, Heritage and Water:03. Boards and Committees:ACT Scientific Committee (SC)/Flora and Fauna Committee (FFC):Flora and Fauna/Scientific Committee - Business:21/116204 - 2021-2024 - Scientific Committee:Conservation Advice:2024 package CAs</value>
    </field>
    <field name="Objective-Parent">
      <value order="0">2024 package CAs</value>
    </field>
    <field name="Objective-State">
      <value order="0">Published</value>
    </field>
    <field name="Objective-VersionId">
      <value order="0">vA58360962</value>
    </field>
    <field name="Objective-Version">
      <value order="0">8.0</value>
    </field>
    <field name="Objective-VersionNumber">
      <value order="0">32</value>
    </field>
    <field name="Objective-VersionComment">
      <value order="0"/>
    </field>
    <field name="Objective-FileNumber">
      <value order="0">1-2021/116204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1B6C5DFA-9013-4740-8BFA-7C5CF50716A3}">
  <ds:schemaRefs>
    <ds:schemaRef ds:uri="http://schemas.microsoft.com/sharepoint/v3/contenttype/forms"/>
  </ds:schemaRefs>
</ds:datastoreItem>
</file>

<file path=customXml/itemProps2.xml><?xml version="1.0" encoding="utf-8"?>
<ds:datastoreItem xmlns:ds="http://schemas.openxmlformats.org/officeDocument/2006/customXml" ds:itemID="{84864D47-37DD-481E-A5B3-301D63CBD876}">
  <ds:schemaRefs>
    <ds:schemaRef ds:uri="http://schemas.openxmlformats.org/officeDocument/2006/bibliography"/>
  </ds:schemaRefs>
</ds:datastoreItem>
</file>

<file path=customXml/itemProps3.xml><?xml version="1.0" encoding="utf-8"?>
<ds:datastoreItem xmlns:ds="http://schemas.openxmlformats.org/officeDocument/2006/customXml" ds:itemID="{C3B6E778-C647-4DAD-A3F5-C1A8A08CFC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571E3-A42A-43CA-BD04-E2B3CA2F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abe2b-79be-40b7-abcd-3ff084405efd"/>
    <ds:schemaRef ds:uri="076df668-7f99-428e-bedd-0e1b858f9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8343</Words>
  <Characters>47544</Characters>
  <Application>Microsoft Office Word</Application>
  <DocSecurity>0</DocSecurity>
  <Lines>1096</Lines>
  <Paragraphs>467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2017-01-16T00:24:00Z</cp:lastPrinted>
  <dcterms:created xsi:type="dcterms:W3CDTF">2024-05-22T05:01:00Z</dcterms:created>
  <dcterms:modified xsi:type="dcterms:W3CDTF">2024-05-22T05:01:00Z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A25485660</vt:lpwstr>
  </property>
  <property fmtid="{D5CDD505-2E9C-101B-9397-08002B2CF9AE}" pid="4" name="Objective-Title">
    <vt:lpwstr>Conservation Advice - Ginninderra Peppercress - FINAL</vt:lpwstr>
  </property>
  <property fmtid="{D5CDD505-2E9C-101B-9397-08002B2CF9AE}" pid="5" name="Objective-Comment">
    <vt:lpwstr>Preparing conservation advice to inform updated listing.</vt:lpwstr>
  </property>
  <property fmtid="{D5CDD505-2E9C-101B-9397-08002B2CF9AE}" pid="6" name="Objective-CreationStamp">
    <vt:filetime>2020-04-29T03:08:52Z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2024-05-07T05:06:48Z</vt:filetime>
  </property>
  <property fmtid="{D5CDD505-2E9C-101B-9397-08002B2CF9AE}" pid="10" name="Objective-ModificationStamp">
    <vt:filetime>2024-05-07T05:07:01Z</vt:filetime>
  </property>
  <property fmtid="{D5CDD505-2E9C-101B-9397-08002B2CF9AE}" pid="11" name="Objective-Owner">
    <vt:lpwstr>Laura Parsons</vt:lpwstr>
  </property>
  <property fmtid="{D5CDD505-2E9C-101B-9397-08002B2CF9AE}" pid="12" name="Objective-Path">
    <vt:lpwstr>Whole of ACT Government:EPSDD - Environment Planning and Sustainable Development Directorate:DIVISION - Environment, Heritage and Water:03. Boards and Committees:ACT Scientific Committee (SC)/Flora and Fauna Committee (FFC):Flora and Fauna/Scientific Committee - Business:21/116204 - 2021-2024 - Scientific Committee:Conservation Advice:2024 package CAs:</vt:lpwstr>
  </property>
  <property fmtid="{D5CDD505-2E9C-101B-9397-08002B2CF9AE}" pid="13" name="Objective-Parent">
    <vt:lpwstr>2024 package CAs</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32</vt:r8>
  </property>
  <property fmtid="{D5CDD505-2E9C-101B-9397-08002B2CF9AE}" pid="17" name="Objective-VersionComment">
    <vt:lpwstr/>
  </property>
  <property fmtid="{D5CDD505-2E9C-101B-9397-08002B2CF9AE}" pid="18" name="Objective-FileNumber">
    <vt:lpwstr>1-2021/116204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ontentTypeId">
    <vt:lpwstr>0x010100A5D043500740B445AFFADB0589916D1C</vt:lpwstr>
  </property>
  <property fmtid="{D5CDD505-2E9C-101B-9397-08002B2CF9AE}" pid="33" name="Objective-Owner Agency">
    <vt:lpwstr>EPSDD</vt:lpwstr>
  </property>
  <property fmtid="{D5CDD505-2E9C-101B-9397-08002B2CF9AE}" pid="34" name="Objective-Document Type">
    <vt:lpwstr>0-Document</vt:lpwstr>
  </property>
  <property fmtid="{D5CDD505-2E9C-101B-9397-08002B2CF9AE}" pid="35" name="Objective-Language">
    <vt:lpwstr>English (en)</vt:lpwstr>
  </property>
  <property fmtid="{D5CDD505-2E9C-101B-9397-08002B2CF9AE}" pid="36" name="Objective-Jurisdiction">
    <vt:lpwstr>ACT</vt:lpwstr>
  </property>
  <property fmtid="{D5CDD505-2E9C-101B-9397-08002B2CF9AE}" pid="37" name="Objective-Customers">
    <vt:lpwstr/>
  </property>
  <property fmtid="{D5CDD505-2E9C-101B-9397-08002B2CF9AE}" pid="38" name="Objective-Places">
    <vt:lpwstr/>
  </property>
  <property fmtid="{D5CDD505-2E9C-101B-9397-08002B2CF9AE}" pid="39" name="Objective-Transaction Reference">
    <vt:lpwstr/>
  </property>
  <property fmtid="{D5CDD505-2E9C-101B-9397-08002B2CF9AE}" pid="40" name="Objective-Document Created By">
    <vt:lpwstr/>
  </property>
  <property fmtid="{D5CDD505-2E9C-101B-9397-08002B2CF9AE}" pid="41" name="Objective-Document Created On">
    <vt:lpwstr/>
  </property>
  <property fmtid="{D5CDD505-2E9C-101B-9397-08002B2CF9AE}" pid="42" name="Objective-Covers Period From">
    <vt:lpwstr/>
  </property>
  <property fmtid="{D5CDD505-2E9C-101B-9397-08002B2CF9AE}" pid="43" name="Objective-Covers Period To">
    <vt:lpwstr/>
  </property>
  <property fmtid="{D5CDD505-2E9C-101B-9397-08002B2CF9AE}" pid="44" name="Objective-Description">
    <vt:lpwstr>Preparing conservation advice to inform updated listing.</vt:lpwstr>
  </property>
  <property fmtid="{D5CDD505-2E9C-101B-9397-08002B2CF9AE}" pid="45" name="Objective-VersionId">
    <vt:lpwstr>vA58360962</vt:lpwstr>
  </property>
  <property fmtid="{D5CDD505-2E9C-101B-9397-08002B2CF9AE}" pid="46" name="MSIP_Label_69af8531-eb46-4968-8cb3-105d2f5ea87e_Enabled">
    <vt:lpwstr>true</vt:lpwstr>
  </property>
  <property fmtid="{D5CDD505-2E9C-101B-9397-08002B2CF9AE}" pid="47" name="MSIP_Label_69af8531-eb46-4968-8cb3-105d2f5ea87e_SetDate">
    <vt:lpwstr>2024-04-18T06:06:56Z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ea6e206c-c5d5-43ed-9f78-2779f38fc3d4</vt:lpwstr>
  </property>
  <property fmtid="{D5CDD505-2E9C-101B-9397-08002B2CF9AE}" pid="52" name="MSIP_Label_69af8531-eb46-4968-8cb3-105d2f5ea87e_ContentBits">
    <vt:lpwstr>0</vt:lpwstr>
  </property>
</Properties>
</file>