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7F0A37"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21B7A72A" w14:textId="54C35F48" w:rsidR="001440B3" w:rsidRDefault="00E73E3D">
      <w:pPr>
        <w:pStyle w:val="Billname"/>
        <w:spacing w:before="700"/>
      </w:pPr>
      <w:r>
        <w:t>Work Health and Safety (Office of the Work Health and Safety Commissioner) Statement of Expectations 202</w:t>
      </w:r>
      <w:r w:rsidR="007E595F">
        <w:t>5</w:t>
      </w:r>
    </w:p>
    <w:p w14:paraId="1D94BF2A" w14:textId="1D3DCF48" w:rsidR="001440B3" w:rsidRDefault="001440B3" w:rsidP="0042011A">
      <w:pPr>
        <w:spacing w:before="340"/>
        <w:rPr>
          <w:rFonts w:ascii="Arial" w:hAnsi="Arial" w:cs="Arial"/>
          <w:b/>
          <w:bCs/>
        </w:rPr>
      </w:pPr>
      <w:r>
        <w:rPr>
          <w:rFonts w:ascii="Arial" w:hAnsi="Arial" w:cs="Arial"/>
          <w:b/>
          <w:bCs/>
        </w:rPr>
        <w:t>Notifiable instrument NI</w:t>
      </w:r>
      <w:r w:rsidR="00E73E3D">
        <w:rPr>
          <w:rFonts w:ascii="Arial" w:hAnsi="Arial" w:cs="Arial"/>
          <w:b/>
          <w:bCs/>
        </w:rPr>
        <w:t>202</w:t>
      </w:r>
      <w:r w:rsidR="007E595F">
        <w:rPr>
          <w:rFonts w:ascii="Arial" w:hAnsi="Arial" w:cs="Arial"/>
          <w:b/>
          <w:bCs/>
        </w:rPr>
        <w:t>5</w:t>
      </w:r>
      <w:r>
        <w:rPr>
          <w:rFonts w:ascii="Arial" w:hAnsi="Arial" w:cs="Arial"/>
          <w:b/>
          <w:bCs/>
        </w:rPr>
        <w:t>–</w:t>
      </w:r>
      <w:r w:rsidR="00492E8E">
        <w:rPr>
          <w:rFonts w:ascii="Arial" w:hAnsi="Arial" w:cs="Arial"/>
          <w:b/>
          <w:bCs/>
        </w:rPr>
        <w:t>116</w:t>
      </w:r>
    </w:p>
    <w:p w14:paraId="6E767DFB" w14:textId="77777777" w:rsidR="001440B3" w:rsidRDefault="001440B3" w:rsidP="0042011A">
      <w:pPr>
        <w:pStyle w:val="madeunder"/>
        <w:spacing w:before="300" w:after="0"/>
      </w:pPr>
      <w:r>
        <w:t xml:space="preserve">made under the  </w:t>
      </w:r>
    </w:p>
    <w:p w14:paraId="52CBEA36" w14:textId="3DEBAF6C" w:rsidR="001440B3" w:rsidRDefault="00E73E3D" w:rsidP="0042011A">
      <w:pPr>
        <w:pStyle w:val="CoverActName"/>
        <w:spacing w:before="320" w:after="0"/>
        <w:rPr>
          <w:rFonts w:cs="Arial"/>
          <w:sz w:val="20"/>
        </w:rPr>
      </w:pPr>
      <w:r w:rsidRPr="00E73E3D">
        <w:rPr>
          <w:rFonts w:cs="Arial"/>
          <w:i/>
          <w:iCs/>
          <w:sz w:val="20"/>
        </w:rPr>
        <w:t>Work Health and Safety Act 2011</w:t>
      </w:r>
      <w:r>
        <w:rPr>
          <w:rFonts w:cs="Arial"/>
          <w:sz w:val="20"/>
        </w:rPr>
        <w:t xml:space="preserve">, </w:t>
      </w:r>
      <w:r w:rsidR="007E595F">
        <w:rPr>
          <w:rFonts w:cs="Arial"/>
          <w:sz w:val="20"/>
        </w:rPr>
        <w:t>s</w:t>
      </w:r>
      <w:r>
        <w:rPr>
          <w:rFonts w:cs="Arial"/>
          <w:sz w:val="20"/>
        </w:rPr>
        <w:t xml:space="preserve">chedule 2, </w:t>
      </w:r>
      <w:r w:rsidR="007E595F">
        <w:rPr>
          <w:rFonts w:cs="Arial"/>
          <w:sz w:val="20"/>
        </w:rPr>
        <w:t>d</w:t>
      </w:r>
      <w:r>
        <w:rPr>
          <w:rFonts w:cs="Arial"/>
          <w:sz w:val="20"/>
        </w:rPr>
        <w:t xml:space="preserve">ivision 2.2.5, </w:t>
      </w:r>
      <w:r w:rsidR="007E595F">
        <w:rPr>
          <w:rFonts w:cs="Arial"/>
          <w:sz w:val="20"/>
        </w:rPr>
        <w:t>s</w:t>
      </w:r>
      <w:r>
        <w:rPr>
          <w:rFonts w:cs="Arial"/>
          <w:sz w:val="20"/>
        </w:rPr>
        <w:t>ection 2.39 (Ministerial statement of expectations)</w:t>
      </w:r>
    </w:p>
    <w:p w14:paraId="73E50656" w14:textId="77777777" w:rsidR="001440B3" w:rsidRDefault="001440B3" w:rsidP="0042011A">
      <w:pPr>
        <w:pStyle w:val="N-line3"/>
        <w:pBdr>
          <w:bottom w:val="none" w:sz="0" w:space="0" w:color="auto"/>
        </w:pBdr>
        <w:spacing w:before="60"/>
      </w:pPr>
    </w:p>
    <w:p w14:paraId="34310096" w14:textId="77777777" w:rsidR="001440B3" w:rsidRDefault="001440B3">
      <w:pPr>
        <w:pStyle w:val="N-line3"/>
        <w:pBdr>
          <w:top w:val="single" w:sz="12" w:space="1" w:color="auto"/>
          <w:bottom w:val="none" w:sz="0" w:space="0" w:color="auto"/>
        </w:pBdr>
      </w:pPr>
    </w:p>
    <w:p w14:paraId="56F05155"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5C6D17B9" w14:textId="023F4F03" w:rsidR="001440B3" w:rsidRDefault="001440B3" w:rsidP="0042011A">
      <w:pPr>
        <w:spacing w:before="140"/>
        <w:ind w:left="720"/>
      </w:pPr>
      <w:r>
        <w:t>This instrument is the</w:t>
      </w:r>
      <w:r w:rsidR="00E73E3D">
        <w:t xml:space="preserve"> </w:t>
      </w:r>
      <w:r w:rsidR="00E73E3D" w:rsidRPr="00120321">
        <w:rPr>
          <w:i/>
          <w:iCs/>
        </w:rPr>
        <w:t>Work Health and Safety (Office of the Work Health and Safety Commissioner</w:t>
      </w:r>
      <w:r w:rsidR="00120321" w:rsidRPr="00120321">
        <w:rPr>
          <w:i/>
          <w:iCs/>
        </w:rPr>
        <w:t>) Statement of Expectations 202</w:t>
      </w:r>
      <w:r w:rsidR="007E595F">
        <w:rPr>
          <w:i/>
          <w:iCs/>
        </w:rPr>
        <w:t>5</w:t>
      </w:r>
      <w:r w:rsidRPr="0042011A">
        <w:t>.</w:t>
      </w:r>
    </w:p>
    <w:p w14:paraId="6033F8F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44E3C126" w14:textId="081C716F" w:rsidR="001440B3" w:rsidRDefault="001440B3" w:rsidP="0042011A">
      <w:pPr>
        <w:spacing w:before="140"/>
        <w:ind w:left="720"/>
      </w:pPr>
      <w:r>
        <w:t xml:space="preserve">This instrument commences on </w:t>
      </w:r>
      <w:r w:rsidR="00120321">
        <w:t>the day after notification</w:t>
      </w:r>
      <w:r>
        <w:t xml:space="preserve">. </w:t>
      </w:r>
    </w:p>
    <w:p w14:paraId="7075B454" w14:textId="06ACADA4" w:rsidR="001440B3" w:rsidRDefault="001440B3" w:rsidP="0042011A">
      <w:pPr>
        <w:spacing w:before="300"/>
        <w:ind w:left="720" w:hanging="720"/>
        <w:rPr>
          <w:rFonts w:ascii="Arial" w:hAnsi="Arial" w:cs="Arial"/>
          <w:b/>
          <w:bCs/>
        </w:rPr>
      </w:pPr>
      <w:r>
        <w:rPr>
          <w:rFonts w:ascii="Arial" w:hAnsi="Arial" w:cs="Arial"/>
          <w:b/>
          <w:bCs/>
        </w:rPr>
        <w:t>3</w:t>
      </w:r>
      <w:r>
        <w:rPr>
          <w:rFonts w:ascii="Arial" w:hAnsi="Arial" w:cs="Arial"/>
          <w:b/>
          <w:bCs/>
        </w:rPr>
        <w:tab/>
      </w:r>
      <w:r w:rsidR="00120321">
        <w:rPr>
          <w:rFonts w:ascii="Arial" w:hAnsi="Arial" w:cs="Arial"/>
          <w:b/>
          <w:bCs/>
        </w:rPr>
        <w:t>Statement of Expectations</w:t>
      </w:r>
    </w:p>
    <w:p w14:paraId="6E93FF70" w14:textId="0001044F" w:rsidR="001440B3" w:rsidRDefault="00120321" w:rsidP="0042011A">
      <w:pPr>
        <w:spacing w:before="140"/>
        <w:ind w:left="720"/>
      </w:pPr>
      <w:r>
        <w:t>I make the Statement of Expectations as provided in the Schedule.</w:t>
      </w:r>
    </w:p>
    <w:p w14:paraId="3EBB4E85" w14:textId="2F0FE6E3" w:rsidR="001440B3" w:rsidRDefault="00120321" w:rsidP="0042011A">
      <w:pPr>
        <w:spacing w:before="300"/>
        <w:ind w:left="720" w:hanging="720"/>
        <w:rPr>
          <w:rFonts w:ascii="Arial" w:hAnsi="Arial" w:cs="Arial"/>
          <w:b/>
          <w:bCs/>
        </w:rPr>
      </w:pPr>
      <w:r>
        <w:rPr>
          <w:rFonts w:ascii="Arial" w:hAnsi="Arial" w:cs="Arial"/>
          <w:b/>
          <w:bCs/>
        </w:rPr>
        <w:t>4</w:t>
      </w:r>
      <w:r w:rsidR="001440B3">
        <w:rPr>
          <w:rFonts w:ascii="Arial" w:hAnsi="Arial" w:cs="Arial"/>
          <w:b/>
          <w:bCs/>
        </w:rPr>
        <w:tab/>
      </w:r>
      <w:r>
        <w:rPr>
          <w:rFonts w:ascii="Arial" w:hAnsi="Arial" w:cs="Arial"/>
          <w:b/>
          <w:bCs/>
        </w:rPr>
        <w:t>Consultation</w:t>
      </w:r>
    </w:p>
    <w:p w14:paraId="32C00E46" w14:textId="2C6AA2D7" w:rsidR="001440B3" w:rsidRDefault="00120321" w:rsidP="0042011A">
      <w:pPr>
        <w:spacing w:before="140"/>
        <w:ind w:left="720"/>
      </w:pPr>
      <w:r>
        <w:t xml:space="preserve">I confirm that the Work Health and Safety Council has been consulted about the priorities and initiatives for the Office of the Work Health and Safety Commissioner in accordance with schedule 2, division 2.2.5, section 2.39 (2) of the </w:t>
      </w:r>
      <w:r w:rsidRPr="00120321">
        <w:rPr>
          <w:i/>
          <w:iCs/>
        </w:rPr>
        <w:t>Work Health and Safety Act 2011</w:t>
      </w:r>
      <w:r>
        <w:t>.</w:t>
      </w:r>
    </w:p>
    <w:p w14:paraId="0CF051A0" w14:textId="229492A6" w:rsidR="001440B3" w:rsidRDefault="00120321" w:rsidP="0042011A">
      <w:pPr>
        <w:spacing w:before="300"/>
        <w:ind w:left="720" w:hanging="720"/>
        <w:rPr>
          <w:rFonts w:ascii="Arial" w:hAnsi="Arial" w:cs="Arial"/>
          <w:b/>
          <w:bCs/>
        </w:rPr>
      </w:pPr>
      <w:r>
        <w:rPr>
          <w:rFonts w:ascii="Arial" w:hAnsi="Arial" w:cs="Arial"/>
          <w:b/>
          <w:bCs/>
        </w:rPr>
        <w:t>5</w:t>
      </w:r>
      <w:r w:rsidR="001440B3">
        <w:rPr>
          <w:rFonts w:ascii="Arial" w:hAnsi="Arial" w:cs="Arial"/>
          <w:b/>
          <w:bCs/>
        </w:rPr>
        <w:tab/>
      </w:r>
      <w:r w:rsidR="0042011A">
        <w:rPr>
          <w:rFonts w:ascii="Arial" w:hAnsi="Arial" w:cs="Arial"/>
          <w:b/>
          <w:bCs/>
        </w:rPr>
        <w:t>Revocation</w:t>
      </w:r>
    </w:p>
    <w:p w14:paraId="7A781175" w14:textId="33EB2B2A" w:rsidR="001440B3" w:rsidRDefault="0042011A" w:rsidP="0042011A">
      <w:pPr>
        <w:spacing w:before="140"/>
        <w:ind w:left="720"/>
      </w:pPr>
      <w:r>
        <w:t xml:space="preserve">This instrument revokes </w:t>
      </w:r>
      <w:r w:rsidR="00120321">
        <w:t xml:space="preserve">the </w:t>
      </w:r>
      <w:r w:rsidR="00120321" w:rsidRPr="00120321">
        <w:rPr>
          <w:i/>
          <w:iCs/>
        </w:rPr>
        <w:t>Work Health and Safety (Office of the Work Health and Safety Commissioner) Statement of Expectations 202</w:t>
      </w:r>
      <w:r w:rsidR="00C51921">
        <w:rPr>
          <w:i/>
          <w:iCs/>
        </w:rPr>
        <w:t>3</w:t>
      </w:r>
      <w:r w:rsidR="00120321">
        <w:t xml:space="preserve"> </w:t>
      </w:r>
      <w:r>
        <w:t>[</w:t>
      </w:r>
      <w:r w:rsidR="00120321">
        <w:t>NI202</w:t>
      </w:r>
      <w:r w:rsidR="00D159C3">
        <w:t>3</w:t>
      </w:r>
      <w:r w:rsidR="00120321">
        <w:t>-</w:t>
      </w:r>
      <w:r w:rsidR="00D159C3">
        <w:t>676</w:t>
      </w:r>
      <w:r>
        <w:t>].</w:t>
      </w:r>
    </w:p>
    <w:p w14:paraId="39E295EA" w14:textId="77777777" w:rsidR="00024823" w:rsidRDefault="00024823" w:rsidP="0042011A">
      <w:pPr>
        <w:spacing w:before="140"/>
        <w:ind w:left="720"/>
      </w:pPr>
    </w:p>
    <w:p w14:paraId="6B42A765" w14:textId="37E6CD04" w:rsidR="0042011A" w:rsidRDefault="00F23C05" w:rsidP="0042011A">
      <w:pPr>
        <w:tabs>
          <w:tab w:val="left" w:pos="4320"/>
        </w:tabs>
        <w:spacing w:before="720"/>
      </w:pPr>
      <w:r w:rsidRPr="005271B4">
        <w:t>Ministe</w:t>
      </w:r>
      <w:r w:rsidR="005271B4" w:rsidRPr="005271B4">
        <w:t>r Pettersson</w:t>
      </w:r>
      <w:r w:rsidR="00120321">
        <w:t xml:space="preserve"> MLA</w:t>
      </w:r>
    </w:p>
    <w:p w14:paraId="771CAB20" w14:textId="04F55F4D" w:rsidR="001440B3" w:rsidRDefault="00120321" w:rsidP="0042011A">
      <w:pPr>
        <w:tabs>
          <w:tab w:val="left" w:pos="4320"/>
        </w:tabs>
      </w:pPr>
      <w:bookmarkStart w:id="1" w:name="_Hlk183161218"/>
      <w:r w:rsidRPr="005271B4">
        <w:t xml:space="preserve">Minister for </w:t>
      </w:r>
      <w:r w:rsidR="005271B4" w:rsidRPr="005271B4">
        <w:t>Skills</w:t>
      </w:r>
      <w:r w:rsidR="005271B4">
        <w:t>, Training and Industrial Relations</w:t>
      </w:r>
    </w:p>
    <w:p w14:paraId="51516F5C" w14:textId="15CFB429" w:rsidR="002C0B43" w:rsidRDefault="002C0B43" w:rsidP="0042011A">
      <w:pPr>
        <w:tabs>
          <w:tab w:val="left" w:pos="4320"/>
        </w:tabs>
      </w:pPr>
      <w:r>
        <w:t>4 March 2025</w:t>
      </w:r>
    </w:p>
    <w:bookmarkEnd w:id="0"/>
    <w:bookmarkEnd w:id="1"/>
    <w:p w14:paraId="4C123B63" w14:textId="77777777" w:rsidR="00F30672" w:rsidRDefault="00F30672">
      <w:r>
        <w:br w:type="page"/>
      </w:r>
    </w:p>
    <w:p w14:paraId="1F370BE8" w14:textId="04133642" w:rsidR="00144F2B" w:rsidRDefault="00B8592B">
      <w:pPr>
        <w:rPr>
          <w:rFonts w:ascii="Montserrat" w:hAnsi="Montserrat" w:cstheme="minorHAnsi"/>
          <w:b/>
          <w:bCs/>
          <w:sz w:val="40"/>
          <w:szCs w:val="40"/>
        </w:rPr>
      </w:pPr>
      <w:r>
        <w:rPr>
          <w:noProof/>
        </w:rPr>
        <w:lastRenderedPageBreak/>
        <w:drawing>
          <wp:anchor distT="0" distB="0" distL="114300" distR="114300" simplePos="0" relativeHeight="251665408" behindDoc="1" locked="0" layoutInCell="1" allowOverlap="1" wp14:anchorId="7015312E" wp14:editId="202E186F">
            <wp:simplePos x="0" y="0"/>
            <wp:positionH relativeFrom="page">
              <wp:posOffset>-40409</wp:posOffset>
            </wp:positionH>
            <wp:positionV relativeFrom="paragraph">
              <wp:posOffset>-619934</wp:posOffset>
            </wp:positionV>
            <wp:extent cx="7553325" cy="10668000"/>
            <wp:effectExtent l="0" t="0" r="9525" b="0"/>
            <wp:wrapNone/>
            <wp:docPr id="7" name="Picture 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7" r:link="rId8">
                      <a:extLst>
                        <a:ext uri="{28A0092B-C50C-407E-A947-70E740481C1C}">
                          <a14:useLocalDpi xmlns:a14="http://schemas.microsoft.com/office/drawing/2010/main" val="0"/>
                        </a:ext>
                      </a:extLst>
                    </a:blip>
                    <a:stretch>
                      <a:fillRect/>
                    </a:stretch>
                  </pic:blipFill>
                  <pic:spPr>
                    <a:xfrm>
                      <a:off x="0" y="0"/>
                      <a:ext cx="7553325" cy="10668000"/>
                    </a:xfrm>
                    <a:prstGeom prst="rect">
                      <a:avLst/>
                    </a:prstGeom>
                  </pic:spPr>
                </pic:pic>
              </a:graphicData>
            </a:graphic>
            <wp14:sizeRelH relativeFrom="page">
              <wp14:pctWidth>0</wp14:pctWidth>
            </wp14:sizeRelH>
            <wp14:sizeRelV relativeFrom="page">
              <wp14:pctHeight>0</wp14:pctHeight>
            </wp14:sizeRelV>
          </wp:anchor>
        </w:drawing>
      </w:r>
      <w:r w:rsidR="00CE743C">
        <w:rPr>
          <w:b/>
          <w:caps/>
          <w:noProof/>
          <w:color w:val="000000" w:themeColor="text1"/>
          <w:sz w:val="44"/>
        </w:rPr>
        <mc:AlternateContent>
          <mc:Choice Requires="wps">
            <w:drawing>
              <wp:anchor distT="0" distB="0" distL="114300" distR="114300" simplePos="0" relativeHeight="251663360" behindDoc="0" locked="0" layoutInCell="1" allowOverlap="1" wp14:anchorId="765EED2C" wp14:editId="2DD02E29">
                <wp:simplePos x="0" y="0"/>
                <wp:positionH relativeFrom="margin">
                  <wp:align>right</wp:align>
                </wp:positionH>
                <wp:positionV relativeFrom="paragraph">
                  <wp:posOffset>1706832</wp:posOffset>
                </wp:positionV>
                <wp:extent cx="5162550" cy="280035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5162550" cy="2800350"/>
                        </a:xfrm>
                        <a:prstGeom prst="rect">
                          <a:avLst/>
                        </a:prstGeom>
                        <a:noFill/>
                        <a:ln w="6350">
                          <a:noFill/>
                        </a:ln>
                      </wps:spPr>
                      <wps:txbx>
                        <w:txbxContent>
                          <w:p w14:paraId="098605B7" w14:textId="71883BA8" w:rsidR="00144F2B" w:rsidRPr="00144F2B" w:rsidRDefault="003C357C" w:rsidP="00144F2B">
                            <w:pPr>
                              <w:pStyle w:val="Title"/>
                              <w:keepLines/>
                              <w:pBdr>
                                <w:top w:val="none" w:sz="0" w:space="0" w:color="auto"/>
                                <w:bottom w:val="none" w:sz="0" w:space="0" w:color="auto"/>
                              </w:pBdr>
                              <w:spacing w:before="120" w:after="0" w:line="276" w:lineRule="auto"/>
                              <w:contextualSpacing/>
                              <w:outlineLvl w:val="0"/>
                              <w:rPr>
                                <w:rFonts w:eastAsiaTheme="majorEastAsia" w:cs="Arial"/>
                                <w:color w:val="FFFFFF" w:themeColor="background1"/>
                                <w:sz w:val="70"/>
                                <w:szCs w:val="70"/>
                              </w:rPr>
                            </w:pPr>
                            <w:r>
                              <w:rPr>
                                <w:rFonts w:eastAsiaTheme="majorEastAsia" w:cs="Arial"/>
                                <w:color w:val="FFFFFF" w:themeColor="background1"/>
                                <w:sz w:val="70"/>
                                <w:szCs w:val="70"/>
                              </w:rPr>
                              <w:t xml:space="preserve">Ministerial </w:t>
                            </w:r>
                            <w:r w:rsidR="00146D0E">
                              <w:rPr>
                                <w:rFonts w:eastAsiaTheme="majorEastAsia" w:cs="Arial"/>
                                <w:color w:val="FFFFFF" w:themeColor="background1"/>
                                <w:sz w:val="70"/>
                                <w:szCs w:val="70"/>
                              </w:rPr>
                              <w:t>Statement of Expectations 202</w:t>
                            </w:r>
                            <w:r w:rsidR="00BD259D">
                              <w:rPr>
                                <w:rFonts w:eastAsiaTheme="majorEastAsia" w:cs="Arial"/>
                                <w:color w:val="FFFFFF" w:themeColor="background1"/>
                                <w:sz w:val="70"/>
                                <w:szCs w:val="70"/>
                              </w:rPr>
                              <w:t>5</w:t>
                            </w:r>
                          </w:p>
                          <w:p w14:paraId="54DCF4DF" w14:textId="77777777" w:rsidR="00CE743C" w:rsidRDefault="00CE743C" w:rsidP="00146D0E">
                            <w:pPr>
                              <w:pStyle w:val="Subtitle"/>
                              <w:spacing w:line="240" w:lineRule="auto"/>
                              <w:jc w:val="left"/>
                            </w:pPr>
                          </w:p>
                          <w:p w14:paraId="3A1DDE54" w14:textId="79AF4AFE" w:rsidR="00144F2B" w:rsidRPr="00222C35" w:rsidRDefault="00146D0E" w:rsidP="00146D0E">
                            <w:pPr>
                              <w:pStyle w:val="Subtitle"/>
                              <w:spacing w:line="240" w:lineRule="auto"/>
                              <w:jc w:val="left"/>
                            </w:pPr>
                            <w:r>
                              <w:t xml:space="preserve">Office of the Work Health and Safety </w:t>
                            </w:r>
                            <w:r>
                              <w:br/>
                              <w:t>Commissioner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5EED2C" id="_x0000_t202" coordsize="21600,21600" o:spt="202" path="m,l,21600r21600,l21600,xe">
                <v:stroke joinstyle="miter"/>
                <v:path gradientshapeok="t" o:connecttype="rect"/>
              </v:shapetype>
              <v:shape id="Text Box 22" o:spid="_x0000_s1026" type="#_x0000_t202" style="position:absolute;margin-left:355.3pt;margin-top:134.4pt;width:406.5pt;height:220.5pt;z-index:25166336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" filled="f" stroked="f" strokeweight=".5pt">
                <v:textbox>
                  <w:txbxContent>
                    <w:p w14:paraId="098605B7" w14:textId="71883BA8" w:rsidR="00144F2B" w:rsidRPr="00144F2B" w:rsidRDefault="003C357C" w:rsidP="00144F2B">
                      <w:pPr>
                        <w:pStyle w:val="Title"/>
                        <w:keepLines/>
                        <w:pBdr>
                          <w:top w:val="none" w:sz="0" w:space="0" w:color="auto"/>
                          <w:bottom w:val="none" w:sz="0" w:space="0" w:color="auto"/>
                        </w:pBdr>
                        <w:spacing w:before="120" w:after="0" w:line="276" w:lineRule="auto"/>
                        <w:contextualSpacing/>
                        <w:outlineLvl w:val="0"/>
                        <w:rPr>
                          <w:rFonts w:eastAsiaTheme="majorEastAsia" w:cs="Arial"/>
                          <w:color w:val="FFFFFF" w:themeColor="background1"/>
                          <w:sz w:val="70"/>
                          <w:szCs w:val="70"/>
                        </w:rPr>
                      </w:pPr>
                      <w:r>
                        <w:rPr>
                          <w:rFonts w:eastAsiaTheme="majorEastAsia" w:cs="Arial"/>
                          <w:color w:val="FFFFFF" w:themeColor="background1"/>
                          <w:sz w:val="70"/>
                          <w:szCs w:val="70"/>
                        </w:rPr>
                        <w:t xml:space="preserve">Ministerial </w:t>
                      </w:r>
                      <w:r w:rsidR="00146D0E">
                        <w:rPr>
                          <w:rFonts w:eastAsiaTheme="majorEastAsia" w:cs="Arial"/>
                          <w:color w:val="FFFFFF" w:themeColor="background1"/>
                          <w:sz w:val="70"/>
                          <w:szCs w:val="70"/>
                        </w:rPr>
                        <w:t>Statement of Expectations 202</w:t>
                      </w:r>
                      <w:r w:rsidR="00BD259D">
                        <w:rPr>
                          <w:rFonts w:eastAsiaTheme="majorEastAsia" w:cs="Arial"/>
                          <w:color w:val="FFFFFF" w:themeColor="background1"/>
                          <w:sz w:val="70"/>
                          <w:szCs w:val="70"/>
                        </w:rPr>
                        <w:t>5</w:t>
                      </w:r>
                    </w:p>
                    <w:p w14:paraId="54DCF4DF" w14:textId="77777777" w:rsidR="00CE743C" w:rsidRDefault="00CE743C" w:rsidP="00146D0E">
                      <w:pPr>
                        <w:pStyle w:val="Subtitle"/>
                        <w:spacing w:line="240" w:lineRule="auto"/>
                        <w:jc w:val="left"/>
                      </w:pPr>
                    </w:p>
                    <w:p w14:paraId="3A1DDE54" w14:textId="79AF4AFE" w:rsidR="00144F2B" w:rsidRPr="00222C35" w:rsidRDefault="00146D0E" w:rsidP="00146D0E">
                      <w:pPr>
                        <w:pStyle w:val="Subtitle"/>
                        <w:spacing w:line="240" w:lineRule="auto"/>
                        <w:jc w:val="left"/>
                      </w:pPr>
                      <w:r>
                        <w:t xml:space="preserve">Office of the Work Health and Safety </w:t>
                      </w:r>
                      <w:r>
                        <w:br/>
                        <w:t>Commissioner</w:t>
                      </w:r>
                    </w:p>
                  </w:txbxContent>
                </v:textbox>
                <w10:wrap anchorx="margin"/>
              </v:shape>
            </w:pict>
          </mc:Fallback>
        </mc:AlternateContent>
      </w:r>
      <w:r w:rsidR="002C0E8D">
        <w:rPr>
          <w:noProof/>
          <w:color w:val="000000" w:themeColor="text1"/>
        </w:rPr>
        <w:drawing>
          <wp:anchor distT="0" distB="0" distL="114300" distR="114300" simplePos="0" relativeHeight="251661312" behindDoc="0" locked="0" layoutInCell="1" allowOverlap="1" wp14:anchorId="4A7EAB90" wp14:editId="09E3516C">
            <wp:simplePos x="0" y="0"/>
            <wp:positionH relativeFrom="margin">
              <wp:align>left</wp:align>
            </wp:positionH>
            <wp:positionV relativeFrom="paragraph">
              <wp:posOffset>-5177</wp:posOffset>
            </wp:positionV>
            <wp:extent cx="1753235" cy="890270"/>
            <wp:effectExtent l="0" t="0" r="0" b="5080"/>
            <wp:wrapNone/>
            <wp:docPr id="16" name="Picture 16" descr="ACT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descr="ACT Government crest"/>
                    <pic:cNvPicPr/>
                  </pic:nvPicPr>
                  <pic:blipFill>
                    <a:blip r:embed="rId9">
                      <a:extLst>
                        <a:ext uri="{28A0092B-C50C-407E-A947-70E740481C1C}">
                          <a14:useLocalDpi xmlns:a14="http://schemas.microsoft.com/office/drawing/2010/main" val="0"/>
                        </a:ext>
                      </a:extLst>
                    </a:blip>
                    <a:stretch>
                      <a:fillRect/>
                    </a:stretch>
                  </pic:blipFill>
                  <pic:spPr>
                    <a:xfrm>
                      <a:off x="0" y="0"/>
                      <a:ext cx="1753235" cy="890270"/>
                    </a:xfrm>
                    <a:prstGeom prst="rect">
                      <a:avLst/>
                    </a:prstGeom>
                  </pic:spPr>
                </pic:pic>
              </a:graphicData>
            </a:graphic>
            <wp14:sizeRelH relativeFrom="page">
              <wp14:pctWidth>0</wp14:pctWidth>
            </wp14:sizeRelH>
            <wp14:sizeRelV relativeFrom="page">
              <wp14:pctHeight>0</wp14:pctHeight>
            </wp14:sizeRelV>
          </wp:anchor>
        </w:drawing>
      </w:r>
      <w:r w:rsidR="00144F2B">
        <w:rPr>
          <w:rFonts w:ascii="Montserrat" w:hAnsi="Montserrat" w:cstheme="minorHAnsi"/>
          <w:b/>
          <w:bCs/>
          <w:sz w:val="40"/>
          <w:szCs w:val="40"/>
        </w:rPr>
        <w:br w:type="page"/>
      </w:r>
    </w:p>
    <w:p w14:paraId="0A806085" w14:textId="77777777" w:rsidR="00F30672" w:rsidRPr="00DA7216" w:rsidRDefault="00F30672" w:rsidP="00DA7216">
      <w:pPr>
        <w:rPr>
          <w:rFonts w:ascii="Arial" w:hAnsi="Arial" w:cs="Arial"/>
          <w:b/>
          <w:bCs/>
          <w:color w:val="7030A0"/>
          <w:sz w:val="30"/>
          <w:szCs w:val="30"/>
        </w:rPr>
      </w:pPr>
      <w:r w:rsidRPr="00DA7216">
        <w:rPr>
          <w:rFonts w:ascii="Arial" w:hAnsi="Arial" w:cs="Arial"/>
          <w:b/>
          <w:bCs/>
          <w:color w:val="7030A0"/>
          <w:sz w:val="30"/>
          <w:szCs w:val="30"/>
        </w:rPr>
        <w:lastRenderedPageBreak/>
        <w:t>Introduction</w:t>
      </w:r>
    </w:p>
    <w:p w14:paraId="02263C09" w14:textId="3F20960A" w:rsidR="006D3EA0" w:rsidRDefault="006D3EA0" w:rsidP="006D3EA0">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The Office of the Work Health and Safety Commissioner (WorkSafe ACT) </w:t>
      </w:r>
      <w:r w:rsidR="003375FB">
        <w:rPr>
          <w:rFonts w:ascii="Calibri" w:hAnsi="Calibri"/>
          <w:sz w:val="22"/>
          <w:szCs w:val="22"/>
          <w:lang w:eastAsia="en-AU"/>
        </w:rPr>
        <w:t>is established</w:t>
      </w:r>
      <w:r>
        <w:rPr>
          <w:rFonts w:ascii="Calibri" w:hAnsi="Calibri"/>
          <w:sz w:val="22"/>
          <w:szCs w:val="22"/>
          <w:lang w:eastAsia="en-AU"/>
        </w:rPr>
        <w:t xml:space="preserve"> under the </w:t>
      </w:r>
      <w:r w:rsidRPr="006D3EA0">
        <w:rPr>
          <w:rFonts w:ascii="Calibri" w:hAnsi="Calibri"/>
          <w:i/>
          <w:iCs/>
          <w:sz w:val="22"/>
          <w:szCs w:val="22"/>
          <w:lang w:eastAsia="en-AU"/>
        </w:rPr>
        <w:t>Work Health and Safety Act 2011</w:t>
      </w:r>
      <w:r>
        <w:rPr>
          <w:rFonts w:ascii="Calibri" w:hAnsi="Calibri"/>
          <w:sz w:val="22"/>
          <w:szCs w:val="22"/>
          <w:lang w:eastAsia="en-AU"/>
        </w:rPr>
        <w:t xml:space="preserve"> (the WHS Act) as an independent, prescribed Territory authority headed by the Work Health and Safety Commissioner (WHS Commissioner) who is the Territory’s WHS Regulator.</w:t>
      </w:r>
      <w:r w:rsidRPr="006D3EA0">
        <w:rPr>
          <w:rFonts w:ascii="Calibri" w:hAnsi="Calibri"/>
          <w:sz w:val="22"/>
          <w:szCs w:val="22"/>
          <w:lang w:eastAsia="en-AU"/>
        </w:rPr>
        <w:t xml:space="preserve"> </w:t>
      </w:r>
    </w:p>
    <w:p w14:paraId="31FA395F" w14:textId="7D9D4E30" w:rsidR="006D3EA0" w:rsidRDefault="006D3EA0" w:rsidP="006D3EA0">
      <w:pPr>
        <w:spacing w:beforeLines="60" w:before="144" w:afterLines="60" w:after="144" w:line="276" w:lineRule="auto"/>
        <w:rPr>
          <w:rFonts w:ascii="Calibri" w:hAnsi="Calibri"/>
          <w:sz w:val="22"/>
          <w:szCs w:val="22"/>
          <w:lang w:eastAsia="en-AU"/>
        </w:rPr>
      </w:pPr>
      <w:r>
        <w:rPr>
          <w:rFonts w:ascii="Calibri" w:hAnsi="Calibri"/>
          <w:sz w:val="22"/>
          <w:szCs w:val="22"/>
          <w:lang w:eastAsia="en-AU"/>
        </w:rPr>
        <w:t>WorkSafe ACT</w:t>
      </w:r>
      <w:r w:rsidRPr="006D3EA0">
        <w:rPr>
          <w:rFonts w:ascii="Calibri" w:hAnsi="Calibri"/>
          <w:sz w:val="22"/>
          <w:szCs w:val="22"/>
          <w:lang w:eastAsia="en-AU"/>
        </w:rPr>
        <w:t xml:space="preserve"> supports the </w:t>
      </w:r>
      <w:r>
        <w:rPr>
          <w:rFonts w:ascii="Calibri" w:hAnsi="Calibri"/>
          <w:sz w:val="22"/>
          <w:szCs w:val="22"/>
          <w:lang w:eastAsia="en-AU"/>
        </w:rPr>
        <w:t>WHS Commissioner</w:t>
      </w:r>
      <w:r w:rsidRPr="006D3EA0">
        <w:rPr>
          <w:rFonts w:ascii="Calibri" w:hAnsi="Calibri"/>
          <w:sz w:val="22"/>
          <w:szCs w:val="22"/>
          <w:lang w:eastAsia="en-AU"/>
        </w:rPr>
        <w:t xml:space="preserve"> </w:t>
      </w:r>
      <w:r w:rsidR="00024823">
        <w:rPr>
          <w:rFonts w:ascii="Calibri" w:hAnsi="Calibri"/>
          <w:sz w:val="22"/>
          <w:szCs w:val="22"/>
          <w:lang w:eastAsia="en-AU"/>
        </w:rPr>
        <w:t>in</w:t>
      </w:r>
      <w:r w:rsidRPr="006D3EA0">
        <w:rPr>
          <w:rFonts w:ascii="Calibri" w:hAnsi="Calibri"/>
          <w:sz w:val="22"/>
          <w:szCs w:val="22"/>
          <w:lang w:eastAsia="en-AU"/>
        </w:rPr>
        <w:t xml:space="preserve"> administer</w:t>
      </w:r>
      <w:r w:rsidR="00024823">
        <w:rPr>
          <w:rFonts w:ascii="Calibri" w:hAnsi="Calibri"/>
          <w:sz w:val="22"/>
          <w:szCs w:val="22"/>
          <w:lang w:eastAsia="en-AU"/>
        </w:rPr>
        <w:t>ing</w:t>
      </w:r>
      <w:r w:rsidRPr="006D3EA0">
        <w:rPr>
          <w:rFonts w:ascii="Calibri" w:hAnsi="Calibri"/>
          <w:sz w:val="22"/>
          <w:szCs w:val="22"/>
          <w:lang w:eastAsia="en-AU"/>
        </w:rPr>
        <w:t xml:space="preserve"> the Territory’s work health and safety </w:t>
      </w:r>
      <w:r w:rsidR="00E03C49">
        <w:rPr>
          <w:rFonts w:ascii="Calibri" w:hAnsi="Calibri"/>
          <w:sz w:val="22"/>
          <w:szCs w:val="22"/>
          <w:lang w:eastAsia="en-AU"/>
        </w:rPr>
        <w:t xml:space="preserve">(WHS) </w:t>
      </w:r>
      <w:r w:rsidRPr="006D3EA0">
        <w:rPr>
          <w:rFonts w:ascii="Calibri" w:hAnsi="Calibri"/>
          <w:sz w:val="22"/>
          <w:szCs w:val="22"/>
          <w:lang w:eastAsia="en-AU"/>
        </w:rPr>
        <w:t>related legislation by providing information, advice</w:t>
      </w:r>
      <w:r w:rsidR="003375FB">
        <w:rPr>
          <w:rFonts w:ascii="Calibri" w:hAnsi="Calibri"/>
          <w:sz w:val="22"/>
          <w:szCs w:val="22"/>
          <w:lang w:eastAsia="en-AU"/>
        </w:rPr>
        <w:t>,</w:t>
      </w:r>
      <w:r w:rsidRPr="006D3EA0">
        <w:rPr>
          <w:rFonts w:ascii="Calibri" w:hAnsi="Calibri"/>
          <w:sz w:val="22"/>
          <w:szCs w:val="22"/>
          <w:lang w:eastAsia="en-AU"/>
        </w:rPr>
        <w:t xml:space="preserve"> and support as well as compliance and enforcement activities.</w:t>
      </w:r>
    </w:p>
    <w:p w14:paraId="173140DA" w14:textId="2AA15136" w:rsidR="006D3EA0" w:rsidRDefault="006D3EA0"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I</w:t>
      </w:r>
      <w:r w:rsidR="00F30672" w:rsidRPr="002805EF">
        <w:rPr>
          <w:rFonts w:ascii="Calibri" w:hAnsi="Calibri"/>
          <w:sz w:val="22"/>
          <w:szCs w:val="22"/>
          <w:lang w:eastAsia="en-AU"/>
        </w:rPr>
        <w:t>n accordance with schedule 2, division 2.2.5, section 2.39 of the WHS Act</w:t>
      </w:r>
      <w:r>
        <w:rPr>
          <w:rFonts w:ascii="Calibri" w:hAnsi="Calibri"/>
          <w:sz w:val="22"/>
          <w:szCs w:val="22"/>
          <w:lang w:eastAsia="en-AU"/>
        </w:rPr>
        <w:t xml:space="preserve">, </w:t>
      </w:r>
      <w:r w:rsidR="00106564">
        <w:rPr>
          <w:rFonts w:ascii="Calibri" w:hAnsi="Calibri"/>
          <w:sz w:val="22"/>
          <w:szCs w:val="22"/>
          <w:lang w:eastAsia="en-AU"/>
        </w:rPr>
        <w:t xml:space="preserve">the Minister for </w:t>
      </w:r>
      <w:r w:rsidR="00D159C3" w:rsidRPr="00D159C3">
        <w:rPr>
          <w:rFonts w:ascii="Calibri" w:hAnsi="Calibri"/>
          <w:sz w:val="22"/>
          <w:szCs w:val="22"/>
          <w:lang w:eastAsia="en-AU"/>
        </w:rPr>
        <w:t>Skills, Training and Industrial Relations</w:t>
      </w:r>
      <w:r>
        <w:rPr>
          <w:rFonts w:ascii="Calibri" w:hAnsi="Calibri"/>
          <w:sz w:val="22"/>
          <w:szCs w:val="22"/>
          <w:lang w:eastAsia="en-AU"/>
        </w:rPr>
        <w:t xml:space="preserve"> (the Minister)</w:t>
      </w:r>
      <w:r w:rsidR="00106564">
        <w:rPr>
          <w:rFonts w:ascii="Calibri" w:hAnsi="Calibri"/>
          <w:sz w:val="22"/>
          <w:szCs w:val="22"/>
          <w:lang w:eastAsia="en-AU"/>
        </w:rPr>
        <w:t xml:space="preserve"> </w:t>
      </w:r>
      <w:r w:rsidR="00DD35C5">
        <w:rPr>
          <w:rFonts w:ascii="Calibri" w:hAnsi="Calibri"/>
          <w:sz w:val="22"/>
          <w:szCs w:val="22"/>
          <w:lang w:eastAsia="en-AU"/>
        </w:rPr>
        <w:t>must</w:t>
      </w:r>
      <w:r w:rsidR="00AC1C15">
        <w:rPr>
          <w:rFonts w:ascii="Calibri" w:hAnsi="Calibri"/>
          <w:sz w:val="22"/>
          <w:szCs w:val="22"/>
          <w:lang w:eastAsia="en-AU"/>
        </w:rPr>
        <w:t xml:space="preserve"> make a statement to the WHS Commissioner </w:t>
      </w:r>
      <w:r w:rsidR="00106564">
        <w:rPr>
          <w:rFonts w:ascii="Calibri" w:hAnsi="Calibri"/>
          <w:sz w:val="22"/>
          <w:szCs w:val="22"/>
          <w:lang w:eastAsia="en-AU"/>
        </w:rPr>
        <w:t>about the priority activities and initiatives</w:t>
      </w:r>
      <w:r w:rsidR="00AC1C15">
        <w:rPr>
          <w:rFonts w:ascii="Calibri" w:hAnsi="Calibri"/>
          <w:sz w:val="22"/>
          <w:szCs w:val="22"/>
          <w:lang w:eastAsia="en-AU"/>
        </w:rPr>
        <w:t xml:space="preserve"> for WorkSafe ACT at least once every 12</w:t>
      </w:r>
      <w:r w:rsidR="00E03C49">
        <w:rPr>
          <w:rFonts w:ascii="Calibri" w:hAnsi="Calibri"/>
          <w:sz w:val="22"/>
          <w:szCs w:val="22"/>
          <w:lang w:eastAsia="en-AU"/>
        </w:rPr>
        <w:t xml:space="preserve"> </w:t>
      </w:r>
      <w:r w:rsidR="00AC1C15">
        <w:rPr>
          <w:rFonts w:ascii="Calibri" w:hAnsi="Calibri"/>
          <w:sz w:val="22"/>
          <w:szCs w:val="22"/>
          <w:lang w:eastAsia="en-AU"/>
        </w:rPr>
        <w:t xml:space="preserve">months. </w:t>
      </w:r>
    </w:p>
    <w:p w14:paraId="13482AA0" w14:textId="1E652575" w:rsidR="006D3EA0" w:rsidRDefault="006D3EA0"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This statement </w:t>
      </w:r>
      <w:r w:rsidR="003375FB">
        <w:rPr>
          <w:rFonts w:ascii="Calibri" w:hAnsi="Calibri"/>
          <w:sz w:val="22"/>
          <w:szCs w:val="22"/>
          <w:lang w:eastAsia="en-AU"/>
        </w:rPr>
        <w:t>does</w:t>
      </w:r>
      <w:r>
        <w:rPr>
          <w:rFonts w:ascii="Calibri" w:hAnsi="Calibri"/>
          <w:sz w:val="22"/>
          <w:szCs w:val="22"/>
          <w:lang w:eastAsia="en-AU"/>
        </w:rPr>
        <w:t xml:space="preserve"> not include specific direction about the exercise of a regulatory function under the Act but may include general directions about the priority activities and initiatives for WorkSafe ACT, and any information that the Minister believes will assist with the implementation of the statement.</w:t>
      </w:r>
    </w:p>
    <w:p w14:paraId="14843FBF" w14:textId="3873C114" w:rsidR="00106564" w:rsidRPr="002805EF" w:rsidRDefault="00A96981" w:rsidP="00A96981">
      <w:pPr>
        <w:spacing w:beforeLines="60" w:before="144" w:afterLines="60" w:after="144" w:line="276" w:lineRule="auto"/>
        <w:rPr>
          <w:rFonts w:ascii="Calibri" w:hAnsi="Calibri"/>
          <w:sz w:val="22"/>
          <w:szCs w:val="22"/>
          <w:lang w:eastAsia="en-AU"/>
        </w:rPr>
      </w:pPr>
      <w:r>
        <w:rPr>
          <w:rFonts w:ascii="Calibri" w:hAnsi="Calibri"/>
          <w:sz w:val="22"/>
          <w:szCs w:val="22"/>
          <w:lang w:eastAsia="en-AU"/>
        </w:rPr>
        <w:t>As required by the Act under section 2.39 (2), the ACT’s Work Health and Safety Council (WHS Council) w</w:t>
      </w:r>
      <w:r w:rsidR="00F42250">
        <w:rPr>
          <w:rFonts w:ascii="Calibri" w:hAnsi="Calibri"/>
          <w:sz w:val="22"/>
          <w:szCs w:val="22"/>
          <w:lang w:eastAsia="en-AU"/>
        </w:rPr>
        <w:t>as</w:t>
      </w:r>
      <w:r>
        <w:rPr>
          <w:rFonts w:ascii="Calibri" w:hAnsi="Calibri"/>
          <w:sz w:val="22"/>
          <w:szCs w:val="22"/>
          <w:lang w:eastAsia="en-AU"/>
        </w:rPr>
        <w:t xml:space="preserve"> consulted on the</w:t>
      </w:r>
      <w:r w:rsidRPr="002805EF">
        <w:rPr>
          <w:rFonts w:ascii="Calibri" w:hAnsi="Calibri"/>
          <w:sz w:val="22"/>
          <w:szCs w:val="22"/>
          <w:lang w:eastAsia="en-AU"/>
        </w:rPr>
        <w:t xml:space="preserve"> </w:t>
      </w:r>
      <w:r>
        <w:rPr>
          <w:rFonts w:ascii="Calibri" w:hAnsi="Calibri"/>
          <w:sz w:val="22"/>
          <w:szCs w:val="22"/>
          <w:lang w:eastAsia="en-AU"/>
        </w:rPr>
        <w:t xml:space="preserve">priority </w:t>
      </w:r>
      <w:r w:rsidRPr="002805EF">
        <w:rPr>
          <w:rFonts w:ascii="Calibri" w:hAnsi="Calibri"/>
          <w:sz w:val="22"/>
          <w:szCs w:val="22"/>
          <w:lang w:eastAsia="en-AU"/>
        </w:rPr>
        <w:t>activities and initiatives set out in th</w:t>
      </w:r>
      <w:r>
        <w:rPr>
          <w:rFonts w:ascii="Calibri" w:hAnsi="Calibri"/>
          <w:sz w:val="22"/>
          <w:szCs w:val="22"/>
          <w:lang w:eastAsia="en-AU"/>
        </w:rPr>
        <w:t>e</w:t>
      </w:r>
      <w:r w:rsidRPr="002805EF">
        <w:rPr>
          <w:rFonts w:ascii="Calibri" w:hAnsi="Calibri"/>
          <w:sz w:val="22"/>
          <w:szCs w:val="22"/>
          <w:lang w:eastAsia="en-AU"/>
        </w:rPr>
        <w:t xml:space="preserve"> </w:t>
      </w:r>
      <w:r>
        <w:rPr>
          <w:rFonts w:ascii="Calibri" w:hAnsi="Calibri"/>
          <w:sz w:val="22"/>
          <w:szCs w:val="22"/>
          <w:lang w:eastAsia="en-AU"/>
        </w:rPr>
        <w:t xml:space="preserve">following </w:t>
      </w:r>
      <w:r w:rsidRPr="00A96981">
        <w:rPr>
          <w:rFonts w:ascii="Calibri" w:hAnsi="Calibri"/>
          <w:i/>
          <w:iCs/>
          <w:sz w:val="22"/>
          <w:szCs w:val="22"/>
          <w:lang w:eastAsia="en-AU"/>
        </w:rPr>
        <w:t>Statement of Expectations 202</w:t>
      </w:r>
      <w:r w:rsidR="00F23C05">
        <w:rPr>
          <w:rFonts w:ascii="Calibri" w:hAnsi="Calibri"/>
          <w:i/>
          <w:iCs/>
          <w:sz w:val="22"/>
          <w:szCs w:val="22"/>
          <w:lang w:eastAsia="en-AU"/>
        </w:rPr>
        <w:t>4</w:t>
      </w:r>
      <w:r>
        <w:rPr>
          <w:rFonts w:ascii="Calibri" w:hAnsi="Calibri"/>
          <w:sz w:val="22"/>
          <w:szCs w:val="22"/>
          <w:lang w:eastAsia="en-AU"/>
        </w:rPr>
        <w:t xml:space="preserve"> (the Statement) – which repeals the previous </w:t>
      </w:r>
      <w:r w:rsidR="00AC1C15" w:rsidRPr="00AC1C15">
        <w:rPr>
          <w:rFonts w:ascii="Calibri" w:hAnsi="Calibri"/>
          <w:i/>
          <w:iCs/>
          <w:sz w:val="22"/>
          <w:szCs w:val="22"/>
          <w:lang w:eastAsia="en-AU"/>
        </w:rPr>
        <w:t>Statement of Expectations 202</w:t>
      </w:r>
      <w:r w:rsidR="00F23C05">
        <w:rPr>
          <w:rFonts w:ascii="Calibri" w:hAnsi="Calibri"/>
          <w:i/>
          <w:iCs/>
          <w:sz w:val="22"/>
          <w:szCs w:val="22"/>
          <w:lang w:eastAsia="en-AU"/>
        </w:rPr>
        <w:t>3</w:t>
      </w:r>
      <w:r w:rsidR="00AC1C15">
        <w:rPr>
          <w:rFonts w:ascii="Calibri" w:hAnsi="Calibri"/>
          <w:sz w:val="22"/>
          <w:szCs w:val="22"/>
          <w:lang w:eastAsia="en-AU"/>
        </w:rPr>
        <w:t xml:space="preserve"> [</w:t>
      </w:r>
      <w:r w:rsidR="00C51921" w:rsidRPr="00C51921">
        <w:rPr>
          <w:rFonts w:ascii="Calibri" w:hAnsi="Calibri"/>
          <w:sz w:val="22"/>
          <w:szCs w:val="22"/>
          <w:lang w:eastAsia="en-AU"/>
        </w:rPr>
        <w:t>NI2023-676</w:t>
      </w:r>
      <w:r w:rsidR="00AC1C15">
        <w:rPr>
          <w:rFonts w:ascii="Calibri" w:hAnsi="Calibri"/>
          <w:sz w:val="22"/>
          <w:szCs w:val="22"/>
          <w:lang w:eastAsia="en-AU"/>
        </w:rPr>
        <w:t>].</w:t>
      </w:r>
    </w:p>
    <w:p w14:paraId="187682DF" w14:textId="158772CA" w:rsidR="00DA7216" w:rsidRPr="00DA7216" w:rsidRDefault="00F30672" w:rsidP="00DA7216">
      <w:pPr>
        <w:rPr>
          <w:rFonts w:ascii="Arial" w:hAnsi="Arial" w:cs="Arial"/>
          <w:b/>
          <w:bCs/>
          <w:color w:val="7030A0"/>
          <w:sz w:val="30"/>
          <w:szCs w:val="30"/>
        </w:rPr>
      </w:pPr>
      <w:r w:rsidRPr="00DA7216">
        <w:rPr>
          <w:rFonts w:ascii="Arial" w:hAnsi="Arial" w:cs="Arial"/>
          <w:b/>
          <w:bCs/>
          <w:color w:val="7030A0"/>
          <w:sz w:val="30"/>
          <w:szCs w:val="30"/>
        </w:rPr>
        <w:t>P</w:t>
      </w:r>
      <w:r w:rsidR="00F66AE5" w:rsidRPr="00DA7216">
        <w:rPr>
          <w:rFonts w:ascii="Arial" w:hAnsi="Arial" w:cs="Arial"/>
          <w:b/>
          <w:bCs/>
          <w:color w:val="7030A0"/>
          <w:sz w:val="30"/>
          <w:szCs w:val="30"/>
        </w:rPr>
        <w:t>ersistent</w:t>
      </w:r>
      <w:r w:rsidRPr="00DA7216">
        <w:rPr>
          <w:rFonts w:ascii="Arial" w:hAnsi="Arial" w:cs="Arial"/>
          <w:b/>
          <w:bCs/>
          <w:color w:val="7030A0"/>
          <w:sz w:val="30"/>
          <w:szCs w:val="30"/>
        </w:rPr>
        <w:t xml:space="preserve"> and Emerging Work Health and Safety Risks</w:t>
      </w:r>
    </w:p>
    <w:p w14:paraId="526841F0" w14:textId="63F05967" w:rsidR="00560E47" w:rsidRDefault="00DC00B7" w:rsidP="00DA7216">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Safe Work Australia’s </w:t>
      </w:r>
      <w:hyperlink r:id="rId10" w:history="1">
        <w:r w:rsidRPr="00DA7216">
          <w:rPr>
            <w:rFonts w:ascii="Calibri" w:hAnsi="Calibri"/>
            <w:color w:val="4F81BD" w:themeColor="accent1"/>
            <w:sz w:val="22"/>
            <w:szCs w:val="22"/>
            <w:u w:val="single"/>
            <w:lang w:eastAsia="en-AU"/>
          </w:rPr>
          <w:t>Australian Work Health and Safety (WHS Strategy) 2023-2033</w:t>
        </w:r>
      </w:hyperlink>
      <w:r w:rsidR="00DA0273">
        <w:rPr>
          <w:rFonts w:ascii="Calibri" w:hAnsi="Calibri"/>
          <w:sz w:val="22"/>
          <w:szCs w:val="22"/>
          <w:lang w:eastAsia="en-AU"/>
        </w:rPr>
        <w:t xml:space="preserve"> </w:t>
      </w:r>
      <w:r w:rsidR="00F66AE5">
        <w:rPr>
          <w:rFonts w:ascii="Calibri" w:hAnsi="Calibri"/>
          <w:sz w:val="22"/>
          <w:szCs w:val="22"/>
          <w:lang w:eastAsia="en-AU"/>
        </w:rPr>
        <w:t xml:space="preserve">(the Australian strategy) </w:t>
      </w:r>
      <w:r>
        <w:rPr>
          <w:rFonts w:ascii="Calibri" w:hAnsi="Calibri"/>
          <w:sz w:val="22"/>
          <w:szCs w:val="22"/>
          <w:lang w:eastAsia="en-AU"/>
        </w:rPr>
        <w:t xml:space="preserve">aims to respond to key WHS challenges and risks </w:t>
      </w:r>
      <w:r w:rsidR="00DA0273">
        <w:rPr>
          <w:rFonts w:ascii="Calibri" w:hAnsi="Calibri"/>
          <w:sz w:val="22"/>
          <w:szCs w:val="22"/>
          <w:lang w:eastAsia="en-AU"/>
        </w:rPr>
        <w:t xml:space="preserve">across Australia </w:t>
      </w:r>
      <w:r>
        <w:rPr>
          <w:rFonts w:ascii="Calibri" w:hAnsi="Calibri"/>
          <w:sz w:val="22"/>
          <w:szCs w:val="22"/>
          <w:lang w:eastAsia="en-AU"/>
        </w:rPr>
        <w:t xml:space="preserve">over the next ten-years and sets a unifying national goal to reduce worker fatalities, injuries and illness. </w:t>
      </w:r>
    </w:p>
    <w:p w14:paraId="3BE236DA" w14:textId="405BDA4E" w:rsidR="00DC00B7" w:rsidRDefault="001258BD" w:rsidP="00560E47">
      <w:pPr>
        <w:spacing w:beforeLines="60" w:before="144" w:afterLines="60" w:after="144" w:line="276" w:lineRule="auto"/>
        <w:rPr>
          <w:rFonts w:ascii="Calibri" w:hAnsi="Calibri"/>
          <w:sz w:val="22"/>
          <w:szCs w:val="22"/>
          <w:lang w:eastAsia="en-AU"/>
        </w:rPr>
      </w:pPr>
      <w:r>
        <w:rPr>
          <w:rFonts w:ascii="Calibri" w:hAnsi="Calibri"/>
          <w:sz w:val="22"/>
          <w:szCs w:val="22"/>
          <w:lang w:eastAsia="en-AU"/>
        </w:rPr>
        <w:t>The Territory contributes to outcomes under the national WHS Strategy through the</w:t>
      </w:r>
      <w:r w:rsidR="00A759B1">
        <w:rPr>
          <w:rFonts w:ascii="Calibri" w:hAnsi="Calibri"/>
          <w:sz w:val="22"/>
          <w:szCs w:val="22"/>
          <w:lang w:eastAsia="en-AU"/>
        </w:rPr>
        <w:t xml:space="preserve"> identified</w:t>
      </w:r>
      <w:r>
        <w:rPr>
          <w:rFonts w:ascii="Calibri" w:hAnsi="Calibri"/>
          <w:sz w:val="22"/>
          <w:szCs w:val="22"/>
          <w:lang w:eastAsia="en-AU"/>
        </w:rPr>
        <w:t xml:space="preserve"> </w:t>
      </w:r>
      <w:r w:rsidR="0000109D">
        <w:rPr>
          <w:rFonts w:ascii="Calibri" w:hAnsi="Calibri"/>
          <w:sz w:val="22"/>
          <w:szCs w:val="22"/>
          <w:lang w:eastAsia="en-AU"/>
        </w:rPr>
        <w:t>n</w:t>
      </w:r>
      <w:r w:rsidR="00DC00B7">
        <w:rPr>
          <w:rFonts w:ascii="Calibri" w:hAnsi="Calibri"/>
          <w:sz w:val="22"/>
          <w:szCs w:val="22"/>
          <w:lang w:eastAsia="en-AU"/>
        </w:rPr>
        <w:t xml:space="preserve">ational </w:t>
      </w:r>
      <w:r w:rsidR="00F66AE5">
        <w:rPr>
          <w:rFonts w:ascii="Calibri" w:hAnsi="Calibri"/>
          <w:sz w:val="22"/>
          <w:szCs w:val="22"/>
          <w:lang w:eastAsia="en-AU"/>
        </w:rPr>
        <w:t xml:space="preserve">persistent and emerging </w:t>
      </w:r>
      <w:r>
        <w:rPr>
          <w:rFonts w:ascii="Calibri" w:hAnsi="Calibri"/>
          <w:sz w:val="22"/>
          <w:szCs w:val="22"/>
          <w:lang w:eastAsia="en-AU"/>
        </w:rPr>
        <w:t>challenges</w:t>
      </w:r>
      <w:r w:rsidR="00A759B1">
        <w:rPr>
          <w:rFonts w:ascii="Calibri" w:hAnsi="Calibri"/>
          <w:sz w:val="22"/>
          <w:szCs w:val="22"/>
          <w:lang w:eastAsia="en-AU"/>
        </w:rPr>
        <w:t>, those being:</w:t>
      </w:r>
    </w:p>
    <w:tbl>
      <w:tblPr>
        <w:tblStyle w:val="TableGrid"/>
        <w:tblW w:w="0" w:type="auto"/>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814"/>
        <w:gridCol w:w="4815"/>
      </w:tblGrid>
      <w:tr w:rsidR="00353EA0" w14:paraId="26C55DF3" w14:textId="77777777" w:rsidTr="001D59E3">
        <w:tc>
          <w:tcPr>
            <w:tcW w:w="4814" w:type="dxa"/>
          </w:tcPr>
          <w:p w14:paraId="0AFEF361" w14:textId="1D145D1E" w:rsidR="00353EA0" w:rsidRPr="00353EA0" w:rsidRDefault="00F66AE5" w:rsidP="00353EA0">
            <w:pPr>
              <w:pStyle w:val="bullet1"/>
              <w:numPr>
                <w:ilvl w:val="0"/>
                <w:numId w:val="12"/>
              </w:numPr>
              <w:spacing w:before="30" w:after="30" w:line="240" w:lineRule="auto"/>
              <w:rPr>
                <w:sz w:val="21"/>
                <w:szCs w:val="21"/>
                <w:lang w:eastAsia="en-AU"/>
              </w:rPr>
            </w:pPr>
            <w:r>
              <w:rPr>
                <w:sz w:val="21"/>
                <w:szCs w:val="21"/>
                <w:lang w:eastAsia="en-AU"/>
              </w:rPr>
              <w:t>managing psychosocial risks</w:t>
            </w:r>
          </w:p>
        </w:tc>
        <w:tc>
          <w:tcPr>
            <w:tcW w:w="4815" w:type="dxa"/>
          </w:tcPr>
          <w:p w14:paraId="71CB7E9E" w14:textId="09BA90C1" w:rsidR="00353EA0" w:rsidRPr="00353EA0" w:rsidRDefault="00F66AE5" w:rsidP="00353EA0">
            <w:pPr>
              <w:pStyle w:val="bullet1"/>
              <w:numPr>
                <w:ilvl w:val="0"/>
                <w:numId w:val="12"/>
              </w:numPr>
              <w:spacing w:before="30" w:after="30" w:line="240" w:lineRule="auto"/>
              <w:rPr>
                <w:sz w:val="21"/>
                <w:szCs w:val="21"/>
                <w:lang w:eastAsia="en-AU"/>
              </w:rPr>
            </w:pPr>
            <w:r>
              <w:rPr>
                <w:sz w:val="21"/>
                <w:szCs w:val="21"/>
              </w:rPr>
              <w:t>rise of artificial intelligence (AI, automation and related technologies</w:t>
            </w:r>
          </w:p>
        </w:tc>
      </w:tr>
      <w:tr w:rsidR="00353EA0" w14:paraId="7DAD16F0" w14:textId="77777777" w:rsidTr="001D59E3">
        <w:tc>
          <w:tcPr>
            <w:tcW w:w="4814" w:type="dxa"/>
          </w:tcPr>
          <w:p w14:paraId="7CB1F224" w14:textId="735CC6A2" w:rsidR="00353EA0" w:rsidRPr="00353EA0" w:rsidRDefault="00353EA0" w:rsidP="00353EA0">
            <w:pPr>
              <w:pStyle w:val="bullet1"/>
              <w:numPr>
                <w:ilvl w:val="0"/>
                <w:numId w:val="12"/>
              </w:numPr>
              <w:spacing w:before="30" w:after="30" w:line="240" w:lineRule="auto"/>
              <w:rPr>
                <w:sz w:val="21"/>
                <w:szCs w:val="21"/>
                <w:lang w:eastAsia="en-AU"/>
              </w:rPr>
            </w:pPr>
            <w:r w:rsidRPr="00A5542B">
              <w:rPr>
                <w:sz w:val="21"/>
                <w:szCs w:val="21"/>
                <w:lang w:eastAsia="en-AU"/>
              </w:rPr>
              <w:t xml:space="preserve">complex supply chains </w:t>
            </w:r>
          </w:p>
        </w:tc>
        <w:tc>
          <w:tcPr>
            <w:tcW w:w="4815" w:type="dxa"/>
          </w:tcPr>
          <w:p w14:paraId="51A33820" w14:textId="33F98857" w:rsidR="00353EA0" w:rsidRPr="00353EA0" w:rsidRDefault="00353EA0" w:rsidP="00353EA0">
            <w:pPr>
              <w:pStyle w:val="bullet1"/>
              <w:numPr>
                <w:ilvl w:val="0"/>
                <w:numId w:val="12"/>
              </w:numPr>
              <w:spacing w:before="30" w:after="30" w:line="240" w:lineRule="auto"/>
              <w:rPr>
                <w:sz w:val="21"/>
                <w:szCs w:val="21"/>
                <w:lang w:eastAsia="en-AU"/>
              </w:rPr>
            </w:pPr>
            <w:r>
              <w:rPr>
                <w:sz w:val="21"/>
                <w:szCs w:val="21"/>
                <w:lang w:eastAsia="en-AU"/>
              </w:rPr>
              <w:t>h</w:t>
            </w:r>
            <w:r w:rsidRPr="00A5542B">
              <w:rPr>
                <w:sz w:val="21"/>
                <w:szCs w:val="21"/>
                <w:lang w:eastAsia="en-AU"/>
              </w:rPr>
              <w:t>ealth and safety vulner</w:t>
            </w:r>
            <w:r w:rsidR="00C20433">
              <w:rPr>
                <w:sz w:val="21"/>
                <w:szCs w:val="21"/>
                <w:lang w:eastAsia="en-AU"/>
              </w:rPr>
              <w:t>ability</w:t>
            </w:r>
          </w:p>
        </w:tc>
      </w:tr>
      <w:tr w:rsidR="00353EA0" w14:paraId="1F56F63C" w14:textId="77777777" w:rsidTr="001D59E3">
        <w:tc>
          <w:tcPr>
            <w:tcW w:w="4814" w:type="dxa"/>
          </w:tcPr>
          <w:p w14:paraId="5F0EB1E9" w14:textId="5F0655AE" w:rsidR="00353EA0" w:rsidRPr="00A5542B" w:rsidRDefault="00353EA0" w:rsidP="00353EA0">
            <w:pPr>
              <w:pStyle w:val="bullet1"/>
              <w:numPr>
                <w:ilvl w:val="0"/>
                <w:numId w:val="12"/>
              </w:numPr>
              <w:spacing w:before="30" w:after="30" w:line="240" w:lineRule="auto"/>
              <w:rPr>
                <w:sz w:val="21"/>
                <w:szCs w:val="21"/>
                <w:lang w:eastAsia="en-AU"/>
              </w:rPr>
            </w:pPr>
            <w:r w:rsidRPr="00A5542B">
              <w:rPr>
                <w:sz w:val="21"/>
                <w:szCs w:val="21"/>
                <w:lang w:eastAsia="en-AU"/>
              </w:rPr>
              <w:t>climate related risks</w:t>
            </w:r>
          </w:p>
        </w:tc>
        <w:tc>
          <w:tcPr>
            <w:tcW w:w="4815" w:type="dxa"/>
          </w:tcPr>
          <w:p w14:paraId="51CC2291" w14:textId="798D0E4A" w:rsidR="00353EA0" w:rsidRDefault="00142C78" w:rsidP="00353EA0">
            <w:pPr>
              <w:pStyle w:val="bullet1"/>
              <w:numPr>
                <w:ilvl w:val="0"/>
                <w:numId w:val="12"/>
              </w:numPr>
              <w:spacing w:before="30" w:after="30" w:line="240" w:lineRule="auto"/>
              <w:rPr>
                <w:sz w:val="21"/>
                <w:szCs w:val="21"/>
                <w:lang w:eastAsia="en-AU"/>
              </w:rPr>
            </w:pPr>
            <w:r>
              <w:rPr>
                <w:sz w:val="21"/>
                <w:szCs w:val="21"/>
                <w:lang w:eastAsia="en-AU"/>
              </w:rPr>
              <w:t>new types of work</w:t>
            </w:r>
          </w:p>
        </w:tc>
      </w:tr>
      <w:tr w:rsidR="00353EA0" w14:paraId="4F086BAE" w14:textId="77777777" w:rsidTr="001D59E3">
        <w:tc>
          <w:tcPr>
            <w:tcW w:w="4814" w:type="dxa"/>
          </w:tcPr>
          <w:p w14:paraId="7455E3EE" w14:textId="112151F9" w:rsidR="00353EA0" w:rsidRPr="00353EA0" w:rsidRDefault="00353EA0" w:rsidP="00353EA0">
            <w:pPr>
              <w:pStyle w:val="bullet1"/>
              <w:numPr>
                <w:ilvl w:val="0"/>
                <w:numId w:val="12"/>
              </w:numPr>
              <w:spacing w:before="30" w:after="30" w:line="240" w:lineRule="auto"/>
              <w:rPr>
                <w:sz w:val="21"/>
                <w:szCs w:val="21"/>
                <w:lang w:eastAsia="en-AU"/>
              </w:rPr>
            </w:pPr>
            <w:r>
              <w:rPr>
                <w:sz w:val="21"/>
                <w:szCs w:val="21"/>
                <w:lang w:eastAsia="en-AU"/>
              </w:rPr>
              <w:t>h</w:t>
            </w:r>
            <w:r w:rsidRPr="00A5542B">
              <w:rPr>
                <w:sz w:val="21"/>
                <w:szCs w:val="21"/>
                <w:lang w:eastAsia="en-AU"/>
              </w:rPr>
              <w:t>ybrid work arrangements</w:t>
            </w:r>
          </w:p>
        </w:tc>
        <w:tc>
          <w:tcPr>
            <w:tcW w:w="4815" w:type="dxa"/>
          </w:tcPr>
          <w:p w14:paraId="1E160D49" w14:textId="425C58FD" w:rsidR="00353EA0" w:rsidRPr="00353EA0" w:rsidRDefault="001D59E3" w:rsidP="00353EA0">
            <w:pPr>
              <w:pStyle w:val="bullet1"/>
              <w:numPr>
                <w:ilvl w:val="0"/>
                <w:numId w:val="12"/>
              </w:numPr>
              <w:spacing w:before="30" w:after="30" w:line="240" w:lineRule="auto"/>
              <w:rPr>
                <w:sz w:val="21"/>
                <w:szCs w:val="21"/>
                <w:lang w:eastAsia="en-AU"/>
              </w:rPr>
            </w:pPr>
            <w:r>
              <w:rPr>
                <w:sz w:val="21"/>
                <w:szCs w:val="21"/>
                <w:lang w:eastAsia="en-AU"/>
              </w:rPr>
              <w:t>small business</w:t>
            </w:r>
          </w:p>
        </w:tc>
      </w:tr>
      <w:tr w:rsidR="00F66AE5" w14:paraId="40687EF0" w14:textId="77777777" w:rsidTr="001D59E3">
        <w:tc>
          <w:tcPr>
            <w:tcW w:w="4814" w:type="dxa"/>
          </w:tcPr>
          <w:p w14:paraId="1D872874" w14:textId="1A76E3DA" w:rsidR="00F66AE5" w:rsidRDefault="00F66AE5" w:rsidP="00353EA0">
            <w:pPr>
              <w:pStyle w:val="bullet1"/>
              <w:numPr>
                <w:ilvl w:val="0"/>
                <w:numId w:val="12"/>
              </w:numPr>
              <w:spacing w:before="30" w:after="30" w:line="240" w:lineRule="auto"/>
              <w:rPr>
                <w:sz w:val="21"/>
                <w:szCs w:val="21"/>
                <w:lang w:eastAsia="en-AU"/>
              </w:rPr>
            </w:pPr>
            <w:r>
              <w:rPr>
                <w:sz w:val="21"/>
                <w:szCs w:val="21"/>
                <w:lang w:eastAsia="en-AU"/>
              </w:rPr>
              <w:t>shifts in workforce demographics</w:t>
            </w:r>
          </w:p>
        </w:tc>
        <w:tc>
          <w:tcPr>
            <w:tcW w:w="4815" w:type="dxa"/>
          </w:tcPr>
          <w:p w14:paraId="6527BC1D" w14:textId="77777777" w:rsidR="00F66AE5" w:rsidRDefault="00F66AE5" w:rsidP="00F66AE5">
            <w:pPr>
              <w:pStyle w:val="bullet1"/>
              <w:spacing w:before="30" w:after="30" w:line="240" w:lineRule="auto"/>
              <w:rPr>
                <w:sz w:val="21"/>
                <w:szCs w:val="21"/>
                <w:lang w:eastAsia="en-AU"/>
              </w:rPr>
            </w:pPr>
          </w:p>
        </w:tc>
      </w:tr>
    </w:tbl>
    <w:p w14:paraId="48ADEDC9" w14:textId="6BD355DF" w:rsidR="00320399" w:rsidRDefault="00320399" w:rsidP="00342F66">
      <w:pPr>
        <w:pStyle w:val="bullet1"/>
        <w:spacing w:before="30" w:after="30" w:line="240" w:lineRule="auto"/>
        <w:rPr>
          <w:sz w:val="21"/>
          <w:szCs w:val="21"/>
          <w:lang w:eastAsia="en-AU"/>
        </w:rPr>
      </w:pPr>
    </w:p>
    <w:p w14:paraId="6AB986DC" w14:textId="5720E987" w:rsidR="00424D8B" w:rsidRPr="00424D8B" w:rsidRDefault="00424D8B" w:rsidP="00342F66">
      <w:pPr>
        <w:pStyle w:val="bullet1"/>
        <w:spacing w:before="30" w:after="30" w:line="240" w:lineRule="auto"/>
        <w:rPr>
          <w:szCs w:val="22"/>
          <w:lang w:eastAsia="en-AU"/>
        </w:rPr>
      </w:pPr>
      <w:r w:rsidRPr="00424D8B">
        <w:rPr>
          <w:szCs w:val="22"/>
          <w:lang w:eastAsia="en-AU"/>
        </w:rPr>
        <w:t xml:space="preserve">The Territory also contributes to nationally endorsed objectives to eliminate asbestos and silica related diseases through targets and objectives identified in the </w:t>
      </w:r>
      <w:hyperlink r:id="rId11" w:history="1">
        <w:r w:rsidRPr="00424D8B">
          <w:rPr>
            <w:rStyle w:val="Hyperlink"/>
            <w:szCs w:val="22"/>
            <w:lang w:eastAsia="en-AU"/>
          </w:rPr>
          <w:t>Phase Three Asbestos National Strategic Plan 2024-2030 - January 2024</w:t>
        </w:r>
      </w:hyperlink>
      <w:r>
        <w:rPr>
          <w:szCs w:val="22"/>
          <w:lang w:eastAsia="en-AU"/>
        </w:rPr>
        <w:t xml:space="preserve"> and </w:t>
      </w:r>
      <w:hyperlink r:id="rId12" w:history="1">
        <w:r w:rsidRPr="00424D8B">
          <w:rPr>
            <w:rStyle w:val="Hyperlink"/>
            <w:szCs w:val="22"/>
            <w:lang w:eastAsia="en-AU"/>
          </w:rPr>
          <w:t>Silica National Strategic Plan 2024-30</w:t>
        </w:r>
      </w:hyperlink>
      <w:r>
        <w:rPr>
          <w:szCs w:val="22"/>
          <w:lang w:eastAsia="en-AU"/>
        </w:rPr>
        <w:t>.</w:t>
      </w:r>
    </w:p>
    <w:p w14:paraId="080DCF41" w14:textId="77777777" w:rsidR="00424D8B" w:rsidRPr="00424D8B" w:rsidRDefault="00424D8B" w:rsidP="00342F66">
      <w:pPr>
        <w:pStyle w:val="bullet1"/>
        <w:spacing w:before="30" w:after="30" w:line="240" w:lineRule="auto"/>
        <w:rPr>
          <w:szCs w:val="22"/>
          <w:lang w:eastAsia="en-AU"/>
        </w:rPr>
      </w:pPr>
    </w:p>
    <w:p w14:paraId="28ED2FCD" w14:textId="77777777" w:rsidR="00142C78" w:rsidRPr="00DA7216" w:rsidRDefault="00142C78" w:rsidP="00DA7216">
      <w:pPr>
        <w:rPr>
          <w:rFonts w:ascii="Arial" w:hAnsi="Arial" w:cs="Arial"/>
          <w:b/>
          <w:bCs/>
          <w:color w:val="7030A0"/>
          <w:sz w:val="30"/>
          <w:szCs w:val="30"/>
        </w:rPr>
      </w:pPr>
      <w:r w:rsidRPr="00DA7216">
        <w:rPr>
          <w:rFonts w:ascii="Arial" w:hAnsi="Arial" w:cs="Arial"/>
          <w:b/>
          <w:bCs/>
          <w:color w:val="7030A0"/>
          <w:sz w:val="30"/>
          <w:szCs w:val="30"/>
        </w:rPr>
        <w:t xml:space="preserve">Priority activities and initiatives </w:t>
      </w:r>
    </w:p>
    <w:p w14:paraId="2E4F8D7C" w14:textId="77777777" w:rsidR="00142C78" w:rsidRPr="002805EF" w:rsidRDefault="00142C78" w:rsidP="00142C78">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Everyone has the right to a safe workplace with fair conditions. Safety is everyone’s responsibility and WorkSafe ACT has an integral role in driving a</w:t>
      </w:r>
      <w:r>
        <w:rPr>
          <w:rFonts w:ascii="Calibri" w:hAnsi="Calibri"/>
          <w:sz w:val="22"/>
          <w:szCs w:val="22"/>
          <w:lang w:eastAsia="en-AU"/>
        </w:rPr>
        <w:t xml:space="preserve">n outstanding </w:t>
      </w:r>
      <w:r w:rsidRPr="002805EF">
        <w:rPr>
          <w:rFonts w:ascii="Calibri" w:hAnsi="Calibri"/>
          <w:sz w:val="22"/>
          <w:szCs w:val="22"/>
          <w:lang w:eastAsia="en-AU"/>
        </w:rPr>
        <w:t>work safety culture in the ACT through its regulatory compliance and enforcement activities, and advice to government, workers</w:t>
      </w:r>
      <w:r>
        <w:rPr>
          <w:rFonts w:ascii="Calibri" w:hAnsi="Calibri"/>
          <w:sz w:val="22"/>
          <w:szCs w:val="22"/>
          <w:lang w:eastAsia="en-AU"/>
        </w:rPr>
        <w:t>,</w:t>
      </w:r>
      <w:r w:rsidRPr="002805EF">
        <w:rPr>
          <w:rFonts w:ascii="Calibri" w:hAnsi="Calibri"/>
          <w:sz w:val="22"/>
          <w:szCs w:val="22"/>
          <w:lang w:eastAsia="en-AU"/>
        </w:rPr>
        <w:t xml:space="preserve"> and employers. </w:t>
      </w:r>
    </w:p>
    <w:p w14:paraId="3CF3A8DC" w14:textId="77777777" w:rsidR="00142C78" w:rsidRPr="002805EF" w:rsidRDefault="00142C78" w:rsidP="00142C78">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 xml:space="preserve">In driving an outstanding safety culture across the ACT, WorkSafe ACT should focus on the expectations outlined in this </w:t>
      </w:r>
      <w:r>
        <w:rPr>
          <w:rFonts w:ascii="Calibri" w:hAnsi="Calibri"/>
          <w:sz w:val="22"/>
          <w:szCs w:val="22"/>
          <w:lang w:eastAsia="en-AU"/>
        </w:rPr>
        <w:t>S</w:t>
      </w:r>
      <w:r w:rsidRPr="002805EF">
        <w:rPr>
          <w:rFonts w:ascii="Calibri" w:hAnsi="Calibri"/>
          <w:sz w:val="22"/>
          <w:szCs w:val="22"/>
          <w:lang w:eastAsia="en-AU"/>
        </w:rPr>
        <w:t>tatement over the next 12</w:t>
      </w:r>
      <w:r>
        <w:rPr>
          <w:rFonts w:ascii="Calibri" w:hAnsi="Calibri"/>
          <w:sz w:val="22"/>
          <w:szCs w:val="22"/>
          <w:lang w:eastAsia="en-AU"/>
        </w:rPr>
        <w:t xml:space="preserve"> </w:t>
      </w:r>
      <w:r w:rsidRPr="002805EF">
        <w:rPr>
          <w:rFonts w:ascii="Calibri" w:hAnsi="Calibri"/>
          <w:sz w:val="22"/>
          <w:szCs w:val="22"/>
          <w:lang w:eastAsia="en-AU"/>
        </w:rPr>
        <w:t xml:space="preserve">months. This </w:t>
      </w:r>
      <w:r>
        <w:rPr>
          <w:rFonts w:ascii="Calibri" w:hAnsi="Calibri"/>
          <w:sz w:val="22"/>
          <w:szCs w:val="22"/>
          <w:lang w:eastAsia="en-AU"/>
        </w:rPr>
        <w:t>S</w:t>
      </w:r>
      <w:r w:rsidRPr="002805EF">
        <w:rPr>
          <w:rFonts w:ascii="Calibri" w:hAnsi="Calibri"/>
          <w:sz w:val="22"/>
          <w:szCs w:val="22"/>
          <w:lang w:eastAsia="en-AU"/>
        </w:rPr>
        <w:t xml:space="preserve">tatement </w:t>
      </w:r>
      <w:r>
        <w:rPr>
          <w:rFonts w:ascii="Calibri" w:hAnsi="Calibri"/>
          <w:sz w:val="22"/>
          <w:szCs w:val="22"/>
          <w:lang w:eastAsia="en-AU"/>
        </w:rPr>
        <w:t xml:space="preserve">also </w:t>
      </w:r>
      <w:r w:rsidRPr="002805EF">
        <w:rPr>
          <w:rFonts w:ascii="Calibri" w:hAnsi="Calibri"/>
          <w:sz w:val="22"/>
          <w:szCs w:val="22"/>
          <w:lang w:eastAsia="en-AU"/>
        </w:rPr>
        <w:t>recognises the significant and ongoing nature of the priorities highlighted in the previous</w:t>
      </w:r>
      <w:r>
        <w:rPr>
          <w:rFonts w:ascii="Calibri" w:hAnsi="Calibri"/>
          <w:sz w:val="22"/>
          <w:szCs w:val="22"/>
          <w:lang w:eastAsia="en-AU"/>
        </w:rPr>
        <w:t xml:space="preserve"> statement</w:t>
      </w:r>
      <w:r w:rsidRPr="002805EF">
        <w:rPr>
          <w:rFonts w:ascii="Calibri" w:hAnsi="Calibri"/>
          <w:sz w:val="22"/>
          <w:szCs w:val="22"/>
          <w:lang w:eastAsia="en-AU"/>
        </w:rPr>
        <w:t xml:space="preserve">. </w:t>
      </w:r>
    </w:p>
    <w:p w14:paraId="6A3232AB" w14:textId="77777777" w:rsidR="00DE5008" w:rsidRDefault="00142C78" w:rsidP="00142C78">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lastRenderedPageBreak/>
        <w:t xml:space="preserve">Industry and community engagement is integral to improving </w:t>
      </w:r>
      <w:r>
        <w:rPr>
          <w:rFonts w:ascii="Calibri" w:hAnsi="Calibri"/>
          <w:sz w:val="22"/>
          <w:szCs w:val="22"/>
          <w:lang w:eastAsia="en-AU"/>
        </w:rPr>
        <w:t xml:space="preserve">workplace </w:t>
      </w:r>
      <w:r w:rsidRPr="002805EF">
        <w:rPr>
          <w:rFonts w:ascii="Calibri" w:hAnsi="Calibri"/>
          <w:sz w:val="22"/>
          <w:szCs w:val="22"/>
          <w:lang w:eastAsia="en-AU"/>
        </w:rPr>
        <w:t>cultu</w:t>
      </w:r>
      <w:r>
        <w:rPr>
          <w:rFonts w:ascii="Calibri" w:hAnsi="Calibri"/>
          <w:sz w:val="22"/>
          <w:szCs w:val="22"/>
          <w:lang w:eastAsia="en-AU"/>
        </w:rPr>
        <w:t>re</w:t>
      </w:r>
      <w:r w:rsidR="00E74830">
        <w:rPr>
          <w:rFonts w:ascii="Calibri" w:hAnsi="Calibri"/>
          <w:sz w:val="22"/>
          <w:szCs w:val="22"/>
          <w:lang w:eastAsia="en-AU"/>
        </w:rPr>
        <w:t xml:space="preserve">, integrating an organisational focus on safety and </w:t>
      </w:r>
      <w:r w:rsidR="006B1165">
        <w:rPr>
          <w:rFonts w:ascii="Calibri" w:hAnsi="Calibri"/>
          <w:sz w:val="22"/>
          <w:szCs w:val="22"/>
          <w:lang w:eastAsia="en-AU"/>
        </w:rPr>
        <w:t xml:space="preserve">building safety capability </w:t>
      </w:r>
      <w:r w:rsidR="002E64EE">
        <w:rPr>
          <w:rFonts w:ascii="Calibri" w:hAnsi="Calibri"/>
          <w:sz w:val="22"/>
          <w:szCs w:val="22"/>
          <w:lang w:eastAsia="en-AU"/>
        </w:rPr>
        <w:t xml:space="preserve">(eg. </w:t>
      </w:r>
      <w:r w:rsidR="006B1165">
        <w:rPr>
          <w:rFonts w:ascii="Calibri" w:hAnsi="Calibri"/>
          <w:sz w:val="22"/>
          <w:szCs w:val="22"/>
          <w:lang w:eastAsia="en-AU"/>
        </w:rPr>
        <w:t>health and safety representatives</w:t>
      </w:r>
      <w:r w:rsidR="002E64EE">
        <w:rPr>
          <w:rFonts w:ascii="Calibri" w:hAnsi="Calibri"/>
          <w:sz w:val="22"/>
          <w:szCs w:val="22"/>
          <w:lang w:eastAsia="en-AU"/>
        </w:rPr>
        <w:t xml:space="preserve"> capability)</w:t>
      </w:r>
      <w:r w:rsidRPr="002805EF">
        <w:rPr>
          <w:rFonts w:ascii="Calibri" w:hAnsi="Calibri"/>
          <w:sz w:val="22"/>
          <w:szCs w:val="22"/>
          <w:lang w:eastAsia="en-AU"/>
        </w:rPr>
        <w:t xml:space="preserve">. </w:t>
      </w:r>
    </w:p>
    <w:p w14:paraId="6AA1DF74" w14:textId="133EC5AD" w:rsidR="00142C78" w:rsidRDefault="00DE5008" w:rsidP="00142C78">
      <w:pPr>
        <w:spacing w:beforeLines="60" w:before="144" w:afterLines="60" w:after="144" w:line="276" w:lineRule="auto"/>
        <w:rPr>
          <w:rFonts w:ascii="Calibri" w:hAnsi="Calibri"/>
          <w:sz w:val="22"/>
          <w:szCs w:val="22"/>
          <w:lang w:eastAsia="en-AU"/>
        </w:rPr>
      </w:pPr>
      <w:r>
        <w:rPr>
          <w:rFonts w:ascii="Calibri" w:hAnsi="Calibri"/>
          <w:sz w:val="22"/>
          <w:szCs w:val="22"/>
          <w:lang w:eastAsia="en-AU"/>
        </w:rPr>
        <w:t>P</w:t>
      </w:r>
      <w:r w:rsidR="00142C78" w:rsidRPr="002805EF">
        <w:rPr>
          <w:rFonts w:ascii="Calibri" w:hAnsi="Calibri"/>
          <w:sz w:val="22"/>
          <w:szCs w:val="22"/>
          <w:lang w:eastAsia="en-AU"/>
        </w:rPr>
        <w:t xml:space="preserve">riority initiatives and activities should be planned and implemented taking into consideration the views of ACT workers, trade unions, employers, their representative bodies and the WHS Council. </w:t>
      </w:r>
    </w:p>
    <w:p w14:paraId="266A69B3" w14:textId="7A11A75B" w:rsidR="008714B6" w:rsidRPr="008714B6" w:rsidRDefault="005A7ADD" w:rsidP="00DE5008">
      <w:pPr>
        <w:spacing w:beforeLines="100" w:before="240" w:afterLines="60" w:after="144" w:line="276" w:lineRule="auto"/>
        <w:rPr>
          <w:rFonts w:ascii="Arial Bold" w:hAnsi="Arial Bold"/>
          <w:bCs/>
          <w:color w:val="808080"/>
          <w:szCs w:val="26"/>
        </w:rPr>
      </w:pPr>
      <w:r>
        <w:rPr>
          <w:rFonts w:ascii="Arial Bold" w:hAnsi="Arial Bold"/>
          <w:bCs/>
          <w:color w:val="808080"/>
          <w:szCs w:val="26"/>
        </w:rPr>
        <w:t>Reducing worker fatalities</w:t>
      </w:r>
    </w:p>
    <w:p w14:paraId="5B65AD3A" w14:textId="6C32B651" w:rsidR="008714B6" w:rsidRDefault="008714B6" w:rsidP="008714B6">
      <w:pPr>
        <w:spacing w:beforeLines="60" w:before="144" w:afterLines="60" w:after="144" w:line="276" w:lineRule="auto"/>
        <w:rPr>
          <w:rFonts w:ascii="Calibri" w:hAnsi="Calibri"/>
          <w:sz w:val="22"/>
          <w:szCs w:val="22"/>
          <w:lang w:eastAsia="en-AU"/>
        </w:rPr>
      </w:pPr>
      <w:r w:rsidRPr="008714B6">
        <w:rPr>
          <w:rFonts w:ascii="Calibri" w:hAnsi="Calibri"/>
          <w:sz w:val="22"/>
          <w:szCs w:val="22"/>
          <w:lang w:eastAsia="en-AU"/>
        </w:rPr>
        <w:t xml:space="preserve">The ACT Government is committed to achieving a target of zero workplace fatalities and WorkSafe ACT is integral to preventing work related serious injury, </w:t>
      </w:r>
      <w:r w:rsidR="00142C78">
        <w:rPr>
          <w:rFonts w:ascii="Calibri" w:hAnsi="Calibri"/>
          <w:sz w:val="22"/>
          <w:szCs w:val="22"/>
          <w:lang w:eastAsia="en-AU"/>
        </w:rPr>
        <w:t>illness</w:t>
      </w:r>
      <w:r w:rsidRPr="008714B6">
        <w:rPr>
          <w:rFonts w:ascii="Calibri" w:hAnsi="Calibri"/>
          <w:sz w:val="22"/>
          <w:szCs w:val="22"/>
          <w:lang w:eastAsia="en-AU"/>
        </w:rPr>
        <w:t xml:space="preserve"> and fatality.</w:t>
      </w:r>
    </w:p>
    <w:p w14:paraId="694869AB" w14:textId="4297C22B" w:rsidR="00690CBD" w:rsidRPr="00E44F3A" w:rsidRDefault="00690CBD"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Targeting attention and activities to those industries with the highest rates of injur</w:t>
      </w:r>
      <w:r w:rsidR="00F42250" w:rsidRPr="00E44F3A">
        <w:rPr>
          <w:rFonts w:ascii="Calibri" w:hAnsi="Calibri"/>
          <w:b/>
          <w:bCs/>
          <w:sz w:val="22"/>
          <w:szCs w:val="22"/>
          <w:lang w:eastAsia="en-AU"/>
        </w:rPr>
        <w:t>y and</w:t>
      </w:r>
      <w:r w:rsidRPr="00E44F3A">
        <w:rPr>
          <w:rFonts w:ascii="Calibri" w:hAnsi="Calibri"/>
          <w:b/>
          <w:bCs/>
          <w:sz w:val="22"/>
          <w:szCs w:val="22"/>
          <w:lang w:eastAsia="en-AU"/>
        </w:rPr>
        <w:t xml:space="preserve"> illness</w:t>
      </w:r>
      <w:r w:rsidR="00F42250" w:rsidRPr="00E44F3A">
        <w:rPr>
          <w:rFonts w:ascii="Calibri" w:hAnsi="Calibri"/>
          <w:b/>
          <w:bCs/>
          <w:sz w:val="22"/>
          <w:szCs w:val="22"/>
          <w:lang w:eastAsia="en-AU"/>
        </w:rPr>
        <w:t>, particularly where there is a history of fatality</w:t>
      </w:r>
      <w:r w:rsidR="00591C92" w:rsidRPr="00E44F3A">
        <w:rPr>
          <w:rFonts w:ascii="Calibri" w:hAnsi="Calibri"/>
          <w:b/>
          <w:bCs/>
          <w:sz w:val="22"/>
          <w:szCs w:val="22"/>
          <w:lang w:eastAsia="en-AU"/>
        </w:rPr>
        <w:t>,</w:t>
      </w:r>
      <w:r w:rsidR="00F42250" w:rsidRPr="00E44F3A">
        <w:rPr>
          <w:rFonts w:ascii="Calibri" w:hAnsi="Calibri"/>
          <w:b/>
          <w:bCs/>
          <w:sz w:val="22"/>
          <w:szCs w:val="22"/>
          <w:lang w:eastAsia="en-AU"/>
        </w:rPr>
        <w:t xml:space="preserve"> </w:t>
      </w:r>
      <w:r w:rsidRPr="00E44F3A">
        <w:rPr>
          <w:rFonts w:ascii="Calibri" w:hAnsi="Calibri"/>
          <w:b/>
          <w:bCs/>
          <w:sz w:val="22"/>
          <w:szCs w:val="22"/>
          <w:lang w:eastAsia="en-AU"/>
        </w:rPr>
        <w:t>w</w:t>
      </w:r>
      <w:r w:rsidR="00F42250" w:rsidRPr="00E44F3A">
        <w:rPr>
          <w:rFonts w:ascii="Calibri" w:hAnsi="Calibri"/>
          <w:b/>
          <w:bCs/>
          <w:sz w:val="22"/>
          <w:szCs w:val="22"/>
          <w:lang w:eastAsia="en-AU"/>
        </w:rPr>
        <w:t xml:space="preserve">ould assist in </w:t>
      </w:r>
      <w:r w:rsidRPr="00E44F3A">
        <w:rPr>
          <w:rFonts w:ascii="Calibri" w:hAnsi="Calibri"/>
          <w:b/>
          <w:bCs/>
          <w:sz w:val="22"/>
          <w:szCs w:val="22"/>
          <w:lang w:eastAsia="en-AU"/>
        </w:rPr>
        <w:t xml:space="preserve">reducing </w:t>
      </w:r>
      <w:r w:rsidR="00F42250" w:rsidRPr="00E44F3A">
        <w:rPr>
          <w:rFonts w:ascii="Calibri" w:hAnsi="Calibri"/>
          <w:b/>
          <w:bCs/>
          <w:sz w:val="22"/>
          <w:szCs w:val="22"/>
          <w:lang w:eastAsia="en-AU"/>
        </w:rPr>
        <w:t xml:space="preserve">work related </w:t>
      </w:r>
      <w:r w:rsidRPr="00E44F3A">
        <w:rPr>
          <w:rFonts w:ascii="Calibri" w:hAnsi="Calibri"/>
          <w:b/>
          <w:bCs/>
          <w:sz w:val="22"/>
          <w:szCs w:val="22"/>
          <w:lang w:eastAsia="en-AU"/>
        </w:rPr>
        <w:t>fatalit</w:t>
      </w:r>
      <w:r w:rsidR="00F42250" w:rsidRPr="00E44F3A">
        <w:rPr>
          <w:rFonts w:ascii="Calibri" w:hAnsi="Calibri"/>
          <w:b/>
          <w:bCs/>
          <w:sz w:val="22"/>
          <w:szCs w:val="22"/>
          <w:lang w:eastAsia="en-AU"/>
        </w:rPr>
        <w:t>y</w:t>
      </w:r>
      <w:r w:rsidRPr="00E44F3A">
        <w:rPr>
          <w:rFonts w:ascii="Calibri" w:hAnsi="Calibri"/>
          <w:b/>
          <w:bCs/>
          <w:sz w:val="22"/>
          <w:szCs w:val="22"/>
          <w:lang w:eastAsia="en-AU"/>
        </w:rPr>
        <w:t xml:space="preserve">. </w:t>
      </w:r>
    </w:p>
    <w:p w14:paraId="3F6D64C3" w14:textId="1B259F1C" w:rsidR="00C12AC5" w:rsidRPr="00E44F3A" w:rsidRDefault="008714B6"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ACT should </w:t>
      </w:r>
      <w:r w:rsidR="00591C92" w:rsidRPr="00E44F3A">
        <w:rPr>
          <w:rFonts w:ascii="Calibri" w:hAnsi="Calibri"/>
          <w:b/>
          <w:bCs/>
          <w:sz w:val="22"/>
          <w:szCs w:val="22"/>
          <w:lang w:eastAsia="en-AU"/>
        </w:rPr>
        <w:t>continue to</w:t>
      </w:r>
      <w:r w:rsidRPr="00E44F3A">
        <w:rPr>
          <w:rFonts w:ascii="Calibri" w:hAnsi="Calibri"/>
          <w:b/>
          <w:bCs/>
          <w:sz w:val="22"/>
          <w:szCs w:val="22"/>
          <w:lang w:eastAsia="en-AU"/>
        </w:rPr>
        <w:t xml:space="preserve"> ensure that supports </w:t>
      </w:r>
      <w:r w:rsidR="00684098" w:rsidRPr="00E44F3A">
        <w:rPr>
          <w:rFonts w:ascii="Calibri" w:hAnsi="Calibri"/>
          <w:b/>
          <w:bCs/>
          <w:sz w:val="22"/>
          <w:szCs w:val="22"/>
          <w:lang w:eastAsia="en-AU"/>
        </w:rPr>
        <w:t xml:space="preserve">provided </w:t>
      </w:r>
      <w:r w:rsidRPr="00E44F3A">
        <w:rPr>
          <w:rFonts w:ascii="Calibri" w:hAnsi="Calibri"/>
          <w:b/>
          <w:bCs/>
          <w:sz w:val="22"/>
          <w:szCs w:val="22"/>
          <w:lang w:eastAsia="en-AU"/>
        </w:rPr>
        <w:t xml:space="preserve">to families in the event of a workplace death or serious injury </w:t>
      </w:r>
      <w:r w:rsidR="00684098" w:rsidRPr="00E44F3A">
        <w:rPr>
          <w:rFonts w:ascii="Calibri" w:hAnsi="Calibri"/>
          <w:b/>
          <w:bCs/>
          <w:sz w:val="22"/>
          <w:szCs w:val="22"/>
          <w:lang w:eastAsia="en-AU"/>
        </w:rPr>
        <w:t xml:space="preserve">are </w:t>
      </w:r>
      <w:r w:rsidRPr="00E44F3A">
        <w:rPr>
          <w:rFonts w:ascii="Calibri" w:hAnsi="Calibri"/>
          <w:b/>
          <w:bCs/>
          <w:sz w:val="22"/>
          <w:szCs w:val="22"/>
          <w:lang w:eastAsia="en-AU"/>
        </w:rPr>
        <w:t>meet</w:t>
      </w:r>
      <w:r w:rsidR="0077410E" w:rsidRPr="00E44F3A">
        <w:rPr>
          <w:rFonts w:ascii="Calibri" w:hAnsi="Calibri"/>
          <w:b/>
          <w:bCs/>
          <w:sz w:val="22"/>
          <w:szCs w:val="22"/>
          <w:lang w:eastAsia="en-AU"/>
        </w:rPr>
        <w:t>ing</w:t>
      </w:r>
      <w:r w:rsidRPr="00E44F3A">
        <w:rPr>
          <w:rFonts w:ascii="Calibri" w:hAnsi="Calibri"/>
          <w:b/>
          <w:bCs/>
          <w:sz w:val="22"/>
          <w:szCs w:val="22"/>
          <w:lang w:eastAsia="en-AU"/>
        </w:rPr>
        <w:t xml:space="preserve"> community expectations and deliver better outcomes for families impacted by workplace deaths or serious workplace injuries.</w:t>
      </w:r>
    </w:p>
    <w:p w14:paraId="682843ED" w14:textId="6BC2C69E" w:rsidR="00CD6F3D" w:rsidRPr="00545C06" w:rsidRDefault="00F30672" w:rsidP="00DE5008">
      <w:pPr>
        <w:spacing w:beforeLines="100" w:before="240" w:afterLines="60" w:after="144" w:line="276" w:lineRule="auto"/>
        <w:rPr>
          <w:rFonts w:ascii="Arial" w:hAnsi="Arial" w:cs="Arial"/>
          <w:b/>
          <w:color w:val="808080"/>
          <w:szCs w:val="26"/>
        </w:rPr>
      </w:pPr>
      <w:r w:rsidRPr="00545C06">
        <w:rPr>
          <w:rFonts w:ascii="Arial" w:hAnsi="Arial" w:cs="Arial"/>
          <w:b/>
          <w:color w:val="808080"/>
          <w:szCs w:val="26"/>
        </w:rPr>
        <w:t>Psychosocial hazards in the workplace</w:t>
      </w:r>
      <w:bookmarkStart w:id="2" w:name="_Hlk113173634"/>
    </w:p>
    <w:p w14:paraId="689F03AC" w14:textId="32190942" w:rsidR="008714B6" w:rsidRDefault="00D8123E"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Work-related psychosocial hazards create risks t</w:t>
      </w:r>
      <w:r w:rsidR="003B2629">
        <w:rPr>
          <w:rFonts w:ascii="Calibri" w:hAnsi="Calibri"/>
          <w:sz w:val="22"/>
          <w:szCs w:val="22"/>
          <w:lang w:eastAsia="en-AU"/>
        </w:rPr>
        <w:t>o</w:t>
      </w:r>
      <w:r>
        <w:rPr>
          <w:rFonts w:ascii="Calibri" w:hAnsi="Calibri"/>
          <w:sz w:val="22"/>
          <w:szCs w:val="22"/>
          <w:lang w:eastAsia="en-AU"/>
        </w:rPr>
        <w:t xml:space="preserve"> physical and psychological h</w:t>
      </w:r>
      <w:r w:rsidR="00142C78">
        <w:rPr>
          <w:rFonts w:ascii="Calibri" w:hAnsi="Calibri"/>
          <w:sz w:val="22"/>
          <w:szCs w:val="22"/>
          <w:lang w:eastAsia="en-AU"/>
        </w:rPr>
        <w:t>ealth</w:t>
      </w:r>
      <w:r>
        <w:rPr>
          <w:rFonts w:ascii="Calibri" w:hAnsi="Calibri"/>
          <w:sz w:val="22"/>
          <w:szCs w:val="22"/>
          <w:lang w:eastAsia="en-AU"/>
        </w:rPr>
        <w:t xml:space="preserve"> for workers. The </w:t>
      </w:r>
      <w:r w:rsidR="00560E47" w:rsidRPr="00560E47">
        <w:rPr>
          <w:rFonts w:ascii="Calibri" w:hAnsi="Calibri"/>
          <w:i/>
          <w:iCs/>
          <w:sz w:val="22"/>
          <w:szCs w:val="22"/>
          <w:lang w:eastAsia="en-AU"/>
        </w:rPr>
        <w:t>ACT Managing Psychosocial Hazards at Work Code of Practice</w:t>
      </w:r>
      <w:r w:rsidR="00560E47">
        <w:rPr>
          <w:rFonts w:ascii="Calibri" w:hAnsi="Calibri"/>
          <w:sz w:val="22"/>
          <w:szCs w:val="22"/>
          <w:lang w:eastAsia="en-AU"/>
        </w:rPr>
        <w:t>, which commence</w:t>
      </w:r>
      <w:r w:rsidR="00F6435B">
        <w:rPr>
          <w:rFonts w:ascii="Calibri" w:hAnsi="Calibri"/>
          <w:sz w:val="22"/>
          <w:szCs w:val="22"/>
          <w:lang w:eastAsia="en-AU"/>
        </w:rPr>
        <w:t>d</w:t>
      </w:r>
      <w:r w:rsidR="00560E47">
        <w:rPr>
          <w:rFonts w:ascii="Calibri" w:hAnsi="Calibri"/>
          <w:sz w:val="22"/>
          <w:szCs w:val="22"/>
          <w:lang w:eastAsia="en-AU"/>
        </w:rPr>
        <w:t xml:space="preserve"> </w:t>
      </w:r>
      <w:r>
        <w:rPr>
          <w:rFonts w:ascii="Calibri" w:hAnsi="Calibri"/>
          <w:sz w:val="22"/>
          <w:szCs w:val="22"/>
          <w:lang w:eastAsia="en-AU"/>
        </w:rPr>
        <w:t xml:space="preserve">in </w:t>
      </w:r>
      <w:r w:rsidR="00560E47">
        <w:rPr>
          <w:rFonts w:ascii="Calibri" w:hAnsi="Calibri"/>
          <w:sz w:val="22"/>
          <w:szCs w:val="22"/>
          <w:lang w:eastAsia="en-AU"/>
        </w:rPr>
        <w:t>November 2023</w:t>
      </w:r>
      <w:r>
        <w:rPr>
          <w:rFonts w:ascii="Calibri" w:hAnsi="Calibri"/>
          <w:sz w:val="22"/>
          <w:szCs w:val="22"/>
          <w:lang w:eastAsia="en-AU"/>
        </w:rPr>
        <w:t xml:space="preserve">, assists </w:t>
      </w:r>
      <w:r w:rsidR="0020135B">
        <w:rPr>
          <w:rFonts w:ascii="Calibri" w:hAnsi="Calibri"/>
          <w:sz w:val="22"/>
          <w:szCs w:val="22"/>
          <w:lang w:eastAsia="en-AU"/>
        </w:rPr>
        <w:t>persons conducting a business or undertaking (P</w:t>
      </w:r>
      <w:r w:rsidR="0020135B" w:rsidRPr="002805EF">
        <w:rPr>
          <w:rFonts w:ascii="Calibri" w:hAnsi="Calibri"/>
          <w:sz w:val="22"/>
          <w:szCs w:val="22"/>
          <w:lang w:eastAsia="en-AU"/>
        </w:rPr>
        <w:t>CBUs</w:t>
      </w:r>
      <w:r w:rsidR="0020135B">
        <w:rPr>
          <w:rFonts w:ascii="Calibri" w:hAnsi="Calibri"/>
          <w:sz w:val="22"/>
          <w:szCs w:val="22"/>
          <w:lang w:eastAsia="en-AU"/>
        </w:rPr>
        <w:t>)</w:t>
      </w:r>
      <w:r>
        <w:rPr>
          <w:rFonts w:ascii="Calibri" w:hAnsi="Calibri"/>
          <w:sz w:val="22"/>
          <w:szCs w:val="22"/>
          <w:lang w:eastAsia="en-AU"/>
        </w:rPr>
        <w:t xml:space="preserve"> to manage these risks</w:t>
      </w:r>
      <w:r w:rsidR="00560E47">
        <w:rPr>
          <w:rFonts w:ascii="Calibri" w:hAnsi="Calibri"/>
          <w:sz w:val="22"/>
          <w:szCs w:val="22"/>
          <w:lang w:eastAsia="en-AU"/>
        </w:rPr>
        <w:t>.</w:t>
      </w:r>
    </w:p>
    <w:p w14:paraId="66836F3A" w14:textId="65D973CE" w:rsidR="0077410E" w:rsidRPr="00E44F3A" w:rsidRDefault="00F30672"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ACT should continue its </w:t>
      </w:r>
      <w:r w:rsidR="00D8123E" w:rsidRPr="00E44F3A">
        <w:rPr>
          <w:rFonts w:ascii="Calibri" w:hAnsi="Calibri"/>
          <w:b/>
          <w:bCs/>
          <w:sz w:val="22"/>
          <w:szCs w:val="22"/>
          <w:lang w:eastAsia="en-AU"/>
        </w:rPr>
        <w:t xml:space="preserve">focus on regulatory activities that </w:t>
      </w:r>
      <w:r w:rsidR="003B2629">
        <w:rPr>
          <w:rFonts w:ascii="Calibri" w:hAnsi="Calibri"/>
          <w:b/>
          <w:bCs/>
          <w:sz w:val="22"/>
          <w:szCs w:val="22"/>
          <w:lang w:eastAsia="en-AU"/>
        </w:rPr>
        <w:t xml:space="preserve">assist </w:t>
      </w:r>
      <w:r w:rsidRPr="00E44F3A">
        <w:rPr>
          <w:rFonts w:ascii="Calibri" w:hAnsi="Calibri"/>
          <w:b/>
          <w:bCs/>
          <w:sz w:val="22"/>
          <w:szCs w:val="22"/>
          <w:lang w:eastAsia="en-AU"/>
        </w:rPr>
        <w:t>the mental health of Canberrans through education, compliance and enforcement</w:t>
      </w:r>
      <w:r w:rsidR="0077410E" w:rsidRPr="00E44F3A">
        <w:rPr>
          <w:rFonts w:ascii="Calibri" w:hAnsi="Calibri"/>
          <w:b/>
          <w:bCs/>
          <w:sz w:val="22"/>
          <w:szCs w:val="22"/>
          <w:lang w:eastAsia="en-AU"/>
        </w:rPr>
        <w:t xml:space="preserve"> and utilise appropriate and proportionate responses to drive improvements to work health and safety management</w:t>
      </w:r>
      <w:r w:rsidRPr="00E44F3A">
        <w:rPr>
          <w:rFonts w:ascii="Calibri" w:hAnsi="Calibri"/>
          <w:b/>
          <w:bCs/>
          <w:sz w:val="22"/>
          <w:szCs w:val="22"/>
          <w:lang w:eastAsia="en-AU"/>
        </w:rPr>
        <w:t>.</w:t>
      </w:r>
      <w:bookmarkEnd w:id="2"/>
      <w:r w:rsidR="0016547A" w:rsidRPr="00E44F3A">
        <w:rPr>
          <w:rFonts w:ascii="Calibri" w:hAnsi="Calibri"/>
          <w:b/>
          <w:bCs/>
          <w:sz w:val="22"/>
          <w:szCs w:val="22"/>
          <w:lang w:eastAsia="en-AU"/>
        </w:rPr>
        <w:t xml:space="preserve"> </w:t>
      </w:r>
    </w:p>
    <w:p w14:paraId="5FF39E21" w14:textId="1A1698ED" w:rsidR="00F30672" w:rsidRDefault="0016547A" w:rsidP="002805EF">
      <w:pPr>
        <w:spacing w:beforeLines="60" w:before="144" w:afterLines="60" w:after="144" w:line="276" w:lineRule="auto"/>
        <w:rPr>
          <w:rFonts w:ascii="Calibri" w:hAnsi="Calibri"/>
          <w:sz w:val="22"/>
          <w:szCs w:val="22"/>
          <w:lang w:eastAsia="en-AU"/>
        </w:rPr>
      </w:pPr>
      <w:r w:rsidRPr="0016547A">
        <w:rPr>
          <w:rFonts w:ascii="Calibri" w:hAnsi="Calibri"/>
          <w:sz w:val="22"/>
          <w:szCs w:val="22"/>
          <w:lang w:eastAsia="en-AU"/>
        </w:rPr>
        <w:t xml:space="preserve">This approach supports a comprehensive view of </w:t>
      </w:r>
      <w:r w:rsidR="00D77163">
        <w:rPr>
          <w:rFonts w:ascii="Calibri" w:hAnsi="Calibri"/>
          <w:sz w:val="22"/>
          <w:szCs w:val="22"/>
          <w:lang w:eastAsia="en-AU"/>
        </w:rPr>
        <w:t xml:space="preserve">managing </w:t>
      </w:r>
      <w:r w:rsidRPr="0016547A">
        <w:rPr>
          <w:rFonts w:ascii="Calibri" w:hAnsi="Calibri"/>
          <w:sz w:val="22"/>
          <w:szCs w:val="22"/>
          <w:lang w:eastAsia="en-AU"/>
        </w:rPr>
        <w:t xml:space="preserve">psychosocial </w:t>
      </w:r>
      <w:r w:rsidR="00D77163">
        <w:rPr>
          <w:rFonts w:ascii="Calibri" w:hAnsi="Calibri"/>
          <w:sz w:val="22"/>
          <w:szCs w:val="22"/>
          <w:lang w:eastAsia="en-AU"/>
        </w:rPr>
        <w:t xml:space="preserve">risks, </w:t>
      </w:r>
      <w:r>
        <w:rPr>
          <w:rFonts w:ascii="Calibri" w:hAnsi="Calibri"/>
          <w:sz w:val="22"/>
          <w:szCs w:val="22"/>
          <w:lang w:eastAsia="en-AU"/>
        </w:rPr>
        <w:t>including a robust focus on</w:t>
      </w:r>
      <w:r w:rsidRPr="0016547A">
        <w:rPr>
          <w:rFonts w:ascii="Calibri" w:hAnsi="Calibri"/>
          <w:sz w:val="22"/>
          <w:szCs w:val="22"/>
          <w:lang w:eastAsia="en-AU"/>
        </w:rPr>
        <w:t xml:space="preserve"> fatigue management</w:t>
      </w:r>
      <w:r>
        <w:rPr>
          <w:rFonts w:ascii="Calibri" w:hAnsi="Calibri"/>
          <w:sz w:val="22"/>
          <w:szCs w:val="22"/>
          <w:lang w:eastAsia="en-AU"/>
        </w:rPr>
        <w:t xml:space="preserve"> which sho</w:t>
      </w:r>
      <w:r w:rsidRPr="0016547A">
        <w:rPr>
          <w:rFonts w:ascii="Calibri" w:hAnsi="Calibri"/>
          <w:sz w:val="22"/>
          <w:szCs w:val="22"/>
          <w:lang w:eastAsia="en-AU"/>
        </w:rPr>
        <w:t xml:space="preserve">uld extend beyond concerns about impairment in heavy machinery operation </w:t>
      </w:r>
      <w:r>
        <w:rPr>
          <w:rFonts w:ascii="Calibri" w:hAnsi="Calibri"/>
          <w:sz w:val="22"/>
          <w:szCs w:val="22"/>
          <w:lang w:eastAsia="en-AU"/>
        </w:rPr>
        <w:t xml:space="preserve">and </w:t>
      </w:r>
      <w:r w:rsidRPr="0016547A">
        <w:rPr>
          <w:rFonts w:ascii="Calibri" w:hAnsi="Calibri"/>
          <w:sz w:val="22"/>
          <w:szCs w:val="22"/>
          <w:lang w:eastAsia="en-AU"/>
        </w:rPr>
        <w:t xml:space="preserve">address the broader impacts of prolonged excessive working hours on workers’ wellbeing, mental health, and physical health. </w:t>
      </w:r>
      <w:r w:rsidR="003B2629">
        <w:rPr>
          <w:rFonts w:ascii="Calibri" w:hAnsi="Calibri"/>
          <w:sz w:val="22"/>
          <w:szCs w:val="22"/>
          <w:lang w:eastAsia="en-AU"/>
        </w:rPr>
        <w:t xml:space="preserve">Workloads and working hours </w:t>
      </w:r>
      <w:r w:rsidR="0033601B">
        <w:rPr>
          <w:rFonts w:ascii="Calibri" w:hAnsi="Calibri"/>
          <w:sz w:val="22"/>
          <w:szCs w:val="22"/>
          <w:lang w:eastAsia="en-AU"/>
        </w:rPr>
        <w:t>are common psychosocial hazards that contribute to fatigue risks in the workplace</w:t>
      </w:r>
      <w:r>
        <w:rPr>
          <w:rFonts w:ascii="Calibri" w:hAnsi="Calibri"/>
          <w:sz w:val="22"/>
          <w:szCs w:val="22"/>
          <w:lang w:eastAsia="en-AU"/>
        </w:rPr>
        <w:t>.</w:t>
      </w:r>
    </w:p>
    <w:p w14:paraId="777B6294" w14:textId="77777777" w:rsidR="0015479E" w:rsidRDefault="0015479E"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With national work underway to improve the management of and from fatigue risks and an anticipated model code of practice being agreed, a consultation process will follow with ACT stakeholders to facilitate local implementation of the model Code. </w:t>
      </w:r>
    </w:p>
    <w:p w14:paraId="3B180939" w14:textId="5A110929" w:rsidR="0015479E" w:rsidRPr="0015479E" w:rsidRDefault="0015479E" w:rsidP="002805EF">
      <w:pPr>
        <w:spacing w:beforeLines="60" w:before="144" w:afterLines="60" w:after="144" w:line="276" w:lineRule="auto"/>
        <w:rPr>
          <w:rFonts w:ascii="Calibri" w:hAnsi="Calibri"/>
          <w:b/>
          <w:bCs/>
          <w:sz w:val="22"/>
          <w:szCs w:val="22"/>
          <w:lang w:eastAsia="en-AU"/>
        </w:rPr>
      </w:pPr>
      <w:r w:rsidRPr="0015479E">
        <w:rPr>
          <w:rFonts w:ascii="Calibri" w:hAnsi="Calibri"/>
          <w:b/>
          <w:bCs/>
          <w:sz w:val="22"/>
          <w:szCs w:val="22"/>
          <w:lang w:eastAsia="en-AU"/>
        </w:rPr>
        <w:t xml:space="preserve">In supporting changes to the WHS legislative framework, WorkSafe ACT should ensure its activities support awareness </w:t>
      </w:r>
      <w:r>
        <w:rPr>
          <w:rFonts w:ascii="Calibri" w:hAnsi="Calibri"/>
          <w:b/>
          <w:bCs/>
          <w:sz w:val="22"/>
          <w:szCs w:val="22"/>
          <w:lang w:eastAsia="en-AU"/>
        </w:rPr>
        <w:t xml:space="preserve">and education about </w:t>
      </w:r>
      <w:r w:rsidRPr="0015479E">
        <w:rPr>
          <w:rFonts w:ascii="Calibri" w:hAnsi="Calibri"/>
          <w:b/>
          <w:bCs/>
          <w:sz w:val="22"/>
          <w:szCs w:val="22"/>
          <w:lang w:eastAsia="en-AU"/>
        </w:rPr>
        <w:t>new materials that assist PCBUs in meeting their WHS obligations.</w:t>
      </w:r>
    </w:p>
    <w:p w14:paraId="1E324A15" w14:textId="47323C24" w:rsidR="0077410E" w:rsidRDefault="00F30672" w:rsidP="00F659DD">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Work</w:t>
      </w:r>
      <w:r w:rsidR="0077410E">
        <w:rPr>
          <w:rFonts w:ascii="Calibri" w:hAnsi="Calibri"/>
          <w:sz w:val="22"/>
          <w:szCs w:val="22"/>
          <w:lang w:eastAsia="en-AU"/>
        </w:rPr>
        <w:t>-</w:t>
      </w:r>
      <w:r w:rsidRPr="002805EF">
        <w:rPr>
          <w:rFonts w:ascii="Calibri" w:hAnsi="Calibri"/>
          <w:sz w:val="22"/>
          <w:szCs w:val="22"/>
          <w:lang w:eastAsia="en-AU"/>
        </w:rPr>
        <w:t>related violence</w:t>
      </w:r>
      <w:r w:rsidR="00142C78">
        <w:rPr>
          <w:rFonts w:ascii="Calibri" w:hAnsi="Calibri"/>
          <w:sz w:val="22"/>
          <w:szCs w:val="22"/>
          <w:lang w:eastAsia="en-AU"/>
        </w:rPr>
        <w:t xml:space="preserve"> and aggression</w:t>
      </w:r>
      <w:r w:rsidRPr="002805EF">
        <w:rPr>
          <w:rFonts w:ascii="Calibri" w:hAnsi="Calibri"/>
          <w:sz w:val="22"/>
          <w:szCs w:val="22"/>
          <w:lang w:eastAsia="en-AU"/>
        </w:rPr>
        <w:t xml:space="preserve">, sexual harassment and sexual assault are hazards which should be appropriately risk managed to ensure the health and safety of working people. </w:t>
      </w:r>
      <w:bookmarkStart w:id="3" w:name="_Hlk113173640"/>
      <w:r w:rsidR="00DD02C9">
        <w:rPr>
          <w:rFonts w:ascii="Calibri" w:hAnsi="Calibri"/>
          <w:sz w:val="22"/>
          <w:szCs w:val="22"/>
          <w:lang w:eastAsia="en-AU"/>
        </w:rPr>
        <w:t xml:space="preserve">The ACT Sexual and Gender-Based Harassment Code of Practice came into effect in November 2024 and assists PCBUs in meeting their WHS obligations to manage these risks. These issues continue to be a priority area for improving </w:t>
      </w:r>
      <w:r w:rsidR="00142C78">
        <w:rPr>
          <w:rFonts w:ascii="Calibri" w:hAnsi="Calibri"/>
          <w:sz w:val="22"/>
          <w:szCs w:val="22"/>
          <w:lang w:eastAsia="en-AU"/>
        </w:rPr>
        <w:t>WHS</w:t>
      </w:r>
      <w:r w:rsidR="00DD02C9">
        <w:rPr>
          <w:rFonts w:ascii="Calibri" w:hAnsi="Calibri"/>
          <w:sz w:val="22"/>
          <w:szCs w:val="22"/>
          <w:lang w:eastAsia="en-AU"/>
        </w:rPr>
        <w:t xml:space="preserve"> management.</w:t>
      </w:r>
      <w:r w:rsidRPr="002805EF">
        <w:rPr>
          <w:rFonts w:ascii="Calibri" w:hAnsi="Calibri"/>
          <w:sz w:val="22"/>
          <w:szCs w:val="22"/>
          <w:lang w:eastAsia="en-AU"/>
        </w:rPr>
        <w:t xml:space="preserve"> </w:t>
      </w:r>
    </w:p>
    <w:p w14:paraId="18561D41" w14:textId="1BBE069A" w:rsidR="00DE5008" w:rsidRPr="00DE5008" w:rsidRDefault="00F30672" w:rsidP="00DE5008">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WorkSafe ACT should prioritise educating workplace participants of their obligations and ensuring</w:t>
      </w:r>
      <w:r w:rsidR="0016547A" w:rsidRPr="00E44F3A">
        <w:rPr>
          <w:rFonts w:ascii="Calibri" w:hAnsi="Calibri"/>
          <w:b/>
          <w:bCs/>
          <w:sz w:val="22"/>
          <w:szCs w:val="22"/>
          <w:lang w:eastAsia="en-AU"/>
        </w:rPr>
        <w:t xml:space="preserve"> appropriate and proportionate</w:t>
      </w:r>
      <w:r w:rsidRPr="00E44F3A">
        <w:rPr>
          <w:rFonts w:ascii="Calibri" w:hAnsi="Calibri"/>
          <w:b/>
          <w:bCs/>
          <w:sz w:val="22"/>
          <w:szCs w:val="22"/>
          <w:lang w:eastAsia="en-AU"/>
        </w:rPr>
        <w:t xml:space="preserve"> compliance with these obligations.</w:t>
      </w:r>
      <w:bookmarkEnd w:id="3"/>
    </w:p>
    <w:p w14:paraId="43119F04" w14:textId="76FC01E8" w:rsidR="00F30672" w:rsidRPr="00545C06" w:rsidRDefault="00E1471A" w:rsidP="00545C06">
      <w:pPr>
        <w:keepNext/>
        <w:spacing w:beforeLines="100" w:before="240" w:afterLines="60" w:after="144" w:line="276" w:lineRule="auto"/>
        <w:rPr>
          <w:rFonts w:ascii="Arial" w:hAnsi="Arial" w:cs="Arial"/>
          <w:b/>
          <w:color w:val="808080"/>
          <w:szCs w:val="26"/>
        </w:rPr>
      </w:pPr>
      <w:r w:rsidRPr="00545C06">
        <w:rPr>
          <w:rFonts w:ascii="Arial" w:hAnsi="Arial" w:cs="Arial"/>
          <w:b/>
          <w:color w:val="808080"/>
          <w:szCs w:val="26"/>
        </w:rPr>
        <w:lastRenderedPageBreak/>
        <w:t xml:space="preserve">WHS as part of </w:t>
      </w:r>
      <w:r w:rsidR="00C640A1" w:rsidRPr="00545C06">
        <w:rPr>
          <w:rFonts w:ascii="Arial" w:hAnsi="Arial" w:cs="Arial"/>
          <w:b/>
          <w:color w:val="808080"/>
          <w:szCs w:val="26"/>
        </w:rPr>
        <w:t>complex</w:t>
      </w:r>
      <w:r w:rsidR="00F30672" w:rsidRPr="00545C06">
        <w:rPr>
          <w:rFonts w:ascii="Arial" w:hAnsi="Arial" w:cs="Arial"/>
          <w:b/>
          <w:color w:val="808080"/>
          <w:szCs w:val="26"/>
        </w:rPr>
        <w:t xml:space="preserve"> supply </w:t>
      </w:r>
      <w:r w:rsidR="00CC39DE" w:rsidRPr="00545C06">
        <w:rPr>
          <w:rFonts w:ascii="Arial" w:hAnsi="Arial" w:cs="Arial"/>
          <w:b/>
          <w:color w:val="808080"/>
          <w:szCs w:val="26"/>
        </w:rPr>
        <w:t xml:space="preserve">and contractual </w:t>
      </w:r>
      <w:r w:rsidR="00F30672" w:rsidRPr="00545C06">
        <w:rPr>
          <w:rFonts w:ascii="Arial" w:hAnsi="Arial" w:cs="Arial"/>
          <w:b/>
          <w:color w:val="808080"/>
          <w:szCs w:val="26"/>
        </w:rPr>
        <w:t>chains</w:t>
      </w:r>
    </w:p>
    <w:p w14:paraId="160E25A9" w14:textId="39D837C0" w:rsidR="00F30672" w:rsidRDefault="00F42250"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P</w:t>
      </w:r>
      <w:r w:rsidR="00F30672" w:rsidRPr="002805EF">
        <w:rPr>
          <w:rFonts w:ascii="Calibri" w:hAnsi="Calibri"/>
          <w:sz w:val="22"/>
          <w:szCs w:val="22"/>
          <w:lang w:eastAsia="en-AU"/>
        </w:rPr>
        <w:t xml:space="preserve">CBUs have an important role in ensuring workplaces are safe, particularly within a supply chain in an organisation. The WHS Act imposes health and safety duties on all PCBUs in the Territory, as well as duties </w:t>
      </w:r>
      <w:r w:rsidR="0000109D">
        <w:rPr>
          <w:rFonts w:ascii="Calibri" w:hAnsi="Calibri"/>
          <w:sz w:val="22"/>
          <w:szCs w:val="22"/>
          <w:lang w:eastAsia="en-AU"/>
        </w:rPr>
        <w:t>on</w:t>
      </w:r>
      <w:r w:rsidR="00F30672" w:rsidRPr="002805EF">
        <w:rPr>
          <w:rFonts w:ascii="Calibri" w:hAnsi="Calibri"/>
          <w:sz w:val="22"/>
          <w:szCs w:val="22"/>
          <w:lang w:eastAsia="en-AU"/>
        </w:rPr>
        <w:t xml:space="preserve"> their officers and workers. All PCBUs are required to be aware of their health and safety duties under the WHS Act and are responsible for the elimination of risks and hazards</w:t>
      </w:r>
      <w:r w:rsidR="0033601B">
        <w:rPr>
          <w:rFonts w:ascii="Calibri" w:hAnsi="Calibri"/>
          <w:sz w:val="22"/>
          <w:szCs w:val="22"/>
          <w:lang w:eastAsia="en-AU"/>
        </w:rPr>
        <w:t xml:space="preserve"> arising from carrying out their business or undertaking. </w:t>
      </w:r>
      <w:r w:rsidR="00F30672" w:rsidRPr="002805EF">
        <w:rPr>
          <w:rFonts w:ascii="Calibri" w:hAnsi="Calibri"/>
          <w:sz w:val="22"/>
          <w:szCs w:val="22"/>
          <w:lang w:eastAsia="en-AU"/>
        </w:rPr>
        <w:t xml:space="preserve"> </w:t>
      </w:r>
    </w:p>
    <w:p w14:paraId="15537173" w14:textId="3D340A57" w:rsidR="00142C78" w:rsidRDefault="00142C78" w:rsidP="002805EF">
      <w:pPr>
        <w:spacing w:beforeLines="60" w:before="144" w:afterLines="60" w:after="144" w:line="276" w:lineRule="auto"/>
        <w:rPr>
          <w:rFonts w:ascii="Calibri" w:hAnsi="Calibri"/>
          <w:sz w:val="22"/>
          <w:szCs w:val="22"/>
          <w:lang w:val="en-US" w:eastAsia="en-AU"/>
        </w:rPr>
      </w:pPr>
      <w:r w:rsidRPr="00293A24">
        <w:rPr>
          <w:rFonts w:ascii="Calibri" w:hAnsi="Calibri"/>
          <w:sz w:val="22"/>
          <w:szCs w:val="22"/>
          <w:lang w:eastAsia="en-AU"/>
        </w:rPr>
        <w:t xml:space="preserve">Supply and contractual chain complexities are an emerging issue in the ACT, with increasing population and infrastructure projects putting pressure on existing work processes. Many businesses in the ACT are involved in supply and contractual </w:t>
      </w:r>
      <w:r w:rsidRPr="00293A24">
        <w:rPr>
          <w:rFonts w:ascii="Calibri" w:hAnsi="Calibri"/>
          <w:sz w:val="22"/>
          <w:szCs w:val="22"/>
          <w:lang w:val="en-US" w:eastAsia="en-AU"/>
        </w:rPr>
        <w:t xml:space="preserve">arrangements, including sole traders, contractors and sub-contractors. </w:t>
      </w:r>
    </w:p>
    <w:p w14:paraId="5BD62B99" w14:textId="3A2B63C3" w:rsidR="00142C78" w:rsidRDefault="00142C78" w:rsidP="002805EF">
      <w:pPr>
        <w:spacing w:beforeLines="60" w:before="144" w:afterLines="60" w:after="144" w:line="276" w:lineRule="auto"/>
        <w:rPr>
          <w:rFonts w:ascii="Calibri" w:hAnsi="Calibri"/>
          <w:sz w:val="22"/>
          <w:szCs w:val="22"/>
          <w:lang w:val="en-US" w:eastAsia="en-AU"/>
        </w:rPr>
      </w:pPr>
      <w:r w:rsidRPr="00293A24">
        <w:rPr>
          <w:rFonts w:ascii="Calibri" w:hAnsi="Calibri"/>
          <w:sz w:val="22"/>
          <w:szCs w:val="22"/>
          <w:lang w:val="en-US" w:eastAsia="en-AU"/>
        </w:rPr>
        <w:t>It is important that duty holders with shared responsibilities work together to manage risks through effective consultation, cooperation and collaboration</w:t>
      </w:r>
      <w:r>
        <w:rPr>
          <w:rFonts w:ascii="Calibri" w:hAnsi="Calibri"/>
          <w:sz w:val="22"/>
          <w:szCs w:val="22"/>
          <w:lang w:val="en-US" w:eastAsia="en-AU"/>
        </w:rPr>
        <w:t>.</w:t>
      </w:r>
    </w:p>
    <w:p w14:paraId="554B71E4" w14:textId="1690FE0A" w:rsidR="0000109D" w:rsidRDefault="00F30672"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ACT should </w:t>
      </w:r>
      <w:r w:rsidR="00CC39DE">
        <w:rPr>
          <w:rFonts w:ascii="Calibri" w:hAnsi="Calibri"/>
          <w:b/>
          <w:bCs/>
          <w:sz w:val="22"/>
          <w:szCs w:val="22"/>
          <w:lang w:eastAsia="en-AU"/>
        </w:rPr>
        <w:t xml:space="preserve">continue </w:t>
      </w:r>
      <w:r w:rsidRPr="00E44F3A">
        <w:rPr>
          <w:rFonts w:ascii="Calibri" w:hAnsi="Calibri"/>
          <w:b/>
          <w:bCs/>
          <w:sz w:val="22"/>
          <w:szCs w:val="22"/>
          <w:lang w:eastAsia="en-AU"/>
        </w:rPr>
        <w:t>rais</w:t>
      </w:r>
      <w:r w:rsidR="00CC39DE">
        <w:rPr>
          <w:rFonts w:ascii="Calibri" w:hAnsi="Calibri"/>
          <w:b/>
          <w:bCs/>
          <w:sz w:val="22"/>
          <w:szCs w:val="22"/>
          <w:lang w:eastAsia="en-AU"/>
        </w:rPr>
        <w:t>ing the</w:t>
      </w:r>
      <w:r w:rsidRPr="00E44F3A">
        <w:rPr>
          <w:rFonts w:ascii="Calibri" w:hAnsi="Calibri"/>
          <w:b/>
          <w:bCs/>
          <w:sz w:val="22"/>
          <w:szCs w:val="22"/>
          <w:lang w:eastAsia="en-AU"/>
        </w:rPr>
        <w:t xml:space="preserve"> awareness of PCBUs of their duties under the WHS Act in these respects. </w:t>
      </w:r>
    </w:p>
    <w:p w14:paraId="3FACF380" w14:textId="3FB5AAD3" w:rsidR="00901514" w:rsidRPr="00E44F3A" w:rsidRDefault="00901514" w:rsidP="00E44F3A">
      <w:pPr>
        <w:spacing w:beforeLines="60" w:before="144" w:afterLines="60" w:after="144" w:line="276" w:lineRule="auto"/>
        <w:rPr>
          <w:rFonts w:ascii="Calibri" w:hAnsi="Calibri"/>
          <w:b/>
          <w:bCs/>
          <w:sz w:val="22"/>
          <w:szCs w:val="22"/>
          <w:lang w:eastAsia="en-AU"/>
        </w:rPr>
      </w:pPr>
      <w:r>
        <w:rPr>
          <w:rFonts w:ascii="Calibri" w:hAnsi="Calibri"/>
          <w:b/>
          <w:bCs/>
          <w:sz w:val="22"/>
          <w:szCs w:val="22"/>
          <w:lang w:eastAsia="en-AU"/>
        </w:rPr>
        <w:t xml:space="preserve">WorkSafe ACT should </w:t>
      </w:r>
      <w:r w:rsidR="00CC39DE">
        <w:rPr>
          <w:rFonts w:ascii="Calibri" w:hAnsi="Calibri"/>
          <w:b/>
          <w:bCs/>
          <w:sz w:val="22"/>
          <w:szCs w:val="22"/>
          <w:lang w:eastAsia="en-AU"/>
        </w:rPr>
        <w:t xml:space="preserve">continue to </w:t>
      </w:r>
      <w:r>
        <w:rPr>
          <w:rFonts w:ascii="Calibri" w:hAnsi="Calibri"/>
          <w:b/>
          <w:bCs/>
          <w:sz w:val="22"/>
          <w:szCs w:val="22"/>
          <w:lang w:eastAsia="en-AU"/>
        </w:rPr>
        <w:t>collaborate with other Australian regulators to improve compliance across supply chains of goods and labour.</w:t>
      </w:r>
    </w:p>
    <w:p w14:paraId="7CF7B908" w14:textId="0B3336AD" w:rsidR="00F30672" w:rsidRPr="00545C06" w:rsidRDefault="00FE1270" w:rsidP="00DE5008">
      <w:pPr>
        <w:spacing w:beforeLines="100" w:before="240" w:afterLines="60" w:after="144" w:line="276" w:lineRule="auto"/>
        <w:rPr>
          <w:rFonts w:ascii="Arial" w:hAnsi="Arial" w:cs="Arial"/>
          <w:b/>
          <w:color w:val="808080"/>
          <w:szCs w:val="26"/>
        </w:rPr>
      </w:pPr>
      <w:r w:rsidRPr="00545C06">
        <w:rPr>
          <w:rFonts w:ascii="Arial" w:hAnsi="Arial" w:cs="Arial"/>
          <w:b/>
          <w:color w:val="808080"/>
          <w:szCs w:val="26"/>
        </w:rPr>
        <w:t xml:space="preserve">Climate-related risks </w:t>
      </w:r>
      <w:r w:rsidR="00F30672" w:rsidRPr="00545C06">
        <w:rPr>
          <w:rFonts w:ascii="Arial" w:hAnsi="Arial" w:cs="Arial"/>
          <w:b/>
          <w:color w:val="808080"/>
          <w:szCs w:val="26"/>
        </w:rPr>
        <w:t>in the workplace</w:t>
      </w:r>
    </w:p>
    <w:p w14:paraId="4682560D" w14:textId="2D9F155E" w:rsidR="00F30672" w:rsidRDefault="00EF280A"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A warming planet and changing environment </w:t>
      </w:r>
      <w:r w:rsidR="00D61D64">
        <w:rPr>
          <w:rFonts w:ascii="Calibri" w:hAnsi="Calibri"/>
          <w:sz w:val="22"/>
          <w:szCs w:val="22"/>
          <w:lang w:eastAsia="en-AU"/>
        </w:rPr>
        <w:t>mean that our physical worksites are also changing</w:t>
      </w:r>
      <w:r w:rsidR="00F30672" w:rsidRPr="002805EF">
        <w:rPr>
          <w:rFonts w:ascii="Calibri" w:hAnsi="Calibri"/>
          <w:sz w:val="22"/>
          <w:szCs w:val="22"/>
          <w:lang w:eastAsia="en-AU"/>
        </w:rPr>
        <w:t xml:space="preserve">. Extreme </w:t>
      </w:r>
      <w:r>
        <w:rPr>
          <w:rFonts w:ascii="Calibri" w:hAnsi="Calibri"/>
          <w:sz w:val="22"/>
          <w:szCs w:val="22"/>
          <w:lang w:eastAsia="en-AU"/>
        </w:rPr>
        <w:t>temperatures</w:t>
      </w:r>
      <w:r w:rsidR="00F30672" w:rsidRPr="002805EF">
        <w:rPr>
          <w:rFonts w:ascii="Calibri" w:hAnsi="Calibri"/>
          <w:sz w:val="22"/>
          <w:szCs w:val="22"/>
          <w:lang w:eastAsia="en-AU"/>
        </w:rPr>
        <w:t xml:space="preserve">, unpredictable weather and natural disasters are all having an impact on working conditions. Changing work environments in turn bring new risks to the health and safety of workers </w:t>
      </w:r>
      <w:r w:rsidR="00C20433">
        <w:rPr>
          <w:rFonts w:ascii="Calibri" w:hAnsi="Calibri"/>
          <w:sz w:val="22"/>
          <w:szCs w:val="22"/>
          <w:lang w:eastAsia="en-AU"/>
        </w:rPr>
        <w:t xml:space="preserve">and others at a workplace </w:t>
      </w:r>
      <w:r w:rsidR="00F30672" w:rsidRPr="002805EF">
        <w:rPr>
          <w:rFonts w:ascii="Calibri" w:hAnsi="Calibri"/>
          <w:sz w:val="22"/>
          <w:szCs w:val="22"/>
          <w:lang w:eastAsia="en-AU"/>
        </w:rPr>
        <w:t>across the ACT requiring a regulatory response.</w:t>
      </w:r>
    </w:p>
    <w:p w14:paraId="68ECCBE5" w14:textId="5EEB6A04" w:rsidR="00591C92" w:rsidRPr="00E44F3A" w:rsidRDefault="0077082A"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ACT should continue </w:t>
      </w:r>
      <w:r w:rsidR="00354A75" w:rsidRPr="00E44F3A">
        <w:rPr>
          <w:rFonts w:ascii="Calibri" w:hAnsi="Calibri"/>
          <w:b/>
          <w:bCs/>
          <w:sz w:val="22"/>
          <w:szCs w:val="22"/>
          <w:lang w:eastAsia="en-AU"/>
        </w:rPr>
        <w:t>promoting awareness of climate change impacts on the workplace and maintaining guidance materials to improve industry capability to manage these issues in the workplace.</w:t>
      </w:r>
    </w:p>
    <w:p w14:paraId="770B7422" w14:textId="32971165" w:rsidR="00591C92" w:rsidRPr="00545C06" w:rsidRDefault="00320399" w:rsidP="00DE5008">
      <w:pPr>
        <w:spacing w:beforeLines="100" w:before="240" w:afterLines="60" w:after="144" w:line="276" w:lineRule="auto"/>
        <w:rPr>
          <w:rFonts w:ascii="Arial" w:hAnsi="Arial" w:cs="Arial"/>
          <w:b/>
          <w:color w:val="808080"/>
          <w:szCs w:val="26"/>
        </w:rPr>
      </w:pPr>
      <w:r w:rsidRPr="00545C06">
        <w:rPr>
          <w:rFonts w:ascii="Arial" w:hAnsi="Arial" w:cs="Arial"/>
          <w:b/>
          <w:color w:val="808080"/>
          <w:szCs w:val="26"/>
        </w:rPr>
        <w:t xml:space="preserve">Health and safety </w:t>
      </w:r>
      <w:r w:rsidR="00C20433" w:rsidRPr="00545C06">
        <w:rPr>
          <w:rFonts w:ascii="Arial" w:hAnsi="Arial" w:cs="Arial"/>
          <w:b/>
          <w:color w:val="808080"/>
          <w:szCs w:val="26"/>
        </w:rPr>
        <w:t>vulnerability and working with vulnerable populations</w:t>
      </w:r>
    </w:p>
    <w:p w14:paraId="3C8B96EA" w14:textId="1E11A702" w:rsidR="00A41850" w:rsidRDefault="00320399" w:rsidP="00591C92">
      <w:pPr>
        <w:spacing w:beforeLines="60" w:before="144" w:afterLines="60" w:after="144" w:line="276" w:lineRule="auto"/>
        <w:rPr>
          <w:rFonts w:ascii="Calibri" w:hAnsi="Calibri"/>
          <w:sz w:val="22"/>
          <w:szCs w:val="22"/>
          <w:lang w:eastAsia="en-AU"/>
        </w:rPr>
      </w:pPr>
      <w:r>
        <w:rPr>
          <w:rFonts w:ascii="Calibri" w:hAnsi="Calibri"/>
          <w:sz w:val="22"/>
          <w:szCs w:val="22"/>
          <w:lang w:eastAsia="en-AU"/>
        </w:rPr>
        <w:t>PCBUs must consider the needs of all workers in designing safe work systems</w:t>
      </w:r>
      <w:r w:rsidR="00FE1270">
        <w:rPr>
          <w:rFonts w:ascii="Calibri" w:hAnsi="Calibri"/>
          <w:sz w:val="22"/>
          <w:szCs w:val="22"/>
          <w:lang w:eastAsia="en-AU"/>
        </w:rPr>
        <w:t xml:space="preserve"> </w:t>
      </w:r>
      <w:r w:rsidR="00653AD9">
        <w:rPr>
          <w:rFonts w:ascii="Calibri" w:hAnsi="Calibri"/>
          <w:sz w:val="22"/>
          <w:szCs w:val="22"/>
          <w:lang w:eastAsia="en-AU"/>
        </w:rPr>
        <w:t>in</w:t>
      </w:r>
      <w:r w:rsidR="00FE1270">
        <w:rPr>
          <w:rFonts w:ascii="Calibri" w:hAnsi="Calibri"/>
          <w:sz w:val="22"/>
          <w:szCs w:val="22"/>
          <w:lang w:eastAsia="en-AU"/>
        </w:rPr>
        <w:t xml:space="preserve"> address</w:t>
      </w:r>
      <w:r w:rsidR="00653AD9">
        <w:rPr>
          <w:rFonts w:ascii="Calibri" w:hAnsi="Calibri"/>
          <w:sz w:val="22"/>
          <w:szCs w:val="22"/>
          <w:lang w:eastAsia="en-AU"/>
        </w:rPr>
        <w:t>ing</w:t>
      </w:r>
      <w:r w:rsidR="00FE1270">
        <w:rPr>
          <w:rFonts w:ascii="Calibri" w:hAnsi="Calibri"/>
          <w:sz w:val="22"/>
          <w:szCs w:val="22"/>
          <w:lang w:eastAsia="en-AU"/>
        </w:rPr>
        <w:t xml:space="preserve"> organisational </w:t>
      </w:r>
      <w:r w:rsidR="00653AD9">
        <w:rPr>
          <w:rFonts w:ascii="Calibri" w:hAnsi="Calibri"/>
          <w:sz w:val="22"/>
          <w:szCs w:val="22"/>
          <w:lang w:eastAsia="en-AU"/>
        </w:rPr>
        <w:t xml:space="preserve">WHS </w:t>
      </w:r>
      <w:r w:rsidR="00FE1270">
        <w:rPr>
          <w:rFonts w:ascii="Calibri" w:hAnsi="Calibri"/>
          <w:sz w:val="22"/>
          <w:szCs w:val="22"/>
          <w:lang w:eastAsia="en-AU"/>
        </w:rPr>
        <w:t>hazards and risks</w:t>
      </w:r>
      <w:r>
        <w:rPr>
          <w:rFonts w:ascii="Calibri" w:hAnsi="Calibri"/>
          <w:sz w:val="22"/>
          <w:szCs w:val="22"/>
          <w:lang w:eastAsia="en-AU"/>
        </w:rPr>
        <w:t xml:space="preserve">. Some </w:t>
      </w:r>
      <w:r w:rsidR="00653AD9">
        <w:rPr>
          <w:rFonts w:ascii="Calibri" w:hAnsi="Calibri"/>
          <w:sz w:val="22"/>
          <w:szCs w:val="22"/>
          <w:lang w:eastAsia="en-AU"/>
        </w:rPr>
        <w:t xml:space="preserve">key </w:t>
      </w:r>
      <w:r>
        <w:rPr>
          <w:rFonts w:ascii="Calibri" w:hAnsi="Calibri"/>
          <w:sz w:val="22"/>
          <w:szCs w:val="22"/>
          <w:lang w:eastAsia="en-AU"/>
        </w:rPr>
        <w:t>factors known to</w:t>
      </w:r>
      <w:r w:rsidR="00F42250">
        <w:rPr>
          <w:rFonts w:ascii="Calibri" w:hAnsi="Calibri"/>
          <w:sz w:val="22"/>
          <w:szCs w:val="22"/>
          <w:lang w:eastAsia="en-AU"/>
        </w:rPr>
        <w:t xml:space="preserve"> impact</w:t>
      </w:r>
      <w:r>
        <w:rPr>
          <w:rFonts w:ascii="Calibri" w:hAnsi="Calibri"/>
          <w:sz w:val="22"/>
          <w:szCs w:val="22"/>
          <w:lang w:eastAsia="en-AU"/>
        </w:rPr>
        <w:t xml:space="preserve"> workers</w:t>
      </w:r>
      <w:r w:rsidR="00653AD9">
        <w:rPr>
          <w:rFonts w:ascii="Calibri" w:hAnsi="Calibri"/>
          <w:sz w:val="22"/>
          <w:szCs w:val="22"/>
          <w:lang w:eastAsia="en-AU"/>
        </w:rPr>
        <w:t>’</w:t>
      </w:r>
      <w:r>
        <w:rPr>
          <w:rFonts w:ascii="Calibri" w:hAnsi="Calibri"/>
          <w:sz w:val="22"/>
          <w:szCs w:val="22"/>
          <w:lang w:eastAsia="en-AU"/>
        </w:rPr>
        <w:t xml:space="preserve"> WHS vulnerability include being younger</w:t>
      </w:r>
      <w:r w:rsidR="00B06EF8">
        <w:rPr>
          <w:rFonts w:ascii="Calibri" w:hAnsi="Calibri"/>
          <w:sz w:val="22"/>
          <w:szCs w:val="22"/>
          <w:lang w:eastAsia="en-AU"/>
        </w:rPr>
        <w:t xml:space="preserve"> or new to</w:t>
      </w:r>
      <w:r w:rsidR="00F1619D">
        <w:rPr>
          <w:rFonts w:ascii="Calibri" w:hAnsi="Calibri"/>
          <w:sz w:val="22"/>
          <w:szCs w:val="22"/>
          <w:lang w:eastAsia="en-AU"/>
        </w:rPr>
        <w:t>/re-entering</w:t>
      </w:r>
      <w:r w:rsidR="00B06EF8">
        <w:rPr>
          <w:rFonts w:ascii="Calibri" w:hAnsi="Calibri"/>
          <w:sz w:val="22"/>
          <w:szCs w:val="22"/>
          <w:lang w:eastAsia="en-AU"/>
        </w:rPr>
        <w:t xml:space="preserve"> the workplace</w:t>
      </w:r>
      <w:r>
        <w:rPr>
          <w:rFonts w:ascii="Calibri" w:hAnsi="Calibri"/>
          <w:sz w:val="22"/>
          <w:szCs w:val="22"/>
          <w:lang w:eastAsia="en-AU"/>
        </w:rPr>
        <w:t xml:space="preserve">, being from a culturally and linguistically diverse (CALD) background </w:t>
      </w:r>
      <w:r w:rsidR="00BF5766">
        <w:rPr>
          <w:rFonts w:ascii="Calibri" w:hAnsi="Calibri"/>
          <w:sz w:val="22"/>
          <w:szCs w:val="22"/>
          <w:lang w:eastAsia="en-AU"/>
        </w:rPr>
        <w:t xml:space="preserve">and working alone or in isolation. One size fits all communication approaches </w:t>
      </w:r>
      <w:r w:rsidR="00342E45">
        <w:rPr>
          <w:rFonts w:ascii="Calibri" w:hAnsi="Calibri"/>
          <w:sz w:val="22"/>
          <w:szCs w:val="22"/>
          <w:lang w:eastAsia="en-AU"/>
        </w:rPr>
        <w:t>and generic WHS practices can expose workers</w:t>
      </w:r>
      <w:r w:rsidR="00A41850">
        <w:rPr>
          <w:rFonts w:ascii="Calibri" w:hAnsi="Calibri"/>
          <w:sz w:val="22"/>
          <w:szCs w:val="22"/>
          <w:lang w:eastAsia="en-AU"/>
        </w:rPr>
        <w:t xml:space="preserve"> to</w:t>
      </w:r>
      <w:r w:rsidR="00342E45">
        <w:rPr>
          <w:rFonts w:ascii="Calibri" w:hAnsi="Calibri"/>
          <w:sz w:val="22"/>
          <w:szCs w:val="22"/>
          <w:lang w:eastAsia="en-AU"/>
        </w:rPr>
        <w:t xml:space="preserve"> </w:t>
      </w:r>
      <w:r w:rsidR="00A41850">
        <w:rPr>
          <w:rFonts w:ascii="Calibri" w:hAnsi="Calibri"/>
          <w:sz w:val="22"/>
          <w:szCs w:val="22"/>
          <w:lang w:eastAsia="en-AU"/>
        </w:rPr>
        <w:t>limited</w:t>
      </w:r>
      <w:r w:rsidR="00342E45">
        <w:rPr>
          <w:rFonts w:ascii="Calibri" w:hAnsi="Calibri"/>
          <w:sz w:val="22"/>
          <w:szCs w:val="22"/>
          <w:lang w:eastAsia="en-AU"/>
        </w:rPr>
        <w:t xml:space="preserve"> WHS capability development and greater </w:t>
      </w:r>
      <w:r w:rsidR="00A41850">
        <w:rPr>
          <w:rFonts w:ascii="Calibri" w:hAnsi="Calibri"/>
          <w:sz w:val="22"/>
          <w:szCs w:val="22"/>
          <w:lang w:eastAsia="en-AU"/>
        </w:rPr>
        <w:t>workplace</w:t>
      </w:r>
      <w:r w:rsidR="00342E45">
        <w:rPr>
          <w:rFonts w:ascii="Calibri" w:hAnsi="Calibri"/>
          <w:sz w:val="22"/>
          <w:szCs w:val="22"/>
          <w:lang w:eastAsia="en-AU"/>
        </w:rPr>
        <w:t xml:space="preserve"> risks.</w:t>
      </w:r>
    </w:p>
    <w:p w14:paraId="064B8F6E" w14:textId="4A7D57BC" w:rsidR="00591C92" w:rsidRPr="00E44F3A" w:rsidRDefault="00342E45"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WorkSafe ACT should</w:t>
      </w:r>
      <w:r w:rsidR="00A41850" w:rsidRPr="00E44F3A">
        <w:rPr>
          <w:rFonts w:ascii="Calibri" w:hAnsi="Calibri"/>
          <w:b/>
          <w:bCs/>
          <w:sz w:val="22"/>
          <w:szCs w:val="22"/>
          <w:lang w:eastAsia="en-AU"/>
        </w:rPr>
        <w:t xml:space="preserve"> continue to</w:t>
      </w:r>
      <w:r w:rsidRPr="00E44F3A">
        <w:rPr>
          <w:rFonts w:ascii="Calibri" w:hAnsi="Calibri"/>
          <w:b/>
          <w:bCs/>
          <w:sz w:val="22"/>
          <w:szCs w:val="22"/>
          <w:lang w:eastAsia="en-AU"/>
        </w:rPr>
        <w:t xml:space="preserve"> </w:t>
      </w:r>
      <w:r w:rsidR="00A41850" w:rsidRPr="00E44F3A">
        <w:rPr>
          <w:rFonts w:ascii="Calibri" w:hAnsi="Calibri"/>
          <w:b/>
          <w:bCs/>
          <w:sz w:val="22"/>
          <w:szCs w:val="22"/>
          <w:lang w:eastAsia="en-AU"/>
        </w:rPr>
        <w:t xml:space="preserve">support stakeholders and PCBUs to </w:t>
      </w:r>
      <w:r w:rsidR="00C640A1" w:rsidRPr="00E44F3A">
        <w:rPr>
          <w:rFonts w:ascii="Calibri" w:hAnsi="Calibri"/>
          <w:b/>
          <w:bCs/>
          <w:sz w:val="22"/>
          <w:szCs w:val="22"/>
          <w:lang w:eastAsia="en-AU"/>
        </w:rPr>
        <w:t>promote</w:t>
      </w:r>
      <w:r w:rsidR="00A7197B" w:rsidRPr="00E44F3A">
        <w:rPr>
          <w:rFonts w:ascii="Calibri" w:hAnsi="Calibri"/>
          <w:b/>
          <w:bCs/>
          <w:sz w:val="22"/>
          <w:szCs w:val="22"/>
          <w:lang w:eastAsia="en-AU"/>
        </w:rPr>
        <w:t xml:space="preserve"> WHS knowledge and understanding.</w:t>
      </w:r>
    </w:p>
    <w:p w14:paraId="74AB889A" w14:textId="20A73A89" w:rsidR="00653AD9" w:rsidRDefault="00653AD9" w:rsidP="00653AD9">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PCBUs must also consider the nature of their work and specific hazards and risks associated with the delivery of services particularly </w:t>
      </w:r>
      <w:r w:rsidR="00F1619D">
        <w:rPr>
          <w:rFonts w:ascii="Calibri" w:hAnsi="Calibri"/>
          <w:sz w:val="22"/>
          <w:szCs w:val="22"/>
          <w:lang w:eastAsia="en-AU"/>
        </w:rPr>
        <w:t xml:space="preserve">involving </w:t>
      </w:r>
      <w:r>
        <w:rPr>
          <w:rFonts w:ascii="Calibri" w:hAnsi="Calibri"/>
          <w:sz w:val="22"/>
          <w:szCs w:val="22"/>
          <w:lang w:eastAsia="en-AU"/>
        </w:rPr>
        <w:t xml:space="preserve">vulnerable </w:t>
      </w:r>
      <w:r w:rsidR="00F1619D">
        <w:rPr>
          <w:rFonts w:ascii="Calibri" w:hAnsi="Calibri"/>
          <w:sz w:val="22"/>
          <w:szCs w:val="22"/>
          <w:lang w:eastAsia="en-AU"/>
        </w:rPr>
        <w:t xml:space="preserve">or at-risk </w:t>
      </w:r>
      <w:r w:rsidR="00CD11D3">
        <w:rPr>
          <w:rFonts w:ascii="Calibri" w:hAnsi="Calibri"/>
          <w:sz w:val="22"/>
          <w:szCs w:val="22"/>
          <w:lang w:eastAsia="en-AU"/>
        </w:rPr>
        <w:t>workers</w:t>
      </w:r>
      <w:r w:rsidR="00F1619D">
        <w:rPr>
          <w:rFonts w:ascii="Calibri" w:hAnsi="Calibri"/>
          <w:sz w:val="22"/>
          <w:szCs w:val="22"/>
          <w:lang w:eastAsia="en-AU"/>
        </w:rPr>
        <w:t>.</w:t>
      </w:r>
      <w:r>
        <w:rPr>
          <w:rFonts w:ascii="Calibri" w:hAnsi="Calibri"/>
          <w:sz w:val="22"/>
          <w:szCs w:val="22"/>
          <w:lang w:eastAsia="en-AU"/>
        </w:rPr>
        <w:t xml:space="preserve"> </w:t>
      </w:r>
    </w:p>
    <w:p w14:paraId="2BE22BBD" w14:textId="544C4A0A" w:rsidR="00C20433" w:rsidRPr="00F1619D" w:rsidRDefault="00F1619D" w:rsidP="00653AD9">
      <w:pPr>
        <w:spacing w:beforeLines="60" w:before="144" w:afterLines="60" w:after="144" w:line="276" w:lineRule="auto"/>
        <w:rPr>
          <w:rFonts w:ascii="Calibri" w:hAnsi="Calibri"/>
          <w:b/>
          <w:bCs/>
          <w:sz w:val="22"/>
          <w:szCs w:val="22"/>
          <w:lang w:eastAsia="en-AU"/>
        </w:rPr>
      </w:pPr>
      <w:r w:rsidRPr="00F1619D">
        <w:rPr>
          <w:rFonts w:ascii="Calibri" w:hAnsi="Calibri"/>
          <w:b/>
          <w:bCs/>
          <w:sz w:val="22"/>
          <w:szCs w:val="22"/>
          <w:lang w:eastAsia="en-AU"/>
        </w:rPr>
        <w:t>WorkSafe ACT should promote and support PCBUs to engage in WHS practices that appropriately and proportionately address these risks.</w:t>
      </w:r>
    </w:p>
    <w:p w14:paraId="7DC803D2" w14:textId="677B97EF" w:rsidR="00A7197B" w:rsidRPr="00DD02C9" w:rsidRDefault="00A7197B" w:rsidP="00DE5008">
      <w:pPr>
        <w:spacing w:beforeLines="100" w:before="240" w:afterLines="60" w:after="144" w:line="276" w:lineRule="auto"/>
        <w:rPr>
          <w:rFonts w:ascii="Arial Bold" w:hAnsi="Arial Bold"/>
          <w:bCs/>
          <w:color w:val="808080"/>
          <w:szCs w:val="26"/>
        </w:rPr>
      </w:pPr>
      <w:r>
        <w:rPr>
          <w:rFonts w:ascii="Arial Bold" w:hAnsi="Arial Bold"/>
          <w:bCs/>
          <w:color w:val="808080"/>
          <w:szCs w:val="26"/>
        </w:rPr>
        <w:t>H</w:t>
      </w:r>
      <w:r w:rsidR="00C640A1">
        <w:rPr>
          <w:rFonts w:ascii="Arial Bold" w:hAnsi="Arial Bold"/>
          <w:bCs/>
          <w:color w:val="808080"/>
          <w:szCs w:val="26"/>
        </w:rPr>
        <w:t>ybrid work arrangements</w:t>
      </w:r>
    </w:p>
    <w:p w14:paraId="07F871BB" w14:textId="75C1D481" w:rsidR="00A7197B" w:rsidRDefault="00C640A1" w:rsidP="00A7197B">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The COVID-19 pandemic sparked a shift to working from home and more flexible working arrangements across a </w:t>
      </w:r>
      <w:r w:rsidR="00F42250">
        <w:rPr>
          <w:rFonts w:ascii="Calibri" w:hAnsi="Calibri"/>
          <w:sz w:val="22"/>
          <w:szCs w:val="22"/>
          <w:lang w:eastAsia="en-AU"/>
        </w:rPr>
        <w:t xml:space="preserve">range </w:t>
      </w:r>
      <w:r>
        <w:rPr>
          <w:rFonts w:ascii="Calibri" w:hAnsi="Calibri"/>
          <w:sz w:val="22"/>
          <w:szCs w:val="22"/>
          <w:lang w:eastAsia="en-AU"/>
        </w:rPr>
        <w:t>of occupations. Hybrid work models may change or create new WHS risks, including psychosocial risks, that PCBUs need to manage.</w:t>
      </w:r>
    </w:p>
    <w:p w14:paraId="484A2BAE" w14:textId="559FC6E0" w:rsidR="00F1619D" w:rsidRPr="00DE5008" w:rsidRDefault="00C640A1" w:rsidP="00DE5008">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w:t>
      </w:r>
      <w:r w:rsidR="00DE0584" w:rsidRPr="00E44F3A">
        <w:rPr>
          <w:rFonts w:ascii="Calibri" w:hAnsi="Calibri"/>
          <w:b/>
          <w:bCs/>
          <w:sz w:val="22"/>
          <w:szCs w:val="22"/>
          <w:lang w:eastAsia="en-AU"/>
        </w:rPr>
        <w:t xml:space="preserve">ACT </w:t>
      </w:r>
      <w:r w:rsidRPr="00E44F3A">
        <w:rPr>
          <w:rFonts w:ascii="Calibri" w:hAnsi="Calibri"/>
          <w:b/>
          <w:bCs/>
          <w:sz w:val="22"/>
          <w:szCs w:val="22"/>
          <w:lang w:eastAsia="en-AU"/>
        </w:rPr>
        <w:t xml:space="preserve">should continue </w:t>
      </w:r>
      <w:r w:rsidR="00CC39DE">
        <w:rPr>
          <w:rFonts w:ascii="Calibri" w:hAnsi="Calibri"/>
          <w:b/>
          <w:bCs/>
          <w:sz w:val="22"/>
          <w:szCs w:val="22"/>
          <w:lang w:eastAsia="en-AU"/>
        </w:rPr>
        <w:t xml:space="preserve">to </w:t>
      </w:r>
      <w:r w:rsidRPr="00E44F3A">
        <w:rPr>
          <w:rFonts w:ascii="Calibri" w:hAnsi="Calibri"/>
          <w:b/>
          <w:bCs/>
          <w:sz w:val="22"/>
          <w:szCs w:val="22"/>
          <w:lang w:eastAsia="en-AU"/>
        </w:rPr>
        <w:t>promot</w:t>
      </w:r>
      <w:r w:rsidR="00CC39DE">
        <w:rPr>
          <w:rFonts w:ascii="Calibri" w:hAnsi="Calibri"/>
          <w:b/>
          <w:bCs/>
          <w:sz w:val="22"/>
          <w:szCs w:val="22"/>
          <w:lang w:eastAsia="en-AU"/>
        </w:rPr>
        <w:t>e</w:t>
      </w:r>
      <w:r w:rsidRPr="00E44F3A">
        <w:rPr>
          <w:rFonts w:ascii="Calibri" w:hAnsi="Calibri"/>
          <w:b/>
          <w:bCs/>
          <w:sz w:val="22"/>
          <w:szCs w:val="22"/>
          <w:lang w:eastAsia="en-AU"/>
        </w:rPr>
        <w:t xml:space="preserve"> awareness of</w:t>
      </w:r>
      <w:r w:rsidR="00F42250" w:rsidRPr="00E44F3A">
        <w:rPr>
          <w:rFonts w:ascii="Calibri" w:hAnsi="Calibri"/>
          <w:b/>
          <w:bCs/>
          <w:sz w:val="22"/>
          <w:szCs w:val="22"/>
          <w:lang w:eastAsia="en-AU"/>
        </w:rPr>
        <w:t xml:space="preserve"> safe</w:t>
      </w:r>
      <w:r w:rsidRPr="00E44F3A">
        <w:rPr>
          <w:rFonts w:ascii="Calibri" w:hAnsi="Calibri"/>
          <w:b/>
          <w:bCs/>
          <w:sz w:val="22"/>
          <w:szCs w:val="22"/>
          <w:lang w:eastAsia="en-AU"/>
        </w:rPr>
        <w:t xml:space="preserve"> hybrid work </w:t>
      </w:r>
      <w:r w:rsidR="00C12AC5" w:rsidRPr="00E44F3A">
        <w:rPr>
          <w:rFonts w:ascii="Calibri" w:hAnsi="Calibri"/>
          <w:b/>
          <w:bCs/>
          <w:sz w:val="22"/>
          <w:szCs w:val="22"/>
          <w:lang w:eastAsia="en-AU"/>
        </w:rPr>
        <w:t>practices and potential risks and impacts on workers.</w:t>
      </w:r>
    </w:p>
    <w:p w14:paraId="713F32D5" w14:textId="0DC1363B" w:rsidR="00C165D7" w:rsidRPr="00545C06" w:rsidRDefault="00C165D7" w:rsidP="00DE5008">
      <w:pPr>
        <w:spacing w:beforeLines="100" w:before="240" w:afterLines="60" w:after="144" w:line="276" w:lineRule="auto"/>
        <w:rPr>
          <w:rFonts w:ascii="Arial" w:hAnsi="Arial" w:cs="Arial"/>
          <w:b/>
          <w:color w:val="808080"/>
          <w:szCs w:val="26"/>
        </w:rPr>
      </w:pPr>
      <w:r w:rsidRPr="00545C06">
        <w:rPr>
          <w:rFonts w:ascii="Arial" w:hAnsi="Arial" w:cs="Arial"/>
          <w:b/>
          <w:color w:val="808080"/>
          <w:szCs w:val="26"/>
        </w:rPr>
        <w:lastRenderedPageBreak/>
        <w:t xml:space="preserve">Health and safety impacted by workforce </w:t>
      </w:r>
      <w:r w:rsidR="00DE0584" w:rsidRPr="00545C06">
        <w:rPr>
          <w:rFonts w:ascii="Arial" w:hAnsi="Arial" w:cs="Arial"/>
          <w:b/>
          <w:color w:val="808080"/>
          <w:szCs w:val="26"/>
        </w:rPr>
        <w:t xml:space="preserve">demographic and </w:t>
      </w:r>
      <w:r w:rsidRPr="00545C06">
        <w:rPr>
          <w:rFonts w:ascii="Arial" w:hAnsi="Arial" w:cs="Arial"/>
          <w:b/>
          <w:color w:val="808080"/>
          <w:szCs w:val="26"/>
        </w:rPr>
        <w:t>size</w:t>
      </w:r>
      <w:r w:rsidR="00B976A6" w:rsidRPr="00545C06">
        <w:rPr>
          <w:rFonts w:ascii="Arial" w:hAnsi="Arial" w:cs="Arial"/>
          <w:b/>
          <w:color w:val="808080"/>
          <w:szCs w:val="26"/>
        </w:rPr>
        <w:t xml:space="preserve"> changes</w:t>
      </w:r>
    </w:p>
    <w:p w14:paraId="1EE88FA5" w14:textId="0D5B1B1B" w:rsidR="00C165D7" w:rsidRDefault="00CD11D3" w:rsidP="00C165D7">
      <w:pPr>
        <w:spacing w:beforeLines="60" w:before="144" w:afterLines="60" w:after="144" w:line="276" w:lineRule="auto"/>
        <w:rPr>
          <w:rFonts w:ascii="Calibri" w:hAnsi="Calibri"/>
          <w:sz w:val="22"/>
          <w:szCs w:val="22"/>
          <w:lang w:eastAsia="en-AU"/>
        </w:rPr>
      </w:pPr>
      <w:r>
        <w:rPr>
          <w:rFonts w:ascii="Calibri" w:hAnsi="Calibri"/>
          <w:sz w:val="22"/>
          <w:szCs w:val="22"/>
          <w:lang w:eastAsia="en-AU"/>
        </w:rPr>
        <w:t>C</w:t>
      </w:r>
      <w:r w:rsidR="0040420B">
        <w:rPr>
          <w:rFonts w:ascii="Calibri" w:hAnsi="Calibri"/>
          <w:sz w:val="22"/>
          <w:szCs w:val="22"/>
          <w:lang w:eastAsia="en-AU"/>
        </w:rPr>
        <w:t xml:space="preserve">hanges in </w:t>
      </w:r>
      <w:r w:rsidR="00C165D7">
        <w:rPr>
          <w:rFonts w:ascii="Calibri" w:hAnsi="Calibri"/>
          <w:sz w:val="22"/>
          <w:szCs w:val="22"/>
          <w:lang w:eastAsia="en-AU"/>
        </w:rPr>
        <w:t xml:space="preserve">workforce </w:t>
      </w:r>
      <w:r w:rsidR="0040420B">
        <w:rPr>
          <w:rFonts w:ascii="Calibri" w:hAnsi="Calibri"/>
          <w:sz w:val="22"/>
          <w:szCs w:val="22"/>
          <w:lang w:eastAsia="en-AU"/>
        </w:rPr>
        <w:t xml:space="preserve">demographics, </w:t>
      </w:r>
      <w:r w:rsidR="00C165D7">
        <w:rPr>
          <w:rFonts w:ascii="Calibri" w:hAnsi="Calibri"/>
          <w:sz w:val="22"/>
          <w:szCs w:val="22"/>
          <w:lang w:eastAsia="en-AU"/>
        </w:rPr>
        <w:t xml:space="preserve">size and </w:t>
      </w:r>
      <w:r w:rsidR="0040420B">
        <w:rPr>
          <w:rFonts w:ascii="Calibri" w:hAnsi="Calibri"/>
          <w:sz w:val="22"/>
          <w:szCs w:val="22"/>
          <w:lang w:eastAsia="en-AU"/>
        </w:rPr>
        <w:t xml:space="preserve">staffing </w:t>
      </w:r>
      <w:r w:rsidR="00C165D7">
        <w:rPr>
          <w:rFonts w:ascii="Calibri" w:hAnsi="Calibri"/>
          <w:sz w:val="22"/>
          <w:szCs w:val="22"/>
          <w:lang w:eastAsia="en-AU"/>
        </w:rPr>
        <w:t>shortages</w:t>
      </w:r>
      <w:r w:rsidR="0040420B">
        <w:rPr>
          <w:rFonts w:ascii="Calibri" w:hAnsi="Calibri"/>
          <w:sz w:val="22"/>
          <w:szCs w:val="22"/>
          <w:lang w:eastAsia="en-AU"/>
        </w:rPr>
        <w:t xml:space="preserve"> that </w:t>
      </w:r>
      <w:r w:rsidR="00C165D7">
        <w:rPr>
          <w:rFonts w:ascii="Calibri" w:hAnsi="Calibri"/>
          <w:sz w:val="22"/>
          <w:szCs w:val="22"/>
          <w:lang w:eastAsia="en-AU"/>
        </w:rPr>
        <w:t xml:space="preserve">can adversely impact </w:t>
      </w:r>
      <w:r w:rsidR="00F42250">
        <w:rPr>
          <w:rFonts w:ascii="Calibri" w:hAnsi="Calibri"/>
          <w:sz w:val="22"/>
          <w:szCs w:val="22"/>
          <w:lang w:eastAsia="en-AU"/>
        </w:rPr>
        <w:t xml:space="preserve">worker </w:t>
      </w:r>
      <w:r w:rsidR="00C165D7">
        <w:rPr>
          <w:rFonts w:ascii="Calibri" w:hAnsi="Calibri"/>
          <w:sz w:val="22"/>
          <w:szCs w:val="22"/>
          <w:lang w:eastAsia="en-AU"/>
        </w:rPr>
        <w:t xml:space="preserve">health and safety. </w:t>
      </w:r>
      <w:r>
        <w:rPr>
          <w:rFonts w:ascii="Calibri" w:hAnsi="Calibri"/>
          <w:sz w:val="22"/>
          <w:szCs w:val="22"/>
          <w:lang w:eastAsia="en-AU"/>
        </w:rPr>
        <w:t>L</w:t>
      </w:r>
      <w:r w:rsidR="00C165D7">
        <w:rPr>
          <w:rFonts w:ascii="Calibri" w:hAnsi="Calibri"/>
          <w:sz w:val="22"/>
          <w:szCs w:val="22"/>
          <w:lang w:eastAsia="en-AU"/>
        </w:rPr>
        <w:t xml:space="preserve">ow staffing levels </w:t>
      </w:r>
      <w:r>
        <w:rPr>
          <w:rFonts w:ascii="Calibri" w:hAnsi="Calibri"/>
          <w:sz w:val="22"/>
          <w:szCs w:val="22"/>
          <w:lang w:eastAsia="en-AU"/>
        </w:rPr>
        <w:t xml:space="preserve">can </w:t>
      </w:r>
      <w:r w:rsidR="00C165D7">
        <w:rPr>
          <w:rFonts w:ascii="Calibri" w:hAnsi="Calibri"/>
          <w:sz w:val="22"/>
          <w:szCs w:val="22"/>
          <w:lang w:eastAsia="en-AU"/>
        </w:rPr>
        <w:t>contribut</w:t>
      </w:r>
      <w:r w:rsidR="001364B8">
        <w:rPr>
          <w:rFonts w:ascii="Calibri" w:hAnsi="Calibri"/>
          <w:sz w:val="22"/>
          <w:szCs w:val="22"/>
          <w:lang w:eastAsia="en-AU"/>
        </w:rPr>
        <w:t>e</w:t>
      </w:r>
      <w:r w:rsidR="00C165D7">
        <w:rPr>
          <w:rFonts w:ascii="Calibri" w:hAnsi="Calibri"/>
          <w:sz w:val="22"/>
          <w:szCs w:val="22"/>
          <w:lang w:eastAsia="en-AU"/>
        </w:rPr>
        <w:t xml:space="preserve"> to </w:t>
      </w:r>
      <w:r>
        <w:rPr>
          <w:rFonts w:ascii="Calibri" w:hAnsi="Calibri"/>
          <w:sz w:val="22"/>
          <w:szCs w:val="22"/>
          <w:lang w:eastAsia="en-AU"/>
        </w:rPr>
        <w:t xml:space="preserve">psychosocial </w:t>
      </w:r>
      <w:r w:rsidR="00C165D7">
        <w:rPr>
          <w:rFonts w:ascii="Calibri" w:hAnsi="Calibri"/>
          <w:sz w:val="22"/>
          <w:szCs w:val="22"/>
          <w:lang w:eastAsia="en-AU"/>
        </w:rPr>
        <w:t>hazards such as poor workplace support</w:t>
      </w:r>
      <w:r w:rsidR="00DB51FB">
        <w:rPr>
          <w:rFonts w:ascii="Calibri" w:hAnsi="Calibri"/>
          <w:sz w:val="22"/>
          <w:szCs w:val="22"/>
          <w:lang w:eastAsia="en-AU"/>
        </w:rPr>
        <w:t xml:space="preserve"> and </w:t>
      </w:r>
      <w:r w:rsidR="00C165D7">
        <w:rPr>
          <w:rFonts w:ascii="Calibri" w:hAnsi="Calibri"/>
          <w:sz w:val="22"/>
          <w:szCs w:val="22"/>
          <w:lang w:eastAsia="en-AU"/>
        </w:rPr>
        <w:t>violence and aggression in the workplace</w:t>
      </w:r>
      <w:r w:rsidR="00DB51FB">
        <w:rPr>
          <w:rFonts w:ascii="Calibri" w:hAnsi="Calibri"/>
          <w:sz w:val="22"/>
          <w:szCs w:val="22"/>
          <w:lang w:eastAsia="en-AU"/>
        </w:rPr>
        <w:t xml:space="preserve">. </w:t>
      </w:r>
      <w:r w:rsidR="00DE0584">
        <w:rPr>
          <w:rFonts w:ascii="Calibri" w:hAnsi="Calibri"/>
          <w:sz w:val="22"/>
          <w:szCs w:val="22"/>
          <w:lang w:eastAsia="en-AU"/>
        </w:rPr>
        <w:t xml:space="preserve">Workforce size/shortages </w:t>
      </w:r>
      <w:r>
        <w:rPr>
          <w:rFonts w:ascii="Calibri" w:hAnsi="Calibri"/>
          <w:sz w:val="22"/>
          <w:szCs w:val="22"/>
          <w:lang w:eastAsia="en-AU"/>
        </w:rPr>
        <w:t xml:space="preserve">may </w:t>
      </w:r>
      <w:r w:rsidR="0040420B">
        <w:rPr>
          <w:rFonts w:ascii="Calibri" w:hAnsi="Calibri"/>
          <w:sz w:val="22"/>
          <w:szCs w:val="22"/>
          <w:lang w:eastAsia="en-AU"/>
        </w:rPr>
        <w:t xml:space="preserve">have an acute impact of safety particularly </w:t>
      </w:r>
      <w:r w:rsidR="00DB51FB">
        <w:rPr>
          <w:rFonts w:ascii="Calibri" w:hAnsi="Calibri"/>
          <w:sz w:val="22"/>
          <w:szCs w:val="22"/>
          <w:lang w:eastAsia="en-AU"/>
        </w:rPr>
        <w:t>in service areas that must continue operating</w:t>
      </w:r>
      <w:r>
        <w:rPr>
          <w:rFonts w:ascii="Calibri" w:hAnsi="Calibri"/>
          <w:sz w:val="22"/>
          <w:szCs w:val="22"/>
          <w:lang w:eastAsia="en-AU"/>
        </w:rPr>
        <w:t>.</w:t>
      </w:r>
      <w:r w:rsidR="00DB51FB">
        <w:rPr>
          <w:rFonts w:ascii="Calibri" w:hAnsi="Calibri"/>
          <w:sz w:val="22"/>
          <w:szCs w:val="22"/>
          <w:lang w:eastAsia="en-AU"/>
        </w:rPr>
        <w:t xml:space="preserve"> </w:t>
      </w:r>
      <w:r>
        <w:rPr>
          <w:rFonts w:ascii="Calibri" w:hAnsi="Calibri"/>
          <w:sz w:val="22"/>
          <w:szCs w:val="22"/>
          <w:lang w:eastAsia="en-AU"/>
        </w:rPr>
        <w:t>U</w:t>
      </w:r>
      <w:r w:rsidR="00C165D7">
        <w:rPr>
          <w:rFonts w:ascii="Calibri" w:hAnsi="Calibri"/>
          <w:sz w:val="22"/>
          <w:szCs w:val="22"/>
          <w:lang w:eastAsia="en-AU"/>
        </w:rPr>
        <w:t>pstream design of work and systems of work</w:t>
      </w:r>
      <w:r w:rsidR="00DB51FB">
        <w:rPr>
          <w:rFonts w:ascii="Calibri" w:hAnsi="Calibri"/>
          <w:sz w:val="22"/>
          <w:szCs w:val="22"/>
          <w:lang w:eastAsia="en-AU"/>
        </w:rPr>
        <w:t xml:space="preserve"> </w:t>
      </w:r>
      <w:r>
        <w:rPr>
          <w:rFonts w:ascii="Calibri" w:hAnsi="Calibri"/>
          <w:sz w:val="22"/>
          <w:szCs w:val="22"/>
          <w:lang w:eastAsia="en-AU"/>
        </w:rPr>
        <w:t xml:space="preserve">are important for managing </w:t>
      </w:r>
      <w:r w:rsidR="00DB51FB">
        <w:rPr>
          <w:rFonts w:ascii="Calibri" w:hAnsi="Calibri"/>
          <w:sz w:val="22"/>
          <w:szCs w:val="22"/>
          <w:lang w:eastAsia="en-AU"/>
        </w:rPr>
        <w:t>these risks</w:t>
      </w:r>
      <w:r w:rsidR="00C165D7">
        <w:rPr>
          <w:rFonts w:ascii="Calibri" w:hAnsi="Calibri"/>
          <w:sz w:val="22"/>
          <w:szCs w:val="22"/>
          <w:lang w:eastAsia="en-AU"/>
        </w:rPr>
        <w:t>.</w:t>
      </w:r>
    </w:p>
    <w:p w14:paraId="257AC0B2" w14:textId="3A3826E8" w:rsidR="00C165D7" w:rsidRPr="00E44F3A" w:rsidRDefault="00C165D7" w:rsidP="00E44F3A">
      <w:pPr>
        <w:spacing w:beforeLines="60" w:before="144" w:line="276" w:lineRule="auto"/>
        <w:rPr>
          <w:rFonts w:ascii="Calibri" w:hAnsi="Calibri"/>
          <w:b/>
          <w:bCs/>
          <w:sz w:val="22"/>
          <w:szCs w:val="22"/>
          <w:lang w:eastAsia="en-AU"/>
        </w:rPr>
      </w:pPr>
      <w:r w:rsidRPr="00E44F3A">
        <w:rPr>
          <w:rFonts w:ascii="Calibri" w:hAnsi="Calibri"/>
          <w:b/>
          <w:bCs/>
          <w:sz w:val="22"/>
          <w:szCs w:val="22"/>
          <w:lang w:eastAsia="en-AU"/>
        </w:rPr>
        <w:t xml:space="preserve">WorkSafe </w:t>
      </w:r>
      <w:r w:rsidR="00DE0584" w:rsidRPr="00E44F3A">
        <w:rPr>
          <w:rFonts w:ascii="Calibri" w:hAnsi="Calibri"/>
          <w:b/>
          <w:bCs/>
          <w:sz w:val="22"/>
          <w:szCs w:val="22"/>
          <w:lang w:eastAsia="en-AU"/>
        </w:rPr>
        <w:t xml:space="preserve">ACT </w:t>
      </w:r>
      <w:r w:rsidRPr="00E44F3A">
        <w:rPr>
          <w:rFonts w:ascii="Calibri" w:hAnsi="Calibri"/>
          <w:b/>
          <w:bCs/>
          <w:sz w:val="22"/>
          <w:szCs w:val="22"/>
          <w:lang w:eastAsia="en-AU"/>
        </w:rPr>
        <w:t xml:space="preserve">should </w:t>
      </w:r>
      <w:r w:rsidR="0040420B" w:rsidRPr="00E44F3A">
        <w:rPr>
          <w:rFonts w:ascii="Calibri" w:hAnsi="Calibri"/>
          <w:b/>
          <w:bCs/>
          <w:sz w:val="22"/>
          <w:szCs w:val="22"/>
          <w:lang w:eastAsia="en-AU"/>
        </w:rPr>
        <w:t>continue to support stakeholders and PCBUs to engage in WHS practices that address health and safety where there are ongoing workforce shortages, particularly in service sectors.</w:t>
      </w:r>
    </w:p>
    <w:p w14:paraId="36EEF705" w14:textId="471FA314" w:rsidR="00647209" w:rsidRPr="00545C06" w:rsidRDefault="00647209" w:rsidP="00DE5008">
      <w:pPr>
        <w:spacing w:beforeLines="100" w:before="240" w:afterLines="60" w:after="144" w:line="276" w:lineRule="auto"/>
        <w:rPr>
          <w:rFonts w:ascii="Arial" w:hAnsi="Arial" w:cs="Arial"/>
          <w:b/>
          <w:color w:val="808080"/>
          <w:szCs w:val="26"/>
        </w:rPr>
      </w:pPr>
      <w:r w:rsidRPr="00545C06">
        <w:rPr>
          <w:rFonts w:ascii="Arial" w:hAnsi="Arial" w:cs="Arial"/>
          <w:b/>
          <w:color w:val="808080"/>
          <w:szCs w:val="26"/>
        </w:rPr>
        <w:t xml:space="preserve">Small business </w:t>
      </w:r>
      <w:r w:rsidR="00017308" w:rsidRPr="00545C06">
        <w:rPr>
          <w:rFonts w:ascii="Arial" w:hAnsi="Arial" w:cs="Arial"/>
          <w:b/>
          <w:color w:val="808080"/>
          <w:szCs w:val="26"/>
        </w:rPr>
        <w:t xml:space="preserve">– improving work health and safety </w:t>
      </w:r>
    </w:p>
    <w:p w14:paraId="0887546F" w14:textId="41F4BE37" w:rsidR="00647209" w:rsidRDefault="00BE14A7" w:rsidP="00647209">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Small businesses </w:t>
      </w:r>
      <w:r w:rsidR="001364B8">
        <w:rPr>
          <w:rFonts w:ascii="Calibri" w:hAnsi="Calibri"/>
          <w:sz w:val="22"/>
          <w:szCs w:val="22"/>
          <w:lang w:eastAsia="en-AU"/>
        </w:rPr>
        <w:t xml:space="preserve">frequently </w:t>
      </w:r>
      <w:r>
        <w:rPr>
          <w:rFonts w:ascii="Calibri" w:hAnsi="Calibri"/>
          <w:sz w:val="22"/>
          <w:szCs w:val="22"/>
          <w:lang w:eastAsia="en-AU"/>
        </w:rPr>
        <w:t>have</w:t>
      </w:r>
      <w:r w:rsidR="001364B8">
        <w:rPr>
          <w:rFonts w:ascii="Calibri" w:hAnsi="Calibri"/>
          <w:sz w:val="22"/>
          <w:szCs w:val="22"/>
          <w:lang w:eastAsia="en-AU"/>
        </w:rPr>
        <w:t xml:space="preserve"> fewer </w:t>
      </w:r>
      <w:r>
        <w:rPr>
          <w:rFonts w:ascii="Calibri" w:hAnsi="Calibri"/>
          <w:sz w:val="22"/>
          <w:szCs w:val="22"/>
          <w:lang w:eastAsia="en-AU"/>
        </w:rPr>
        <w:t>resources to dedicate to understanding WHS requirements and obligations</w:t>
      </w:r>
      <w:r w:rsidR="001364B8">
        <w:rPr>
          <w:rFonts w:ascii="Calibri" w:hAnsi="Calibri"/>
          <w:sz w:val="22"/>
          <w:szCs w:val="22"/>
          <w:lang w:eastAsia="en-AU"/>
        </w:rPr>
        <w:t xml:space="preserve"> than larger ones</w:t>
      </w:r>
      <w:r>
        <w:rPr>
          <w:rFonts w:ascii="Calibri" w:hAnsi="Calibri"/>
          <w:sz w:val="22"/>
          <w:szCs w:val="22"/>
          <w:lang w:eastAsia="en-AU"/>
        </w:rPr>
        <w:t xml:space="preserve">. </w:t>
      </w:r>
    </w:p>
    <w:p w14:paraId="1F0BD4E9" w14:textId="459BA974" w:rsidR="00DD02C9" w:rsidRDefault="00DE0584"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WorkSafe ACT should</w:t>
      </w:r>
      <w:r w:rsidR="004B00AE" w:rsidRPr="00E44F3A">
        <w:rPr>
          <w:rFonts w:ascii="Calibri" w:hAnsi="Calibri"/>
          <w:b/>
          <w:bCs/>
          <w:sz w:val="22"/>
          <w:szCs w:val="22"/>
          <w:lang w:eastAsia="en-AU"/>
        </w:rPr>
        <w:t xml:space="preserve"> </w:t>
      </w:r>
      <w:r w:rsidR="00003BB6" w:rsidRPr="00E44F3A">
        <w:rPr>
          <w:rFonts w:ascii="Calibri" w:hAnsi="Calibri"/>
          <w:b/>
          <w:bCs/>
          <w:sz w:val="22"/>
          <w:szCs w:val="22"/>
          <w:lang w:eastAsia="en-AU"/>
        </w:rPr>
        <w:t xml:space="preserve">continue to </w:t>
      </w:r>
      <w:r w:rsidR="001364B8" w:rsidRPr="00E44F3A">
        <w:rPr>
          <w:rFonts w:ascii="Calibri" w:hAnsi="Calibri"/>
          <w:b/>
          <w:bCs/>
          <w:sz w:val="22"/>
          <w:szCs w:val="22"/>
          <w:lang w:eastAsia="en-AU"/>
        </w:rPr>
        <w:t>provide</w:t>
      </w:r>
      <w:r w:rsidR="004B00AE" w:rsidRPr="00E44F3A">
        <w:rPr>
          <w:rFonts w:ascii="Calibri" w:hAnsi="Calibri"/>
          <w:b/>
          <w:bCs/>
          <w:sz w:val="22"/>
          <w:szCs w:val="22"/>
          <w:lang w:eastAsia="en-AU"/>
        </w:rPr>
        <w:t xml:space="preserve"> </w:t>
      </w:r>
      <w:r w:rsidR="00BE14A7" w:rsidRPr="00E44F3A">
        <w:rPr>
          <w:rFonts w:ascii="Calibri" w:hAnsi="Calibri"/>
          <w:b/>
          <w:bCs/>
          <w:sz w:val="22"/>
          <w:szCs w:val="22"/>
          <w:lang w:eastAsia="en-AU"/>
        </w:rPr>
        <w:t xml:space="preserve">tailored </w:t>
      </w:r>
      <w:r w:rsidR="005E41FE" w:rsidRPr="00E44F3A">
        <w:rPr>
          <w:rFonts w:ascii="Calibri" w:hAnsi="Calibri"/>
          <w:b/>
          <w:bCs/>
          <w:sz w:val="22"/>
          <w:szCs w:val="22"/>
          <w:lang w:eastAsia="en-AU"/>
        </w:rPr>
        <w:t xml:space="preserve">and targeted </w:t>
      </w:r>
      <w:r w:rsidR="00BA4EE3" w:rsidRPr="00E44F3A">
        <w:rPr>
          <w:rFonts w:ascii="Calibri" w:hAnsi="Calibri"/>
          <w:b/>
          <w:bCs/>
          <w:sz w:val="22"/>
          <w:szCs w:val="22"/>
          <w:lang w:eastAsia="en-AU"/>
        </w:rPr>
        <w:t xml:space="preserve">materials and information </w:t>
      </w:r>
      <w:r w:rsidR="005E41FE" w:rsidRPr="00E44F3A">
        <w:rPr>
          <w:rFonts w:ascii="Calibri" w:hAnsi="Calibri"/>
          <w:b/>
          <w:bCs/>
          <w:sz w:val="22"/>
          <w:szCs w:val="22"/>
          <w:lang w:eastAsia="en-AU"/>
        </w:rPr>
        <w:t>that better support small business in achieving</w:t>
      </w:r>
      <w:r w:rsidR="00003BB6" w:rsidRPr="00E44F3A">
        <w:rPr>
          <w:rFonts w:ascii="Calibri" w:hAnsi="Calibri"/>
          <w:b/>
          <w:bCs/>
          <w:sz w:val="22"/>
          <w:szCs w:val="22"/>
          <w:lang w:eastAsia="en-AU"/>
        </w:rPr>
        <w:t xml:space="preserve"> improved</w:t>
      </w:r>
      <w:r w:rsidR="005E41FE" w:rsidRPr="00E44F3A">
        <w:rPr>
          <w:rFonts w:ascii="Calibri" w:hAnsi="Calibri"/>
          <w:b/>
          <w:bCs/>
          <w:sz w:val="22"/>
          <w:szCs w:val="22"/>
          <w:lang w:eastAsia="en-AU"/>
        </w:rPr>
        <w:t xml:space="preserve"> health and safety outcomes and building working environments with a positive safety culture.</w:t>
      </w:r>
    </w:p>
    <w:p w14:paraId="3987F2C0" w14:textId="77777777" w:rsidR="00E0426E" w:rsidRPr="00E44F3A" w:rsidRDefault="00E0426E" w:rsidP="00E44F3A">
      <w:pPr>
        <w:spacing w:beforeLines="60" w:before="144" w:afterLines="60" w:after="144" w:line="276" w:lineRule="auto"/>
        <w:rPr>
          <w:rFonts w:ascii="Calibri" w:hAnsi="Calibri"/>
          <w:b/>
          <w:bCs/>
          <w:sz w:val="22"/>
          <w:szCs w:val="22"/>
          <w:lang w:eastAsia="en-AU"/>
        </w:rPr>
      </w:pPr>
    </w:p>
    <w:p w14:paraId="7F86E1E7" w14:textId="77777777" w:rsidR="00591C92" w:rsidRPr="00DA7216" w:rsidRDefault="0077043D" w:rsidP="00DA7216">
      <w:pPr>
        <w:rPr>
          <w:rFonts w:ascii="Arial" w:hAnsi="Arial" w:cs="Arial"/>
          <w:b/>
          <w:bCs/>
          <w:color w:val="7030A0"/>
          <w:sz w:val="30"/>
          <w:szCs w:val="30"/>
        </w:rPr>
      </w:pPr>
      <w:r w:rsidRPr="00DA7216">
        <w:rPr>
          <w:rFonts w:ascii="Arial" w:hAnsi="Arial" w:cs="Arial"/>
          <w:b/>
          <w:bCs/>
          <w:color w:val="7030A0"/>
          <w:sz w:val="30"/>
          <w:szCs w:val="30"/>
        </w:rPr>
        <w:t>Priority industr</w:t>
      </w:r>
      <w:r w:rsidR="00624920" w:rsidRPr="00DA7216">
        <w:rPr>
          <w:rFonts w:ascii="Arial" w:hAnsi="Arial" w:cs="Arial"/>
          <w:b/>
          <w:bCs/>
          <w:color w:val="7030A0"/>
          <w:sz w:val="30"/>
          <w:szCs w:val="30"/>
        </w:rPr>
        <w:t>ies</w:t>
      </w:r>
    </w:p>
    <w:p w14:paraId="746D2CC2" w14:textId="749567A1" w:rsidR="00ED1EFF" w:rsidRDefault="00DC00B7" w:rsidP="00591C92">
      <w:pPr>
        <w:spacing w:beforeLines="60" w:before="144" w:afterLines="60" w:after="144" w:line="276" w:lineRule="auto"/>
        <w:rPr>
          <w:rFonts w:ascii="Calibri" w:hAnsi="Calibri"/>
          <w:sz w:val="22"/>
          <w:szCs w:val="22"/>
          <w:lang w:eastAsia="en-AU"/>
        </w:rPr>
      </w:pPr>
      <w:r w:rsidRPr="00DC00B7">
        <w:rPr>
          <w:rFonts w:ascii="Calibri" w:hAnsi="Calibri"/>
          <w:sz w:val="22"/>
          <w:szCs w:val="22"/>
          <w:lang w:eastAsia="en-AU"/>
        </w:rPr>
        <w:t>In the national WHS Strategy, the construction</w:t>
      </w:r>
      <w:r w:rsidR="00214050">
        <w:rPr>
          <w:rFonts w:ascii="Calibri" w:hAnsi="Calibri"/>
          <w:sz w:val="22"/>
          <w:szCs w:val="22"/>
          <w:lang w:eastAsia="en-AU"/>
        </w:rPr>
        <w:t xml:space="preserve"> industry</w:t>
      </w:r>
      <w:r w:rsidRPr="00DC00B7">
        <w:rPr>
          <w:rFonts w:ascii="Calibri" w:hAnsi="Calibri"/>
          <w:sz w:val="22"/>
          <w:szCs w:val="22"/>
          <w:lang w:eastAsia="en-AU"/>
        </w:rPr>
        <w:t xml:space="preserve"> </w:t>
      </w:r>
      <w:r w:rsidR="00624920">
        <w:rPr>
          <w:rFonts w:ascii="Calibri" w:hAnsi="Calibri"/>
          <w:sz w:val="22"/>
          <w:szCs w:val="22"/>
          <w:lang w:eastAsia="en-AU"/>
        </w:rPr>
        <w:t xml:space="preserve">and public administration </w:t>
      </w:r>
      <w:r w:rsidR="00B010C0">
        <w:rPr>
          <w:rFonts w:ascii="Calibri" w:hAnsi="Calibri"/>
          <w:sz w:val="22"/>
          <w:szCs w:val="22"/>
          <w:lang w:eastAsia="en-AU"/>
        </w:rPr>
        <w:t>industr</w:t>
      </w:r>
      <w:r w:rsidR="00214050">
        <w:rPr>
          <w:rFonts w:ascii="Calibri" w:hAnsi="Calibri"/>
          <w:sz w:val="22"/>
          <w:szCs w:val="22"/>
          <w:lang w:eastAsia="en-AU"/>
        </w:rPr>
        <w:t>y</w:t>
      </w:r>
      <w:r w:rsidR="00B010C0">
        <w:rPr>
          <w:rFonts w:ascii="Calibri" w:hAnsi="Calibri"/>
          <w:sz w:val="22"/>
          <w:szCs w:val="22"/>
          <w:lang w:eastAsia="en-AU"/>
        </w:rPr>
        <w:t xml:space="preserve"> </w:t>
      </w:r>
      <w:r w:rsidR="00624920">
        <w:rPr>
          <w:rFonts w:ascii="Calibri" w:hAnsi="Calibri"/>
          <w:sz w:val="22"/>
          <w:szCs w:val="22"/>
          <w:lang w:eastAsia="en-AU"/>
        </w:rPr>
        <w:t>are</w:t>
      </w:r>
      <w:r w:rsidR="00214050">
        <w:rPr>
          <w:rFonts w:ascii="Calibri" w:hAnsi="Calibri"/>
          <w:sz w:val="22"/>
          <w:szCs w:val="22"/>
          <w:lang w:eastAsia="en-AU"/>
        </w:rPr>
        <w:t xml:space="preserve"> both </w:t>
      </w:r>
      <w:r w:rsidRPr="00DC00B7">
        <w:rPr>
          <w:rFonts w:ascii="Calibri" w:hAnsi="Calibri"/>
          <w:sz w:val="22"/>
          <w:szCs w:val="22"/>
          <w:lang w:eastAsia="en-AU"/>
        </w:rPr>
        <w:t>highlighted</w:t>
      </w:r>
      <w:r w:rsidR="00B010C0">
        <w:rPr>
          <w:rFonts w:ascii="Calibri" w:hAnsi="Calibri"/>
          <w:sz w:val="22"/>
          <w:szCs w:val="22"/>
          <w:lang w:eastAsia="en-AU"/>
        </w:rPr>
        <w:t xml:space="preserve"> </w:t>
      </w:r>
      <w:r w:rsidRPr="00DC00B7">
        <w:rPr>
          <w:rFonts w:ascii="Calibri" w:hAnsi="Calibri"/>
          <w:sz w:val="22"/>
          <w:szCs w:val="22"/>
          <w:lang w:eastAsia="en-AU"/>
        </w:rPr>
        <w:t>as</w:t>
      </w:r>
      <w:r w:rsidR="00624920">
        <w:rPr>
          <w:rFonts w:ascii="Calibri" w:hAnsi="Calibri"/>
          <w:sz w:val="22"/>
          <w:szCs w:val="22"/>
          <w:lang w:eastAsia="en-AU"/>
        </w:rPr>
        <w:t xml:space="preserve"> high-risk industries. These industries are also priorities in the ACT</w:t>
      </w:r>
      <w:r w:rsidR="00ED1EFF">
        <w:rPr>
          <w:rFonts w:ascii="Calibri" w:hAnsi="Calibri"/>
          <w:sz w:val="22"/>
          <w:szCs w:val="22"/>
          <w:lang w:eastAsia="en-AU"/>
        </w:rPr>
        <w:t xml:space="preserve">. </w:t>
      </w:r>
    </w:p>
    <w:p w14:paraId="1BF59392" w14:textId="56447A3B" w:rsidR="00F30672" w:rsidRPr="00545C06" w:rsidRDefault="00F30672" w:rsidP="00DD02C9">
      <w:pPr>
        <w:spacing w:beforeLines="150" w:before="360" w:afterLines="60" w:after="144" w:line="276" w:lineRule="auto"/>
        <w:rPr>
          <w:rFonts w:ascii="Arial" w:hAnsi="Arial" w:cs="Arial"/>
          <w:b/>
          <w:color w:val="808080"/>
          <w:szCs w:val="26"/>
        </w:rPr>
      </w:pPr>
      <w:r w:rsidRPr="00545C06">
        <w:rPr>
          <w:rFonts w:ascii="Arial" w:hAnsi="Arial" w:cs="Arial"/>
          <w:b/>
          <w:color w:val="808080"/>
          <w:szCs w:val="26"/>
        </w:rPr>
        <w:t>Construction Industry</w:t>
      </w:r>
    </w:p>
    <w:p w14:paraId="6874885C" w14:textId="1FE448DE" w:rsidR="00BD259D" w:rsidRPr="00591C92" w:rsidRDefault="00F30672" w:rsidP="00591C92">
      <w:pPr>
        <w:spacing w:beforeLines="60" w:before="144" w:afterLines="60" w:after="144" w:line="276" w:lineRule="auto"/>
        <w:rPr>
          <w:rFonts w:ascii="Calibri" w:hAnsi="Calibri"/>
          <w:sz w:val="22"/>
          <w:szCs w:val="22"/>
          <w:lang w:eastAsia="en-AU"/>
        </w:rPr>
      </w:pPr>
      <w:r w:rsidRPr="00591C92">
        <w:rPr>
          <w:rFonts w:ascii="Calibri" w:hAnsi="Calibri"/>
          <w:sz w:val="22"/>
          <w:szCs w:val="22"/>
          <w:lang w:eastAsia="en-AU"/>
        </w:rPr>
        <w:t>The construction industry is consistently one of the highest risk industries</w:t>
      </w:r>
      <w:r w:rsidR="00214050" w:rsidRPr="00591C92">
        <w:rPr>
          <w:rFonts w:ascii="Calibri" w:hAnsi="Calibri"/>
          <w:sz w:val="22"/>
          <w:szCs w:val="22"/>
          <w:lang w:eastAsia="en-AU"/>
        </w:rPr>
        <w:t xml:space="preserve"> nationally and</w:t>
      </w:r>
      <w:r w:rsidRPr="00591C92">
        <w:rPr>
          <w:rFonts w:ascii="Calibri" w:hAnsi="Calibri"/>
          <w:sz w:val="22"/>
          <w:szCs w:val="22"/>
          <w:lang w:eastAsia="en-AU"/>
        </w:rPr>
        <w:t xml:space="preserve"> in the ACT.</w:t>
      </w:r>
      <w:r w:rsidR="00342F66">
        <w:rPr>
          <w:rFonts w:ascii="Calibri" w:hAnsi="Calibri"/>
          <w:sz w:val="22"/>
          <w:szCs w:val="22"/>
          <w:lang w:eastAsia="en-AU"/>
        </w:rPr>
        <w:t xml:space="preserve"> </w:t>
      </w:r>
    </w:p>
    <w:p w14:paraId="6F0BC461" w14:textId="4BCB38EA" w:rsidR="00342F66" w:rsidRDefault="00342F66" w:rsidP="00342F66">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Based on national data as at 2022-23, </w:t>
      </w:r>
      <w:r w:rsidR="00496494">
        <w:rPr>
          <w:rFonts w:ascii="Calibri" w:hAnsi="Calibri"/>
          <w:sz w:val="22"/>
          <w:szCs w:val="22"/>
          <w:lang w:eastAsia="en-AU"/>
        </w:rPr>
        <w:t>t</w:t>
      </w:r>
      <w:r>
        <w:rPr>
          <w:rFonts w:ascii="Calibri" w:hAnsi="Calibri"/>
          <w:sz w:val="22"/>
          <w:szCs w:val="22"/>
          <w:lang w:eastAsia="en-AU"/>
        </w:rPr>
        <w:t>he ACT construction industry continues to experience a higher frequency rate of serious injury claims than the national average.</w:t>
      </w:r>
    </w:p>
    <w:p w14:paraId="3E7DD5BF" w14:textId="46F7B44F" w:rsidR="0016547A" w:rsidRPr="00E44F3A" w:rsidRDefault="00F30672"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ACT should maintain its strong focus on construction industry safety standards and compliance </w:t>
      </w:r>
      <w:r w:rsidR="00BE591D" w:rsidRPr="00E44F3A">
        <w:rPr>
          <w:rFonts w:ascii="Calibri" w:hAnsi="Calibri"/>
          <w:b/>
          <w:bCs/>
          <w:sz w:val="22"/>
          <w:szCs w:val="22"/>
          <w:lang w:eastAsia="en-AU"/>
        </w:rPr>
        <w:t>across</w:t>
      </w:r>
      <w:r w:rsidRPr="00E44F3A">
        <w:rPr>
          <w:rFonts w:ascii="Calibri" w:hAnsi="Calibri"/>
          <w:b/>
          <w:bCs/>
          <w:sz w:val="22"/>
          <w:szCs w:val="22"/>
          <w:lang w:eastAsia="en-AU"/>
        </w:rPr>
        <w:t xml:space="preserve"> residential</w:t>
      </w:r>
      <w:r w:rsidR="00BE591D" w:rsidRPr="00E44F3A">
        <w:rPr>
          <w:rFonts w:ascii="Calibri" w:hAnsi="Calibri"/>
          <w:b/>
          <w:bCs/>
          <w:sz w:val="22"/>
          <w:szCs w:val="22"/>
          <w:lang w:eastAsia="en-AU"/>
        </w:rPr>
        <w:t>,</w:t>
      </w:r>
      <w:r w:rsidRPr="00E44F3A">
        <w:rPr>
          <w:rFonts w:ascii="Calibri" w:hAnsi="Calibri"/>
          <w:b/>
          <w:bCs/>
          <w:sz w:val="22"/>
          <w:szCs w:val="22"/>
          <w:lang w:eastAsia="en-AU"/>
        </w:rPr>
        <w:t xml:space="preserve"> commercial</w:t>
      </w:r>
      <w:r w:rsidR="00BE591D" w:rsidRPr="00E44F3A">
        <w:rPr>
          <w:rFonts w:ascii="Calibri" w:hAnsi="Calibri"/>
          <w:b/>
          <w:bCs/>
          <w:sz w:val="22"/>
          <w:szCs w:val="22"/>
          <w:lang w:eastAsia="en-AU"/>
        </w:rPr>
        <w:t xml:space="preserve"> and civil construction</w:t>
      </w:r>
      <w:r w:rsidRPr="00E44F3A">
        <w:rPr>
          <w:rFonts w:ascii="Calibri" w:hAnsi="Calibri"/>
          <w:b/>
          <w:bCs/>
          <w:sz w:val="22"/>
          <w:szCs w:val="22"/>
          <w:lang w:eastAsia="en-AU"/>
        </w:rPr>
        <w:t xml:space="preserve"> sectors</w:t>
      </w:r>
      <w:r w:rsidR="00E445B9" w:rsidRPr="00E44F3A">
        <w:rPr>
          <w:rFonts w:ascii="Calibri" w:hAnsi="Calibri"/>
          <w:b/>
          <w:bCs/>
          <w:sz w:val="22"/>
          <w:szCs w:val="22"/>
          <w:lang w:eastAsia="en-AU"/>
        </w:rPr>
        <w:t>.</w:t>
      </w:r>
    </w:p>
    <w:p w14:paraId="23237E6A" w14:textId="77777777" w:rsidR="00591C92" w:rsidRPr="00545C06" w:rsidRDefault="00624920" w:rsidP="00DD02C9">
      <w:pPr>
        <w:spacing w:beforeLines="150" w:before="360" w:afterLines="60" w:after="144" w:line="276" w:lineRule="auto"/>
        <w:rPr>
          <w:rFonts w:ascii="Arial" w:hAnsi="Arial" w:cs="Arial"/>
          <w:b/>
          <w:color w:val="808080"/>
          <w:szCs w:val="26"/>
        </w:rPr>
      </w:pPr>
      <w:r w:rsidRPr="00545C06">
        <w:rPr>
          <w:rFonts w:ascii="Arial" w:hAnsi="Arial" w:cs="Arial"/>
          <w:b/>
          <w:color w:val="808080"/>
          <w:szCs w:val="26"/>
        </w:rPr>
        <w:t>WHS compliance within ACT Government</w:t>
      </w:r>
    </w:p>
    <w:p w14:paraId="0B692D58" w14:textId="23B57F80" w:rsidR="00F659DD" w:rsidRPr="00591C92" w:rsidRDefault="00624920" w:rsidP="00591C92">
      <w:pPr>
        <w:spacing w:beforeLines="60" w:before="144" w:afterLines="60" w:after="144" w:line="276" w:lineRule="auto"/>
        <w:rPr>
          <w:rFonts w:ascii="Calibri" w:hAnsi="Calibri"/>
          <w:sz w:val="22"/>
          <w:szCs w:val="22"/>
          <w:lang w:eastAsia="en-AU"/>
        </w:rPr>
      </w:pPr>
      <w:r w:rsidRPr="00591C92">
        <w:rPr>
          <w:rFonts w:ascii="Calibri" w:hAnsi="Calibri"/>
          <w:sz w:val="22"/>
          <w:szCs w:val="22"/>
          <w:lang w:eastAsia="en-AU"/>
        </w:rPr>
        <w:t xml:space="preserve">It is important that ACT Government directorates and agencies lead by example in meeting their duties and obligations under the WHS Act. </w:t>
      </w:r>
    </w:p>
    <w:p w14:paraId="1A42B9B2" w14:textId="6B0D9925" w:rsidR="00F55DFE" w:rsidRPr="00E44F3A" w:rsidRDefault="00624920"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 xml:space="preserve">WorkSafe ACT should </w:t>
      </w:r>
      <w:r w:rsidR="0077410E" w:rsidRPr="00E44F3A">
        <w:rPr>
          <w:rFonts w:ascii="Calibri" w:hAnsi="Calibri"/>
          <w:b/>
          <w:bCs/>
          <w:sz w:val="22"/>
          <w:szCs w:val="22"/>
          <w:lang w:eastAsia="en-AU"/>
        </w:rPr>
        <w:t xml:space="preserve">continue a </w:t>
      </w:r>
      <w:r w:rsidRPr="00E44F3A">
        <w:rPr>
          <w:rFonts w:ascii="Calibri" w:hAnsi="Calibri"/>
          <w:b/>
          <w:bCs/>
          <w:sz w:val="22"/>
          <w:szCs w:val="22"/>
          <w:lang w:eastAsia="en-AU"/>
        </w:rPr>
        <w:t xml:space="preserve">focus on </w:t>
      </w:r>
      <w:r w:rsidR="001364B8" w:rsidRPr="00E44F3A">
        <w:rPr>
          <w:rFonts w:ascii="Calibri" w:hAnsi="Calibri"/>
          <w:b/>
          <w:bCs/>
          <w:sz w:val="22"/>
          <w:szCs w:val="22"/>
          <w:lang w:eastAsia="en-AU"/>
        </w:rPr>
        <w:t xml:space="preserve">facilitating </w:t>
      </w:r>
      <w:r w:rsidRPr="00E44F3A">
        <w:rPr>
          <w:rFonts w:ascii="Calibri" w:hAnsi="Calibri"/>
          <w:b/>
          <w:bCs/>
          <w:sz w:val="22"/>
          <w:szCs w:val="22"/>
          <w:lang w:eastAsia="en-AU"/>
        </w:rPr>
        <w:t>WHS compliance within the ACT Government utilising appropriate and proportionate education, awareness, compliance and enforcement activities.</w:t>
      </w:r>
    </w:p>
    <w:p w14:paraId="13B5C718" w14:textId="158CDA0A" w:rsidR="00F55DFE" w:rsidRPr="00591C92" w:rsidRDefault="00F55DFE" w:rsidP="00591C92">
      <w:pPr>
        <w:spacing w:beforeLines="60" w:before="144" w:afterLines="60" w:after="144" w:line="276" w:lineRule="auto"/>
        <w:rPr>
          <w:rFonts w:ascii="Calibri" w:hAnsi="Calibri"/>
          <w:sz w:val="22"/>
          <w:szCs w:val="22"/>
          <w:lang w:eastAsia="en-AU"/>
        </w:rPr>
      </w:pPr>
      <w:r w:rsidRPr="00591C92">
        <w:rPr>
          <w:rFonts w:ascii="Calibri" w:hAnsi="Calibri"/>
          <w:sz w:val="22"/>
          <w:szCs w:val="22"/>
          <w:lang w:eastAsia="en-AU"/>
        </w:rPr>
        <w:t xml:space="preserve">A dedicated priority approach to ensuring safety compliance in essential frontline services including health, justice, community services, education and transport aligns with the national WHS Strategy. Significant overtime challenges within certain sectors, such as the health sector due to under-resourcing, should be included in this approach.  </w:t>
      </w:r>
    </w:p>
    <w:p w14:paraId="18813E15" w14:textId="23EE4E9F" w:rsidR="00E44F3A" w:rsidRDefault="00E44F3A" w:rsidP="00E44F3A">
      <w:pPr>
        <w:spacing w:beforeLines="60" w:before="144" w:afterLines="60" w:after="144" w:line="276" w:lineRule="auto"/>
        <w:rPr>
          <w:rFonts w:ascii="Calibri" w:hAnsi="Calibri"/>
          <w:sz w:val="22"/>
          <w:szCs w:val="22"/>
          <w:lang w:eastAsia="en-AU"/>
        </w:rPr>
      </w:pPr>
      <w:r>
        <w:rPr>
          <w:rFonts w:ascii="Calibri" w:hAnsi="Calibri"/>
          <w:sz w:val="22"/>
          <w:szCs w:val="22"/>
          <w:lang w:eastAsia="en-AU"/>
        </w:rPr>
        <w:t xml:space="preserve">Work-related violence also </w:t>
      </w:r>
      <w:r w:rsidRPr="00277DCF">
        <w:rPr>
          <w:rFonts w:ascii="Calibri" w:hAnsi="Calibri"/>
          <w:sz w:val="22"/>
          <w:szCs w:val="22"/>
          <w:lang w:eastAsia="en-AU"/>
        </w:rPr>
        <w:t>remains a significant issue</w:t>
      </w:r>
      <w:r>
        <w:rPr>
          <w:rFonts w:ascii="Calibri" w:hAnsi="Calibri"/>
          <w:sz w:val="22"/>
          <w:szCs w:val="22"/>
          <w:lang w:eastAsia="en-AU"/>
        </w:rPr>
        <w:t xml:space="preserve"> for front line public servants in industries including </w:t>
      </w:r>
      <w:r w:rsidRPr="00277DCF">
        <w:rPr>
          <w:rFonts w:ascii="Calibri" w:hAnsi="Calibri"/>
          <w:sz w:val="22"/>
          <w:szCs w:val="22"/>
          <w:lang w:eastAsia="en-AU"/>
        </w:rPr>
        <w:t xml:space="preserve">health, </w:t>
      </w:r>
      <w:r>
        <w:rPr>
          <w:rFonts w:ascii="Calibri" w:hAnsi="Calibri"/>
          <w:sz w:val="22"/>
          <w:szCs w:val="22"/>
          <w:lang w:eastAsia="en-AU"/>
        </w:rPr>
        <w:t>education and transport</w:t>
      </w:r>
      <w:r w:rsidRPr="00277DCF">
        <w:rPr>
          <w:rFonts w:ascii="Calibri" w:hAnsi="Calibri"/>
          <w:sz w:val="22"/>
          <w:szCs w:val="22"/>
          <w:lang w:eastAsia="en-AU"/>
        </w:rPr>
        <w:t xml:space="preserve">. </w:t>
      </w:r>
    </w:p>
    <w:p w14:paraId="31377702" w14:textId="084AF0F3" w:rsidR="00E44F3A" w:rsidRPr="00E44F3A" w:rsidRDefault="00E44F3A"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WorkSafe ACT should continue to prioriti</w:t>
      </w:r>
      <w:r>
        <w:rPr>
          <w:rFonts w:ascii="Calibri" w:hAnsi="Calibri"/>
          <w:b/>
          <w:bCs/>
          <w:sz w:val="22"/>
          <w:szCs w:val="22"/>
          <w:lang w:eastAsia="en-AU"/>
        </w:rPr>
        <w:t>s</w:t>
      </w:r>
      <w:r w:rsidRPr="00E44F3A">
        <w:rPr>
          <w:rFonts w:ascii="Calibri" w:hAnsi="Calibri"/>
          <w:b/>
          <w:bCs/>
          <w:sz w:val="22"/>
          <w:szCs w:val="22"/>
          <w:lang w:eastAsia="en-AU"/>
        </w:rPr>
        <w:t xml:space="preserve">e addressing </w:t>
      </w:r>
      <w:r>
        <w:rPr>
          <w:rFonts w:ascii="Calibri" w:hAnsi="Calibri"/>
          <w:b/>
          <w:bCs/>
          <w:sz w:val="22"/>
          <w:szCs w:val="22"/>
          <w:lang w:eastAsia="en-AU"/>
        </w:rPr>
        <w:t>workplace</w:t>
      </w:r>
      <w:r w:rsidRPr="00E44F3A">
        <w:rPr>
          <w:rFonts w:ascii="Calibri" w:hAnsi="Calibri"/>
          <w:b/>
          <w:bCs/>
          <w:sz w:val="22"/>
          <w:szCs w:val="22"/>
          <w:lang w:eastAsia="en-AU"/>
        </w:rPr>
        <w:t xml:space="preserve"> violence across these </w:t>
      </w:r>
      <w:r>
        <w:rPr>
          <w:rFonts w:ascii="Calibri" w:hAnsi="Calibri"/>
          <w:b/>
          <w:bCs/>
          <w:sz w:val="22"/>
          <w:szCs w:val="22"/>
          <w:lang w:eastAsia="en-AU"/>
        </w:rPr>
        <w:t xml:space="preserve">public service </w:t>
      </w:r>
      <w:r w:rsidRPr="00E44F3A">
        <w:rPr>
          <w:rFonts w:ascii="Calibri" w:hAnsi="Calibri"/>
          <w:b/>
          <w:bCs/>
          <w:sz w:val="22"/>
          <w:szCs w:val="22"/>
          <w:lang w:eastAsia="en-AU"/>
        </w:rPr>
        <w:t xml:space="preserve">sectors, with a focus on strengthening staff safety measures. </w:t>
      </w:r>
    </w:p>
    <w:p w14:paraId="372B118B" w14:textId="7F82A2AA" w:rsidR="00F30672" w:rsidRDefault="00F30672" w:rsidP="002805EF">
      <w:pPr>
        <w:spacing w:beforeLines="60" w:before="144" w:afterLines="60" w:after="144" w:line="276" w:lineRule="auto"/>
        <w:rPr>
          <w:rFonts w:ascii="Calibri" w:hAnsi="Calibri"/>
          <w:sz w:val="22"/>
          <w:szCs w:val="22"/>
          <w:lang w:eastAsia="en-AU"/>
        </w:rPr>
      </w:pPr>
    </w:p>
    <w:p w14:paraId="193E6486" w14:textId="1A3F30FF" w:rsidR="0077043D" w:rsidRPr="00DA7216" w:rsidRDefault="0077043D" w:rsidP="00DA7216">
      <w:pPr>
        <w:rPr>
          <w:rFonts w:ascii="Arial" w:hAnsi="Arial" w:cs="Arial"/>
          <w:b/>
          <w:bCs/>
          <w:color w:val="7030A0"/>
          <w:sz w:val="30"/>
          <w:szCs w:val="30"/>
        </w:rPr>
      </w:pPr>
      <w:r w:rsidRPr="00DA7216">
        <w:rPr>
          <w:rFonts w:ascii="Arial" w:hAnsi="Arial" w:cs="Arial"/>
          <w:b/>
          <w:bCs/>
          <w:color w:val="7030A0"/>
          <w:sz w:val="30"/>
          <w:szCs w:val="30"/>
        </w:rPr>
        <w:t>Operation and performance of WorkSafe ACT</w:t>
      </w:r>
    </w:p>
    <w:p w14:paraId="21E7E7B4" w14:textId="2917F03A" w:rsidR="0077043D" w:rsidRPr="00545C06" w:rsidRDefault="0077043D" w:rsidP="00DD02C9">
      <w:pPr>
        <w:spacing w:beforeLines="150" w:before="360" w:afterLines="60" w:after="144" w:line="276" w:lineRule="auto"/>
        <w:rPr>
          <w:rFonts w:ascii="Arial" w:hAnsi="Arial" w:cs="Arial"/>
          <w:b/>
          <w:color w:val="808080"/>
          <w:szCs w:val="26"/>
        </w:rPr>
      </w:pPr>
      <w:r w:rsidRPr="00545C06">
        <w:rPr>
          <w:rFonts w:ascii="Arial" w:hAnsi="Arial" w:cs="Arial"/>
          <w:b/>
          <w:color w:val="808080"/>
          <w:szCs w:val="26"/>
        </w:rPr>
        <w:t>Operation</w:t>
      </w:r>
    </w:p>
    <w:p w14:paraId="45F360CB" w14:textId="1782E41B" w:rsidR="00F30672" w:rsidRPr="002805EF" w:rsidRDefault="00F30672" w:rsidP="002805EF">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 xml:space="preserve">Effective enforcement </w:t>
      </w:r>
      <w:r w:rsidR="001634B2">
        <w:rPr>
          <w:rFonts w:ascii="Calibri" w:hAnsi="Calibri"/>
          <w:sz w:val="22"/>
          <w:szCs w:val="22"/>
          <w:lang w:eastAsia="en-AU"/>
        </w:rPr>
        <w:t xml:space="preserve">activities </w:t>
      </w:r>
      <w:r w:rsidR="00214336" w:rsidRPr="002805EF">
        <w:rPr>
          <w:rFonts w:ascii="Calibri" w:hAnsi="Calibri"/>
          <w:sz w:val="22"/>
          <w:szCs w:val="22"/>
          <w:lang w:eastAsia="en-AU"/>
        </w:rPr>
        <w:t>play</w:t>
      </w:r>
      <w:r w:rsidRPr="002805EF">
        <w:rPr>
          <w:rFonts w:ascii="Calibri" w:hAnsi="Calibri"/>
          <w:sz w:val="22"/>
          <w:szCs w:val="22"/>
          <w:lang w:eastAsia="en-AU"/>
        </w:rPr>
        <w:t xml:space="preserve"> a critical role in promoting compliance with work</w:t>
      </w:r>
      <w:r w:rsidRPr="002857B4">
        <w:rPr>
          <w:rFonts w:asciiTheme="minorHAnsi" w:hAnsiTheme="minorHAnsi" w:cstheme="minorHAnsi"/>
          <w:szCs w:val="24"/>
        </w:rPr>
        <w:t xml:space="preserve"> </w:t>
      </w:r>
      <w:r w:rsidRPr="002805EF">
        <w:rPr>
          <w:rFonts w:ascii="Calibri" w:hAnsi="Calibri"/>
          <w:sz w:val="22"/>
          <w:szCs w:val="22"/>
          <w:lang w:eastAsia="en-AU"/>
        </w:rPr>
        <w:t>injury and safety laws</w:t>
      </w:r>
      <w:r w:rsidR="00E445B9">
        <w:rPr>
          <w:rFonts w:ascii="Calibri" w:hAnsi="Calibri"/>
          <w:sz w:val="22"/>
          <w:szCs w:val="22"/>
          <w:lang w:eastAsia="en-AU"/>
        </w:rPr>
        <w:t>, as well as embedding good WHS practices in all work across all industries.</w:t>
      </w:r>
    </w:p>
    <w:p w14:paraId="30C9858C" w14:textId="42A84EDF" w:rsidR="00F30672" w:rsidRPr="002805EF" w:rsidRDefault="001634B2" w:rsidP="002805EF">
      <w:pPr>
        <w:spacing w:beforeLines="60" w:before="144" w:afterLines="60" w:after="144" w:line="276" w:lineRule="auto"/>
        <w:rPr>
          <w:rFonts w:ascii="Calibri" w:hAnsi="Calibri"/>
          <w:sz w:val="22"/>
          <w:szCs w:val="22"/>
          <w:lang w:eastAsia="en-AU"/>
        </w:rPr>
      </w:pPr>
      <w:r>
        <w:rPr>
          <w:rFonts w:ascii="Calibri" w:hAnsi="Calibri"/>
          <w:sz w:val="22"/>
          <w:szCs w:val="22"/>
          <w:lang w:eastAsia="en-AU"/>
        </w:rPr>
        <w:t>S</w:t>
      </w:r>
      <w:r w:rsidR="00F30672" w:rsidRPr="002805EF">
        <w:rPr>
          <w:rFonts w:ascii="Calibri" w:hAnsi="Calibri"/>
          <w:sz w:val="22"/>
          <w:szCs w:val="22"/>
          <w:lang w:eastAsia="en-AU"/>
        </w:rPr>
        <w:t xml:space="preserve">takeholders should be able to access information across all of the areas WorkSafe ACT regulates, including WHS, workers’ compensation, hazardous substances, dangerous goods, </w:t>
      </w:r>
      <w:r w:rsidR="001364B8">
        <w:rPr>
          <w:rFonts w:ascii="Calibri" w:hAnsi="Calibri"/>
          <w:sz w:val="22"/>
          <w:szCs w:val="22"/>
          <w:lang w:eastAsia="en-AU"/>
        </w:rPr>
        <w:t>l</w:t>
      </w:r>
      <w:r w:rsidR="00F30672" w:rsidRPr="002805EF">
        <w:rPr>
          <w:rFonts w:ascii="Calibri" w:hAnsi="Calibri"/>
          <w:sz w:val="22"/>
          <w:szCs w:val="22"/>
          <w:lang w:eastAsia="en-AU"/>
        </w:rPr>
        <w:t>icensing, and workplace privacy.</w:t>
      </w:r>
    </w:p>
    <w:p w14:paraId="22F4CD30" w14:textId="77777777" w:rsidR="001634B2" w:rsidRDefault="00F30672" w:rsidP="00E44F3A">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 xml:space="preserve">Stakeholders expect to be able to engage with WorkSafe ACT using digital platforms that are accessible by all devices. </w:t>
      </w:r>
    </w:p>
    <w:p w14:paraId="36BA2AD5" w14:textId="4DE69BD3" w:rsidR="00DD02C9" w:rsidRDefault="00F30672" w:rsidP="00E44F3A">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WorkSafe ACT should also be in a position to capture and analyse data to inform compliance and enforcement activity.</w:t>
      </w:r>
    </w:p>
    <w:p w14:paraId="5A94FDAD" w14:textId="77777777" w:rsidR="00E44F3A" w:rsidRPr="00E44F3A" w:rsidRDefault="00E44F3A"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WorkSafe ACT should remain focused on ensuring its governance and operations remain contemporary and are effective and continue to improve the capability of the regulator.</w:t>
      </w:r>
    </w:p>
    <w:p w14:paraId="20D4AEF1" w14:textId="77777777" w:rsidR="00E44F3A" w:rsidRDefault="00E44F3A" w:rsidP="00E44F3A">
      <w:pPr>
        <w:spacing w:beforeLines="60" w:before="144" w:afterLines="60" w:after="144" w:line="276" w:lineRule="auto"/>
        <w:rPr>
          <w:rFonts w:ascii="Calibri" w:hAnsi="Calibri"/>
          <w:b/>
          <w:bCs/>
          <w:sz w:val="22"/>
          <w:szCs w:val="22"/>
          <w:lang w:eastAsia="en-AU"/>
        </w:rPr>
      </w:pPr>
      <w:r w:rsidRPr="00E44F3A">
        <w:rPr>
          <w:rFonts w:ascii="Calibri" w:hAnsi="Calibri"/>
          <w:b/>
          <w:bCs/>
          <w:sz w:val="22"/>
          <w:szCs w:val="22"/>
          <w:lang w:eastAsia="en-AU"/>
        </w:rPr>
        <w:t>WorkSafe ACT should be a source of trusted and expert information on compliance with WHS and workers’ compensation obligations.</w:t>
      </w:r>
    </w:p>
    <w:p w14:paraId="2215D862" w14:textId="56DD2B34" w:rsidR="0073691D" w:rsidRPr="00E44F3A" w:rsidRDefault="0073691D" w:rsidP="00E44F3A">
      <w:pPr>
        <w:spacing w:beforeLines="60" w:before="144" w:afterLines="60" w:after="144" w:line="276" w:lineRule="auto"/>
        <w:rPr>
          <w:rFonts w:ascii="Calibri" w:hAnsi="Calibri"/>
          <w:b/>
          <w:bCs/>
          <w:sz w:val="22"/>
          <w:szCs w:val="22"/>
          <w:lang w:eastAsia="en-AU"/>
        </w:rPr>
      </w:pPr>
      <w:r>
        <w:rPr>
          <w:rFonts w:ascii="Calibri" w:hAnsi="Calibri"/>
          <w:b/>
          <w:bCs/>
          <w:sz w:val="22"/>
          <w:szCs w:val="22"/>
          <w:lang w:eastAsia="en-AU"/>
        </w:rPr>
        <w:t xml:space="preserve">WorkSafe ACT should ensure they are an exemplar workplace in all WHS compliance matters, including managing their own organisational risks and </w:t>
      </w:r>
      <w:r w:rsidR="000872A4">
        <w:rPr>
          <w:rFonts w:ascii="Calibri" w:hAnsi="Calibri"/>
          <w:b/>
          <w:bCs/>
          <w:sz w:val="22"/>
          <w:szCs w:val="22"/>
          <w:lang w:eastAsia="en-AU"/>
        </w:rPr>
        <w:t xml:space="preserve">having </w:t>
      </w:r>
      <w:r>
        <w:rPr>
          <w:rFonts w:ascii="Calibri" w:hAnsi="Calibri"/>
          <w:b/>
          <w:bCs/>
          <w:sz w:val="22"/>
          <w:szCs w:val="22"/>
          <w:lang w:eastAsia="en-AU"/>
        </w:rPr>
        <w:t xml:space="preserve">a </w:t>
      </w:r>
      <w:r w:rsidR="00DA67EE">
        <w:rPr>
          <w:rFonts w:ascii="Calibri" w:hAnsi="Calibri"/>
          <w:b/>
          <w:bCs/>
          <w:sz w:val="22"/>
          <w:szCs w:val="22"/>
          <w:lang w:eastAsia="en-AU"/>
        </w:rPr>
        <w:t>psychologically safe workplace</w:t>
      </w:r>
      <w:r>
        <w:rPr>
          <w:rFonts w:ascii="Calibri" w:hAnsi="Calibri"/>
          <w:b/>
          <w:bCs/>
          <w:sz w:val="22"/>
          <w:szCs w:val="22"/>
          <w:lang w:eastAsia="en-AU"/>
        </w:rPr>
        <w:t>.</w:t>
      </w:r>
    </w:p>
    <w:p w14:paraId="278A57E7" w14:textId="4FEA3768" w:rsidR="00F30672" w:rsidRPr="00545C06" w:rsidRDefault="00F30672" w:rsidP="00DD02C9">
      <w:pPr>
        <w:spacing w:beforeLines="150" w:before="360" w:afterLines="60" w:after="144" w:line="276" w:lineRule="auto"/>
        <w:rPr>
          <w:rFonts w:ascii="Arial" w:hAnsi="Arial" w:cs="Arial"/>
          <w:b/>
          <w:color w:val="808080"/>
          <w:szCs w:val="26"/>
        </w:rPr>
      </w:pPr>
      <w:r w:rsidRPr="00545C06">
        <w:rPr>
          <w:rFonts w:ascii="Arial" w:hAnsi="Arial" w:cs="Arial"/>
          <w:b/>
          <w:color w:val="808080"/>
          <w:szCs w:val="26"/>
        </w:rPr>
        <w:t xml:space="preserve">Performance </w:t>
      </w:r>
    </w:p>
    <w:p w14:paraId="79050C5A" w14:textId="572AC5D2" w:rsidR="00F30672" w:rsidRPr="0077043D" w:rsidRDefault="00F30672" w:rsidP="0077043D">
      <w:pPr>
        <w:spacing w:beforeLines="60" w:before="144" w:afterLines="60" w:after="144" w:line="276" w:lineRule="auto"/>
        <w:rPr>
          <w:rFonts w:ascii="Calibri" w:hAnsi="Calibri"/>
          <w:sz w:val="22"/>
          <w:szCs w:val="22"/>
          <w:lang w:eastAsia="en-AU"/>
        </w:rPr>
      </w:pPr>
      <w:r w:rsidRPr="00E44F3A">
        <w:rPr>
          <w:rFonts w:ascii="Calibri" w:hAnsi="Calibri"/>
          <w:b/>
          <w:bCs/>
          <w:sz w:val="22"/>
          <w:szCs w:val="22"/>
          <w:lang w:eastAsia="en-AU"/>
        </w:rPr>
        <w:t>WorkSafe ACT should ensure that its accountability indicators remain contemporary, are linked to outcomes and align with the strategic objectives of the regulator.</w:t>
      </w:r>
      <w:r w:rsidRPr="002805EF">
        <w:rPr>
          <w:rFonts w:ascii="Calibri" w:hAnsi="Calibri"/>
          <w:sz w:val="22"/>
          <w:szCs w:val="22"/>
          <w:lang w:eastAsia="en-AU"/>
        </w:rPr>
        <w:t xml:space="preserve"> In particular, the accountability indicators should align with a strong community and workplace presence of the regulator, an awareness of the regulator and demonstrate the regulator’s capability building investments.</w:t>
      </w:r>
      <w:r w:rsidR="00214336">
        <w:rPr>
          <w:rFonts w:ascii="Calibri" w:hAnsi="Calibri"/>
          <w:sz w:val="22"/>
          <w:szCs w:val="22"/>
          <w:lang w:eastAsia="en-AU"/>
        </w:rPr>
        <w:br/>
      </w:r>
    </w:p>
    <w:p w14:paraId="2C2E5877" w14:textId="77777777" w:rsidR="00DD02C9" w:rsidRPr="00DA7216" w:rsidRDefault="0077043D" w:rsidP="00DA7216">
      <w:pPr>
        <w:rPr>
          <w:rFonts w:ascii="Arial" w:hAnsi="Arial" w:cs="Arial"/>
          <w:b/>
          <w:bCs/>
          <w:color w:val="7030A0"/>
          <w:sz w:val="30"/>
          <w:szCs w:val="30"/>
        </w:rPr>
      </w:pPr>
      <w:r w:rsidRPr="00DA7216">
        <w:rPr>
          <w:rFonts w:ascii="Arial" w:hAnsi="Arial" w:cs="Arial"/>
          <w:b/>
          <w:bCs/>
          <w:color w:val="7030A0"/>
          <w:sz w:val="30"/>
          <w:szCs w:val="30"/>
        </w:rPr>
        <w:t>Engagement and reporting</w:t>
      </w:r>
    </w:p>
    <w:p w14:paraId="08CDFD63" w14:textId="09048A87" w:rsidR="0077043D" w:rsidRPr="00545C06" w:rsidRDefault="0077043D" w:rsidP="00DD02C9">
      <w:pPr>
        <w:spacing w:beforeLines="150" w:before="360" w:afterLines="60" w:after="144" w:line="276" w:lineRule="auto"/>
        <w:rPr>
          <w:rFonts w:ascii="Arial" w:hAnsi="Arial" w:cs="Arial"/>
          <w:b/>
          <w:color w:val="808080"/>
          <w:szCs w:val="26"/>
        </w:rPr>
      </w:pPr>
      <w:r w:rsidRPr="00545C06">
        <w:rPr>
          <w:rFonts w:ascii="Arial" w:hAnsi="Arial" w:cs="Arial"/>
          <w:b/>
          <w:color w:val="808080"/>
          <w:szCs w:val="26"/>
        </w:rPr>
        <w:t>Engagement with the WHS Council</w:t>
      </w:r>
    </w:p>
    <w:p w14:paraId="3DE4D410" w14:textId="77777777" w:rsidR="00DD02C9" w:rsidRDefault="0077043D" w:rsidP="00DD02C9">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The WHS Council plays an important role in advising the Minister and Government on matters relating to WHS in the ACT. The Work Health and Safety Commissioner is an ex-officio member of the WHS Council and should ensure WorkSafe ACT’s activities are responsive to issues identified by employee and employer representatives in the Territory.</w:t>
      </w:r>
    </w:p>
    <w:p w14:paraId="2470BE76" w14:textId="0EA83A10" w:rsidR="0077043D" w:rsidRPr="00545C06" w:rsidRDefault="0077043D" w:rsidP="00DD02C9">
      <w:pPr>
        <w:spacing w:beforeLines="60" w:before="144" w:afterLines="60" w:after="144" w:line="276" w:lineRule="auto"/>
        <w:rPr>
          <w:rFonts w:ascii="Arial" w:hAnsi="Arial" w:cs="Arial"/>
          <w:b/>
          <w:color w:val="808080"/>
          <w:szCs w:val="26"/>
        </w:rPr>
      </w:pPr>
      <w:r w:rsidRPr="00545C06">
        <w:rPr>
          <w:rFonts w:ascii="Arial" w:hAnsi="Arial" w:cs="Arial"/>
          <w:b/>
          <w:color w:val="808080"/>
          <w:szCs w:val="26"/>
        </w:rPr>
        <w:t>Reporting against the Statement of Expectations 202</w:t>
      </w:r>
      <w:r w:rsidR="005271B4" w:rsidRPr="00545C06">
        <w:rPr>
          <w:rFonts w:ascii="Arial" w:hAnsi="Arial" w:cs="Arial"/>
          <w:b/>
          <w:color w:val="808080"/>
          <w:szCs w:val="26"/>
        </w:rPr>
        <w:t>4</w:t>
      </w:r>
    </w:p>
    <w:p w14:paraId="4AF502D9" w14:textId="3A6A3898" w:rsidR="001440B3" w:rsidRPr="00F1619D" w:rsidRDefault="00F30672" w:rsidP="002805EF">
      <w:pPr>
        <w:spacing w:beforeLines="60" w:before="144" w:afterLines="60" w:after="144" w:line="276" w:lineRule="auto"/>
        <w:rPr>
          <w:rFonts w:ascii="Calibri" w:hAnsi="Calibri"/>
          <w:sz w:val="22"/>
          <w:szCs w:val="22"/>
          <w:lang w:eastAsia="en-AU"/>
        </w:rPr>
      </w:pPr>
      <w:r w:rsidRPr="002805EF">
        <w:rPr>
          <w:rFonts w:ascii="Calibri" w:hAnsi="Calibri"/>
          <w:sz w:val="22"/>
          <w:szCs w:val="22"/>
          <w:lang w:eastAsia="en-AU"/>
        </w:rPr>
        <w:t>In line with schedule 2, section 2.41 (2) (c) of the WHS Act, WorkSafe ACT should report on its approach to implementing the priority activities and initiatives set out in this Statement within its Annual Report.</w:t>
      </w:r>
    </w:p>
    <w:sectPr w:rsidR="001440B3" w:rsidRPr="00F1619D" w:rsidSect="00DE5008">
      <w:headerReference w:type="even" r:id="rId13"/>
      <w:headerReference w:type="default" r:id="rId14"/>
      <w:footerReference w:type="even" r:id="rId15"/>
      <w:footerReference w:type="default" r:id="rId16"/>
      <w:headerReference w:type="first" r:id="rId17"/>
      <w:footerReference w:type="first" r:id="rId18"/>
      <w:pgSz w:w="11907" w:h="16839" w:code="9"/>
      <w:pgMar w:top="993" w:right="1134" w:bottom="851" w:left="1134" w:header="567" w:footer="255"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9A0DE6" w14:textId="77777777" w:rsidR="00B02FB3" w:rsidRDefault="00B02FB3" w:rsidP="001440B3">
      <w:r>
        <w:separator/>
      </w:r>
    </w:p>
  </w:endnote>
  <w:endnote w:type="continuationSeparator" w:id="0">
    <w:p w14:paraId="4DC07A51" w14:textId="77777777" w:rsidR="00B02FB3" w:rsidRDefault="00B02FB3"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Helvetica"/>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Arial Bold">
    <w:altName w:val="Arial"/>
    <w:panose1 w:val="020B0704020202020204"/>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9ACA3" w14:textId="77777777" w:rsidR="00BA3497" w:rsidRDefault="00BA349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69D81" w14:textId="305A7459" w:rsidR="0042011A" w:rsidRPr="00BA3497" w:rsidRDefault="00BA3497" w:rsidP="00BA3497">
    <w:pPr>
      <w:pStyle w:val="Footer"/>
      <w:jc w:val="center"/>
      <w:rPr>
        <w:rFonts w:cs="Arial"/>
        <w:bCs/>
        <w:sz w:val="14"/>
        <w:szCs w:val="16"/>
      </w:rPr>
    </w:pPr>
    <w:r w:rsidRPr="00BA3497">
      <w:rPr>
        <w:rFonts w:cs="Arial"/>
        <w:bCs/>
        <w:sz w:val="14"/>
        <w:szCs w:val="16"/>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0C94C" w14:textId="04FE71A5" w:rsidR="00482BFC" w:rsidRPr="00BA3497" w:rsidRDefault="00BA3497" w:rsidP="00BA3497">
    <w:pPr>
      <w:pStyle w:val="Footer"/>
      <w:spacing w:before="0" w:after="0"/>
      <w:jc w:val="center"/>
      <w:rPr>
        <w:rFonts w:cs="Arial"/>
        <w:sz w:val="14"/>
        <w:szCs w:val="16"/>
      </w:rPr>
    </w:pPr>
    <w:r w:rsidRPr="00BA3497">
      <w:rPr>
        <w:rFonts w:cs="Arial"/>
        <w:sz w:val="14"/>
        <w:szCs w:val="16"/>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313203" w14:textId="77777777" w:rsidR="00B02FB3" w:rsidRDefault="00B02FB3" w:rsidP="001440B3">
      <w:r>
        <w:separator/>
      </w:r>
    </w:p>
  </w:footnote>
  <w:footnote w:type="continuationSeparator" w:id="0">
    <w:p w14:paraId="13C69D71" w14:textId="77777777" w:rsidR="00B02FB3" w:rsidRDefault="00B02FB3"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D62A5" w14:textId="77777777" w:rsidR="00BA3497" w:rsidRDefault="00BA349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057000" w14:textId="77777777" w:rsidR="00BA3497" w:rsidRDefault="00BA349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59A55" w14:textId="77777777" w:rsidR="00BA3497" w:rsidRDefault="00BA349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3F9025B7"/>
    <w:multiLevelType w:val="hybridMultilevel"/>
    <w:tmpl w:val="0FF236D6"/>
    <w:lvl w:ilvl="0" w:tplc="0C090017">
      <w:start w:val="1"/>
      <w:numFmt w:val="lowerLetter"/>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4A362F34"/>
    <w:multiLevelType w:val="hybridMultilevel"/>
    <w:tmpl w:val="46082FE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61F24922"/>
    <w:multiLevelType w:val="hybridMultilevel"/>
    <w:tmpl w:val="97F889B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6D8676B6"/>
    <w:multiLevelType w:val="hybridMultilevel"/>
    <w:tmpl w:val="D780F5DE"/>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643" w:hanging="360"/>
      </w:pPr>
      <w:rPr>
        <w:rFonts w:ascii="Courier New" w:hAnsi="Courier New" w:cs="Courier New" w:hint="default"/>
      </w:rPr>
    </w:lvl>
    <w:lvl w:ilvl="2" w:tplc="0C090005">
      <w:start w:val="1"/>
      <w:numFmt w:val="bullet"/>
      <w:lvlText w:val=""/>
      <w:lvlJc w:val="left"/>
      <w:pPr>
        <w:ind w:left="785"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2"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7D9C1199"/>
    <w:multiLevelType w:val="multilevel"/>
    <w:tmpl w:val="903E40C8"/>
    <w:lvl w:ilvl="0">
      <w:start w:val="1"/>
      <w:numFmt w:val="bullet"/>
      <w:pStyle w:val="bullet2"/>
      <w:lvlText w:val="o"/>
      <w:lvlJc w:val="left"/>
      <w:pPr>
        <w:ind w:left="717" w:hanging="360"/>
      </w:pPr>
      <w:rPr>
        <w:rFonts w:ascii="Courier New" w:hAnsi="Courier New" w:hint="default"/>
      </w:rPr>
    </w:lvl>
    <w:lvl w:ilvl="1">
      <w:start w:val="1"/>
      <w:numFmt w:val="bullet"/>
      <w:lvlText w:val="o"/>
      <w:lvlJc w:val="left"/>
      <w:pPr>
        <w:ind w:left="1224" w:hanging="357"/>
      </w:pPr>
      <w:rPr>
        <w:rFonts w:ascii="Courier New" w:hAnsi="Courier New" w:hint="default"/>
      </w:rPr>
    </w:lvl>
    <w:lvl w:ilvl="2">
      <w:start w:val="1"/>
      <w:numFmt w:val="bullet"/>
      <w:lvlText w:val=""/>
      <w:lvlJc w:val="left"/>
      <w:pPr>
        <w:ind w:left="1734" w:hanging="357"/>
      </w:pPr>
      <w:rPr>
        <w:rFonts w:ascii="Wingdings" w:hAnsi="Wingdings" w:hint="default"/>
      </w:rPr>
    </w:lvl>
    <w:lvl w:ilvl="3">
      <w:start w:val="1"/>
      <w:numFmt w:val="bullet"/>
      <w:lvlText w:val=""/>
      <w:lvlJc w:val="left"/>
      <w:pPr>
        <w:ind w:left="2244" w:hanging="357"/>
      </w:pPr>
      <w:rPr>
        <w:rFonts w:ascii="Symbol" w:hAnsi="Symbol" w:hint="default"/>
      </w:rPr>
    </w:lvl>
    <w:lvl w:ilvl="4">
      <w:start w:val="1"/>
      <w:numFmt w:val="bullet"/>
      <w:lvlText w:val="o"/>
      <w:lvlJc w:val="left"/>
      <w:pPr>
        <w:ind w:left="2754" w:hanging="357"/>
      </w:pPr>
      <w:rPr>
        <w:rFonts w:ascii="Courier New" w:hAnsi="Courier New" w:cs="Courier New" w:hint="default"/>
      </w:rPr>
    </w:lvl>
    <w:lvl w:ilvl="5">
      <w:start w:val="1"/>
      <w:numFmt w:val="bullet"/>
      <w:lvlText w:val=""/>
      <w:lvlJc w:val="left"/>
      <w:pPr>
        <w:ind w:left="3264" w:hanging="357"/>
      </w:pPr>
      <w:rPr>
        <w:rFonts w:ascii="Wingdings" w:hAnsi="Wingdings" w:hint="default"/>
      </w:rPr>
    </w:lvl>
    <w:lvl w:ilvl="6">
      <w:start w:val="1"/>
      <w:numFmt w:val="bullet"/>
      <w:lvlText w:val=""/>
      <w:lvlJc w:val="left"/>
      <w:pPr>
        <w:ind w:left="3774" w:hanging="357"/>
      </w:pPr>
      <w:rPr>
        <w:rFonts w:ascii="Symbol" w:hAnsi="Symbol" w:hint="default"/>
      </w:rPr>
    </w:lvl>
    <w:lvl w:ilvl="7">
      <w:start w:val="1"/>
      <w:numFmt w:val="bullet"/>
      <w:lvlText w:val="o"/>
      <w:lvlJc w:val="left"/>
      <w:pPr>
        <w:ind w:left="4284" w:hanging="357"/>
      </w:pPr>
      <w:rPr>
        <w:rFonts w:ascii="Courier New" w:hAnsi="Courier New" w:cs="Courier New" w:hint="default"/>
      </w:rPr>
    </w:lvl>
    <w:lvl w:ilvl="8">
      <w:start w:val="1"/>
      <w:numFmt w:val="bullet"/>
      <w:lvlText w:val=""/>
      <w:lvlJc w:val="left"/>
      <w:pPr>
        <w:ind w:left="4794" w:hanging="357"/>
      </w:pPr>
      <w:rPr>
        <w:rFonts w:ascii="Wingdings" w:hAnsi="Wingdings" w:hint="default"/>
      </w:rPr>
    </w:lvl>
  </w:abstractNum>
  <w:num w:numId="1" w16cid:durableId="1173646007">
    <w:abstractNumId w:val="2"/>
  </w:num>
  <w:num w:numId="2" w16cid:durableId="606697154">
    <w:abstractNumId w:val="0"/>
  </w:num>
  <w:num w:numId="3" w16cid:durableId="709107088">
    <w:abstractNumId w:val="3"/>
  </w:num>
  <w:num w:numId="4" w16cid:durableId="251135389">
    <w:abstractNumId w:val="6"/>
  </w:num>
  <w:num w:numId="5" w16cid:durableId="846332486">
    <w:abstractNumId w:val="11"/>
  </w:num>
  <w:num w:numId="6" w16cid:durableId="274336595">
    <w:abstractNumId w:val="1"/>
  </w:num>
  <w:num w:numId="7" w16cid:durableId="101993685">
    <w:abstractNumId w:val="4"/>
  </w:num>
  <w:num w:numId="8" w16cid:durableId="1217735981">
    <w:abstractNumId w:val="5"/>
  </w:num>
  <w:num w:numId="9" w16cid:durableId="1501769912">
    <w:abstractNumId w:val="12"/>
  </w:num>
  <w:num w:numId="10" w16cid:durableId="1726487088">
    <w:abstractNumId w:val="9"/>
  </w:num>
  <w:num w:numId="11" w16cid:durableId="147718846">
    <w:abstractNumId w:val="13"/>
  </w:num>
  <w:num w:numId="12" w16cid:durableId="502091850">
    <w:abstractNumId w:val="10"/>
  </w:num>
  <w:num w:numId="13" w16cid:durableId="1826821626">
    <w:abstractNumId w:val="8"/>
  </w:num>
  <w:num w:numId="14" w16cid:durableId="197829255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3719"/>
    <w:rsid w:val="0000109D"/>
    <w:rsid w:val="00003423"/>
    <w:rsid w:val="00003BB6"/>
    <w:rsid w:val="00017308"/>
    <w:rsid w:val="00024823"/>
    <w:rsid w:val="000255CE"/>
    <w:rsid w:val="000335E8"/>
    <w:rsid w:val="000521BF"/>
    <w:rsid w:val="0005333A"/>
    <w:rsid w:val="00054503"/>
    <w:rsid w:val="000830A2"/>
    <w:rsid w:val="000872A4"/>
    <w:rsid w:val="0009318E"/>
    <w:rsid w:val="000B0649"/>
    <w:rsid w:val="000C543E"/>
    <w:rsid w:val="00106564"/>
    <w:rsid w:val="00117BBF"/>
    <w:rsid w:val="00120321"/>
    <w:rsid w:val="001258BD"/>
    <w:rsid w:val="00132C81"/>
    <w:rsid w:val="00135287"/>
    <w:rsid w:val="001364B8"/>
    <w:rsid w:val="00142C78"/>
    <w:rsid w:val="001440B3"/>
    <w:rsid w:val="00144F2B"/>
    <w:rsid w:val="00146D0E"/>
    <w:rsid w:val="0015479E"/>
    <w:rsid w:val="001634B2"/>
    <w:rsid w:val="0016547A"/>
    <w:rsid w:val="001718DC"/>
    <w:rsid w:val="00172350"/>
    <w:rsid w:val="00174F74"/>
    <w:rsid w:val="001B366B"/>
    <w:rsid w:val="001C077B"/>
    <w:rsid w:val="001C3EE6"/>
    <w:rsid w:val="001C5CAE"/>
    <w:rsid w:val="001D59E3"/>
    <w:rsid w:val="0020135B"/>
    <w:rsid w:val="00214050"/>
    <w:rsid w:val="00214336"/>
    <w:rsid w:val="00222933"/>
    <w:rsid w:val="00245CB7"/>
    <w:rsid w:val="002463A4"/>
    <w:rsid w:val="00247795"/>
    <w:rsid w:val="00264823"/>
    <w:rsid w:val="00277DCF"/>
    <w:rsid w:val="002805EF"/>
    <w:rsid w:val="00283719"/>
    <w:rsid w:val="002C0B43"/>
    <w:rsid w:val="002C0E8D"/>
    <w:rsid w:val="002C31E6"/>
    <w:rsid w:val="002C3E2F"/>
    <w:rsid w:val="002E64EE"/>
    <w:rsid w:val="002E6D66"/>
    <w:rsid w:val="002F1D1A"/>
    <w:rsid w:val="00304641"/>
    <w:rsid w:val="00310EEE"/>
    <w:rsid w:val="00320399"/>
    <w:rsid w:val="0033200F"/>
    <w:rsid w:val="0033601B"/>
    <w:rsid w:val="003375FB"/>
    <w:rsid w:val="00342E45"/>
    <w:rsid w:val="00342F66"/>
    <w:rsid w:val="00353EA0"/>
    <w:rsid w:val="00354A75"/>
    <w:rsid w:val="00355AFE"/>
    <w:rsid w:val="003800BB"/>
    <w:rsid w:val="00382F21"/>
    <w:rsid w:val="003835A5"/>
    <w:rsid w:val="00393BC6"/>
    <w:rsid w:val="003B2629"/>
    <w:rsid w:val="003B62DC"/>
    <w:rsid w:val="003C357C"/>
    <w:rsid w:val="003D54D5"/>
    <w:rsid w:val="003F740B"/>
    <w:rsid w:val="0040420B"/>
    <w:rsid w:val="00416B1B"/>
    <w:rsid w:val="0042011A"/>
    <w:rsid w:val="00424D8B"/>
    <w:rsid w:val="004657D9"/>
    <w:rsid w:val="00482BFC"/>
    <w:rsid w:val="00492E8E"/>
    <w:rsid w:val="00496494"/>
    <w:rsid w:val="004B00AE"/>
    <w:rsid w:val="004D1FA2"/>
    <w:rsid w:val="004E06C8"/>
    <w:rsid w:val="0052003C"/>
    <w:rsid w:val="005241E4"/>
    <w:rsid w:val="00525963"/>
    <w:rsid w:val="005271B4"/>
    <w:rsid w:val="00542522"/>
    <w:rsid w:val="00545C06"/>
    <w:rsid w:val="00560E47"/>
    <w:rsid w:val="005619DB"/>
    <w:rsid w:val="00591C92"/>
    <w:rsid w:val="005A7ADD"/>
    <w:rsid w:val="005B006B"/>
    <w:rsid w:val="005E41FE"/>
    <w:rsid w:val="005F3A45"/>
    <w:rsid w:val="00624920"/>
    <w:rsid w:val="006441F5"/>
    <w:rsid w:val="00647209"/>
    <w:rsid w:val="00653AD9"/>
    <w:rsid w:val="0068287B"/>
    <w:rsid w:val="00684098"/>
    <w:rsid w:val="00690CBD"/>
    <w:rsid w:val="00695E9F"/>
    <w:rsid w:val="006B1165"/>
    <w:rsid w:val="006C4356"/>
    <w:rsid w:val="006C6B8E"/>
    <w:rsid w:val="006C7602"/>
    <w:rsid w:val="006D3EA0"/>
    <w:rsid w:val="00701252"/>
    <w:rsid w:val="00705B3E"/>
    <w:rsid w:val="00715D82"/>
    <w:rsid w:val="0071718B"/>
    <w:rsid w:val="0073691D"/>
    <w:rsid w:val="0073694E"/>
    <w:rsid w:val="00743F7E"/>
    <w:rsid w:val="0077043D"/>
    <w:rsid w:val="0077082A"/>
    <w:rsid w:val="0077410E"/>
    <w:rsid w:val="007B54C6"/>
    <w:rsid w:val="007C45FA"/>
    <w:rsid w:val="007D1355"/>
    <w:rsid w:val="007E53D4"/>
    <w:rsid w:val="007E595F"/>
    <w:rsid w:val="007F5DCB"/>
    <w:rsid w:val="008005D2"/>
    <w:rsid w:val="00820C00"/>
    <w:rsid w:val="008222CD"/>
    <w:rsid w:val="008465FD"/>
    <w:rsid w:val="008714B6"/>
    <w:rsid w:val="00882678"/>
    <w:rsid w:val="008B1365"/>
    <w:rsid w:val="008C5630"/>
    <w:rsid w:val="00901514"/>
    <w:rsid w:val="00907C1A"/>
    <w:rsid w:val="00911256"/>
    <w:rsid w:val="00925292"/>
    <w:rsid w:val="009532B7"/>
    <w:rsid w:val="009539C0"/>
    <w:rsid w:val="00970436"/>
    <w:rsid w:val="009823CB"/>
    <w:rsid w:val="009A2338"/>
    <w:rsid w:val="00A04169"/>
    <w:rsid w:val="00A12357"/>
    <w:rsid w:val="00A41850"/>
    <w:rsid w:val="00A42808"/>
    <w:rsid w:val="00A43CA8"/>
    <w:rsid w:val="00A5542B"/>
    <w:rsid w:val="00A7197B"/>
    <w:rsid w:val="00A75239"/>
    <w:rsid w:val="00A759B1"/>
    <w:rsid w:val="00A77AE5"/>
    <w:rsid w:val="00A96981"/>
    <w:rsid w:val="00A97AF2"/>
    <w:rsid w:val="00AA35F7"/>
    <w:rsid w:val="00AC1C15"/>
    <w:rsid w:val="00AE27E6"/>
    <w:rsid w:val="00B010C0"/>
    <w:rsid w:val="00B02FB3"/>
    <w:rsid w:val="00B06EF8"/>
    <w:rsid w:val="00B73F06"/>
    <w:rsid w:val="00B8592B"/>
    <w:rsid w:val="00B976A6"/>
    <w:rsid w:val="00BA24A1"/>
    <w:rsid w:val="00BA3497"/>
    <w:rsid w:val="00BA4EE3"/>
    <w:rsid w:val="00BC20A0"/>
    <w:rsid w:val="00BC42AB"/>
    <w:rsid w:val="00BD259D"/>
    <w:rsid w:val="00BD3D43"/>
    <w:rsid w:val="00BD52AC"/>
    <w:rsid w:val="00BE14A7"/>
    <w:rsid w:val="00BE591D"/>
    <w:rsid w:val="00BF5766"/>
    <w:rsid w:val="00C12AC5"/>
    <w:rsid w:val="00C165D7"/>
    <w:rsid w:val="00C20433"/>
    <w:rsid w:val="00C212DC"/>
    <w:rsid w:val="00C278AA"/>
    <w:rsid w:val="00C45E2A"/>
    <w:rsid w:val="00C51921"/>
    <w:rsid w:val="00C62236"/>
    <w:rsid w:val="00C640A1"/>
    <w:rsid w:val="00C716B5"/>
    <w:rsid w:val="00C757E8"/>
    <w:rsid w:val="00C771B9"/>
    <w:rsid w:val="00CA1BEE"/>
    <w:rsid w:val="00CC39DE"/>
    <w:rsid w:val="00CC560D"/>
    <w:rsid w:val="00CD11D3"/>
    <w:rsid w:val="00CD382A"/>
    <w:rsid w:val="00CD6F3D"/>
    <w:rsid w:val="00CE094D"/>
    <w:rsid w:val="00CE743C"/>
    <w:rsid w:val="00D106D9"/>
    <w:rsid w:val="00D15876"/>
    <w:rsid w:val="00D159C3"/>
    <w:rsid w:val="00D23638"/>
    <w:rsid w:val="00D2607B"/>
    <w:rsid w:val="00D33FC5"/>
    <w:rsid w:val="00D61D64"/>
    <w:rsid w:val="00D77163"/>
    <w:rsid w:val="00D8123E"/>
    <w:rsid w:val="00D84994"/>
    <w:rsid w:val="00DA0273"/>
    <w:rsid w:val="00DA67EE"/>
    <w:rsid w:val="00DA7216"/>
    <w:rsid w:val="00DB3D20"/>
    <w:rsid w:val="00DB51FB"/>
    <w:rsid w:val="00DB5B08"/>
    <w:rsid w:val="00DC00B7"/>
    <w:rsid w:val="00DC7BFA"/>
    <w:rsid w:val="00DD02C9"/>
    <w:rsid w:val="00DD35C5"/>
    <w:rsid w:val="00DE0584"/>
    <w:rsid w:val="00DE5008"/>
    <w:rsid w:val="00E03C49"/>
    <w:rsid w:val="00E0426E"/>
    <w:rsid w:val="00E1471A"/>
    <w:rsid w:val="00E2523A"/>
    <w:rsid w:val="00E27DEF"/>
    <w:rsid w:val="00E406A0"/>
    <w:rsid w:val="00E445B9"/>
    <w:rsid w:val="00E44F3A"/>
    <w:rsid w:val="00E4748F"/>
    <w:rsid w:val="00E70D2C"/>
    <w:rsid w:val="00E73E3D"/>
    <w:rsid w:val="00E74830"/>
    <w:rsid w:val="00E854F6"/>
    <w:rsid w:val="00E858A7"/>
    <w:rsid w:val="00E939C7"/>
    <w:rsid w:val="00ED1EFF"/>
    <w:rsid w:val="00EF280A"/>
    <w:rsid w:val="00F1342A"/>
    <w:rsid w:val="00F1619D"/>
    <w:rsid w:val="00F217DB"/>
    <w:rsid w:val="00F23C05"/>
    <w:rsid w:val="00F30672"/>
    <w:rsid w:val="00F42250"/>
    <w:rsid w:val="00F55DFE"/>
    <w:rsid w:val="00F57DAF"/>
    <w:rsid w:val="00F6435B"/>
    <w:rsid w:val="00F659DD"/>
    <w:rsid w:val="00F66AE5"/>
    <w:rsid w:val="00F8735C"/>
    <w:rsid w:val="00FC7B48"/>
    <w:rsid w:val="00FE127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4D4E91"/>
  <w15:docId w15:val="{A3F90559-4C1D-4F0C-9091-0A48F864F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23"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qFormat/>
    <w:rsid w:val="00AA35F7"/>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AA35F7"/>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AA35F7"/>
    <w:pPr>
      <w:keepNext/>
      <w:pBdr>
        <w:right w:val="single" w:sz="4" w:space="4" w:color="auto"/>
      </w:pBdr>
      <w:outlineLvl w:val="2"/>
    </w:pPr>
    <w:rPr>
      <w:i/>
      <w:iCs/>
      <w:sz w:val="22"/>
      <w:szCs w:val="22"/>
    </w:rPr>
  </w:style>
  <w:style w:type="paragraph" w:styleId="Heading4">
    <w:name w:val="heading 4"/>
    <w:basedOn w:val="Normal"/>
    <w:next w:val="Normal"/>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semiHidden/>
    <w:unhideWhenUsed/>
    <w:qFormat/>
    <w:rsid w:val="00144F2B"/>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22"/>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numPr>
        <w:ilvl w:val="6"/>
        <w:numId w:val="9"/>
      </w:numPr>
      <w:spacing w:before="80" w:after="60"/>
      <w:jc w:val="both"/>
      <w:outlineLvl w:val="6"/>
    </w:pPr>
  </w:style>
  <w:style w:type="paragraph" w:customStyle="1" w:styleId="Asubpara">
    <w:name w:val="A subpara"/>
    <w:basedOn w:val="Normal"/>
    <w:rsid w:val="00AA35F7"/>
    <w:pPr>
      <w:numPr>
        <w:ilvl w:val="7"/>
        <w:numId w:val="9"/>
      </w:numPr>
      <w:spacing w:before="80" w:after="60"/>
      <w:jc w:val="both"/>
      <w:outlineLvl w:val="7"/>
    </w:pPr>
  </w:style>
  <w:style w:type="paragraph" w:customStyle="1" w:styleId="Asubsubpara">
    <w:name w:val="A subsubpara"/>
    <w:basedOn w:val="Normal"/>
    <w:rsid w:val="00AA35F7"/>
    <w:pPr>
      <w:numPr>
        <w:ilvl w:val="8"/>
        <w:numId w:val="9"/>
      </w:numPr>
      <w:spacing w:before="80" w:after="60"/>
      <w:jc w:val="both"/>
      <w:outlineLvl w:val="8"/>
    </w:pPr>
  </w:style>
  <w:style w:type="paragraph" w:customStyle="1" w:styleId="AH5Sec">
    <w:name w:val="A H5 Sec"/>
    <w:basedOn w:val="Normal"/>
    <w:next w:val="Amain"/>
    <w:rsid w:val="00AA35F7"/>
    <w:pPr>
      <w:keepNext/>
      <w:numPr>
        <w:ilvl w:val="4"/>
        <w:numId w:val="1"/>
      </w:numPr>
      <w:spacing w:before="180" w:after="60"/>
      <w:outlineLvl w:val="4"/>
    </w:pPr>
    <w:rPr>
      <w:rFonts w:ascii="Arial" w:hAnsi="Arial"/>
      <w:b/>
    </w:rPr>
  </w:style>
  <w:style w:type="paragraph" w:styleId="Header">
    <w:name w:val="header"/>
    <w:basedOn w:val="Normal"/>
    <w:semiHidden/>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AA35F7"/>
  </w:style>
  <w:style w:type="paragraph" w:customStyle="1" w:styleId="Aparabullet">
    <w:name w:val="A para bullet"/>
    <w:basedOn w:val="Normal"/>
    <w:rsid w:val="00AA35F7"/>
    <w:pPr>
      <w:numPr>
        <w:numId w:val="4"/>
      </w:numPr>
    </w:pPr>
  </w:style>
  <w:style w:type="paragraph" w:styleId="TOC1">
    <w:name w:val="toc 1"/>
    <w:basedOn w:val="Normal"/>
    <w:next w:val="Normal"/>
    <w:autoRedefine/>
    <w:semiHidden/>
    <w:rsid w:val="00AA35F7"/>
  </w:style>
  <w:style w:type="paragraph" w:styleId="TOC2">
    <w:name w:val="toc 2"/>
    <w:basedOn w:val="Normal"/>
    <w:next w:val="Normal"/>
    <w:autoRedefine/>
    <w:semiHidden/>
    <w:rsid w:val="00AA35F7"/>
    <w:pPr>
      <w:ind w:left="240"/>
    </w:pPr>
  </w:style>
  <w:style w:type="paragraph" w:styleId="TOC3">
    <w:name w:val="toc 3"/>
    <w:basedOn w:val="Normal"/>
    <w:next w:val="Normal"/>
    <w:autoRedefine/>
    <w:semiHidden/>
    <w:rsid w:val="00AA35F7"/>
    <w:pPr>
      <w:ind w:left="480"/>
    </w:pPr>
  </w:style>
  <w:style w:type="paragraph" w:styleId="TOC4">
    <w:name w:val="toc 4"/>
    <w:basedOn w:val="Normal"/>
    <w:next w:val="Normal"/>
    <w:autoRedefine/>
    <w:semiHidden/>
    <w:rsid w:val="00AA35F7"/>
    <w:pPr>
      <w:ind w:left="720"/>
    </w:pPr>
  </w:style>
  <w:style w:type="paragraph" w:styleId="TOC5">
    <w:name w:val="toc 5"/>
    <w:basedOn w:val="Normal"/>
    <w:next w:val="Normal"/>
    <w:autoRedefine/>
    <w:semiHidden/>
    <w:rsid w:val="00AA35F7"/>
    <w:pPr>
      <w:ind w:left="960"/>
    </w:pPr>
  </w:style>
  <w:style w:type="paragraph" w:styleId="TOC6">
    <w:name w:val="toc 6"/>
    <w:basedOn w:val="Normal"/>
    <w:next w:val="Normal"/>
    <w:autoRedefine/>
    <w:semiHidden/>
    <w:rsid w:val="00AA35F7"/>
    <w:pPr>
      <w:ind w:left="1200"/>
    </w:pPr>
  </w:style>
  <w:style w:type="paragraph" w:styleId="TOC7">
    <w:name w:val="toc 7"/>
    <w:basedOn w:val="Normal"/>
    <w:next w:val="Normal"/>
    <w:autoRedefine/>
    <w:semiHidden/>
    <w:rsid w:val="00AA35F7"/>
    <w:pPr>
      <w:ind w:left="1440"/>
    </w:pPr>
  </w:style>
  <w:style w:type="paragraph" w:styleId="TOC8">
    <w:name w:val="toc 8"/>
    <w:basedOn w:val="Normal"/>
    <w:next w:val="Normal"/>
    <w:autoRedefine/>
    <w:semiHidden/>
    <w:rsid w:val="00AA35F7"/>
    <w:pPr>
      <w:ind w:left="1680"/>
    </w:pPr>
  </w:style>
  <w:style w:type="paragraph" w:styleId="TOC9">
    <w:name w:val="toc 9"/>
    <w:basedOn w:val="Normal"/>
    <w:next w:val="Normal"/>
    <w:autoRedefine/>
    <w:semiHidden/>
    <w:rsid w:val="00AA35F7"/>
    <w:pPr>
      <w:ind w:left="1920"/>
    </w:pPr>
  </w:style>
  <w:style w:type="character" w:styleId="Hyperlink">
    <w:name w:val="Hyperlink"/>
    <w:basedOn w:val="DefaultParagraphFont"/>
    <w:semiHidden/>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semiHidden/>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F30672"/>
    <w:pPr>
      <w:ind w:left="720"/>
      <w:contextualSpacing/>
    </w:pPr>
  </w:style>
  <w:style w:type="paragraph" w:customStyle="1" w:styleId="IntroParagraph">
    <w:name w:val="Intro Paragraph"/>
    <w:basedOn w:val="Normal"/>
    <w:link w:val="IntroParagraphChar"/>
    <w:qFormat/>
    <w:rsid w:val="00144F2B"/>
    <w:pPr>
      <w:spacing w:before="300" w:after="300" w:line="276" w:lineRule="auto"/>
    </w:pPr>
    <w:rPr>
      <w:rFonts w:ascii="Calibri" w:hAnsi="Calibri"/>
      <w:color w:val="7030A0"/>
      <w:sz w:val="26"/>
    </w:rPr>
  </w:style>
  <w:style w:type="character" w:customStyle="1" w:styleId="IntroParagraphChar">
    <w:name w:val="Intro Paragraph Char"/>
    <w:basedOn w:val="DefaultParagraphFont"/>
    <w:link w:val="IntroParagraph"/>
    <w:rsid w:val="00144F2B"/>
    <w:rPr>
      <w:rFonts w:ascii="Calibri" w:hAnsi="Calibri"/>
      <w:color w:val="7030A0"/>
      <w:sz w:val="26"/>
      <w:lang w:eastAsia="en-US"/>
    </w:rPr>
  </w:style>
  <w:style w:type="character" w:customStyle="1" w:styleId="TitleChar">
    <w:name w:val="Title Char"/>
    <w:basedOn w:val="DefaultParagraphFont"/>
    <w:link w:val="Title"/>
    <w:uiPriority w:val="22"/>
    <w:rsid w:val="00144F2B"/>
    <w:rPr>
      <w:rFonts w:ascii="Arial" w:hAnsi="Arial"/>
      <w:b/>
      <w:kern w:val="28"/>
      <w:sz w:val="40"/>
      <w:lang w:eastAsia="en-US"/>
    </w:rPr>
  </w:style>
  <w:style w:type="paragraph" w:styleId="Subtitle">
    <w:name w:val="Subtitle"/>
    <w:basedOn w:val="Normal"/>
    <w:next w:val="Normal"/>
    <w:link w:val="SubtitleChar"/>
    <w:uiPriority w:val="23"/>
    <w:qFormat/>
    <w:rsid w:val="00144F2B"/>
    <w:pPr>
      <w:keepLines/>
      <w:numPr>
        <w:ilvl w:val="1"/>
      </w:numPr>
      <w:spacing w:before="120" w:after="480" w:line="360" w:lineRule="exact"/>
      <w:contextualSpacing/>
      <w:jc w:val="right"/>
    </w:pPr>
    <w:rPr>
      <w:rFonts w:asciiTheme="minorHAnsi" w:eastAsiaTheme="minorEastAsia" w:hAnsiTheme="minorHAnsi" w:cstheme="minorBidi"/>
      <w:bCs/>
      <w:color w:val="FFFFFF" w:themeColor="background1"/>
      <w:sz w:val="50"/>
      <w:szCs w:val="50"/>
    </w:rPr>
  </w:style>
  <w:style w:type="character" w:customStyle="1" w:styleId="SubtitleChar">
    <w:name w:val="Subtitle Char"/>
    <w:basedOn w:val="DefaultParagraphFont"/>
    <w:link w:val="Subtitle"/>
    <w:uiPriority w:val="23"/>
    <w:rsid w:val="00144F2B"/>
    <w:rPr>
      <w:rFonts w:asciiTheme="minorHAnsi" w:eastAsiaTheme="minorEastAsia" w:hAnsiTheme="minorHAnsi" w:cstheme="minorBidi"/>
      <w:bCs/>
      <w:color w:val="FFFFFF" w:themeColor="background1"/>
      <w:sz w:val="50"/>
      <w:szCs w:val="50"/>
      <w:lang w:eastAsia="en-US"/>
    </w:rPr>
  </w:style>
  <w:style w:type="character" w:customStyle="1" w:styleId="Heading5Char">
    <w:name w:val="Heading 5 Char"/>
    <w:basedOn w:val="DefaultParagraphFont"/>
    <w:link w:val="Heading5"/>
    <w:uiPriority w:val="9"/>
    <w:semiHidden/>
    <w:rsid w:val="00144F2B"/>
    <w:rPr>
      <w:rFonts w:asciiTheme="majorHAnsi" w:eastAsiaTheme="majorEastAsia" w:hAnsiTheme="majorHAnsi" w:cstheme="majorBidi"/>
      <w:color w:val="365F91" w:themeColor="accent1" w:themeShade="BF"/>
      <w:sz w:val="24"/>
      <w:lang w:eastAsia="en-US"/>
    </w:rPr>
  </w:style>
  <w:style w:type="paragraph" w:customStyle="1" w:styleId="bullet2">
    <w:name w:val="bullet 2"/>
    <w:basedOn w:val="Normal"/>
    <w:qFormat/>
    <w:rsid w:val="00144F2B"/>
    <w:pPr>
      <w:numPr>
        <w:numId w:val="11"/>
      </w:numPr>
      <w:spacing w:before="60" w:after="60" w:line="276" w:lineRule="auto"/>
    </w:pPr>
    <w:rPr>
      <w:rFonts w:ascii="Calibri" w:hAnsi="Calibri"/>
      <w:sz w:val="22"/>
    </w:rPr>
  </w:style>
  <w:style w:type="paragraph" w:customStyle="1" w:styleId="bullet1">
    <w:name w:val="bullet 1"/>
    <w:basedOn w:val="BodyText"/>
    <w:link w:val="bullet1Char"/>
    <w:qFormat/>
    <w:rsid w:val="002C0E8D"/>
    <w:pPr>
      <w:spacing w:before="60" w:after="60" w:line="276" w:lineRule="auto"/>
    </w:pPr>
    <w:rPr>
      <w:rFonts w:ascii="Calibri" w:hAnsi="Calibri"/>
      <w:sz w:val="22"/>
    </w:rPr>
  </w:style>
  <w:style w:type="character" w:customStyle="1" w:styleId="bullet1Char">
    <w:name w:val="bullet 1 Char"/>
    <w:basedOn w:val="DefaultParagraphFont"/>
    <w:link w:val="bullet1"/>
    <w:rsid w:val="002C0E8D"/>
    <w:rPr>
      <w:rFonts w:ascii="Calibri" w:hAnsi="Calibri"/>
      <w:sz w:val="22"/>
      <w:lang w:eastAsia="en-US"/>
    </w:rPr>
  </w:style>
  <w:style w:type="paragraph" w:styleId="BodyText">
    <w:name w:val="Body Text"/>
    <w:basedOn w:val="Normal"/>
    <w:link w:val="BodyTextChar"/>
    <w:uiPriority w:val="99"/>
    <w:semiHidden/>
    <w:unhideWhenUsed/>
    <w:rsid w:val="002C0E8D"/>
    <w:pPr>
      <w:spacing w:after="120"/>
    </w:pPr>
  </w:style>
  <w:style w:type="character" w:customStyle="1" w:styleId="BodyTextChar">
    <w:name w:val="Body Text Char"/>
    <w:basedOn w:val="DefaultParagraphFont"/>
    <w:link w:val="BodyText"/>
    <w:uiPriority w:val="99"/>
    <w:semiHidden/>
    <w:rsid w:val="002C0E8D"/>
    <w:rPr>
      <w:sz w:val="24"/>
      <w:lang w:eastAsia="en-US"/>
    </w:rPr>
  </w:style>
  <w:style w:type="character" w:customStyle="1" w:styleId="FooterChar">
    <w:name w:val="Footer Char"/>
    <w:basedOn w:val="DefaultParagraphFont"/>
    <w:link w:val="Footer"/>
    <w:uiPriority w:val="99"/>
    <w:rsid w:val="00146D0E"/>
    <w:rPr>
      <w:rFonts w:ascii="Arial" w:hAnsi="Arial"/>
      <w:sz w:val="18"/>
      <w:lang w:eastAsia="en-US"/>
    </w:rPr>
  </w:style>
  <w:style w:type="paragraph" w:styleId="Revision">
    <w:name w:val="Revision"/>
    <w:hidden/>
    <w:uiPriority w:val="99"/>
    <w:semiHidden/>
    <w:rsid w:val="00106564"/>
    <w:rPr>
      <w:sz w:val="24"/>
      <w:lang w:eastAsia="en-US"/>
    </w:rPr>
  </w:style>
  <w:style w:type="character" w:styleId="UnresolvedMention">
    <w:name w:val="Unresolved Mention"/>
    <w:basedOn w:val="DefaultParagraphFont"/>
    <w:uiPriority w:val="99"/>
    <w:semiHidden/>
    <w:unhideWhenUsed/>
    <w:rsid w:val="00560E47"/>
    <w:rPr>
      <w:color w:val="605E5C"/>
      <w:shd w:val="clear" w:color="auto" w:fill="E1DFDD"/>
    </w:rPr>
  </w:style>
  <w:style w:type="character" w:styleId="CommentReference">
    <w:name w:val="annotation reference"/>
    <w:basedOn w:val="DefaultParagraphFont"/>
    <w:uiPriority w:val="99"/>
    <w:semiHidden/>
    <w:unhideWhenUsed/>
    <w:rsid w:val="008714B6"/>
    <w:rPr>
      <w:sz w:val="16"/>
      <w:szCs w:val="16"/>
    </w:rPr>
  </w:style>
  <w:style w:type="paragraph" w:styleId="CommentText">
    <w:name w:val="annotation text"/>
    <w:basedOn w:val="Normal"/>
    <w:link w:val="CommentTextChar"/>
    <w:uiPriority w:val="99"/>
    <w:unhideWhenUsed/>
    <w:rsid w:val="008714B6"/>
    <w:rPr>
      <w:sz w:val="20"/>
    </w:rPr>
  </w:style>
  <w:style w:type="character" w:customStyle="1" w:styleId="CommentTextChar">
    <w:name w:val="Comment Text Char"/>
    <w:basedOn w:val="DefaultParagraphFont"/>
    <w:link w:val="CommentText"/>
    <w:uiPriority w:val="99"/>
    <w:rsid w:val="008714B6"/>
    <w:rPr>
      <w:lang w:eastAsia="en-US"/>
    </w:rPr>
  </w:style>
  <w:style w:type="paragraph" w:styleId="CommentSubject">
    <w:name w:val="annotation subject"/>
    <w:basedOn w:val="CommentText"/>
    <w:next w:val="CommentText"/>
    <w:link w:val="CommentSubjectChar"/>
    <w:uiPriority w:val="99"/>
    <w:semiHidden/>
    <w:unhideWhenUsed/>
    <w:rsid w:val="008714B6"/>
    <w:rPr>
      <w:b/>
      <w:bCs/>
    </w:rPr>
  </w:style>
  <w:style w:type="character" w:customStyle="1" w:styleId="CommentSubjectChar">
    <w:name w:val="Comment Subject Char"/>
    <w:basedOn w:val="CommentTextChar"/>
    <w:link w:val="CommentSubject"/>
    <w:uiPriority w:val="99"/>
    <w:semiHidden/>
    <w:rsid w:val="008714B6"/>
    <w:rPr>
      <w:b/>
      <w:bCs/>
      <w:lang w:eastAsia="en-US"/>
    </w:rPr>
  </w:style>
  <w:style w:type="table" w:styleId="TableGrid">
    <w:name w:val="Table Grid"/>
    <w:basedOn w:val="TableNormal"/>
    <w:uiPriority w:val="59"/>
    <w:rsid w:val="00353E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6635078">
      <w:bodyDiv w:val="1"/>
      <w:marLeft w:val="0"/>
      <w:marRight w:val="0"/>
      <w:marTop w:val="0"/>
      <w:marBottom w:val="0"/>
      <w:divBdr>
        <w:top w:val="none" w:sz="0" w:space="0" w:color="auto"/>
        <w:left w:val="none" w:sz="0" w:space="0" w:color="auto"/>
        <w:bottom w:val="none" w:sz="0" w:space="0" w:color="auto"/>
        <w:right w:val="none" w:sz="0" w:space="0" w:color="auto"/>
      </w:divBdr>
    </w:div>
    <w:div w:id="518468141">
      <w:bodyDiv w:val="1"/>
      <w:marLeft w:val="0"/>
      <w:marRight w:val="0"/>
      <w:marTop w:val="0"/>
      <w:marBottom w:val="0"/>
      <w:divBdr>
        <w:top w:val="none" w:sz="0" w:space="0" w:color="auto"/>
        <w:left w:val="none" w:sz="0" w:space="0" w:color="auto"/>
        <w:bottom w:val="none" w:sz="0" w:space="0" w:color="auto"/>
        <w:right w:val="none" w:sz="0" w:space="0" w:color="auto"/>
      </w:divBdr>
    </w:div>
    <w:div w:id="831409223">
      <w:bodyDiv w:val="1"/>
      <w:marLeft w:val="0"/>
      <w:marRight w:val="0"/>
      <w:marTop w:val="0"/>
      <w:marBottom w:val="0"/>
      <w:divBdr>
        <w:top w:val="none" w:sz="0" w:space="0" w:color="auto"/>
        <w:left w:val="none" w:sz="0" w:space="0" w:color="auto"/>
        <w:bottom w:val="none" w:sz="0" w:space="0" w:color="auto"/>
        <w:right w:val="none" w:sz="0" w:space="0" w:color="auto"/>
      </w:divBdr>
    </w:div>
    <w:div w:id="1322387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file:///\\nas327s1\PICC\CAMPAIGN%20and%20CREATIVE\Design_Hub\Branding\Post%20election%20options\Brand%20book%20update\Look%20&amp;%20feel%20development\Brand%20products%20various\AAA_Templates\Word%20templates\A4%20Reports\Content\Images\WHoG%20cover%20top\Cover%20WHoG%20long_.png"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asbestossafety.gov.au/sites/default/files/documents/2024-11/Silica%20National%20Strategic%20Plan%202024-30.PDF" TargetMode="External"/><Relationship Id="rId17" Type="http://schemas.openxmlformats.org/officeDocument/2006/relationships/header" Target="header3.xm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asbestossafety.gov.au/sites/default/files/documents/2024-03/Phase%20Three%20Asbestos%20National%20Strategic%20Plan%202024-2030%20-%20January%202024_0.PDF"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s://www.safeworkaustralia.gov.au/sites/default/files/2023-02/Australian%20WHS%20Strategy%202023-33.pdf"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emf"/><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2270</Words>
  <Characters>13374</Characters>
  <Application>Microsoft Office Word</Application>
  <DocSecurity>0</DocSecurity>
  <Lines>222</Lines>
  <Paragraphs>105</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15583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2004-04-05T00:37:00Z</cp:lastPrinted>
  <dcterms:created xsi:type="dcterms:W3CDTF">2025-03-06T01:41:00Z</dcterms:created>
  <dcterms:modified xsi:type="dcterms:W3CDTF">2025-03-06T01:41:00Z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9af8531-eb46-4968-8cb3-105d2f5ea87e_Enabled">
    <vt:lpwstr>true</vt:lpwstr>
  </property>
  <property fmtid="{D5CDD505-2E9C-101B-9397-08002B2CF9AE}" pid="3" name="MSIP_Label_69af8531-eb46-4968-8cb3-105d2f5ea87e_SetDate">
    <vt:lpwstr>2024-10-30T03:28:48Z</vt:lpwstr>
  </property>
  <property fmtid="{D5CDD505-2E9C-101B-9397-08002B2CF9AE}" pid="4" name="MSIP_Label_69af8531-eb46-4968-8cb3-105d2f5ea87e_Method">
    <vt:lpwstr>Standard</vt:lpwstr>
  </property>
  <property fmtid="{D5CDD505-2E9C-101B-9397-08002B2CF9AE}" pid="5" name="MSIP_Label_69af8531-eb46-4968-8cb3-105d2f5ea87e_Name">
    <vt:lpwstr>Official - No Marking</vt:lpwstr>
  </property>
  <property fmtid="{D5CDD505-2E9C-101B-9397-08002B2CF9AE}" pid="6" name="MSIP_Label_69af8531-eb46-4968-8cb3-105d2f5ea87e_SiteId">
    <vt:lpwstr>b46c1908-0334-4236-b978-585ee88e4199</vt:lpwstr>
  </property>
  <property fmtid="{D5CDD505-2E9C-101B-9397-08002B2CF9AE}" pid="7" name="MSIP_Label_69af8531-eb46-4968-8cb3-105d2f5ea87e_ActionId">
    <vt:lpwstr>f7b73e98-18ca-4353-8cac-c2a33a002bd8</vt:lpwstr>
  </property>
  <property fmtid="{D5CDD505-2E9C-101B-9397-08002B2CF9AE}" pid="8" name="MSIP_Label_69af8531-eb46-4968-8cb3-105d2f5ea87e_ContentBits">
    <vt:lpwstr>0</vt:lpwstr>
  </property>
  <property fmtid="{D5CDD505-2E9C-101B-9397-08002B2CF9AE}" pid="9" name="DMSID">
    <vt:lpwstr>13780564</vt:lpwstr>
  </property>
  <property fmtid="{D5CDD505-2E9C-101B-9397-08002B2CF9AE}" pid="10" name="CHECKEDOUTFROMJMS">
    <vt:lpwstr/>
  </property>
  <property fmtid="{D5CDD505-2E9C-101B-9397-08002B2CF9AE}" pid="11" name="JMSREQUIREDCHECKIN">
    <vt:lpwstr/>
  </property>
</Properties>
</file>