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24E7D7E4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6D4293">
        <w:t>5</w:t>
      </w:r>
      <w:r>
        <w:t xml:space="preserve"> (No </w:t>
      </w:r>
      <w:r w:rsidR="00004351">
        <w:t>5</w:t>
      </w:r>
      <w:r w:rsidR="00F1480F">
        <w:t>)</w:t>
      </w:r>
    </w:p>
    <w:p w14:paraId="3CA41F67" w14:textId="6B252490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6F2B05">
        <w:rPr>
          <w:rFonts w:ascii="Arial" w:hAnsi="Arial" w:cs="Arial"/>
          <w:b/>
          <w:bCs/>
          <w:sz w:val="24"/>
          <w:szCs w:val="20"/>
          <w:lang w:val="en-AU"/>
        </w:rPr>
        <w:t>324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7DDE6B1B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D4293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004351">
        <w:rPr>
          <w:i/>
          <w:sz w:val="24"/>
        </w:rPr>
        <w:t>5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13A2E56B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004351">
        <w:t>4</w:t>
      </w:r>
      <w:r w:rsidR="00F1480F">
        <w:t>-3</w:t>
      </w:r>
      <w:r w:rsidR="00004351">
        <w:t>4</w:t>
      </w:r>
      <w:r w:rsidR="00F72E5B">
        <w:t>2</w:t>
      </w:r>
      <w:r w:rsidR="005031DD">
        <w:t xml:space="preserve"> </w:t>
      </w:r>
      <w:r w:rsidR="00004351">
        <w:t xml:space="preserve">to Legal Aid ACT for the </w:t>
      </w:r>
      <w:r w:rsidR="00004351" w:rsidRPr="00004351">
        <w:t xml:space="preserve">Aboriginal and Torres Strait Islander and Culturally and Linguistically Diverse Legal Aid client liaison officers </w:t>
      </w:r>
      <w:r>
        <w:t>be expended. Those funds must be expended by 30 June 202</w:t>
      </w:r>
      <w:r w:rsidR="006D4293">
        <w:t>6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292EACE5" w:rsidR="00097505" w:rsidRPr="00097505" w:rsidRDefault="001F69D4" w:rsidP="00C47F48">
      <w:pPr>
        <w:rPr>
          <w:sz w:val="24"/>
          <w:szCs w:val="24"/>
        </w:rPr>
      </w:pPr>
      <w:r>
        <w:rPr>
          <w:sz w:val="24"/>
          <w:szCs w:val="24"/>
        </w:rPr>
        <w:t xml:space="preserve">23 June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677" w14:textId="77777777" w:rsidR="00031279" w:rsidRDefault="00031279" w:rsidP="0068018C">
      <w:r>
        <w:separator/>
      </w:r>
    </w:p>
  </w:endnote>
  <w:endnote w:type="continuationSeparator" w:id="0">
    <w:p w14:paraId="058FDB0D" w14:textId="77777777" w:rsidR="00031279" w:rsidRDefault="00031279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300D" w14:textId="77777777" w:rsidR="0077689A" w:rsidRDefault="00776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4EFE9DC5" w:rsidR="0068018C" w:rsidRPr="007C0829" w:rsidRDefault="007C0829" w:rsidP="007C0829">
    <w:pPr>
      <w:pStyle w:val="Footer"/>
      <w:jc w:val="center"/>
      <w:rPr>
        <w:rFonts w:ascii="Arial" w:hAnsi="Arial" w:cs="Arial"/>
        <w:sz w:val="14"/>
      </w:rPr>
    </w:pPr>
    <w:r w:rsidRPr="007C082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1CE" w14:textId="77777777" w:rsidR="0077689A" w:rsidRDefault="00776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51E2" w14:textId="77777777" w:rsidR="00031279" w:rsidRDefault="00031279" w:rsidP="0068018C">
      <w:r>
        <w:separator/>
      </w:r>
    </w:p>
  </w:footnote>
  <w:footnote w:type="continuationSeparator" w:id="0">
    <w:p w14:paraId="4EB3D28A" w14:textId="77777777" w:rsidR="00031279" w:rsidRDefault="00031279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FA44" w14:textId="77777777" w:rsidR="0077689A" w:rsidRDefault="00776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C806" w14:textId="77777777" w:rsidR="0077689A" w:rsidRDefault="00776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0A80" w14:textId="77777777" w:rsidR="0077689A" w:rsidRDefault="00776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04351"/>
    <w:rsid w:val="00031279"/>
    <w:rsid w:val="00097505"/>
    <w:rsid w:val="000B56DE"/>
    <w:rsid w:val="000C6FAC"/>
    <w:rsid w:val="001B3B7E"/>
    <w:rsid w:val="001E00C4"/>
    <w:rsid w:val="001F677F"/>
    <w:rsid w:val="001F69D4"/>
    <w:rsid w:val="002361FE"/>
    <w:rsid w:val="00330717"/>
    <w:rsid w:val="003D002C"/>
    <w:rsid w:val="003F1071"/>
    <w:rsid w:val="004660DA"/>
    <w:rsid w:val="00497DA7"/>
    <w:rsid w:val="004D20F4"/>
    <w:rsid w:val="005031DD"/>
    <w:rsid w:val="0068018C"/>
    <w:rsid w:val="006D4293"/>
    <w:rsid w:val="006F2B05"/>
    <w:rsid w:val="006F30C6"/>
    <w:rsid w:val="00720BCE"/>
    <w:rsid w:val="007378CE"/>
    <w:rsid w:val="0077689A"/>
    <w:rsid w:val="007C0829"/>
    <w:rsid w:val="00845700"/>
    <w:rsid w:val="00881D1E"/>
    <w:rsid w:val="008B065F"/>
    <w:rsid w:val="008D3804"/>
    <w:rsid w:val="00902582"/>
    <w:rsid w:val="00924441"/>
    <w:rsid w:val="00A364EA"/>
    <w:rsid w:val="00A67BC4"/>
    <w:rsid w:val="00AE2F1F"/>
    <w:rsid w:val="00B00860"/>
    <w:rsid w:val="00C00630"/>
    <w:rsid w:val="00C30B71"/>
    <w:rsid w:val="00C47F48"/>
    <w:rsid w:val="00CD1E54"/>
    <w:rsid w:val="00CE2A9F"/>
    <w:rsid w:val="00D143B6"/>
    <w:rsid w:val="00D51E09"/>
    <w:rsid w:val="00D64D22"/>
    <w:rsid w:val="00DF658E"/>
    <w:rsid w:val="00EA03F9"/>
    <w:rsid w:val="00EE19CC"/>
    <w:rsid w:val="00F1480F"/>
    <w:rsid w:val="00F72E5B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686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2025-06-24T06:36:00Z</dcterms:created>
  <dcterms:modified xsi:type="dcterms:W3CDTF">2025-06-24T06:36:00Z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14310890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