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5E09" w14:textId="77777777" w:rsidR="001E6633" w:rsidRPr="001B7B1E" w:rsidRDefault="00341A79" w:rsidP="001B7B1E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1B7B1E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4527F823" w14:textId="77777777" w:rsidR="001E6633" w:rsidRDefault="00341A79" w:rsidP="001B7B1E">
      <w:pPr>
        <w:pStyle w:val="Billname"/>
        <w:spacing w:before="700"/>
      </w:pPr>
      <w:r>
        <w:t>Controlled</w:t>
      </w:r>
      <w:r w:rsidRPr="001B7B1E">
        <w:t xml:space="preserve"> </w:t>
      </w:r>
      <w:r>
        <w:t>Sports</w:t>
      </w:r>
      <w:r w:rsidRPr="001B7B1E">
        <w:t xml:space="preserve"> </w:t>
      </w:r>
      <w:r>
        <w:t>(Non-registrable</w:t>
      </w:r>
      <w:r w:rsidRPr="001B7B1E">
        <w:t xml:space="preserve"> </w:t>
      </w:r>
      <w:r>
        <w:t>Event) Declaration 2025 (No 1)</w:t>
      </w:r>
    </w:p>
    <w:p w14:paraId="2967277D" w14:textId="50D4EB63" w:rsidR="001E6633" w:rsidRPr="001B7B1E" w:rsidRDefault="00341A79" w:rsidP="001B7B1E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1B7B1E">
        <w:rPr>
          <w:rFonts w:ascii="Arial" w:hAnsi="Arial" w:cs="Arial"/>
          <w:b/>
          <w:bCs/>
          <w:sz w:val="24"/>
          <w:szCs w:val="20"/>
          <w:lang w:val="en-AU"/>
        </w:rPr>
        <w:t>Notifiable instrument NI2025–</w:t>
      </w:r>
      <w:r w:rsidR="00B0486C" w:rsidRPr="001B7B1E">
        <w:rPr>
          <w:rFonts w:ascii="Arial" w:hAnsi="Arial" w:cs="Arial"/>
          <w:b/>
          <w:bCs/>
          <w:sz w:val="24"/>
          <w:szCs w:val="20"/>
          <w:lang w:val="en-AU"/>
        </w:rPr>
        <w:t>455</w:t>
      </w:r>
    </w:p>
    <w:p w14:paraId="675C7598" w14:textId="77777777" w:rsidR="001E6633" w:rsidRDefault="00341A79" w:rsidP="001B7B1E">
      <w:pPr>
        <w:pStyle w:val="madeunder"/>
        <w:spacing w:before="300" w:after="0"/>
      </w:pPr>
      <w:r>
        <w:t>made</w:t>
      </w:r>
      <w:r w:rsidRPr="001B7B1E">
        <w:t xml:space="preserve"> </w:t>
      </w:r>
      <w:r>
        <w:t>under</w:t>
      </w:r>
      <w:r w:rsidRPr="001B7B1E">
        <w:t xml:space="preserve"> the</w:t>
      </w:r>
    </w:p>
    <w:p w14:paraId="78D648FA" w14:textId="77777777" w:rsidR="001E6633" w:rsidRPr="001B7B1E" w:rsidRDefault="00341A79" w:rsidP="001B7B1E">
      <w:pPr>
        <w:pStyle w:val="CoverActName"/>
        <w:spacing w:before="320" w:after="0"/>
        <w:rPr>
          <w:rFonts w:cs="Arial"/>
          <w:sz w:val="20"/>
        </w:rPr>
      </w:pPr>
      <w:r w:rsidRPr="001B7B1E">
        <w:rPr>
          <w:rFonts w:cs="Arial"/>
          <w:sz w:val="20"/>
        </w:rPr>
        <w:t>Controlled Sports Act 2019, section 10 (2) (Meaning of registrable event)</w:t>
      </w:r>
    </w:p>
    <w:p w14:paraId="43FB19E9" w14:textId="77777777" w:rsidR="001B7B1E" w:rsidRDefault="001B7B1E" w:rsidP="001B7B1E">
      <w:pPr>
        <w:pStyle w:val="N-line3"/>
        <w:pBdr>
          <w:bottom w:val="none" w:sz="0" w:space="0" w:color="auto"/>
        </w:pBdr>
        <w:spacing w:before="60"/>
      </w:pPr>
    </w:p>
    <w:p w14:paraId="131DDBBC" w14:textId="77777777" w:rsidR="001B7B1E" w:rsidRDefault="001B7B1E" w:rsidP="001B7B1E">
      <w:pPr>
        <w:pStyle w:val="N-line3"/>
        <w:pBdr>
          <w:top w:val="single" w:sz="12" w:space="1" w:color="auto"/>
          <w:bottom w:val="none" w:sz="0" w:space="0" w:color="auto"/>
        </w:pBdr>
      </w:pPr>
    </w:p>
    <w:p w14:paraId="21FD1F3B" w14:textId="77777777" w:rsidR="001E6633" w:rsidRPr="001B7B1E" w:rsidRDefault="00341A79" w:rsidP="001B7B1E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1B7B1E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06A3EA16" w14:textId="6FED34DB" w:rsidR="001E6633" w:rsidRDefault="00341A79" w:rsidP="00181D67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Controlled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Sports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(Non-Registrable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Event)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Declaration 2025 (No 1)</w:t>
      </w:r>
      <w:r>
        <w:rPr>
          <w:sz w:val="24"/>
        </w:rPr>
        <w:t>.</w:t>
      </w:r>
    </w:p>
    <w:p w14:paraId="20B8C4B5" w14:textId="77777777" w:rsidR="001E6633" w:rsidRPr="001B7B1E" w:rsidRDefault="00341A79" w:rsidP="001B7B1E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1B7B1E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6B5F1564" w14:textId="77777777" w:rsidR="001E6633" w:rsidRDefault="00341A79" w:rsidP="00181D67">
      <w:pPr>
        <w:pStyle w:val="BodyText"/>
        <w:spacing w:before="140"/>
        <w:ind w:left="720"/>
      </w:pPr>
      <w:r>
        <w:t>This</w:t>
      </w:r>
      <w:r>
        <w:rPr>
          <w:spacing w:val="-4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notified.</w:t>
      </w:r>
    </w:p>
    <w:p w14:paraId="41C8F69C" w14:textId="77777777" w:rsidR="001E6633" w:rsidRPr="001B7B1E" w:rsidRDefault="00341A79" w:rsidP="001B7B1E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1B7B1E">
        <w:rPr>
          <w:rFonts w:ascii="Arial" w:hAnsi="Arial" w:cs="Arial"/>
          <w:b/>
          <w:bCs/>
          <w:sz w:val="24"/>
          <w:szCs w:val="20"/>
          <w:lang w:val="en-AU"/>
        </w:rPr>
        <w:t>Declaration</w:t>
      </w:r>
    </w:p>
    <w:p w14:paraId="55A98DF2" w14:textId="77777777" w:rsidR="001E6633" w:rsidRDefault="00341A79" w:rsidP="00181D67">
      <w:pPr>
        <w:spacing w:before="140"/>
        <w:ind w:left="720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declare</w:t>
      </w:r>
      <w:r>
        <w:rPr>
          <w:spacing w:val="-2"/>
          <w:sz w:val="24"/>
        </w:rPr>
        <w:t xml:space="preserve"> </w:t>
      </w:r>
      <w:r>
        <w:rPr>
          <w:sz w:val="24"/>
        </w:rPr>
        <w:t>that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 event</w:t>
      </w:r>
      <w:r>
        <w:rPr>
          <w:spacing w:val="-1"/>
          <w:sz w:val="24"/>
        </w:rPr>
        <w:t xml:space="preserve"> </w:t>
      </w:r>
      <w:r>
        <w:rPr>
          <w:sz w:val="24"/>
        </w:rPr>
        <w:t>is a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non-registrable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event</w:t>
      </w:r>
      <w:r>
        <w:rPr>
          <w:spacing w:val="-2"/>
          <w:sz w:val="24"/>
        </w:rPr>
        <w:t>:</w:t>
      </w:r>
    </w:p>
    <w:p w14:paraId="64B75D7F" w14:textId="77777777" w:rsidR="001E6633" w:rsidRDefault="00341A79" w:rsidP="00A66887">
      <w:pPr>
        <w:pStyle w:val="BodyText"/>
        <w:tabs>
          <w:tab w:val="left" w:pos="1179"/>
        </w:tabs>
        <w:spacing w:before="141"/>
        <w:ind w:left="720"/>
      </w:pPr>
      <w:r>
        <w:rPr>
          <w:spacing w:val="-10"/>
        </w:rPr>
        <w:t>-</w:t>
      </w:r>
      <w:r>
        <w:tab/>
        <w:t>Standing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Solidarity</w:t>
      </w:r>
      <w:r>
        <w:rPr>
          <w:spacing w:val="-1"/>
        </w:rPr>
        <w:t xml:space="preserve"> </w:t>
      </w:r>
      <w:r>
        <w:t>Fight</w:t>
      </w:r>
      <w:r>
        <w:rPr>
          <w:spacing w:val="-2"/>
        </w:rPr>
        <w:t xml:space="preserve"> </w:t>
      </w:r>
      <w:r>
        <w:t>Night</w:t>
      </w:r>
      <w:r>
        <w:rPr>
          <w:spacing w:val="-1"/>
        </w:rPr>
        <w:t xml:space="preserve"> </w:t>
      </w:r>
      <w:r>
        <w:t>(to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rPr>
          <w:spacing w:val="-2"/>
        </w:rPr>
        <w:t>2025)</w:t>
      </w:r>
    </w:p>
    <w:p w14:paraId="698AB025" w14:textId="77777777" w:rsidR="001E6633" w:rsidRDefault="00341A79" w:rsidP="00181D67">
      <w:pPr>
        <w:pStyle w:val="BodyText"/>
        <w:spacing w:before="240"/>
        <w:ind w:left="720"/>
      </w:pP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conditions:</w:t>
      </w:r>
    </w:p>
    <w:p w14:paraId="08946193" w14:textId="77777777" w:rsidR="001E6633" w:rsidRDefault="00341A79" w:rsidP="00181D67">
      <w:pPr>
        <w:pStyle w:val="ListParagraph"/>
        <w:numPr>
          <w:ilvl w:val="1"/>
          <w:numId w:val="1"/>
        </w:numPr>
        <w:tabs>
          <w:tab w:val="left" w:pos="1498"/>
        </w:tabs>
        <w:spacing w:before="120"/>
        <w:ind w:left="1474" w:hanging="737"/>
        <w:jc w:val="left"/>
        <w:rPr>
          <w:sz w:val="24"/>
        </w:rPr>
      </w:pPr>
      <w:r>
        <w:rPr>
          <w:sz w:val="24"/>
        </w:rPr>
        <w:t>Match</w:t>
      </w:r>
      <w:r>
        <w:rPr>
          <w:spacing w:val="-4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overseen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Boxing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consistent with Boxing Australia </w:t>
      </w:r>
      <w:proofErr w:type="gramStart"/>
      <w:r>
        <w:rPr>
          <w:sz w:val="24"/>
        </w:rPr>
        <w:t>rules;</w:t>
      </w:r>
      <w:proofErr w:type="gramEnd"/>
    </w:p>
    <w:p w14:paraId="3F6FE79E" w14:textId="77777777" w:rsidR="001E6633" w:rsidRDefault="00341A79" w:rsidP="00181D67">
      <w:pPr>
        <w:pStyle w:val="ListParagraph"/>
        <w:numPr>
          <w:ilvl w:val="1"/>
          <w:numId w:val="1"/>
        </w:numPr>
        <w:tabs>
          <w:tab w:val="left" w:pos="1539"/>
        </w:tabs>
        <w:spacing w:before="120"/>
        <w:ind w:left="1474" w:hanging="737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practitioner</w:t>
      </w:r>
      <w:r>
        <w:rPr>
          <w:spacing w:val="-3"/>
          <w:sz w:val="24"/>
        </w:rPr>
        <w:t xml:space="preserve"> </w:t>
      </w:r>
      <w:r>
        <w:rPr>
          <w:sz w:val="24"/>
        </w:rPr>
        <w:t>engaged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event,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 “official” in the capacity of a medical practitioner under the </w:t>
      </w:r>
      <w:proofErr w:type="gramStart"/>
      <w:r>
        <w:rPr>
          <w:sz w:val="24"/>
        </w:rPr>
        <w:t>Act;</w:t>
      </w:r>
      <w:proofErr w:type="gramEnd"/>
    </w:p>
    <w:p w14:paraId="43158079" w14:textId="77777777" w:rsidR="001E6633" w:rsidRDefault="00341A79" w:rsidP="00181D67">
      <w:pPr>
        <w:pStyle w:val="ListParagraph"/>
        <w:numPr>
          <w:ilvl w:val="1"/>
          <w:numId w:val="1"/>
        </w:numPr>
        <w:tabs>
          <w:tab w:val="left" w:pos="1539"/>
        </w:tabs>
        <w:spacing w:before="120"/>
        <w:ind w:left="1474" w:hanging="737"/>
        <w:jc w:val="left"/>
        <w:rPr>
          <w:sz w:val="24"/>
        </w:rPr>
      </w:pP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athletes</w:t>
      </w:r>
      <w:r>
        <w:rPr>
          <w:spacing w:val="-1"/>
          <w:sz w:val="24"/>
        </w:rPr>
        <w:t xml:space="preserve"> </w:t>
      </w:r>
      <w:r>
        <w:rPr>
          <w:sz w:val="24"/>
        </w:rPr>
        <w:t>aged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over;</w:t>
      </w:r>
      <w:proofErr w:type="gramEnd"/>
    </w:p>
    <w:p w14:paraId="2AEE8743" w14:textId="77777777" w:rsidR="001E6633" w:rsidRDefault="00341A79" w:rsidP="00181D67">
      <w:pPr>
        <w:pStyle w:val="ListParagraph"/>
        <w:numPr>
          <w:ilvl w:val="1"/>
          <w:numId w:val="1"/>
        </w:numPr>
        <w:tabs>
          <w:tab w:val="left" w:pos="1539"/>
        </w:tabs>
        <w:spacing w:before="120"/>
        <w:ind w:left="1474" w:hanging="737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officials</w:t>
      </w:r>
      <w:r>
        <w:rPr>
          <w:spacing w:val="-3"/>
          <w:sz w:val="24"/>
        </w:rPr>
        <w:t xml:space="preserve"> </w:t>
      </w:r>
      <w:r>
        <w:rPr>
          <w:sz w:val="24"/>
        </w:rPr>
        <w:t>officiating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registered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Boxing ACT or their relevant jurisdiction </w:t>
      </w:r>
      <w:proofErr w:type="gramStart"/>
      <w:r>
        <w:rPr>
          <w:sz w:val="24"/>
        </w:rPr>
        <w:t>equivalent;</w:t>
      </w:r>
      <w:proofErr w:type="gramEnd"/>
    </w:p>
    <w:p w14:paraId="1BC7DEFF" w14:textId="77777777" w:rsidR="001E6633" w:rsidRDefault="00341A79" w:rsidP="00181D67">
      <w:pPr>
        <w:pStyle w:val="ListParagraph"/>
        <w:numPr>
          <w:ilvl w:val="1"/>
          <w:numId w:val="1"/>
        </w:numPr>
        <w:tabs>
          <w:tab w:val="left" w:pos="1539"/>
        </w:tabs>
        <w:spacing w:before="120"/>
        <w:ind w:left="1474" w:hanging="737"/>
        <w:jc w:val="left"/>
        <w:rPr>
          <w:sz w:val="24"/>
        </w:rPr>
      </w:pP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(2)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event,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Canberra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is provided with the total number of tickets </w:t>
      </w:r>
      <w:proofErr w:type="gramStart"/>
      <w:r>
        <w:rPr>
          <w:sz w:val="24"/>
        </w:rPr>
        <w:t>sold;</w:t>
      </w:r>
      <w:proofErr w:type="gramEnd"/>
    </w:p>
    <w:p w14:paraId="5DC2A551" w14:textId="77777777" w:rsidR="001E6633" w:rsidRDefault="00341A79" w:rsidP="00181D67">
      <w:pPr>
        <w:pStyle w:val="ListParagraph"/>
        <w:numPr>
          <w:ilvl w:val="1"/>
          <w:numId w:val="1"/>
        </w:numPr>
        <w:tabs>
          <w:tab w:val="left" w:pos="1539"/>
        </w:tabs>
        <w:spacing w:before="120"/>
        <w:ind w:left="1474" w:hanging="737"/>
        <w:jc w:val="left"/>
        <w:rPr>
          <w:sz w:val="24"/>
        </w:rPr>
      </w:pPr>
      <w:r>
        <w:rPr>
          <w:sz w:val="24"/>
        </w:rPr>
        <w:t>Within fourteen (14) days following the event, Access Canberra is provided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takings,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 all proceeds to the Wish Foundation Limited and the Palestinian Australian New Zealand Medical Association; and</w:t>
      </w:r>
    </w:p>
    <w:p w14:paraId="0F4CF59C" w14:textId="77777777" w:rsidR="001E6633" w:rsidRDefault="00341A79" w:rsidP="00181D67">
      <w:pPr>
        <w:pStyle w:val="ListParagraph"/>
        <w:numPr>
          <w:ilvl w:val="1"/>
          <w:numId w:val="1"/>
        </w:numPr>
        <w:tabs>
          <w:tab w:val="left" w:pos="1539"/>
        </w:tabs>
        <w:spacing w:before="120"/>
        <w:ind w:left="1474" w:hanging="737"/>
        <w:jc w:val="left"/>
        <w:rPr>
          <w:sz w:val="24"/>
        </w:rPr>
      </w:pPr>
      <w:r>
        <w:rPr>
          <w:sz w:val="24"/>
        </w:rPr>
        <w:t>As the event will be held at a sports bookmaking venue, the event is held in a manner that precludes the gaming area being directly accessible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ticket</w:t>
      </w:r>
      <w:r>
        <w:rPr>
          <w:spacing w:val="-4"/>
          <w:sz w:val="24"/>
        </w:rPr>
        <w:t xml:space="preserve"> </w:t>
      </w:r>
      <w:r>
        <w:rPr>
          <w:sz w:val="24"/>
        </w:rPr>
        <w:t>holders,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line of sight from the event function space.</w:t>
      </w:r>
    </w:p>
    <w:p w14:paraId="74D45D8C" w14:textId="19820C8B" w:rsidR="001E6633" w:rsidRDefault="00341A79" w:rsidP="00181D67">
      <w:pPr>
        <w:pStyle w:val="ListParagraph"/>
        <w:numPr>
          <w:ilvl w:val="1"/>
          <w:numId w:val="1"/>
        </w:numPr>
        <w:tabs>
          <w:tab w:val="left" w:pos="1539"/>
        </w:tabs>
        <w:spacing w:before="120"/>
        <w:ind w:left="1474" w:hanging="737"/>
        <w:jc w:val="left"/>
        <w:rPr>
          <w:sz w:val="24"/>
        </w:rPr>
      </w:pPr>
      <w:r>
        <w:rPr>
          <w:sz w:val="24"/>
        </w:rPr>
        <w:lastRenderedPageBreak/>
        <w:t>Mr</w:t>
      </w:r>
      <w:r w:rsidRPr="00674CC2">
        <w:rPr>
          <w:sz w:val="24"/>
        </w:rPr>
        <w:t xml:space="preserve"> </w:t>
      </w:r>
      <w:r>
        <w:rPr>
          <w:sz w:val="24"/>
        </w:rPr>
        <w:t>Garry Hamilton</w:t>
      </w:r>
      <w:r w:rsidRPr="00674CC2">
        <w:rPr>
          <w:sz w:val="24"/>
        </w:rPr>
        <w:t xml:space="preserve"> </w:t>
      </w:r>
      <w:r>
        <w:rPr>
          <w:sz w:val="24"/>
        </w:rPr>
        <w:t>is</w:t>
      </w:r>
      <w:r w:rsidRPr="00674CC2">
        <w:rPr>
          <w:sz w:val="24"/>
        </w:rPr>
        <w:t xml:space="preserve"> </w:t>
      </w:r>
      <w:r>
        <w:rPr>
          <w:sz w:val="24"/>
        </w:rPr>
        <w:t>the</w:t>
      </w:r>
      <w:r w:rsidRPr="00674CC2">
        <w:rPr>
          <w:sz w:val="24"/>
        </w:rPr>
        <w:t xml:space="preserve"> </w:t>
      </w:r>
      <w:r>
        <w:rPr>
          <w:sz w:val="24"/>
        </w:rPr>
        <w:t>person</w:t>
      </w:r>
      <w:r w:rsidRPr="00674CC2">
        <w:rPr>
          <w:sz w:val="24"/>
        </w:rPr>
        <w:t xml:space="preserve"> </w:t>
      </w:r>
      <w:r>
        <w:rPr>
          <w:sz w:val="24"/>
        </w:rPr>
        <w:t>responsible for</w:t>
      </w:r>
      <w:r w:rsidRPr="00674CC2">
        <w:rPr>
          <w:sz w:val="24"/>
        </w:rPr>
        <w:t xml:space="preserve"> </w:t>
      </w:r>
      <w:r>
        <w:rPr>
          <w:sz w:val="24"/>
        </w:rPr>
        <w:t>the</w:t>
      </w:r>
      <w:r w:rsidRPr="00674CC2">
        <w:rPr>
          <w:sz w:val="24"/>
        </w:rPr>
        <w:t xml:space="preserve"> </w:t>
      </w:r>
      <w:r>
        <w:rPr>
          <w:sz w:val="24"/>
        </w:rPr>
        <w:t>event</w:t>
      </w:r>
      <w:r w:rsidRPr="00674CC2">
        <w:rPr>
          <w:sz w:val="24"/>
        </w:rPr>
        <w:t xml:space="preserve"> </w:t>
      </w:r>
      <w:r>
        <w:rPr>
          <w:sz w:val="24"/>
        </w:rPr>
        <w:t>and ensuring</w:t>
      </w:r>
      <w:r w:rsidRPr="00674CC2">
        <w:rPr>
          <w:sz w:val="24"/>
        </w:rPr>
        <w:t xml:space="preserve"> </w:t>
      </w:r>
      <w:r>
        <w:rPr>
          <w:sz w:val="24"/>
        </w:rPr>
        <w:t>that</w:t>
      </w:r>
      <w:r w:rsidRPr="00674CC2">
        <w:rPr>
          <w:sz w:val="24"/>
        </w:rPr>
        <w:t xml:space="preserve"> </w:t>
      </w:r>
      <w:r>
        <w:rPr>
          <w:sz w:val="24"/>
        </w:rPr>
        <w:t>all proceeds collected from the event are distributed to the Wish Foundation Limited</w:t>
      </w:r>
      <w:r w:rsidRPr="00674CC2">
        <w:rPr>
          <w:sz w:val="24"/>
        </w:rPr>
        <w:t xml:space="preserve"> </w:t>
      </w:r>
      <w:r>
        <w:rPr>
          <w:sz w:val="24"/>
        </w:rPr>
        <w:t>and</w:t>
      </w:r>
      <w:r w:rsidRPr="00674CC2">
        <w:rPr>
          <w:sz w:val="24"/>
        </w:rPr>
        <w:t xml:space="preserve"> </w:t>
      </w:r>
      <w:r>
        <w:rPr>
          <w:sz w:val="24"/>
        </w:rPr>
        <w:t>the</w:t>
      </w:r>
      <w:r w:rsidRPr="00674CC2">
        <w:rPr>
          <w:sz w:val="24"/>
        </w:rPr>
        <w:t xml:space="preserve"> </w:t>
      </w:r>
      <w:r>
        <w:rPr>
          <w:sz w:val="24"/>
        </w:rPr>
        <w:t>Palestinian</w:t>
      </w:r>
      <w:r w:rsidRPr="00674CC2">
        <w:rPr>
          <w:sz w:val="24"/>
        </w:rPr>
        <w:t xml:space="preserve"> </w:t>
      </w:r>
      <w:r>
        <w:rPr>
          <w:sz w:val="24"/>
        </w:rPr>
        <w:t>Australian</w:t>
      </w:r>
      <w:r w:rsidRPr="00674CC2">
        <w:rPr>
          <w:sz w:val="24"/>
        </w:rPr>
        <w:t xml:space="preserve"> </w:t>
      </w:r>
      <w:r>
        <w:rPr>
          <w:sz w:val="24"/>
        </w:rPr>
        <w:t>New</w:t>
      </w:r>
      <w:r w:rsidRPr="00674CC2">
        <w:rPr>
          <w:sz w:val="24"/>
        </w:rPr>
        <w:t xml:space="preserve"> </w:t>
      </w:r>
      <w:r>
        <w:rPr>
          <w:sz w:val="24"/>
        </w:rPr>
        <w:t>Zealand</w:t>
      </w:r>
      <w:r w:rsidRPr="00674CC2">
        <w:rPr>
          <w:sz w:val="24"/>
        </w:rPr>
        <w:t xml:space="preserve"> </w:t>
      </w:r>
      <w:r>
        <w:rPr>
          <w:sz w:val="24"/>
        </w:rPr>
        <w:t>Medical</w:t>
      </w:r>
      <w:r w:rsidRPr="00674CC2">
        <w:rPr>
          <w:sz w:val="24"/>
        </w:rPr>
        <w:t xml:space="preserve"> </w:t>
      </w:r>
      <w:r>
        <w:rPr>
          <w:sz w:val="24"/>
        </w:rPr>
        <w:t>Association.</w:t>
      </w:r>
    </w:p>
    <w:p w14:paraId="0B390B93" w14:textId="77777777" w:rsidR="00674CC2" w:rsidRDefault="00674CC2" w:rsidP="00181D67">
      <w:pPr>
        <w:pStyle w:val="BodyText"/>
      </w:pPr>
    </w:p>
    <w:p w14:paraId="6FF55ECD" w14:textId="77777777" w:rsidR="00B0486C" w:rsidRDefault="00B0486C" w:rsidP="00181D67">
      <w:pPr>
        <w:pStyle w:val="BodyText"/>
      </w:pPr>
    </w:p>
    <w:p w14:paraId="215F87EE" w14:textId="3F5A6DF4" w:rsidR="001E6633" w:rsidRDefault="00341A79" w:rsidP="00181D67">
      <w:pPr>
        <w:pStyle w:val="BodyText"/>
      </w:pPr>
      <w:r>
        <w:t>Yvette</w:t>
      </w:r>
      <w:r>
        <w:rPr>
          <w:spacing w:val="-3"/>
        </w:rPr>
        <w:t xml:space="preserve"> </w:t>
      </w:r>
      <w:r>
        <w:rPr>
          <w:spacing w:val="-2"/>
        </w:rPr>
        <w:t>Berry</w:t>
      </w:r>
    </w:p>
    <w:p w14:paraId="4D089A81" w14:textId="77777777" w:rsidR="00B0486C" w:rsidRDefault="00341A79" w:rsidP="00181D67">
      <w:pPr>
        <w:pStyle w:val="BodyText"/>
        <w:spacing w:line="480" w:lineRule="auto"/>
      </w:pPr>
      <w:r>
        <w:t>Minister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Sport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Recreation</w:t>
      </w:r>
    </w:p>
    <w:p w14:paraId="68EE83FC" w14:textId="022CB900" w:rsidR="001E6633" w:rsidRDefault="00B0486C" w:rsidP="00181D67">
      <w:pPr>
        <w:pStyle w:val="BodyText"/>
        <w:spacing w:line="480" w:lineRule="auto"/>
      </w:pPr>
      <w:r>
        <w:t xml:space="preserve">08 </w:t>
      </w:r>
      <w:r w:rsidR="00341A79">
        <w:t>August 2025</w:t>
      </w:r>
    </w:p>
    <w:sectPr w:rsidR="001E6633" w:rsidSect="001B7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4E13" w14:textId="77777777" w:rsidR="00AD7065" w:rsidRDefault="00AD7065" w:rsidP="00F566B2">
      <w:r>
        <w:separator/>
      </w:r>
    </w:p>
  </w:endnote>
  <w:endnote w:type="continuationSeparator" w:id="0">
    <w:p w14:paraId="021517BE" w14:textId="77777777" w:rsidR="00AD7065" w:rsidRDefault="00AD7065" w:rsidP="00F5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84BF" w14:textId="77777777" w:rsidR="008F22F8" w:rsidRDefault="008F2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36B3" w14:textId="2A0D2277" w:rsidR="00F566B2" w:rsidRPr="008F22F8" w:rsidRDefault="008F22F8" w:rsidP="008F22F8">
    <w:pPr>
      <w:pStyle w:val="Footer"/>
      <w:tabs>
        <w:tab w:val="clear" w:pos="4513"/>
        <w:tab w:val="clear" w:pos="9026"/>
      </w:tabs>
      <w:jc w:val="center"/>
      <w:rPr>
        <w:rFonts w:ascii="Arial" w:hAnsi="Arial" w:cs="Arial"/>
        <w:sz w:val="14"/>
      </w:rPr>
    </w:pPr>
    <w:r w:rsidRPr="008F22F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0D54" w14:textId="77777777" w:rsidR="008F22F8" w:rsidRDefault="008F2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12A5" w14:textId="77777777" w:rsidR="00AD7065" w:rsidRDefault="00AD7065" w:rsidP="00F566B2">
      <w:r>
        <w:separator/>
      </w:r>
    </w:p>
  </w:footnote>
  <w:footnote w:type="continuationSeparator" w:id="0">
    <w:p w14:paraId="72027DBF" w14:textId="77777777" w:rsidR="00AD7065" w:rsidRDefault="00AD7065" w:rsidP="00F5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D3D1" w14:textId="77777777" w:rsidR="008F22F8" w:rsidRDefault="008F2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4810" w14:textId="77777777" w:rsidR="008F22F8" w:rsidRDefault="008F22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5C00" w14:textId="77777777" w:rsidR="008F22F8" w:rsidRDefault="008F2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0133B"/>
    <w:multiLevelType w:val="hybridMultilevel"/>
    <w:tmpl w:val="D4985AAA"/>
    <w:lvl w:ilvl="0" w:tplc="A85EADF2">
      <w:start w:val="1"/>
      <w:numFmt w:val="decimal"/>
      <w:lvlText w:val="%1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F0B002">
      <w:start w:val="1"/>
      <w:numFmt w:val="lowerLetter"/>
      <w:lvlText w:val="%2."/>
      <w:lvlJc w:val="left"/>
      <w:pPr>
        <w:ind w:left="1542" w:hanging="7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43EFE76">
      <w:numFmt w:val="bullet"/>
      <w:lvlText w:val="•"/>
      <w:lvlJc w:val="left"/>
      <w:pPr>
        <w:ind w:left="2314" w:hanging="723"/>
      </w:pPr>
      <w:rPr>
        <w:rFonts w:hint="default"/>
        <w:lang w:val="en-US" w:eastAsia="en-US" w:bidi="ar-SA"/>
      </w:rPr>
    </w:lvl>
    <w:lvl w:ilvl="3" w:tplc="A610507C">
      <w:numFmt w:val="bullet"/>
      <w:lvlText w:val="•"/>
      <w:lvlJc w:val="left"/>
      <w:pPr>
        <w:ind w:left="3088" w:hanging="723"/>
      </w:pPr>
      <w:rPr>
        <w:rFonts w:hint="default"/>
        <w:lang w:val="en-US" w:eastAsia="en-US" w:bidi="ar-SA"/>
      </w:rPr>
    </w:lvl>
    <w:lvl w:ilvl="4" w:tplc="0350797A">
      <w:numFmt w:val="bullet"/>
      <w:lvlText w:val="•"/>
      <w:lvlJc w:val="left"/>
      <w:pPr>
        <w:ind w:left="3862" w:hanging="723"/>
      </w:pPr>
      <w:rPr>
        <w:rFonts w:hint="default"/>
        <w:lang w:val="en-US" w:eastAsia="en-US" w:bidi="ar-SA"/>
      </w:rPr>
    </w:lvl>
    <w:lvl w:ilvl="5" w:tplc="D992340C">
      <w:numFmt w:val="bullet"/>
      <w:lvlText w:val="•"/>
      <w:lvlJc w:val="left"/>
      <w:pPr>
        <w:ind w:left="4636" w:hanging="723"/>
      </w:pPr>
      <w:rPr>
        <w:rFonts w:hint="default"/>
        <w:lang w:val="en-US" w:eastAsia="en-US" w:bidi="ar-SA"/>
      </w:rPr>
    </w:lvl>
    <w:lvl w:ilvl="6" w:tplc="0ED685A2">
      <w:numFmt w:val="bullet"/>
      <w:lvlText w:val="•"/>
      <w:lvlJc w:val="left"/>
      <w:pPr>
        <w:ind w:left="5410" w:hanging="723"/>
      </w:pPr>
      <w:rPr>
        <w:rFonts w:hint="default"/>
        <w:lang w:val="en-US" w:eastAsia="en-US" w:bidi="ar-SA"/>
      </w:rPr>
    </w:lvl>
    <w:lvl w:ilvl="7" w:tplc="095430EA">
      <w:numFmt w:val="bullet"/>
      <w:lvlText w:val="•"/>
      <w:lvlJc w:val="left"/>
      <w:pPr>
        <w:ind w:left="6184" w:hanging="723"/>
      </w:pPr>
      <w:rPr>
        <w:rFonts w:hint="default"/>
        <w:lang w:val="en-US" w:eastAsia="en-US" w:bidi="ar-SA"/>
      </w:rPr>
    </w:lvl>
    <w:lvl w:ilvl="8" w:tplc="0B10D55E">
      <w:numFmt w:val="bullet"/>
      <w:lvlText w:val="•"/>
      <w:lvlJc w:val="left"/>
      <w:pPr>
        <w:ind w:left="6958" w:hanging="723"/>
      </w:pPr>
      <w:rPr>
        <w:rFonts w:hint="default"/>
        <w:lang w:val="en-US" w:eastAsia="en-US" w:bidi="ar-SA"/>
      </w:rPr>
    </w:lvl>
  </w:abstractNum>
  <w:num w:numId="1" w16cid:durableId="81522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33"/>
    <w:rsid w:val="000212BF"/>
    <w:rsid w:val="000935DC"/>
    <w:rsid w:val="00181D67"/>
    <w:rsid w:val="001B7B1E"/>
    <w:rsid w:val="001E6633"/>
    <w:rsid w:val="00207D84"/>
    <w:rsid w:val="00341A79"/>
    <w:rsid w:val="003D506A"/>
    <w:rsid w:val="00674CC2"/>
    <w:rsid w:val="006B52D1"/>
    <w:rsid w:val="008F22F8"/>
    <w:rsid w:val="00A66887"/>
    <w:rsid w:val="00AC2C78"/>
    <w:rsid w:val="00AC55B3"/>
    <w:rsid w:val="00AD7065"/>
    <w:rsid w:val="00B0486C"/>
    <w:rsid w:val="00D97FF3"/>
    <w:rsid w:val="00E01C6F"/>
    <w:rsid w:val="00F5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BB27C"/>
  <w15:docId w15:val="{1B46F2B0-4221-49E0-9796-E019D611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9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1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66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6B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66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6B2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1B7B1E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1B7B1E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1B7B1E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1B7B1E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1588</Characters>
  <Application>Microsoft Office Word</Application>
  <DocSecurity>0</DocSecurity>
  <Lines>42</Lines>
  <Paragraphs>27</Paragraphs>
  <ScaleCrop>false</ScaleCrop>
  <Company>InTACT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Moxon, KarenL</cp:lastModifiedBy>
  <cp:revision>5</cp:revision>
  <dcterms:created xsi:type="dcterms:W3CDTF">2025-08-14T00:39:00Z</dcterms:created>
  <dcterms:modified xsi:type="dcterms:W3CDTF">2025-08-14T00:42:00Z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Created">
    <vt:filetime>2025-08-01T00:00:00Z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2025-08-12T00:00:00Z</vt:filetime>
  </property>
  <property fmtid="{D5CDD505-2E9C-101B-9397-08002B2CF9AE}" pid="6" name="MSIP_Label_69af8531-eb46-4968-8cb3-105d2f5ea87e_ActionId">
    <vt:lpwstr>716bd8bd-9c1d-443a-b659-ed0b27d0161e</vt:lpwstr>
  </property>
  <property fmtid="{D5CDD505-2E9C-101B-9397-08002B2CF9AE}" pid="7" name="MSIP_Label_69af8531-eb46-4968-8cb3-105d2f5ea87e_ContentBits">
    <vt:lpwstr>0</vt:lpwstr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etDate">
    <vt:lpwstr>2025-07-22T02:05:40Z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Tag">
    <vt:lpwstr>10, 3, 0, 1</vt:lpwstr>
  </property>
  <property fmtid="{D5CDD505-2E9C-101B-9397-08002B2CF9AE}" pid="14" name="Objective-Caveats">
    <vt:lpwstr/>
  </property>
  <property fmtid="{D5CDD505-2E9C-101B-9397-08002B2CF9AE}" pid="15" name="Objective-Classification">
    <vt:lpwstr>[Inherited - none]</vt:lpwstr>
  </property>
  <property fmtid="{D5CDD505-2E9C-101B-9397-08002B2CF9AE}" pid="16" name="Objective-Comment">
    <vt:lpwstr/>
  </property>
  <property fmtid="{D5CDD505-2E9C-101B-9397-08002B2CF9AE}" pid="17" name="Objective-Covers Period From">
    <vt:lpwstr/>
  </property>
  <property fmtid="{D5CDD505-2E9C-101B-9397-08002B2CF9AE}" pid="18" name="Objective-Covers Period To">
    <vt:lpwstr/>
  </property>
  <property fmtid="{D5CDD505-2E9C-101B-9397-08002B2CF9AE}" pid="19" name="Objective-CreationStamp">
    <vt:lpwstr>D:20250723</vt:lpwstr>
  </property>
  <property fmtid="{D5CDD505-2E9C-101B-9397-08002B2CF9AE}" pid="20" name="Objective-Customers">
    <vt:lpwstr/>
  </property>
  <property fmtid="{D5CDD505-2E9C-101B-9397-08002B2CF9AE}" pid="21" name="Objective-DatePublished">
    <vt:lpwstr>D:20250724</vt:lpwstr>
  </property>
  <property fmtid="{D5CDD505-2E9C-101B-9397-08002B2CF9AE}" pid="22" name="Objective-Description">
    <vt:lpwstr/>
  </property>
  <property fmtid="{D5CDD505-2E9C-101B-9397-08002B2CF9AE}" pid="23" name="Objective-Document Created By">
    <vt:lpwstr/>
  </property>
  <property fmtid="{D5CDD505-2E9C-101B-9397-08002B2CF9AE}" pid="24" name="Objective-Document Created On">
    <vt:lpwstr/>
  </property>
  <property fmtid="{D5CDD505-2E9C-101B-9397-08002B2CF9AE}" pid="25" name="Objective-Document Type">
    <vt:lpwstr>0-Document</vt:lpwstr>
  </property>
  <property fmtid="{D5CDD505-2E9C-101B-9397-08002B2CF9AE}" pid="26" name="Objective-FileNumber">
    <vt:lpwstr>1-2025/0263556</vt:lpwstr>
  </property>
  <property fmtid="{D5CDD505-2E9C-101B-9397-08002B2CF9AE}" pid="27" name="Objective-Id">
    <vt:lpwstr>A55732292</vt:lpwstr>
  </property>
  <property fmtid="{D5CDD505-2E9C-101B-9397-08002B2CF9AE}" pid="28" name="Objective-IsApproved">
    <vt:lpwstr>0</vt:lpwstr>
  </property>
  <property fmtid="{D5CDD505-2E9C-101B-9397-08002B2CF9AE}" pid="29" name="Objective-IsPublished">
    <vt:lpwstr>1</vt:lpwstr>
  </property>
  <property fmtid="{D5CDD505-2E9C-101B-9397-08002B2CF9AE}" pid="30" name="Objective-Jurisdiction">
    <vt:lpwstr>ACT</vt:lpwstr>
  </property>
  <property fmtid="{D5CDD505-2E9C-101B-9397-08002B2CF9AE}" pid="31" name="Objective-Language">
    <vt:lpwstr>English (en)</vt:lpwstr>
  </property>
  <property fmtid="{D5CDD505-2E9C-101B-9397-08002B2CF9AE}" pid="32" name="Objective-ModificationStamp">
    <vt:lpwstr>D:20250801</vt:lpwstr>
  </property>
  <property fmtid="{D5CDD505-2E9C-101B-9397-08002B2CF9AE}" pid="33" name="Objective-Owner">
    <vt:lpwstr>Rachelle Turk</vt:lpwstr>
  </property>
  <property fmtid="{D5CDD505-2E9C-101B-9397-08002B2CF9AE}" pid="34" name="Objective-Owner Agency">
    <vt:lpwstr>ACCESS CANBERRA</vt:lpwstr>
  </property>
  <property fmtid="{D5CDD505-2E9C-101B-9397-08002B2CF9AE}" pid="35" name="Objective-Parent">
    <vt:lpwstr>01. Ministerial Brief</vt:lpwstr>
  </property>
  <property fmtid="{D5CDD505-2E9C-101B-9397-08002B2CF9AE}" pid="36" name="Objective-Path">
    <vt:lpwstr>Whole of ACT Government:AC - Access Canberra:BRANCH - Strategy, Data and Governance:UNIT - Government Business &amp; Regulatory Coordination:02. Ministerials:00. 2025:Active:02. With ACDLO/MO:25/0263556 - Ministerial Brief - Initiated - Minister Berry - Standing in Solidarity Fight Night:01. Ministerial Brief:</vt:lpwstr>
  </property>
  <property fmtid="{D5CDD505-2E9C-101B-9397-08002B2CF9AE}" pid="37" name="Objective-Places">
    <vt:lpwstr/>
  </property>
  <property fmtid="{D5CDD505-2E9C-101B-9397-08002B2CF9AE}" pid="38" name="Objective-S28 Comments if partial exemption">
    <vt:lpwstr/>
  </property>
  <property fmtid="{D5CDD505-2E9C-101B-9397-08002B2CF9AE}" pid="39" name="Objective-S28 Date Approved">
    <vt:lpwstr/>
  </property>
  <property fmtid="{D5CDD505-2E9C-101B-9397-08002B2CF9AE}" pid="40" name="Objective-S28 Exemption">
    <vt:lpwstr/>
  </property>
  <property fmtid="{D5CDD505-2E9C-101B-9397-08002B2CF9AE}" pid="41" name="Objective-S28 Exemption Number">
    <vt:lpwstr/>
  </property>
  <property fmtid="{D5CDD505-2E9C-101B-9397-08002B2CF9AE}" pid="42" name="Objective-S28 Exemption Reason">
    <vt:lpwstr/>
  </property>
  <property fmtid="{D5CDD505-2E9C-101B-9397-08002B2CF9AE}" pid="43" name="Objective-State">
    <vt:lpwstr>Published</vt:lpwstr>
  </property>
  <property fmtid="{D5CDD505-2E9C-101B-9397-08002B2CF9AE}" pid="44" name="Objective-Status">
    <vt:lpwstr/>
  </property>
  <property fmtid="{D5CDD505-2E9C-101B-9397-08002B2CF9AE}" pid="45" name="Objective-Title">
    <vt:lpwstr>Attachment D - Notifiable Instrument</vt:lpwstr>
  </property>
  <property fmtid="{D5CDD505-2E9C-101B-9397-08002B2CF9AE}" pid="46" name="Objective-Transaction Reference">
    <vt:lpwstr/>
  </property>
  <property fmtid="{D5CDD505-2E9C-101B-9397-08002B2CF9AE}" pid="47" name="Objective-Version">
    <vt:lpwstr>3.0</vt:lpwstr>
  </property>
  <property fmtid="{D5CDD505-2E9C-101B-9397-08002B2CF9AE}" pid="48" name="Objective-VersionComment">
    <vt:lpwstr/>
  </property>
  <property fmtid="{D5CDD505-2E9C-101B-9397-08002B2CF9AE}" pid="49" name="Objective-VersionId">
    <vt:lpwstr>vA70503937</vt:lpwstr>
  </property>
  <property fmtid="{D5CDD505-2E9C-101B-9397-08002B2CF9AE}" pid="50" name="Objective-VersionNumber">
    <vt:lpwstr>4.000000</vt:lpwstr>
  </property>
  <property fmtid="{D5CDD505-2E9C-101B-9397-08002B2CF9AE}" pid="51" name="Producer">
    <vt:lpwstr>Adobe PDF Library 25.1.97</vt:lpwstr>
  </property>
  <property fmtid="{D5CDD505-2E9C-101B-9397-08002B2CF9AE}" pid="52" name="SourceModified">
    <vt:lpwstr>D:20250801063045</vt:lpwstr>
  </property>
</Properties>
</file>