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730F" w14:textId="77777777" w:rsidR="00AC6E5E" w:rsidRDefault="00AC6E5E" w:rsidP="00AC6E5E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31D4E6" w14:textId="6EE1943D" w:rsidR="00AC6E5E" w:rsidRDefault="00AC6E5E" w:rsidP="00AC6E5E">
      <w:pPr>
        <w:pStyle w:val="Billname"/>
        <w:spacing w:before="700"/>
      </w:pPr>
      <w:r>
        <w:t>Work Health and Safety (</w:t>
      </w:r>
      <w:r w:rsidR="00F17651">
        <w:t xml:space="preserve">Coloured Sand Products Clearance Inspection and </w:t>
      </w:r>
      <w:r w:rsidR="00D90FF1">
        <w:t>Clearance</w:t>
      </w:r>
      <w:r w:rsidR="00F17651">
        <w:t xml:space="preserve"> Certificate</w:t>
      </w:r>
      <w:r>
        <w:t>) Exemption 2025</w:t>
      </w:r>
      <w:r w:rsidR="00D90FF1">
        <w:t>*</w:t>
      </w:r>
    </w:p>
    <w:p w14:paraId="71C17336" w14:textId="66913DD0" w:rsidR="00AC6E5E" w:rsidRDefault="00AC6E5E" w:rsidP="00AC6E5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A05B5B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680298">
        <w:rPr>
          <w:rFonts w:ascii="Arial" w:hAnsi="Arial" w:cs="Arial"/>
          <w:b/>
          <w:bCs/>
        </w:rPr>
        <w:t>636</w:t>
      </w:r>
    </w:p>
    <w:p w14:paraId="256DE1F8" w14:textId="77777777" w:rsidR="00AC6E5E" w:rsidRDefault="00AC6E5E" w:rsidP="00AC6E5E">
      <w:pPr>
        <w:pStyle w:val="madeunder"/>
        <w:spacing w:before="300" w:after="0"/>
      </w:pPr>
      <w:r>
        <w:t xml:space="preserve">made under the  </w:t>
      </w:r>
    </w:p>
    <w:p w14:paraId="0382AA9C" w14:textId="77777777" w:rsidR="00AC6E5E" w:rsidRPr="00534B73" w:rsidRDefault="00AC6E5E" w:rsidP="00AC6E5E">
      <w:pPr>
        <w:pStyle w:val="CoverActName"/>
        <w:spacing w:before="320" w:after="0"/>
        <w:rPr>
          <w:rFonts w:cs="Arial"/>
          <w:sz w:val="20"/>
        </w:rPr>
      </w:pPr>
      <w:r w:rsidRPr="00325C07">
        <w:rPr>
          <w:rFonts w:cs="Arial"/>
          <w:i/>
          <w:iCs/>
          <w:sz w:val="20"/>
        </w:rPr>
        <w:t>Work Health and Safety Regulation 2011</w:t>
      </w:r>
      <w:r w:rsidRPr="00534B73">
        <w:rPr>
          <w:rFonts w:cs="Arial"/>
          <w:sz w:val="20"/>
        </w:rPr>
        <w:t>, section 684 (General power to grant exemptions)</w:t>
      </w:r>
    </w:p>
    <w:p w14:paraId="46D7C909" w14:textId="77777777" w:rsidR="00AC6E5E" w:rsidRDefault="00AC6E5E" w:rsidP="00AC6E5E">
      <w:pPr>
        <w:pStyle w:val="N-line3"/>
        <w:pBdr>
          <w:bottom w:val="none" w:sz="0" w:space="0" w:color="auto"/>
        </w:pBdr>
        <w:spacing w:before="60"/>
      </w:pPr>
    </w:p>
    <w:p w14:paraId="5F48381B" w14:textId="77777777" w:rsidR="00AC6E5E" w:rsidRDefault="00AC6E5E" w:rsidP="00AC6E5E">
      <w:pPr>
        <w:pStyle w:val="N-line3"/>
        <w:pBdr>
          <w:top w:val="single" w:sz="12" w:space="1" w:color="auto"/>
          <w:bottom w:val="none" w:sz="0" w:space="0" w:color="auto"/>
        </w:pBdr>
      </w:pPr>
    </w:p>
    <w:p w14:paraId="709D5BD7" w14:textId="77777777" w:rsidR="00AC6E5E" w:rsidRDefault="00AC6E5E" w:rsidP="00AC6E5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FD946DB" w14:textId="0B9C37AB" w:rsidR="00AC6E5E" w:rsidRDefault="00AC6E5E" w:rsidP="00AC6E5E">
      <w:pPr>
        <w:spacing w:before="140"/>
        <w:ind w:left="720"/>
      </w:pPr>
      <w:r>
        <w:t xml:space="preserve">This instrument is the </w:t>
      </w:r>
      <w:r w:rsidR="004F7283" w:rsidRPr="004F7283">
        <w:rPr>
          <w:i/>
          <w:iCs/>
        </w:rPr>
        <w:t xml:space="preserve">Work Health and Safety </w:t>
      </w:r>
      <w:r w:rsidR="00F17651" w:rsidRPr="00F17651">
        <w:rPr>
          <w:i/>
          <w:iCs/>
        </w:rPr>
        <w:t xml:space="preserve">(Coloured Sand Products Clearance Inspection and </w:t>
      </w:r>
      <w:r w:rsidR="00D90FF1" w:rsidRPr="00D90FF1">
        <w:rPr>
          <w:i/>
          <w:iCs/>
        </w:rPr>
        <w:t>Clearance</w:t>
      </w:r>
      <w:r w:rsidR="00F17651" w:rsidRPr="00F17651">
        <w:rPr>
          <w:i/>
          <w:iCs/>
        </w:rPr>
        <w:t xml:space="preserve"> Certificate)</w:t>
      </w:r>
      <w:r w:rsidR="00D90FF1" w:rsidRPr="00D90FF1">
        <w:t xml:space="preserve"> </w:t>
      </w:r>
      <w:r w:rsidR="00D90FF1" w:rsidRPr="00D90FF1">
        <w:rPr>
          <w:i/>
          <w:iCs/>
        </w:rPr>
        <w:t>Exemption</w:t>
      </w:r>
      <w:r w:rsidR="004F7283" w:rsidRPr="004F7283">
        <w:rPr>
          <w:i/>
          <w:iCs/>
        </w:rPr>
        <w:t xml:space="preserve"> 2025</w:t>
      </w:r>
      <w:r w:rsidRPr="00EE19AD">
        <w:rPr>
          <w:i/>
          <w:iCs/>
        </w:rPr>
        <w:t>.</w:t>
      </w:r>
    </w:p>
    <w:p w14:paraId="2D803439" w14:textId="77777777" w:rsidR="00AC6E5E" w:rsidRDefault="00AC6E5E" w:rsidP="00AC6E5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A60416E" w14:textId="3A4CE654" w:rsidR="00AC6E5E" w:rsidRDefault="00AC6E5E" w:rsidP="00AC6E5E">
      <w:pPr>
        <w:spacing w:before="140"/>
        <w:ind w:left="720"/>
      </w:pPr>
      <w:r>
        <w:t xml:space="preserve">This instrument commences </w:t>
      </w:r>
      <w:r w:rsidRPr="003E7E3D">
        <w:t xml:space="preserve">on the day after </w:t>
      </w:r>
      <w:r>
        <w:t>it</w:t>
      </w:r>
      <w:r w:rsidR="00A33EAB">
        <w:t>s notification day.</w:t>
      </w:r>
    </w:p>
    <w:p w14:paraId="49BAE0D1" w14:textId="6ACA2BEF" w:rsidR="00AC6E5E" w:rsidRDefault="00AC6E5E" w:rsidP="00AC6E5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1" w:name="_Hlk196222186"/>
      <w:r>
        <w:rPr>
          <w:rFonts w:ascii="Arial" w:hAnsi="Arial" w:cs="Arial"/>
          <w:b/>
          <w:bCs/>
        </w:rPr>
        <w:t>Scope of Exemption</w:t>
      </w:r>
    </w:p>
    <w:bookmarkEnd w:id="1"/>
    <w:p w14:paraId="214F932F" w14:textId="27F34D86" w:rsidR="00AC6E5E" w:rsidRDefault="00AC6E5E" w:rsidP="00AC6E5E">
      <w:pPr>
        <w:spacing w:before="140"/>
        <w:ind w:left="720"/>
      </w:pPr>
      <w:r w:rsidRPr="007A6EEB">
        <w:t>I, the</w:t>
      </w:r>
      <w:r>
        <w:t xml:space="preserve"> </w:t>
      </w:r>
      <w:r w:rsidRPr="007A6EEB">
        <w:t>Work Health and Safety Commissioner</w:t>
      </w:r>
      <w:r>
        <w:t xml:space="preserve"> and regulator</w:t>
      </w:r>
      <w:r w:rsidRPr="007A6EEB">
        <w:t>,</w:t>
      </w:r>
      <w:r>
        <w:t xml:space="preserve"> acting under </w:t>
      </w:r>
      <w:r w:rsidR="00B4496C">
        <w:t>section</w:t>
      </w:r>
      <w:r>
        <w:t xml:space="preserve"> 684 </w:t>
      </w:r>
      <w:r w:rsidRPr="00397826">
        <w:t xml:space="preserve">of the </w:t>
      </w:r>
      <w:r w:rsidRPr="00EE54E9">
        <w:rPr>
          <w:i/>
          <w:iCs/>
        </w:rPr>
        <w:t>Work Health and Safety Regulation 2011</w:t>
      </w:r>
      <w:r>
        <w:t xml:space="preserve">, having </w:t>
      </w:r>
      <w:proofErr w:type="gramStart"/>
      <w:r>
        <w:t>taken into account</w:t>
      </w:r>
      <w:proofErr w:type="gramEnd"/>
      <w:r>
        <w:t xml:space="preserve"> all relevant matters including </w:t>
      </w:r>
      <w:r w:rsidR="00CC5008">
        <w:t>section</w:t>
      </w:r>
      <w:r>
        <w:t xml:space="preserve"> 685 of the </w:t>
      </w:r>
      <w:r w:rsidR="007F7352" w:rsidRPr="00EE54E9">
        <w:rPr>
          <w:i/>
          <w:iCs/>
        </w:rPr>
        <w:t>Work Health and Safety Regulation 2011</w:t>
      </w:r>
      <w:r>
        <w:t xml:space="preserve">, grant an exemption from </w:t>
      </w:r>
      <w:r w:rsidRPr="00807DED">
        <w:t xml:space="preserve">compliance with </w:t>
      </w:r>
      <w:r w:rsidR="003D688F">
        <w:t>the following sections of</w:t>
      </w:r>
      <w:r w:rsidR="007F7352" w:rsidRPr="007F7352">
        <w:rPr>
          <w:i/>
          <w:iCs/>
        </w:rPr>
        <w:t xml:space="preserve"> </w:t>
      </w:r>
      <w:r w:rsidR="007F7352" w:rsidRPr="00EE54E9">
        <w:rPr>
          <w:i/>
          <w:iCs/>
        </w:rPr>
        <w:t>Work Health and Safety Regulation 2011</w:t>
      </w:r>
      <w:r w:rsidRPr="00807DED">
        <w:t>.</w:t>
      </w:r>
    </w:p>
    <w:p w14:paraId="693FF9EC" w14:textId="4618C186" w:rsidR="003D688F" w:rsidRDefault="003D688F" w:rsidP="00DB0FF6">
      <w:pPr>
        <w:pStyle w:val="ListParagraph"/>
        <w:numPr>
          <w:ilvl w:val="0"/>
          <w:numId w:val="7"/>
        </w:numPr>
        <w:spacing w:before="140"/>
      </w:pPr>
      <w:r w:rsidRPr="003D688F">
        <w:t xml:space="preserve">473(2) </w:t>
      </w:r>
    </w:p>
    <w:p w14:paraId="305A3399" w14:textId="2FE9A200" w:rsidR="003D688F" w:rsidRDefault="003D688F" w:rsidP="00DB0FF6">
      <w:pPr>
        <w:pStyle w:val="ListParagraph"/>
        <w:numPr>
          <w:ilvl w:val="0"/>
          <w:numId w:val="7"/>
        </w:numPr>
        <w:spacing w:before="140"/>
      </w:pPr>
      <w:r>
        <w:t xml:space="preserve">474(2) </w:t>
      </w:r>
    </w:p>
    <w:p w14:paraId="576420D9" w14:textId="035A63A8" w:rsidR="003D688F" w:rsidRDefault="003D688F" w:rsidP="00DB0FF6">
      <w:pPr>
        <w:pStyle w:val="ListParagraph"/>
        <w:numPr>
          <w:ilvl w:val="0"/>
          <w:numId w:val="7"/>
        </w:numPr>
        <w:spacing w:before="140"/>
      </w:pPr>
      <w:r>
        <w:t xml:space="preserve">474(3) </w:t>
      </w:r>
    </w:p>
    <w:p w14:paraId="20598CF2" w14:textId="643BBA02" w:rsidR="003D688F" w:rsidRDefault="003D688F" w:rsidP="00DB0FF6">
      <w:pPr>
        <w:pStyle w:val="ListParagraph"/>
        <w:numPr>
          <w:ilvl w:val="0"/>
          <w:numId w:val="7"/>
        </w:numPr>
        <w:spacing w:before="140"/>
      </w:pPr>
      <w:r>
        <w:t xml:space="preserve">474(4) </w:t>
      </w:r>
    </w:p>
    <w:p w14:paraId="4B69C054" w14:textId="16E1E3ED" w:rsidR="003D688F" w:rsidRDefault="003D688F" w:rsidP="00DB0FF6">
      <w:pPr>
        <w:pStyle w:val="ListParagraph"/>
        <w:numPr>
          <w:ilvl w:val="0"/>
          <w:numId w:val="7"/>
        </w:numPr>
        <w:spacing w:before="140"/>
      </w:pPr>
      <w:r>
        <w:t xml:space="preserve">474(5)(a) </w:t>
      </w:r>
    </w:p>
    <w:p w14:paraId="739ADB8A" w14:textId="00FB3FEE" w:rsidR="00E17E19" w:rsidRDefault="00AC6E5E" w:rsidP="00AC6E5E">
      <w:pPr>
        <w:spacing w:before="140"/>
        <w:ind w:left="720"/>
      </w:pPr>
      <w:r w:rsidRPr="000A597C">
        <w:t xml:space="preserve">In making this decision, I have had regard to the health and safety risks associated with permitting </w:t>
      </w:r>
      <w:r w:rsidR="00E17E19">
        <w:t>a competent person to undertake clearance inspections and issue clearance certificates for asbestos removal work associated with asbestos contaminated coloured sand products or coloured sand products presumed to contain asbestos</w:t>
      </w:r>
      <w:r w:rsidRPr="000A597C">
        <w:t xml:space="preserve">. </w:t>
      </w:r>
    </w:p>
    <w:p w14:paraId="04CE4313" w14:textId="528FEC08" w:rsidR="00AC6E5E" w:rsidRDefault="00AC6E5E" w:rsidP="00AC6E5E">
      <w:pPr>
        <w:spacing w:before="140"/>
        <w:ind w:left="720"/>
      </w:pPr>
      <w:r w:rsidRPr="000A597C">
        <w:t xml:space="preserve">I have determined that placing conditions on the exemption will ensure that work carried out under this exemption carries no greater risk of exposure to </w:t>
      </w:r>
      <w:r w:rsidR="00E17E19">
        <w:t>asbestos</w:t>
      </w:r>
      <w:r w:rsidRPr="000A597C">
        <w:t xml:space="preserve"> than work that is ordinarily permitted by, and carried out in accordance with, the </w:t>
      </w:r>
      <w:r w:rsidR="007F7352" w:rsidRPr="00EE54E9">
        <w:rPr>
          <w:i/>
          <w:iCs/>
        </w:rPr>
        <w:t>Work Health and Safety Regulation 2011</w:t>
      </w:r>
      <w:r w:rsidRPr="000A597C">
        <w:t>.</w:t>
      </w:r>
    </w:p>
    <w:p w14:paraId="77EFF0F0" w14:textId="72F1ADE5" w:rsidR="00AC6E5E" w:rsidRPr="00DB0FF6" w:rsidRDefault="00AC6E5E" w:rsidP="00D90FF1">
      <w:pPr>
        <w:pStyle w:val="ListParagraph"/>
        <w:numPr>
          <w:ilvl w:val="0"/>
          <w:numId w:val="5"/>
        </w:numPr>
        <w:spacing w:before="300"/>
        <w:ind w:hanging="720"/>
        <w:rPr>
          <w:rFonts w:ascii="Arial" w:hAnsi="Arial" w:cs="Arial"/>
          <w:b/>
          <w:bCs/>
        </w:rPr>
      </w:pPr>
      <w:r w:rsidRPr="00DB0FF6">
        <w:rPr>
          <w:rFonts w:ascii="Arial" w:hAnsi="Arial" w:cs="Arial"/>
          <w:b/>
          <w:bCs/>
        </w:rPr>
        <w:lastRenderedPageBreak/>
        <w:t>Persons to whom the exemption applies</w:t>
      </w:r>
    </w:p>
    <w:p w14:paraId="15956B54" w14:textId="4CACC839" w:rsidR="003D688F" w:rsidRPr="00ED3A04" w:rsidRDefault="00AC6E5E" w:rsidP="00D90FF1">
      <w:pPr>
        <w:spacing w:before="140"/>
        <w:ind w:left="720" w:hanging="11"/>
      </w:pPr>
      <w:r>
        <w:t>T</w:t>
      </w:r>
      <w:r w:rsidRPr="00EE54E9">
        <w:t>his exemptio</w:t>
      </w:r>
      <w:r w:rsidRPr="00ED3A04">
        <w:t xml:space="preserve">n applies to a person </w:t>
      </w:r>
      <w:r w:rsidR="003D688F" w:rsidRPr="00ED3A04">
        <w:t xml:space="preserve">who commissions licensed asbestos removal work </w:t>
      </w:r>
      <w:r w:rsidR="00DB0FF6" w:rsidRPr="00ED3A04">
        <w:t>for asbestos contaminated coloured sand products or coloured sand products presumed to contain asbestos at a workplace, including workplaces that are residential premises.</w:t>
      </w:r>
      <w:r w:rsidR="00A177ED" w:rsidRPr="00ED3A04">
        <w:t xml:space="preserve"> A reference to a person who commissions asbestos removal work includes a licensed asbestos removalist if the workplace is residential premises.</w:t>
      </w:r>
    </w:p>
    <w:p w14:paraId="1E348F52" w14:textId="66765A76" w:rsidR="00AC6E5E" w:rsidRPr="00ED3A04" w:rsidRDefault="00AC6E5E" w:rsidP="00AC6E5E">
      <w:pPr>
        <w:spacing w:before="300"/>
        <w:ind w:left="720" w:hanging="720"/>
        <w:rPr>
          <w:rFonts w:ascii="Arial" w:hAnsi="Arial" w:cs="Arial"/>
          <w:b/>
          <w:bCs/>
        </w:rPr>
      </w:pPr>
      <w:r w:rsidRPr="00ED3A04">
        <w:rPr>
          <w:rFonts w:ascii="Arial" w:hAnsi="Arial" w:cs="Arial"/>
          <w:b/>
          <w:bCs/>
        </w:rPr>
        <w:t>5</w:t>
      </w:r>
      <w:r w:rsidRPr="00ED3A04">
        <w:rPr>
          <w:rFonts w:ascii="Arial" w:hAnsi="Arial" w:cs="Arial"/>
          <w:b/>
          <w:bCs/>
        </w:rPr>
        <w:tab/>
        <w:t>The work or thing and circumstances to which the exemption relates</w:t>
      </w:r>
    </w:p>
    <w:p w14:paraId="616B0910" w14:textId="1ADD9403" w:rsidR="00AC6E5E" w:rsidRPr="00ED3A04" w:rsidRDefault="00AC6E5E" w:rsidP="00D90FF1">
      <w:pPr>
        <w:spacing w:before="140"/>
        <w:ind w:left="720" w:hanging="11"/>
        <w:rPr>
          <w:rFonts w:ascii="Arial" w:hAnsi="Arial" w:cs="Arial"/>
          <w:b/>
          <w:bCs/>
        </w:rPr>
      </w:pPr>
      <w:r w:rsidRPr="00ED3A04">
        <w:t xml:space="preserve">This exemption applies to specific situations where it is necessary to remove </w:t>
      </w:r>
      <w:r w:rsidR="00DB0FF6" w:rsidRPr="00ED3A04">
        <w:t>asbestos contaminated coloured sand products or coloured sand products presumed to contain asbestos from a workplace, including instances where the workplace is residential premises</w:t>
      </w:r>
      <w:r w:rsidRPr="00ED3A04">
        <w:t>.</w:t>
      </w:r>
      <w:bookmarkStart w:id="2" w:name="_Hlk196223208"/>
    </w:p>
    <w:bookmarkEnd w:id="2"/>
    <w:p w14:paraId="71A9ED2C" w14:textId="484D4B0D" w:rsidR="00DB0FF6" w:rsidRPr="00ED3A04" w:rsidRDefault="00AC6E5E" w:rsidP="00D90FF1">
      <w:pPr>
        <w:spacing w:before="140" w:after="120"/>
        <w:ind w:left="720" w:hanging="11"/>
      </w:pPr>
      <w:r w:rsidRPr="00ED3A04">
        <w:t>This exemption will operate</w:t>
      </w:r>
      <w:r w:rsidR="00031083" w:rsidRPr="00ED3A04">
        <w:t xml:space="preserve"> in the following manner regarding the </w:t>
      </w:r>
      <w:r w:rsidR="00DB0FF6" w:rsidRPr="00ED3A04">
        <w:t xml:space="preserve">requirements of the </w:t>
      </w:r>
      <w:r w:rsidR="007F7352" w:rsidRPr="00ED3A04">
        <w:rPr>
          <w:i/>
          <w:iCs/>
        </w:rPr>
        <w:t>Work Health and Safety Regulation 2011</w:t>
      </w:r>
      <w:r w:rsidR="00DB0FF6" w:rsidRPr="00ED3A04">
        <w:t xml:space="preserve"> as set out below:</w:t>
      </w:r>
      <w:bookmarkStart w:id="3" w:name="_Hlk196223337"/>
    </w:p>
    <w:p w14:paraId="1EFCB1B7" w14:textId="492A0D0A" w:rsidR="00DB0FF6" w:rsidRPr="00ED3A04" w:rsidRDefault="00DB0FF6" w:rsidP="007F7352">
      <w:pPr>
        <w:pStyle w:val="ListParagraph"/>
        <w:numPr>
          <w:ilvl w:val="0"/>
          <w:numId w:val="9"/>
        </w:numPr>
        <w:spacing w:after="120"/>
        <w:contextualSpacing w:val="0"/>
      </w:pPr>
      <w:r w:rsidRPr="00ED3A04">
        <w:t>473(2) - an independent licensed asbestos assessor is not required to carry out the clearance inspection</w:t>
      </w:r>
      <w:r w:rsidR="00031083" w:rsidRPr="00ED3A04">
        <w:t>. A competent person is authorised to carry out the clearance inspection</w:t>
      </w:r>
      <w:r w:rsidRPr="00ED3A04">
        <w:t>.</w:t>
      </w:r>
    </w:p>
    <w:p w14:paraId="5F3A6F5A" w14:textId="70E21508" w:rsidR="00DB0FF6" w:rsidRPr="00ED3A04" w:rsidRDefault="00DB0FF6" w:rsidP="007F7352">
      <w:pPr>
        <w:pStyle w:val="ListParagraph"/>
        <w:numPr>
          <w:ilvl w:val="0"/>
          <w:numId w:val="9"/>
        </w:numPr>
        <w:spacing w:after="120"/>
        <w:contextualSpacing w:val="0"/>
      </w:pPr>
      <w:r w:rsidRPr="00ED3A04">
        <w:t>474(2) – a licensed asbestos assessor is not required to carry out the clearance inspection or issue a clearance certificate</w:t>
      </w:r>
      <w:r w:rsidR="00031083" w:rsidRPr="00ED3A04">
        <w:t>. A competent person is authorised to carry out the clearance inspection and issue a clearance certificate</w:t>
      </w:r>
      <w:r w:rsidRPr="00ED3A04">
        <w:t>.</w:t>
      </w:r>
    </w:p>
    <w:p w14:paraId="5FCEC089" w14:textId="2CDB9F78" w:rsidR="00DB0FF6" w:rsidRPr="00ED3A04" w:rsidRDefault="00DB0FF6" w:rsidP="007F7352">
      <w:pPr>
        <w:pStyle w:val="ListParagraph"/>
        <w:numPr>
          <w:ilvl w:val="0"/>
          <w:numId w:val="9"/>
        </w:numPr>
        <w:spacing w:after="120"/>
        <w:contextualSpacing w:val="0"/>
      </w:pPr>
      <w:r w:rsidRPr="00ED3A04">
        <w:t>474(3) – a licensed asbestos assessor is not required ensure that the asbestos removal area does not pose a risk to health and safety from exposure to asbestos</w:t>
      </w:r>
      <w:r w:rsidR="00031083" w:rsidRPr="00ED3A04">
        <w:t>. A competent person must ensure that the asbestos removal area does not pose a risk to health and safety from exposure to asbestos</w:t>
      </w:r>
      <w:r w:rsidRPr="00ED3A04">
        <w:t>.</w:t>
      </w:r>
    </w:p>
    <w:p w14:paraId="13F77BD7" w14:textId="4DA315BB" w:rsidR="00A177ED" w:rsidRPr="00ED3A04" w:rsidRDefault="00DB0FF6" w:rsidP="00FD0D0A">
      <w:pPr>
        <w:pStyle w:val="ListParagraph"/>
        <w:numPr>
          <w:ilvl w:val="0"/>
          <w:numId w:val="9"/>
        </w:numPr>
        <w:spacing w:after="120"/>
        <w:contextualSpacing w:val="0"/>
      </w:pPr>
      <w:r w:rsidRPr="00ED3A04">
        <w:t xml:space="preserve">474(4) – does not have to be satisfied by using a licensed asbestos assessor. </w:t>
      </w:r>
      <w:r w:rsidR="00031083" w:rsidRPr="00ED3A04">
        <w:t xml:space="preserve">A competent person must </w:t>
      </w:r>
      <w:r w:rsidR="00FD0D0A" w:rsidRPr="00ED3A04">
        <w:t xml:space="preserve">not issue a clearance certificate unless </w:t>
      </w:r>
      <w:r w:rsidR="00031083" w:rsidRPr="00ED3A04">
        <w:t xml:space="preserve">satisfied </w:t>
      </w:r>
      <w:r w:rsidR="00FD0D0A" w:rsidRPr="00ED3A04">
        <w:t>that</w:t>
      </w:r>
      <w:r w:rsidR="00A177ED" w:rsidRPr="00ED3A04">
        <w:t xml:space="preserve"> –</w:t>
      </w:r>
    </w:p>
    <w:p w14:paraId="400CEC93" w14:textId="77777777" w:rsidR="00A177ED" w:rsidRPr="00ED3A04" w:rsidRDefault="00FD0D0A" w:rsidP="00A177ED">
      <w:pPr>
        <w:pStyle w:val="ListParagraph"/>
        <w:numPr>
          <w:ilvl w:val="1"/>
          <w:numId w:val="9"/>
        </w:numPr>
        <w:spacing w:after="120"/>
        <w:contextualSpacing w:val="0"/>
      </w:pPr>
      <w:r w:rsidRPr="00ED3A04">
        <w:t xml:space="preserve"> </w:t>
      </w:r>
      <w:r w:rsidR="00A177ED" w:rsidRPr="00ED3A04">
        <w:t>t</w:t>
      </w:r>
      <w:r w:rsidRPr="00ED3A04">
        <w:t xml:space="preserve">he asbestos removal area, and the area immediately surrounding it, are free from </w:t>
      </w:r>
      <w:r w:rsidR="00A177ED" w:rsidRPr="00ED3A04">
        <w:t>visible asbestos contamination; and</w:t>
      </w:r>
    </w:p>
    <w:p w14:paraId="19BD36BE" w14:textId="6D946428" w:rsidR="00DB0FF6" w:rsidRPr="00ED3A04" w:rsidRDefault="00A177ED" w:rsidP="00A177ED">
      <w:pPr>
        <w:pStyle w:val="ListParagraph"/>
        <w:numPr>
          <w:ilvl w:val="1"/>
          <w:numId w:val="9"/>
        </w:numPr>
        <w:spacing w:after="120"/>
        <w:contextualSpacing w:val="0"/>
      </w:pPr>
      <w:r w:rsidRPr="00ED3A04">
        <w:t>If the competent person undertook air monitoring as part of the clearance inspection, the monitoring results shows asbestos below 0.01 fibres/</w:t>
      </w:r>
      <w:proofErr w:type="spellStart"/>
      <w:r w:rsidRPr="00ED3A04">
        <w:t>mL.</w:t>
      </w:r>
      <w:proofErr w:type="spellEnd"/>
    </w:p>
    <w:p w14:paraId="320AD4E2" w14:textId="5E666916" w:rsidR="00A177ED" w:rsidRPr="00ED3A04" w:rsidRDefault="00DB0FF6" w:rsidP="007F7352">
      <w:pPr>
        <w:pStyle w:val="ListParagraph"/>
        <w:numPr>
          <w:ilvl w:val="0"/>
          <w:numId w:val="9"/>
        </w:numPr>
        <w:spacing w:after="120"/>
        <w:contextualSpacing w:val="0"/>
      </w:pPr>
      <w:r w:rsidRPr="00ED3A04">
        <w:t>474(5)(a) - does not require a statement from a licensed asbestos assessor.</w:t>
      </w:r>
      <w:bookmarkEnd w:id="3"/>
      <w:r w:rsidR="00031083" w:rsidRPr="00ED3A04">
        <w:t xml:space="preserve"> </w:t>
      </w:r>
      <w:r w:rsidR="00FD0D0A" w:rsidRPr="00ED3A04">
        <w:t xml:space="preserve">A competent person must issue a written clearance </w:t>
      </w:r>
      <w:proofErr w:type="gramStart"/>
      <w:r w:rsidR="00FD0D0A" w:rsidRPr="00ED3A04">
        <w:t>certificate</w:t>
      </w:r>
      <w:proofErr w:type="gramEnd"/>
      <w:r w:rsidR="00FD0D0A" w:rsidRPr="00ED3A04">
        <w:t xml:space="preserve"> and the clearance certificate must state that</w:t>
      </w:r>
      <w:r w:rsidR="00A177ED" w:rsidRPr="00ED3A04">
        <w:t xml:space="preserve"> – </w:t>
      </w:r>
    </w:p>
    <w:p w14:paraId="6247A791" w14:textId="2D86269E" w:rsidR="00AC6E5E" w:rsidRPr="00ED3A04" w:rsidRDefault="00A177ED" w:rsidP="00A177ED">
      <w:pPr>
        <w:pStyle w:val="ListParagraph"/>
        <w:numPr>
          <w:ilvl w:val="1"/>
          <w:numId w:val="9"/>
        </w:numPr>
        <w:spacing w:after="120"/>
        <w:contextualSpacing w:val="0"/>
      </w:pPr>
      <w:r w:rsidRPr="00ED3A04">
        <w:t xml:space="preserve">The competent person found </w:t>
      </w:r>
      <w:r w:rsidR="00FD0D0A" w:rsidRPr="00ED3A04">
        <w:t>no visible asbestos residue from asbestos removal work in the area, or in the vicinity of the area, where the work was carried out</w:t>
      </w:r>
      <w:r w:rsidRPr="00ED3A04">
        <w:t>; and</w:t>
      </w:r>
    </w:p>
    <w:p w14:paraId="01548A0D" w14:textId="756B74A9" w:rsidR="00A177ED" w:rsidRPr="00ED3A04" w:rsidRDefault="00A177ED" w:rsidP="00A177ED">
      <w:pPr>
        <w:pStyle w:val="ListParagraph"/>
        <w:numPr>
          <w:ilvl w:val="1"/>
          <w:numId w:val="9"/>
        </w:numPr>
        <w:spacing w:after="120"/>
        <w:contextualSpacing w:val="0"/>
      </w:pPr>
      <w:r w:rsidRPr="00ED3A04">
        <w:lastRenderedPageBreak/>
        <w:t>If air monitoring was carried out by the competent person as part of the clearance inspection – the airborne asbestos fibre level was less than 0.01 asbestos fibres/</w:t>
      </w:r>
      <w:proofErr w:type="spellStart"/>
      <w:r w:rsidRPr="00ED3A04">
        <w:t>mL.</w:t>
      </w:r>
      <w:proofErr w:type="spellEnd"/>
    </w:p>
    <w:p w14:paraId="71F45012" w14:textId="05B48B60" w:rsidR="00AC6E5E" w:rsidRPr="00ED3A04" w:rsidRDefault="007F7352" w:rsidP="00AC6E5E">
      <w:pPr>
        <w:spacing w:before="300"/>
        <w:ind w:left="720" w:hanging="720"/>
        <w:rPr>
          <w:rFonts w:ascii="Arial" w:hAnsi="Arial" w:cs="Arial"/>
          <w:b/>
          <w:bCs/>
        </w:rPr>
      </w:pPr>
      <w:bookmarkStart w:id="4" w:name="_Hlk196224538"/>
      <w:bookmarkStart w:id="5" w:name="_Hlk196224548"/>
      <w:r w:rsidRPr="00ED3A04">
        <w:rPr>
          <w:rFonts w:ascii="Arial" w:hAnsi="Arial" w:cs="Arial"/>
          <w:b/>
          <w:bCs/>
        </w:rPr>
        <w:t>6</w:t>
      </w:r>
      <w:r w:rsidR="00AC6E5E" w:rsidRPr="00ED3A04">
        <w:rPr>
          <w:rFonts w:ascii="Arial" w:hAnsi="Arial" w:cs="Arial"/>
          <w:b/>
          <w:bCs/>
        </w:rPr>
        <w:tab/>
      </w:r>
      <w:r w:rsidR="00AC6E5E" w:rsidRPr="00ED3A04">
        <w:rPr>
          <w:rFonts w:ascii="Calibri" w:hAnsi="Calibri" w:cs="Calibri"/>
          <w:b/>
          <w:bCs/>
          <w:color w:val="000000"/>
          <w:sz w:val="28"/>
          <w:szCs w:val="28"/>
        </w:rPr>
        <w:t>Conditions on the exemption</w:t>
      </w:r>
      <w:bookmarkEnd w:id="4"/>
    </w:p>
    <w:bookmarkEnd w:id="5"/>
    <w:p w14:paraId="44B0C00B" w14:textId="6C1C28D5" w:rsidR="00AC6E5E" w:rsidRPr="00ED3A04" w:rsidRDefault="00AC6E5E" w:rsidP="00D90FF1">
      <w:pPr>
        <w:spacing w:before="140"/>
        <w:ind w:left="720" w:hanging="11"/>
      </w:pPr>
      <w:r w:rsidRPr="00ED3A04">
        <w:t xml:space="preserve">In accordance with the provisions of </w:t>
      </w:r>
      <w:r w:rsidR="000477D2" w:rsidRPr="00ED3A04">
        <w:t>section</w:t>
      </w:r>
      <w:r w:rsidRPr="00ED3A04">
        <w:t xml:space="preserve"> 685(b) of the </w:t>
      </w:r>
      <w:r w:rsidR="004434DC" w:rsidRPr="00ED3A04">
        <w:rPr>
          <w:i/>
          <w:iCs/>
        </w:rPr>
        <w:t>Work Health and Safety Regulation 2011</w:t>
      </w:r>
      <w:r w:rsidRPr="00ED3A04">
        <w:t xml:space="preserve">, an exemption has been granted from </w:t>
      </w:r>
      <w:r w:rsidR="004434DC" w:rsidRPr="00ED3A04">
        <w:t>sections</w:t>
      </w:r>
      <w:r w:rsidR="00DB0FF6" w:rsidRPr="00ED3A04">
        <w:t xml:space="preserve"> 473(2), 474(2), 474(3), 474(4) and 474(5)(a) </w:t>
      </w:r>
      <w:r w:rsidR="004434DC" w:rsidRPr="00ED3A04">
        <w:t xml:space="preserve">of the </w:t>
      </w:r>
      <w:r w:rsidR="004434DC" w:rsidRPr="00ED3A04">
        <w:rPr>
          <w:i/>
          <w:iCs/>
        </w:rPr>
        <w:t xml:space="preserve">Work Health and Safety Regulation 2011 </w:t>
      </w:r>
      <w:r w:rsidR="00DB0FF6" w:rsidRPr="00ED3A04">
        <w:t>o</w:t>
      </w:r>
      <w:r w:rsidRPr="00ED3A04">
        <w:t>n the following conditions:</w:t>
      </w:r>
    </w:p>
    <w:p w14:paraId="0D81AA39" w14:textId="134772E9" w:rsidR="00AC6E5E" w:rsidRPr="00ED3A04" w:rsidRDefault="00DB0FF6" w:rsidP="00D90FF1">
      <w:pPr>
        <w:pStyle w:val="ListParagraph"/>
        <w:numPr>
          <w:ilvl w:val="0"/>
          <w:numId w:val="10"/>
        </w:numPr>
        <w:spacing w:before="140"/>
        <w:ind w:hanging="357"/>
        <w:contextualSpacing w:val="0"/>
      </w:pPr>
      <w:bookmarkStart w:id="6" w:name="_Hlk214631027"/>
      <w:r w:rsidRPr="00ED3A04">
        <w:t>The exemption only applies to asbestos removal work associated with asbestos contaminated coloured sand products or coloured sand products which are presumed to contain asbestos.</w:t>
      </w:r>
    </w:p>
    <w:bookmarkEnd w:id="6"/>
    <w:p w14:paraId="7D67BB2E" w14:textId="0A3FD0ED" w:rsidR="00DB0FF6" w:rsidRPr="00ED3A04" w:rsidRDefault="00DB0FF6" w:rsidP="00D90FF1">
      <w:pPr>
        <w:pStyle w:val="ListParagraph"/>
        <w:numPr>
          <w:ilvl w:val="0"/>
          <w:numId w:val="10"/>
        </w:numPr>
        <w:spacing w:before="140"/>
        <w:ind w:hanging="357"/>
        <w:contextualSpacing w:val="0"/>
      </w:pPr>
      <w:r w:rsidRPr="00ED3A04">
        <w:t xml:space="preserve">All references to “licensed asbestos assessor” or “assessor” in the sections covered by this exemption are to be replaced with “competent person” as defined in the </w:t>
      </w:r>
      <w:r w:rsidR="004434DC" w:rsidRPr="00ED3A04">
        <w:rPr>
          <w:i/>
          <w:iCs/>
        </w:rPr>
        <w:t>Work Health and Safety Regulation 2011</w:t>
      </w:r>
      <w:r w:rsidRPr="00ED3A04">
        <w:t xml:space="preserve"> (i.e. a person who has acquired through training, qualification or experience the knowledge and skills to carry out the task</w:t>
      </w:r>
      <w:r w:rsidR="007C6C89" w:rsidRPr="00ED3A04">
        <w:t>)</w:t>
      </w:r>
      <w:r w:rsidRPr="00ED3A04">
        <w:t>.</w:t>
      </w:r>
    </w:p>
    <w:p w14:paraId="0C4E061C" w14:textId="7192EB8C" w:rsidR="00DB0FF6" w:rsidRPr="00ED3A04" w:rsidRDefault="00DB0FF6" w:rsidP="00D90FF1">
      <w:pPr>
        <w:pStyle w:val="ListParagraph"/>
        <w:numPr>
          <w:ilvl w:val="0"/>
          <w:numId w:val="10"/>
        </w:numPr>
        <w:spacing w:before="140"/>
        <w:ind w:hanging="357"/>
        <w:contextualSpacing w:val="0"/>
      </w:pPr>
      <w:r w:rsidRPr="00ED3A04">
        <w:t>This exemption applies to all workplaces in the Australian Capital Territory.</w:t>
      </w:r>
    </w:p>
    <w:p w14:paraId="6C11A463" w14:textId="0B8637B6" w:rsidR="00AC6E5E" w:rsidRDefault="007F7352" w:rsidP="00AC6E5E">
      <w:pPr>
        <w:spacing w:before="300"/>
        <w:ind w:left="720" w:hanging="720"/>
        <w:rPr>
          <w:rFonts w:ascii="Arial" w:hAnsi="Arial" w:cs="Arial"/>
          <w:b/>
          <w:bCs/>
        </w:rPr>
      </w:pPr>
      <w:r w:rsidRPr="00ED3A04">
        <w:rPr>
          <w:rFonts w:ascii="Arial" w:hAnsi="Arial" w:cs="Arial"/>
          <w:b/>
          <w:bCs/>
        </w:rPr>
        <w:t>7</w:t>
      </w:r>
      <w:r w:rsidR="00AC6E5E" w:rsidRPr="00ED3A04">
        <w:rPr>
          <w:rFonts w:ascii="Arial" w:hAnsi="Arial" w:cs="Arial"/>
          <w:b/>
          <w:bCs/>
        </w:rPr>
        <w:tab/>
      </w:r>
      <w:r w:rsidR="00AC6E5E" w:rsidRPr="00ED3A04">
        <w:rPr>
          <w:rFonts w:ascii="Calibri" w:hAnsi="Calibri" w:cs="Calibri"/>
          <w:b/>
          <w:bCs/>
          <w:color w:val="000000"/>
          <w:sz w:val="28"/>
          <w:szCs w:val="28"/>
        </w:rPr>
        <w:t>Duration</w:t>
      </w:r>
    </w:p>
    <w:p w14:paraId="7BDC5F60" w14:textId="77777777" w:rsidR="00AC6E5E" w:rsidRDefault="00AC6E5E" w:rsidP="00D90FF1">
      <w:pPr>
        <w:spacing w:before="140"/>
        <w:ind w:left="720" w:hanging="11"/>
      </w:pPr>
      <w:r w:rsidRPr="00BD18E5">
        <w:t xml:space="preserve">This instrument remains in effect until it is amended or cancelled under Section 697 of the </w:t>
      </w:r>
      <w:r w:rsidRPr="007F7352">
        <w:rPr>
          <w:i/>
          <w:iCs/>
        </w:rPr>
        <w:t>Work Health and Safety Regulation 2011</w:t>
      </w:r>
      <w:r w:rsidRPr="00BD18E5">
        <w:t>.</w:t>
      </w:r>
    </w:p>
    <w:bookmarkEnd w:id="0"/>
    <w:p w14:paraId="5043D7FD" w14:textId="77777777" w:rsidR="00AC6E5E" w:rsidRDefault="00AC6E5E" w:rsidP="00AC6E5E">
      <w:pPr>
        <w:tabs>
          <w:tab w:val="left" w:pos="4320"/>
        </w:tabs>
      </w:pPr>
    </w:p>
    <w:p w14:paraId="55C1F753" w14:textId="4FEE2C92" w:rsidR="00AC6E5E" w:rsidRDefault="00AC6E5E" w:rsidP="00AC6E5E">
      <w:pPr>
        <w:tabs>
          <w:tab w:val="left" w:pos="4320"/>
        </w:tabs>
        <w:rPr>
          <w:noProof/>
        </w:rPr>
      </w:pPr>
    </w:p>
    <w:p w14:paraId="0D79C9AB" w14:textId="77777777" w:rsidR="00AC6E5E" w:rsidRDefault="00AC6E5E" w:rsidP="00AC6E5E">
      <w:pPr>
        <w:tabs>
          <w:tab w:val="left" w:pos="4320"/>
        </w:tabs>
        <w:rPr>
          <w:noProof/>
        </w:rPr>
      </w:pPr>
    </w:p>
    <w:p w14:paraId="0FB557BF" w14:textId="77777777" w:rsidR="00AC6E5E" w:rsidRDefault="00AC6E5E" w:rsidP="00AC6E5E">
      <w:pPr>
        <w:tabs>
          <w:tab w:val="left" w:pos="4320"/>
        </w:tabs>
        <w:rPr>
          <w:noProof/>
        </w:rPr>
      </w:pPr>
    </w:p>
    <w:p w14:paraId="3CAB156E" w14:textId="77777777" w:rsidR="00AC6E5E" w:rsidRDefault="00AC6E5E" w:rsidP="00AC6E5E">
      <w:pPr>
        <w:tabs>
          <w:tab w:val="left" w:pos="4320"/>
        </w:tabs>
      </w:pPr>
    </w:p>
    <w:p w14:paraId="0D3A1302" w14:textId="77777777" w:rsidR="00AC6E5E" w:rsidRDefault="00AC6E5E" w:rsidP="00AC6E5E">
      <w:pPr>
        <w:tabs>
          <w:tab w:val="left" w:pos="4320"/>
        </w:tabs>
      </w:pPr>
      <w:r>
        <w:t>Jacqueline Agius</w:t>
      </w:r>
    </w:p>
    <w:p w14:paraId="07F7DDC4" w14:textId="77777777" w:rsidR="00AC6E5E" w:rsidRDefault="00AC6E5E" w:rsidP="00AC6E5E">
      <w:pPr>
        <w:tabs>
          <w:tab w:val="left" w:pos="4320"/>
        </w:tabs>
      </w:pPr>
      <w:r>
        <w:t>Work Health and Safety Commissioner</w:t>
      </w:r>
    </w:p>
    <w:p w14:paraId="4E885962" w14:textId="3473F451" w:rsidR="003E4DC7" w:rsidRDefault="007F7352" w:rsidP="0069385E">
      <w:pPr>
        <w:tabs>
          <w:tab w:val="left" w:pos="4320"/>
        </w:tabs>
      </w:pPr>
      <w:r>
        <w:t>2</w:t>
      </w:r>
      <w:r w:rsidR="004C0C66">
        <w:t>4</w:t>
      </w:r>
      <w:r>
        <w:t xml:space="preserve"> November 2025</w:t>
      </w:r>
      <w:r w:rsidR="00AC6E5E">
        <w:t xml:space="preserve"> </w:t>
      </w:r>
    </w:p>
    <w:sectPr w:rsidR="003E4DC7" w:rsidSect="00D90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7253" w14:textId="77777777" w:rsidR="00532C1A" w:rsidRDefault="00532C1A">
      <w:r>
        <w:separator/>
      </w:r>
    </w:p>
  </w:endnote>
  <w:endnote w:type="continuationSeparator" w:id="0">
    <w:p w14:paraId="53EA38D6" w14:textId="77777777" w:rsidR="00532C1A" w:rsidRDefault="0053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BD0F" w14:textId="77777777" w:rsidR="00B34F4D" w:rsidRDefault="00B3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0546" w14:textId="727B0E81" w:rsidR="00B34F4D" w:rsidRPr="00A56354" w:rsidRDefault="00A56354" w:rsidP="00A56354">
    <w:pPr>
      <w:pStyle w:val="Footer"/>
      <w:jc w:val="center"/>
      <w:rPr>
        <w:rFonts w:cs="Arial"/>
        <w:sz w:val="14"/>
      </w:rPr>
    </w:pPr>
    <w:r w:rsidRPr="00A563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AE7A" w14:textId="03105D8D" w:rsidR="00B34F4D" w:rsidRDefault="00D90FF1" w:rsidP="00D90FF1">
    <w:pPr>
      <w:pStyle w:val="Footer"/>
      <w:rPr>
        <w:rFonts w:cs="Arial"/>
      </w:rPr>
    </w:pPr>
    <w:r w:rsidRPr="00D90FF1">
      <w:rPr>
        <w:rFonts w:cs="Arial"/>
      </w:rPr>
      <w:t>*Name amended under Legislation Act, s 60</w:t>
    </w:r>
  </w:p>
  <w:p w14:paraId="5A7D9561" w14:textId="1ED87E89" w:rsidR="00A56354" w:rsidRPr="00A56354" w:rsidRDefault="00A56354" w:rsidP="00A56354">
    <w:pPr>
      <w:pStyle w:val="Footer"/>
      <w:jc w:val="center"/>
      <w:rPr>
        <w:rFonts w:cs="Arial"/>
        <w:sz w:val="14"/>
      </w:rPr>
    </w:pPr>
    <w:r w:rsidRPr="00A5635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0BCB" w14:textId="77777777" w:rsidR="00532C1A" w:rsidRDefault="00532C1A">
      <w:r>
        <w:separator/>
      </w:r>
    </w:p>
  </w:footnote>
  <w:footnote w:type="continuationSeparator" w:id="0">
    <w:p w14:paraId="6FB1204A" w14:textId="77777777" w:rsidR="00532C1A" w:rsidRDefault="0053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4B9E" w14:textId="77777777" w:rsidR="00B34F4D" w:rsidRDefault="00B3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261A" w14:textId="77777777" w:rsidR="00B34F4D" w:rsidRDefault="00B34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42CA" w14:textId="77777777" w:rsidR="00B34F4D" w:rsidRDefault="00B34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096"/>
    <w:multiLevelType w:val="hybridMultilevel"/>
    <w:tmpl w:val="AA9CA9D6"/>
    <w:lvl w:ilvl="0" w:tplc="0C090017">
      <w:start w:val="1"/>
      <w:numFmt w:val="lowerLetter"/>
      <w:lvlText w:val="%1)"/>
      <w:lvlJc w:val="left"/>
      <w:pPr>
        <w:ind w:left="1665" w:hanging="360"/>
      </w:pPr>
    </w:lvl>
    <w:lvl w:ilvl="1" w:tplc="0C090019" w:tentative="1">
      <w:start w:val="1"/>
      <w:numFmt w:val="lowerLetter"/>
      <w:lvlText w:val="%2."/>
      <w:lvlJc w:val="left"/>
      <w:pPr>
        <w:ind w:left="2385" w:hanging="360"/>
      </w:pPr>
    </w:lvl>
    <w:lvl w:ilvl="2" w:tplc="0C09001B" w:tentative="1">
      <w:start w:val="1"/>
      <w:numFmt w:val="lowerRoman"/>
      <w:lvlText w:val="%3."/>
      <w:lvlJc w:val="right"/>
      <w:pPr>
        <w:ind w:left="3105" w:hanging="180"/>
      </w:pPr>
    </w:lvl>
    <w:lvl w:ilvl="3" w:tplc="0C09000F" w:tentative="1">
      <w:start w:val="1"/>
      <w:numFmt w:val="decimal"/>
      <w:lvlText w:val="%4."/>
      <w:lvlJc w:val="left"/>
      <w:pPr>
        <w:ind w:left="3825" w:hanging="360"/>
      </w:pPr>
    </w:lvl>
    <w:lvl w:ilvl="4" w:tplc="0C090019" w:tentative="1">
      <w:start w:val="1"/>
      <w:numFmt w:val="lowerLetter"/>
      <w:lvlText w:val="%5."/>
      <w:lvlJc w:val="left"/>
      <w:pPr>
        <w:ind w:left="4545" w:hanging="360"/>
      </w:pPr>
    </w:lvl>
    <w:lvl w:ilvl="5" w:tplc="0C09001B" w:tentative="1">
      <w:start w:val="1"/>
      <w:numFmt w:val="lowerRoman"/>
      <w:lvlText w:val="%6."/>
      <w:lvlJc w:val="right"/>
      <w:pPr>
        <w:ind w:left="5265" w:hanging="180"/>
      </w:pPr>
    </w:lvl>
    <w:lvl w:ilvl="6" w:tplc="0C09000F" w:tentative="1">
      <w:start w:val="1"/>
      <w:numFmt w:val="decimal"/>
      <w:lvlText w:val="%7."/>
      <w:lvlJc w:val="left"/>
      <w:pPr>
        <w:ind w:left="5985" w:hanging="360"/>
      </w:pPr>
    </w:lvl>
    <w:lvl w:ilvl="7" w:tplc="0C090019" w:tentative="1">
      <w:start w:val="1"/>
      <w:numFmt w:val="lowerLetter"/>
      <w:lvlText w:val="%8."/>
      <w:lvlJc w:val="left"/>
      <w:pPr>
        <w:ind w:left="6705" w:hanging="360"/>
      </w:pPr>
    </w:lvl>
    <w:lvl w:ilvl="8" w:tplc="0C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0A8F399E"/>
    <w:multiLevelType w:val="hybridMultilevel"/>
    <w:tmpl w:val="21E258A2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B">
      <w:start w:val="1"/>
      <w:numFmt w:val="lowerRoman"/>
      <w:lvlText w:val="%2."/>
      <w:lvlJc w:val="righ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8E47D8"/>
    <w:multiLevelType w:val="hybridMultilevel"/>
    <w:tmpl w:val="F5021780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387BF1"/>
    <w:multiLevelType w:val="hybridMultilevel"/>
    <w:tmpl w:val="E29C3720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B3E57"/>
    <w:multiLevelType w:val="hybridMultilevel"/>
    <w:tmpl w:val="CEDED7D4"/>
    <w:lvl w:ilvl="0" w:tplc="54745E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3870"/>
    <w:multiLevelType w:val="hybridMultilevel"/>
    <w:tmpl w:val="AF28353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4D2F71"/>
    <w:multiLevelType w:val="hybridMultilevel"/>
    <w:tmpl w:val="9F88D406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E06888"/>
    <w:multiLevelType w:val="hybridMultilevel"/>
    <w:tmpl w:val="D054C9B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EB4F40"/>
    <w:multiLevelType w:val="hybridMultilevel"/>
    <w:tmpl w:val="77266920"/>
    <w:lvl w:ilvl="0" w:tplc="0C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BF6F7C"/>
    <w:multiLevelType w:val="hybridMultilevel"/>
    <w:tmpl w:val="7556EC6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39489654">
    <w:abstractNumId w:val="3"/>
  </w:num>
  <w:num w:numId="2" w16cid:durableId="844629902">
    <w:abstractNumId w:val="0"/>
  </w:num>
  <w:num w:numId="3" w16cid:durableId="1167330175">
    <w:abstractNumId w:val="5"/>
  </w:num>
  <w:num w:numId="4" w16cid:durableId="149487973">
    <w:abstractNumId w:val="7"/>
  </w:num>
  <w:num w:numId="5" w16cid:durableId="1254822763">
    <w:abstractNumId w:val="4"/>
  </w:num>
  <w:num w:numId="6" w16cid:durableId="394474260">
    <w:abstractNumId w:val="8"/>
  </w:num>
  <w:num w:numId="7" w16cid:durableId="2010062449">
    <w:abstractNumId w:val="2"/>
  </w:num>
  <w:num w:numId="8" w16cid:durableId="922639748">
    <w:abstractNumId w:val="6"/>
  </w:num>
  <w:num w:numId="9" w16cid:durableId="393508266">
    <w:abstractNumId w:val="1"/>
  </w:num>
  <w:num w:numId="10" w16cid:durableId="916784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5E"/>
    <w:rsid w:val="00031083"/>
    <w:rsid w:val="000477D2"/>
    <w:rsid w:val="001277FB"/>
    <w:rsid w:val="001E6FD5"/>
    <w:rsid w:val="001F2C47"/>
    <w:rsid w:val="0024317B"/>
    <w:rsid w:val="002859AD"/>
    <w:rsid w:val="002D5D28"/>
    <w:rsid w:val="00376A96"/>
    <w:rsid w:val="003D688F"/>
    <w:rsid w:val="003E4DC7"/>
    <w:rsid w:val="004434DC"/>
    <w:rsid w:val="004C0C66"/>
    <w:rsid w:val="004F7283"/>
    <w:rsid w:val="005038D0"/>
    <w:rsid w:val="00532C1A"/>
    <w:rsid w:val="005B58ED"/>
    <w:rsid w:val="00633DA2"/>
    <w:rsid w:val="00674B08"/>
    <w:rsid w:val="00680298"/>
    <w:rsid w:val="00690668"/>
    <w:rsid w:val="0069385E"/>
    <w:rsid w:val="007522DE"/>
    <w:rsid w:val="007C6C89"/>
    <w:rsid w:val="007F7352"/>
    <w:rsid w:val="008279DD"/>
    <w:rsid w:val="00850EB1"/>
    <w:rsid w:val="0086525F"/>
    <w:rsid w:val="008E60F9"/>
    <w:rsid w:val="008E64D8"/>
    <w:rsid w:val="00915B35"/>
    <w:rsid w:val="00974A68"/>
    <w:rsid w:val="009B519D"/>
    <w:rsid w:val="009E6297"/>
    <w:rsid w:val="00A05B5B"/>
    <w:rsid w:val="00A177ED"/>
    <w:rsid w:val="00A33EAB"/>
    <w:rsid w:val="00A56354"/>
    <w:rsid w:val="00AC6E5E"/>
    <w:rsid w:val="00B12505"/>
    <w:rsid w:val="00B34F4D"/>
    <w:rsid w:val="00B4496C"/>
    <w:rsid w:val="00B808E1"/>
    <w:rsid w:val="00B97899"/>
    <w:rsid w:val="00C20B98"/>
    <w:rsid w:val="00C843C3"/>
    <w:rsid w:val="00CC5008"/>
    <w:rsid w:val="00D143B6"/>
    <w:rsid w:val="00D90FF1"/>
    <w:rsid w:val="00DB0FF6"/>
    <w:rsid w:val="00E00807"/>
    <w:rsid w:val="00E112C6"/>
    <w:rsid w:val="00E17E19"/>
    <w:rsid w:val="00E3760D"/>
    <w:rsid w:val="00ED3A04"/>
    <w:rsid w:val="00F02D10"/>
    <w:rsid w:val="00F17651"/>
    <w:rsid w:val="00F624CF"/>
    <w:rsid w:val="00F955C1"/>
    <w:rsid w:val="00FD0D0A"/>
    <w:rsid w:val="00FD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EB18"/>
  <w15:chartTrackingRefBased/>
  <w15:docId w15:val="{9BBDF623-D7CE-46CF-8CAD-22A55FEF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E5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C6E5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AC6E5E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AC6E5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C6E5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C6E5E"/>
    <w:pPr>
      <w:spacing w:before="180" w:after="60"/>
      <w:jc w:val="both"/>
    </w:pPr>
  </w:style>
  <w:style w:type="paragraph" w:customStyle="1" w:styleId="CoverActName">
    <w:name w:val="CoverActName"/>
    <w:basedOn w:val="Normal"/>
    <w:rsid w:val="00AC6E5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C6E5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C6E5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A177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4428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Stokoe, Alysha</dc:creator>
  <cp:keywords>2</cp:keywords>
  <dc:description/>
  <cp:lastModifiedBy>PCODCS</cp:lastModifiedBy>
  <cp:revision>4</cp:revision>
  <cp:lastPrinted>2025-11-23T23:06:00Z</cp:lastPrinted>
  <dcterms:created xsi:type="dcterms:W3CDTF">2025-11-24T03:53:00Z</dcterms:created>
  <dcterms:modified xsi:type="dcterms:W3CDTF">2025-11-24T03:53:00Z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2025-06-03T00:24:24Z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7b69eaa2-ea43-4b35-b480-9adda1807af2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14996715</vt:lpwstr>
  </property>
  <property fmtid="{D5CDD505-2E9C-101B-9397-08002B2CF9AE}" pid="12" name="JMSREQUIREDCHECKIN">
    <vt:lpwstr/>
  </property>
</Properties>
</file>