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08D64CF6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B5F69">
        <w:rPr>
          <w:rFonts w:ascii="Calibri" w:eastAsia="Times New Roman" w:hAnsi="Calibri" w:cs="Calibri"/>
          <w:b/>
          <w:sz w:val="40"/>
          <w:szCs w:val="20"/>
        </w:rPr>
        <w:t>6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DD746F">
        <w:rPr>
          <w:rFonts w:ascii="Calibri" w:eastAsia="Times New Roman" w:hAnsi="Calibri" w:cs="Calibri"/>
          <w:b/>
          <w:sz w:val="40"/>
          <w:szCs w:val="20"/>
        </w:rPr>
        <w:t>1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58491DDE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4A20B6">
        <w:rPr>
          <w:rFonts w:ascii="Calibri" w:eastAsia="Times New Roman" w:hAnsi="Calibri" w:cs="Calibri"/>
          <w:b/>
          <w:bCs/>
          <w:sz w:val="24"/>
          <w:szCs w:val="20"/>
        </w:rPr>
        <w:t>106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36D4F92A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B5F69">
        <w:rPr>
          <w:rFonts w:ascii="Calibri" w:eastAsia="Times New Roman" w:hAnsi="Calibri" w:cs="Calibri"/>
          <w:i/>
          <w:iCs/>
          <w:sz w:val="24"/>
          <w:szCs w:val="20"/>
        </w:rPr>
        <w:t>6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121550">
        <w:rPr>
          <w:rFonts w:ascii="Calibri" w:eastAsia="Times New Roman" w:hAnsi="Calibri" w:cs="Calibri"/>
          <w:i/>
          <w:i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73904D48" w:rsidR="009D7265" w:rsidRDefault="009D7265" w:rsidP="009D7265">
      <w:pPr>
        <w:spacing w:after="60" w:line="240" w:lineRule="auto"/>
        <w:ind w:left="709"/>
        <w:rPr>
          <w:noProof/>
        </w:rPr>
      </w:pPr>
    </w:p>
    <w:p w14:paraId="2816C609" w14:textId="080BA9BD" w:rsidR="001B3914" w:rsidRDefault="001B3914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7AEEAE81" w:rsidR="00B47EF5" w:rsidRPr="00D57F35" w:rsidRDefault="00C2154E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</w:t>
      </w:r>
      <w:r w:rsidR="004A20B6">
        <w:rPr>
          <w:rFonts w:eastAsia="Times New Roman" w:cs="Calibri"/>
          <w:bCs/>
          <w:sz w:val="24"/>
          <w:szCs w:val="20"/>
        </w:rPr>
        <w:t>0</w:t>
      </w:r>
      <w:r w:rsidR="001B3914">
        <w:rPr>
          <w:rFonts w:eastAsia="Times New Roman" w:cs="Calibri"/>
          <w:bCs/>
          <w:sz w:val="24"/>
          <w:szCs w:val="20"/>
        </w:rPr>
        <w:t xml:space="preserve"> </w:t>
      </w:r>
      <w:r w:rsidR="004A20B6">
        <w:rPr>
          <w:rFonts w:eastAsia="Times New Roman" w:cs="Calibri"/>
          <w:bCs/>
          <w:sz w:val="24"/>
          <w:szCs w:val="20"/>
        </w:rPr>
        <w:t>February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B5F69">
        <w:rPr>
          <w:rFonts w:eastAsia="Times New Roman" w:cs="Calibri"/>
          <w:bCs/>
          <w:sz w:val="24"/>
          <w:szCs w:val="20"/>
        </w:rPr>
        <w:t>6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9B6F75" w:rsidRPr="00121550" w14:paraId="0B316673" w14:textId="77777777" w:rsidTr="009B6F7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99A7" w14:textId="77777777" w:rsidR="009B6F75" w:rsidRPr="00121550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 xml:space="preserve">Aristocrat Technologies Australia Pty Ltd </w:t>
            </w:r>
          </w:p>
        </w:tc>
      </w:tr>
      <w:tr w:rsidR="009B6F75" w:rsidRPr="00121550" w14:paraId="441FA5EC" w14:textId="77777777" w:rsidTr="009B6F7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07E6" w14:textId="77777777" w:rsidR="009B6F75" w:rsidRPr="00121550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121550">
              <w:rPr>
                <w:rFonts w:cstheme="minorHAnsi"/>
                <w:sz w:val="24"/>
                <w:szCs w:val="24"/>
              </w:rPr>
              <w:t>New Standard Linked Progressive Jackpot System (with Previously Approved MultiLink)</w:t>
            </w:r>
          </w:p>
        </w:tc>
      </w:tr>
      <w:tr w:rsidR="009B6F75" w:rsidRPr="00121550" w14:paraId="163A7A61" w14:textId="77777777" w:rsidTr="009B6F75">
        <w:tc>
          <w:tcPr>
            <w:tcW w:w="3573" w:type="dxa"/>
          </w:tcPr>
          <w:p w14:paraId="0D2D1E63" w14:textId="77777777" w:rsidR="009B6F75" w:rsidRPr="00121550" w:rsidRDefault="009B6F75" w:rsidP="009B6F75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</w:tcPr>
          <w:p w14:paraId="16F37E21" w14:textId="0E26F189" w:rsidR="009B6F75" w:rsidRPr="00121550" w:rsidRDefault="00121550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Buffalo Strike Link</w:t>
            </w:r>
          </w:p>
        </w:tc>
      </w:tr>
      <w:tr w:rsidR="009B6F75" w:rsidRPr="00121550" w14:paraId="20ADA547" w14:textId="77777777" w:rsidTr="009B6F75">
        <w:tc>
          <w:tcPr>
            <w:tcW w:w="3573" w:type="dxa"/>
          </w:tcPr>
          <w:p w14:paraId="5C758C2A" w14:textId="77777777" w:rsidR="009B6F75" w:rsidRPr="00121550" w:rsidRDefault="009B6F75" w:rsidP="009B6F7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28" w:type="dxa"/>
          </w:tcPr>
          <w:p w14:paraId="248F188D" w14:textId="1AE36A2E" w:rsidR="009B6F75" w:rsidRPr="00121550" w:rsidRDefault="00121550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1.YA034</w:t>
            </w:r>
          </w:p>
        </w:tc>
      </w:tr>
      <w:tr w:rsidR="009B6F75" w:rsidRPr="00121550" w14:paraId="24CC959B" w14:textId="77777777" w:rsidTr="009B6F75">
        <w:tc>
          <w:tcPr>
            <w:tcW w:w="3573" w:type="dxa"/>
          </w:tcPr>
          <w:p w14:paraId="40AA5648" w14:textId="77777777" w:rsidR="009B6F75" w:rsidRPr="00121550" w:rsidRDefault="009B6F75" w:rsidP="009B6F75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28" w:type="dxa"/>
          </w:tcPr>
          <w:p w14:paraId="61BCD88D" w14:textId="1352022D" w:rsidR="009B6F75" w:rsidRPr="00121550" w:rsidRDefault="00121550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Buffalo Strike</w:t>
            </w:r>
          </w:p>
        </w:tc>
      </w:tr>
      <w:tr w:rsidR="009B6F75" w:rsidRPr="000D729F" w14:paraId="4EAC6863" w14:textId="77777777" w:rsidTr="009B6F75">
        <w:tc>
          <w:tcPr>
            <w:tcW w:w="3573" w:type="dxa"/>
          </w:tcPr>
          <w:p w14:paraId="579422DD" w14:textId="77777777" w:rsidR="009B6F75" w:rsidRPr="00121550" w:rsidRDefault="009B6F75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90A6408" w14:textId="5723CE7B" w:rsidR="009B6F75" w:rsidRPr="00121550" w:rsidRDefault="00121550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01-A2732/S01</w:t>
            </w:r>
          </w:p>
        </w:tc>
      </w:tr>
    </w:tbl>
    <w:p w14:paraId="33C88C2E" w14:textId="77777777" w:rsidR="009B6F75" w:rsidRPr="000D729F" w:rsidRDefault="009B6F75" w:rsidP="009B6F75">
      <w:pPr>
        <w:spacing w:after="0" w:line="276" w:lineRule="auto"/>
        <w:rPr>
          <w:rFonts w:ascii="Calibri" w:eastAsia="Calibri" w:hAnsi="Calibri" w:cs="Times New Roman"/>
          <w:highlight w:val="yellow"/>
        </w:rPr>
      </w:pP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75"/>
        <w:gridCol w:w="5530"/>
      </w:tblGrid>
      <w:tr w:rsidR="009B6F75" w:rsidRPr="00121550" w14:paraId="3AB16D95" w14:textId="77777777" w:rsidTr="0035534E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C91EDA" w14:textId="6621B378" w:rsidR="009B6F75" w:rsidRPr="00121550" w:rsidRDefault="00121550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1550">
              <w:rPr>
                <w:rFonts w:ascii="Calibri" w:eastAsia="Calibri" w:hAnsi="Calibri" w:cs="Times New Roman"/>
                <w:sz w:val="24"/>
                <w:szCs w:val="24"/>
              </w:rPr>
              <w:t>IGT (Australia) Pty Ltd</w:t>
            </w:r>
          </w:p>
        </w:tc>
      </w:tr>
      <w:tr w:rsidR="009B6F75" w:rsidRPr="00121550" w14:paraId="15384C3A" w14:textId="77777777" w:rsidTr="0035534E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C5C58B" w14:textId="5F7EC8D6" w:rsidR="009B6F75" w:rsidRPr="00121550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1550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121550" w:rsidRPr="00121550">
              <w:rPr>
                <w:rFonts w:ascii="Calibri" w:eastAsia="Calibri" w:hAnsi="Calibri" w:cs="Times New Roman"/>
                <w:sz w:val="24"/>
                <w:szCs w:val="24"/>
              </w:rPr>
              <w:t>New Rev8 Link Progressive Jackpot System</w:t>
            </w:r>
          </w:p>
        </w:tc>
      </w:tr>
      <w:tr w:rsidR="009B6F75" w:rsidRPr="00121550" w14:paraId="24E98B28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101AC" w14:textId="77777777" w:rsidR="009B6F75" w:rsidRPr="00121550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1550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9EA98" w14:textId="2DFAA912" w:rsidR="009B6F75" w:rsidRPr="00121550" w:rsidRDefault="00121550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1550">
              <w:rPr>
                <w:rFonts w:ascii="Calibri" w:eastAsia="Calibri" w:hAnsi="Calibri" w:cs="Times New Roman"/>
                <w:sz w:val="24"/>
                <w:szCs w:val="24"/>
              </w:rPr>
              <w:t>Standard LPJS – Hot Stuff Link</w:t>
            </w:r>
          </w:p>
        </w:tc>
      </w:tr>
      <w:tr w:rsidR="009B6F75" w:rsidRPr="00121550" w14:paraId="13663237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C5161" w14:textId="77777777" w:rsidR="009B6F75" w:rsidRPr="00121550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1550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1AB387" w14:textId="225C178B" w:rsidR="009B6F75" w:rsidRPr="00121550" w:rsidRDefault="00121550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1550">
              <w:rPr>
                <w:rFonts w:ascii="Calibri" w:eastAsia="Calibri" w:hAnsi="Calibri" w:cs="Times New Roman"/>
                <w:sz w:val="24"/>
                <w:szCs w:val="24"/>
              </w:rPr>
              <w:t>18.YA028</w:t>
            </w:r>
          </w:p>
        </w:tc>
      </w:tr>
      <w:tr w:rsidR="00121550" w:rsidRPr="00121550" w14:paraId="26D2317F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8BE5D" w14:textId="6C01B7CA" w:rsidR="00121550" w:rsidRPr="00121550" w:rsidRDefault="00121550" w:rsidP="0012155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21550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Details: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BB241" w14:textId="18F4B6EC" w:rsidR="00121550" w:rsidRPr="00121550" w:rsidRDefault="00121550" w:rsidP="00121550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Rev 8 (T2E) Link Progressive Jackpot Controller System</w:t>
            </w:r>
          </w:p>
        </w:tc>
      </w:tr>
      <w:tr w:rsidR="009B6F75" w:rsidRPr="00121550" w14:paraId="670FB370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A1183C" w14:textId="77777777" w:rsidR="009B6F75" w:rsidRPr="00121550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1550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B8EBE" w14:textId="13752157" w:rsidR="009B6F75" w:rsidRPr="00121550" w:rsidRDefault="00121550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1550">
              <w:rPr>
                <w:rFonts w:ascii="Calibri" w:eastAsia="Calibri" w:hAnsi="Calibri" w:cs="Times New Roman"/>
                <w:sz w:val="24"/>
                <w:szCs w:val="24"/>
              </w:rPr>
              <w:t>Hot Stuff Link</w:t>
            </w:r>
          </w:p>
        </w:tc>
      </w:tr>
      <w:tr w:rsidR="009B6F75" w:rsidRPr="000D729F" w14:paraId="62050F58" w14:textId="77777777" w:rsidTr="0035534E"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63B42A" w14:textId="77777777" w:rsidR="009B6F75" w:rsidRPr="00121550" w:rsidRDefault="009B6F75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1550">
              <w:rPr>
                <w:rFonts w:ascii="Calibri" w:eastAsia="Calibri" w:hAnsi="Calibri" w:cs="Times New Roman"/>
                <w:sz w:val="24"/>
                <w:szCs w:val="24"/>
              </w:rPr>
              <w:t>Application Reference Number: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39F59" w14:textId="45283549" w:rsidR="009B6F75" w:rsidRPr="00121550" w:rsidRDefault="00121550" w:rsidP="009B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21550">
              <w:rPr>
                <w:rFonts w:ascii="Calibri" w:eastAsia="Calibri" w:hAnsi="Calibri" w:cs="Times New Roman"/>
                <w:sz w:val="24"/>
                <w:szCs w:val="24"/>
              </w:rPr>
              <w:t>18-A1427/S01</w:t>
            </w:r>
          </w:p>
        </w:tc>
      </w:tr>
    </w:tbl>
    <w:p w14:paraId="073798EB" w14:textId="77777777" w:rsidR="009B6F75" w:rsidRPr="000D729F" w:rsidRDefault="009B6F75" w:rsidP="009B6F75">
      <w:pPr>
        <w:spacing w:after="0" w:line="276" w:lineRule="auto"/>
        <w:rPr>
          <w:rFonts w:ascii="Calibri" w:eastAsia="Calibri" w:hAnsi="Calibri" w:cs="Times New Roman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C71625" w:rsidRPr="000D729F" w14:paraId="49D9790B" w14:textId="77777777" w:rsidTr="009B6F7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BB0" w14:textId="6272ACA9" w:rsidR="003C3299" w:rsidRPr="00121550" w:rsidRDefault="00121550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Konami Australia Pty Ltd</w:t>
            </w:r>
          </w:p>
        </w:tc>
      </w:tr>
      <w:tr w:rsidR="00C71625" w:rsidRPr="000D729F" w14:paraId="6551FF14" w14:textId="77777777" w:rsidTr="009B6F7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6720" w14:textId="42ED4DC4" w:rsidR="003C3299" w:rsidRPr="00121550" w:rsidRDefault="003C3299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 xml:space="preserve">Subject: </w:t>
            </w:r>
            <w:r w:rsidR="00121550" w:rsidRPr="00121550">
              <w:rPr>
                <w:rFonts w:cstheme="minorHAnsi"/>
                <w:sz w:val="24"/>
                <w:szCs w:val="24"/>
              </w:rPr>
              <w:t>Alternative monitor</w:t>
            </w:r>
          </w:p>
        </w:tc>
      </w:tr>
      <w:tr w:rsidR="00C71625" w:rsidRPr="000D729F" w14:paraId="1690D6E3" w14:textId="77777777" w:rsidTr="009B6F75">
        <w:tc>
          <w:tcPr>
            <w:tcW w:w="3573" w:type="dxa"/>
          </w:tcPr>
          <w:p w14:paraId="15B394E9" w14:textId="395A7F44" w:rsidR="003C3299" w:rsidRPr="00121550" w:rsidRDefault="00121550" w:rsidP="001215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Platform:</w:t>
            </w:r>
          </w:p>
        </w:tc>
        <w:tc>
          <w:tcPr>
            <w:tcW w:w="5528" w:type="dxa"/>
          </w:tcPr>
          <w:p w14:paraId="25645EAD" w14:textId="37D1A80A" w:rsidR="003C3299" w:rsidRPr="00121550" w:rsidRDefault="00121550" w:rsidP="001215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KXP Dimension 75C (KGP-2 75C)</w:t>
            </w:r>
          </w:p>
        </w:tc>
      </w:tr>
      <w:tr w:rsidR="00C71625" w:rsidRPr="000D729F" w14:paraId="153C3009" w14:textId="77777777" w:rsidTr="009B6F75">
        <w:tc>
          <w:tcPr>
            <w:tcW w:w="3573" w:type="dxa"/>
          </w:tcPr>
          <w:p w14:paraId="4D90733E" w14:textId="0CC46CB4" w:rsidR="003C3299" w:rsidRPr="00121550" w:rsidRDefault="00121550" w:rsidP="001215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Hardware</w:t>
            </w:r>
            <w:r w:rsidR="003C3299" w:rsidRPr="0012155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39A1F4E1" w14:textId="19228CE4" w:rsidR="003C3299" w:rsidRPr="00121550" w:rsidRDefault="00121550" w:rsidP="001215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Monitor 75” Generic W/Touch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21550">
              <w:rPr>
                <w:rFonts w:cstheme="minorHAnsi"/>
                <w:sz w:val="24"/>
                <w:szCs w:val="24"/>
              </w:rPr>
              <w:t>(Alternate)</w:t>
            </w:r>
          </w:p>
        </w:tc>
      </w:tr>
      <w:tr w:rsidR="00C71625" w:rsidRPr="000D729F" w14:paraId="6F22B87C" w14:textId="77777777" w:rsidTr="009B6F75">
        <w:tc>
          <w:tcPr>
            <w:tcW w:w="3573" w:type="dxa"/>
          </w:tcPr>
          <w:p w14:paraId="410B8A02" w14:textId="4D2D4E77" w:rsidR="003C3299" w:rsidRPr="00121550" w:rsidRDefault="00121550" w:rsidP="001215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Description</w:t>
            </w:r>
            <w:r w:rsidR="003C3299" w:rsidRPr="0012155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72BA462A" w14:textId="0D511B6F" w:rsidR="003C3299" w:rsidRPr="00121550" w:rsidRDefault="00121550" w:rsidP="001215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75” Curve with Touch Screen</w:t>
            </w:r>
          </w:p>
        </w:tc>
      </w:tr>
      <w:tr w:rsidR="00121550" w:rsidRPr="000D729F" w14:paraId="0282120B" w14:textId="77777777" w:rsidTr="009B6F75">
        <w:tc>
          <w:tcPr>
            <w:tcW w:w="3573" w:type="dxa"/>
          </w:tcPr>
          <w:p w14:paraId="35EDCFAA" w14:textId="16EEAFE3" w:rsidR="00121550" w:rsidRPr="00121550" w:rsidRDefault="00121550" w:rsidP="001215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Part Number:</w:t>
            </w:r>
          </w:p>
        </w:tc>
        <w:tc>
          <w:tcPr>
            <w:tcW w:w="5528" w:type="dxa"/>
          </w:tcPr>
          <w:p w14:paraId="7F4483D2" w14:textId="74FB21DB" w:rsidR="00121550" w:rsidRPr="00121550" w:rsidRDefault="00121550" w:rsidP="001215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311573</w:t>
            </w:r>
          </w:p>
        </w:tc>
      </w:tr>
      <w:tr w:rsidR="00C71625" w:rsidRPr="00C71625" w14:paraId="38B0ABEC" w14:textId="77777777" w:rsidTr="009B6F75">
        <w:tc>
          <w:tcPr>
            <w:tcW w:w="3573" w:type="dxa"/>
          </w:tcPr>
          <w:p w14:paraId="220C575F" w14:textId="77777777" w:rsidR="003C3299" w:rsidRPr="00121550" w:rsidRDefault="003C3299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21550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4E80A7C2" w14:textId="7DC3ECC1" w:rsidR="003C3299" w:rsidRPr="009B6F75" w:rsidRDefault="00B6632F" w:rsidP="009B6F7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6632F">
              <w:rPr>
                <w:rFonts w:cstheme="minorHAnsi"/>
                <w:sz w:val="24"/>
                <w:szCs w:val="24"/>
              </w:rPr>
              <w:t>39-A1699/S01</w:t>
            </w:r>
          </w:p>
        </w:tc>
      </w:tr>
    </w:tbl>
    <w:p w14:paraId="28C06090" w14:textId="77777777" w:rsidR="003C3299" w:rsidRPr="004C6AC3" w:rsidRDefault="003C3299" w:rsidP="004C6AC3">
      <w:pPr>
        <w:spacing w:after="0" w:line="276" w:lineRule="auto"/>
        <w:rPr>
          <w:rFonts w:ascii="Calibri" w:eastAsia="Calibri" w:hAnsi="Calibri" w:cs="Times New Roman"/>
        </w:rPr>
      </w:pPr>
    </w:p>
    <w:sectPr w:rsidR="003C3299" w:rsidRPr="004C6AC3" w:rsidSect="001B5F69">
      <w:headerReference w:type="default" r:id="rId15"/>
      <w:pgSz w:w="11906" w:h="16838"/>
      <w:pgMar w:top="1440" w:right="1440" w:bottom="144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DF01" w14:textId="77777777" w:rsidR="00583BA0" w:rsidRDefault="00583BA0" w:rsidP="009D7265">
      <w:pPr>
        <w:spacing w:after="0" w:line="240" w:lineRule="auto"/>
      </w:pPr>
      <w:r>
        <w:separator/>
      </w:r>
    </w:p>
  </w:endnote>
  <w:endnote w:type="continuationSeparator" w:id="0">
    <w:p w14:paraId="40E59266" w14:textId="77777777" w:rsidR="00583BA0" w:rsidRDefault="00583BA0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9C34" w14:textId="77777777" w:rsidR="00A21795" w:rsidRDefault="00A21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C7BC" w14:textId="2D735DEF" w:rsidR="00A21795" w:rsidRPr="00A21795" w:rsidRDefault="00A21795" w:rsidP="00A21795">
    <w:pPr>
      <w:pStyle w:val="Footer"/>
      <w:jc w:val="center"/>
      <w:rPr>
        <w:rFonts w:ascii="Arial" w:hAnsi="Arial" w:cs="Arial"/>
        <w:sz w:val="14"/>
      </w:rPr>
    </w:pPr>
    <w:r w:rsidRPr="00A2179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C735" w14:textId="0CE0F713" w:rsidR="00A21795" w:rsidRPr="00A21795" w:rsidRDefault="00A21795" w:rsidP="00A21795">
    <w:pPr>
      <w:pStyle w:val="Footer"/>
      <w:jc w:val="center"/>
      <w:rPr>
        <w:rFonts w:ascii="Arial" w:hAnsi="Arial" w:cs="Arial"/>
        <w:sz w:val="14"/>
      </w:rPr>
    </w:pPr>
    <w:r w:rsidRPr="00A21795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8EB2" w14:textId="77777777" w:rsidR="00583BA0" w:rsidRDefault="00583BA0" w:rsidP="009D7265">
      <w:pPr>
        <w:spacing w:after="0" w:line="240" w:lineRule="auto"/>
      </w:pPr>
      <w:r>
        <w:separator/>
      </w:r>
    </w:p>
  </w:footnote>
  <w:footnote w:type="continuationSeparator" w:id="0">
    <w:p w14:paraId="42B5DD58" w14:textId="77777777" w:rsidR="00583BA0" w:rsidRDefault="00583BA0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FB0B" w14:textId="77777777" w:rsidR="00A21795" w:rsidRDefault="00A21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CF8E" w14:textId="77777777" w:rsidR="00A21795" w:rsidRDefault="00A2179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72BE7C74" w:rsidR="00ED7219" w:rsidRPr="0048597A" w:rsidRDefault="00326276" w:rsidP="001B5F69">
    <w:pPr>
      <w:spacing w:before="240"/>
      <w:ind w:left="-142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B5F69">
      <w:rPr>
        <w:b/>
        <w:bCs/>
        <w:i/>
        <w:iCs/>
        <w:sz w:val="20"/>
      </w:rPr>
      <w:t>6</w:t>
    </w:r>
    <w:r w:rsidRPr="0048597A">
      <w:rPr>
        <w:b/>
        <w:bCs/>
        <w:i/>
        <w:iCs/>
        <w:sz w:val="20"/>
      </w:rPr>
      <w:t xml:space="preserve"> (No </w:t>
    </w:r>
    <w:r w:rsidR="001B5F69">
      <w:rPr>
        <w:b/>
        <w:bCs/>
        <w:i/>
        <w:iCs/>
        <w:sz w:val="20"/>
      </w:rPr>
      <w:t>1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504A6"/>
    <w:rsid w:val="00063F84"/>
    <w:rsid w:val="00066AB2"/>
    <w:rsid w:val="000B1536"/>
    <w:rsid w:val="000B3D8B"/>
    <w:rsid w:val="000D729F"/>
    <w:rsid w:val="000E040E"/>
    <w:rsid w:val="000E44E7"/>
    <w:rsid w:val="00100FE2"/>
    <w:rsid w:val="001047E5"/>
    <w:rsid w:val="00113E4B"/>
    <w:rsid w:val="00121550"/>
    <w:rsid w:val="001263E9"/>
    <w:rsid w:val="00140376"/>
    <w:rsid w:val="0014302B"/>
    <w:rsid w:val="001473BE"/>
    <w:rsid w:val="00155450"/>
    <w:rsid w:val="00164F4B"/>
    <w:rsid w:val="00175F3D"/>
    <w:rsid w:val="00186772"/>
    <w:rsid w:val="001872EB"/>
    <w:rsid w:val="001909F6"/>
    <w:rsid w:val="001B3914"/>
    <w:rsid w:val="001B5F69"/>
    <w:rsid w:val="001C648A"/>
    <w:rsid w:val="001C7EB5"/>
    <w:rsid w:val="001D759E"/>
    <w:rsid w:val="001E0D25"/>
    <w:rsid w:val="001F56D0"/>
    <w:rsid w:val="002137B6"/>
    <w:rsid w:val="0022408F"/>
    <w:rsid w:val="00234519"/>
    <w:rsid w:val="002418EE"/>
    <w:rsid w:val="00245945"/>
    <w:rsid w:val="00255049"/>
    <w:rsid w:val="002625EC"/>
    <w:rsid w:val="00274FC4"/>
    <w:rsid w:val="00276B4C"/>
    <w:rsid w:val="002819F1"/>
    <w:rsid w:val="00293A1A"/>
    <w:rsid w:val="002D3F36"/>
    <w:rsid w:val="002D5A15"/>
    <w:rsid w:val="002E762E"/>
    <w:rsid w:val="002F46E9"/>
    <w:rsid w:val="003074C5"/>
    <w:rsid w:val="00326276"/>
    <w:rsid w:val="0032757E"/>
    <w:rsid w:val="003453B0"/>
    <w:rsid w:val="003513D1"/>
    <w:rsid w:val="003516AC"/>
    <w:rsid w:val="00353D2A"/>
    <w:rsid w:val="00360CA5"/>
    <w:rsid w:val="0037098E"/>
    <w:rsid w:val="00370BA2"/>
    <w:rsid w:val="003C28C4"/>
    <w:rsid w:val="003C3299"/>
    <w:rsid w:val="003C7E67"/>
    <w:rsid w:val="003E09EC"/>
    <w:rsid w:val="00414595"/>
    <w:rsid w:val="00442BA0"/>
    <w:rsid w:val="0044636A"/>
    <w:rsid w:val="00475FFB"/>
    <w:rsid w:val="00477E97"/>
    <w:rsid w:val="0048597A"/>
    <w:rsid w:val="004933EC"/>
    <w:rsid w:val="004A20B6"/>
    <w:rsid w:val="004B78EE"/>
    <w:rsid w:val="004C382B"/>
    <w:rsid w:val="004C4C66"/>
    <w:rsid w:val="004C6AC3"/>
    <w:rsid w:val="004D6173"/>
    <w:rsid w:val="004F1616"/>
    <w:rsid w:val="004F58FF"/>
    <w:rsid w:val="00502F9E"/>
    <w:rsid w:val="00582A0E"/>
    <w:rsid w:val="00583BA0"/>
    <w:rsid w:val="00584943"/>
    <w:rsid w:val="005967F6"/>
    <w:rsid w:val="005B1BF7"/>
    <w:rsid w:val="00603283"/>
    <w:rsid w:val="006150F6"/>
    <w:rsid w:val="0063503B"/>
    <w:rsid w:val="00651D70"/>
    <w:rsid w:val="00661236"/>
    <w:rsid w:val="00666D1A"/>
    <w:rsid w:val="00696445"/>
    <w:rsid w:val="006A1E4C"/>
    <w:rsid w:val="006C6DA7"/>
    <w:rsid w:val="006D1DCA"/>
    <w:rsid w:val="006D4F45"/>
    <w:rsid w:val="00723E37"/>
    <w:rsid w:val="00737293"/>
    <w:rsid w:val="00772961"/>
    <w:rsid w:val="007809F9"/>
    <w:rsid w:val="007A15FE"/>
    <w:rsid w:val="007A5340"/>
    <w:rsid w:val="007A6E47"/>
    <w:rsid w:val="007B0539"/>
    <w:rsid w:val="007B29A5"/>
    <w:rsid w:val="0080006D"/>
    <w:rsid w:val="00863B80"/>
    <w:rsid w:val="00866303"/>
    <w:rsid w:val="008677B3"/>
    <w:rsid w:val="00874C48"/>
    <w:rsid w:val="008912BF"/>
    <w:rsid w:val="008B6D17"/>
    <w:rsid w:val="00903F9E"/>
    <w:rsid w:val="00906798"/>
    <w:rsid w:val="00912264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B47B0"/>
    <w:rsid w:val="009B6F75"/>
    <w:rsid w:val="009C1D4A"/>
    <w:rsid w:val="009D7265"/>
    <w:rsid w:val="009F2DFB"/>
    <w:rsid w:val="009F648B"/>
    <w:rsid w:val="00A02890"/>
    <w:rsid w:val="00A047C4"/>
    <w:rsid w:val="00A14E84"/>
    <w:rsid w:val="00A21795"/>
    <w:rsid w:val="00A4061C"/>
    <w:rsid w:val="00A41145"/>
    <w:rsid w:val="00A514FC"/>
    <w:rsid w:val="00A55939"/>
    <w:rsid w:val="00A6749E"/>
    <w:rsid w:val="00A82AD8"/>
    <w:rsid w:val="00A85E44"/>
    <w:rsid w:val="00A86C11"/>
    <w:rsid w:val="00A924D7"/>
    <w:rsid w:val="00A97D6D"/>
    <w:rsid w:val="00AA1788"/>
    <w:rsid w:val="00AB4C55"/>
    <w:rsid w:val="00AC6ADA"/>
    <w:rsid w:val="00AD55AA"/>
    <w:rsid w:val="00AE2C16"/>
    <w:rsid w:val="00AE3999"/>
    <w:rsid w:val="00B01A6B"/>
    <w:rsid w:val="00B47EF5"/>
    <w:rsid w:val="00B537F6"/>
    <w:rsid w:val="00B6632F"/>
    <w:rsid w:val="00B977D8"/>
    <w:rsid w:val="00BB7B1F"/>
    <w:rsid w:val="00BF18B8"/>
    <w:rsid w:val="00BF24AF"/>
    <w:rsid w:val="00BF5F1B"/>
    <w:rsid w:val="00C1026C"/>
    <w:rsid w:val="00C10C07"/>
    <w:rsid w:val="00C2154E"/>
    <w:rsid w:val="00C2484F"/>
    <w:rsid w:val="00C326BB"/>
    <w:rsid w:val="00C3379D"/>
    <w:rsid w:val="00C41205"/>
    <w:rsid w:val="00C50728"/>
    <w:rsid w:val="00C71625"/>
    <w:rsid w:val="00C733A3"/>
    <w:rsid w:val="00CA3A82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96C2D"/>
    <w:rsid w:val="00DA16B2"/>
    <w:rsid w:val="00DA6BF1"/>
    <w:rsid w:val="00DC1353"/>
    <w:rsid w:val="00DC3099"/>
    <w:rsid w:val="00DD0A7E"/>
    <w:rsid w:val="00DD1323"/>
    <w:rsid w:val="00DD2BC3"/>
    <w:rsid w:val="00DD746F"/>
    <w:rsid w:val="00E0528C"/>
    <w:rsid w:val="00E123B2"/>
    <w:rsid w:val="00E24C0E"/>
    <w:rsid w:val="00E50BE2"/>
    <w:rsid w:val="00E50D5E"/>
    <w:rsid w:val="00E5464A"/>
    <w:rsid w:val="00E95A4C"/>
    <w:rsid w:val="00EB077C"/>
    <w:rsid w:val="00EB152E"/>
    <w:rsid w:val="00EC26E8"/>
    <w:rsid w:val="00ED7219"/>
    <w:rsid w:val="00EE7F44"/>
    <w:rsid w:val="00F079BD"/>
    <w:rsid w:val="00F200DD"/>
    <w:rsid w:val="00F3125B"/>
    <w:rsid w:val="00F31DA3"/>
    <w:rsid w:val="00F42B4D"/>
    <w:rsid w:val="00F6127E"/>
    <w:rsid w:val="00F65EC1"/>
    <w:rsid w:val="00FC5B66"/>
    <w:rsid w:val="00FD3952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A58588801</value>
    </field>
    <field name="Objective-Title">
      <value order="0">.Gaming Machine (Peripheral Equipment) Approval 2026 No 1</value>
    </field>
    <field name="Objective-Description">
      <value order="0"/>
    </field>
    <field name="Objective-CreationStamp">
      <value order="0">2025-12-04T05:10:25Z</value>
    </field>
    <field name="Objective-IsApproved">
      <value order="0">false</value>
    </field>
    <field name="Objective-IsPublished">
      <value order="0">true</value>
    </field>
    <field name="Objective-DatePublished">
      <value order="0">2026-01-21T03:50:15Z</value>
    </field>
    <field name="Objective-ModificationStamp">
      <value order="0">2026-01-21T03:50:15Z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2004):2026:Gaming Machine (Peripheral Equipment) Approval 2026 - TBA No 1 - approved (Jan)</value>
    </field>
    <field name="Objective-Parent">
      <value order="0">Gaming Machine (Peripheral Equipment) Approval 2026 - TBA No 1 - approved (Jan)</value>
    </field>
    <field name="Objective-State">
      <value order="0">Published</value>
    </field>
    <field name="Objective-VersionId">
      <value order="0">vA75814040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1262</Characters>
  <Application>Microsoft Office Word</Application>
  <DocSecurity>0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2026-03-02T22:34:00Z</dcterms:created>
  <dcterms:modified xsi:type="dcterms:W3CDTF">2026-03-02T22:34:00Z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2024-04-16T01:45:49Z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404a47e0-8e0a-4a6f-9648-6e735896bdfb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A58588801</vt:lpwstr>
  </property>
  <property fmtid="{D5CDD505-2E9C-101B-9397-08002B2CF9AE}" pid="24" name="Objective-Title">
    <vt:lpwstr>.Gaming Machine (Peripheral Equipment) Approval 2026 No 1</vt:lpwstr>
  </property>
  <property fmtid="{D5CDD505-2E9C-101B-9397-08002B2CF9AE}" pid="25" name="Objective-Description">
    <vt:lpwstr/>
  </property>
  <property fmtid="{D5CDD505-2E9C-101B-9397-08002B2CF9AE}" pid="26" name="Objective-CreationStamp">
    <vt:filetime>2025-12-04T05:10:25Z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2026-01-21T03:50:15Z</vt:filetime>
  </property>
  <property fmtid="{D5CDD505-2E9C-101B-9397-08002B2CF9AE}" pid="30" name="Objective-ModificationStamp">
    <vt:filetime>2026-01-21T03:50:15Z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2004):2026:Gaming Machine (Peripheral Equipment) Approval 2026 - TBA No 1 - approved (Jan):</vt:lpwstr>
  </property>
  <property fmtid="{D5CDD505-2E9C-101B-9397-08002B2CF9AE}" pid="33" name="Objective-Parent">
    <vt:lpwstr>Gaming Machine (Peripheral Equipment) Approval 2026 - TBA No 1 - approved (Jan)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vA75814040</vt:lpwstr>
  </property>
  <property fmtid="{D5CDD505-2E9C-101B-9397-08002B2CF9AE}" pid="36" name="Objective-Version">
    <vt:lpwstr>5.0</vt:lpwstr>
  </property>
  <property fmtid="{D5CDD505-2E9C-101B-9397-08002B2CF9AE}" pid="37" name="Objective-VersionNumber">
    <vt:r8>5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