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E9FEB" w14:textId="77777777" w:rsidR="001F28DD" w:rsidRPr="001F28DD" w:rsidRDefault="001F28DD" w:rsidP="001F28DD">
      <w:pPr>
        <w:spacing w:before="120" w:after="0" w:line="240" w:lineRule="auto"/>
        <w:rPr>
          <w:rFonts w:ascii="Arial" w:eastAsia="Times New Roman" w:hAnsi="Arial" w:cs="Arial"/>
          <w:sz w:val="24"/>
          <w:szCs w:val="20"/>
        </w:rPr>
      </w:pPr>
      <w:r w:rsidRPr="001F28DD">
        <w:rPr>
          <w:rFonts w:ascii="Arial" w:eastAsia="Times New Roman" w:hAnsi="Arial" w:cs="Arial"/>
          <w:sz w:val="24"/>
          <w:szCs w:val="20"/>
        </w:rPr>
        <w:t>Australian Capital Territory</w:t>
      </w:r>
    </w:p>
    <w:p w14:paraId="5599A6F4" w14:textId="77777777" w:rsidR="001F28DD" w:rsidRPr="001F28DD" w:rsidRDefault="001F28DD" w:rsidP="001F28DD">
      <w:pPr>
        <w:tabs>
          <w:tab w:val="left" w:pos="2400"/>
          <w:tab w:val="left" w:pos="2880"/>
        </w:tabs>
        <w:spacing w:before="700" w:after="100" w:line="240" w:lineRule="auto"/>
        <w:outlineLvl w:val="0"/>
        <w:rPr>
          <w:rFonts w:ascii="Arial" w:eastAsia="Times New Roman" w:hAnsi="Arial" w:cs="Times New Roman"/>
          <w:b/>
          <w:sz w:val="40"/>
          <w:szCs w:val="20"/>
        </w:rPr>
      </w:pPr>
      <w:r w:rsidRPr="001F28DD">
        <w:rPr>
          <w:rFonts w:ascii="Arial" w:eastAsia="Times New Roman" w:hAnsi="Arial" w:cs="Times New Roman"/>
          <w:b/>
          <w:sz w:val="40"/>
          <w:szCs w:val="20"/>
        </w:rPr>
        <w:t>Nature Conservation (Murunung Naruwi) Conservation Advice 2026</w:t>
      </w:r>
    </w:p>
    <w:p w14:paraId="02A6BB68" w14:textId="015E0486" w:rsidR="001F28DD" w:rsidRPr="001F28DD" w:rsidRDefault="001F28DD" w:rsidP="001F28DD">
      <w:pPr>
        <w:spacing w:before="340" w:after="0" w:line="240" w:lineRule="auto"/>
        <w:outlineLvl w:val="1"/>
        <w:rPr>
          <w:rFonts w:ascii="Arial" w:eastAsia="Times New Roman" w:hAnsi="Arial" w:cs="Arial"/>
          <w:b/>
          <w:bCs/>
          <w:sz w:val="24"/>
          <w:szCs w:val="20"/>
        </w:rPr>
      </w:pPr>
      <w:r w:rsidRPr="001F28DD">
        <w:rPr>
          <w:rFonts w:ascii="Arial" w:eastAsia="Times New Roman" w:hAnsi="Arial" w:cs="Arial"/>
          <w:b/>
          <w:bCs/>
          <w:sz w:val="24"/>
          <w:szCs w:val="20"/>
        </w:rPr>
        <w:t>Notifiable instrument NI2026–</w:t>
      </w:r>
      <w:r w:rsidR="00165E6F">
        <w:rPr>
          <w:rFonts w:ascii="Arial" w:eastAsia="Times New Roman" w:hAnsi="Arial" w:cs="Arial"/>
          <w:b/>
          <w:bCs/>
          <w:sz w:val="24"/>
          <w:szCs w:val="20"/>
        </w:rPr>
        <w:t>457</w:t>
      </w:r>
    </w:p>
    <w:p w14:paraId="51703350" w14:textId="77777777" w:rsidR="001F28DD" w:rsidRPr="001F28DD" w:rsidRDefault="001F28DD" w:rsidP="001F28DD">
      <w:pPr>
        <w:spacing w:before="300" w:after="0" w:line="240" w:lineRule="auto"/>
        <w:jc w:val="both"/>
        <w:rPr>
          <w:rFonts w:ascii="Times New Roman" w:eastAsia="Times New Roman" w:hAnsi="Times New Roman" w:cs="Times New Roman"/>
          <w:sz w:val="24"/>
          <w:szCs w:val="20"/>
        </w:rPr>
      </w:pPr>
      <w:r w:rsidRPr="001F28DD">
        <w:rPr>
          <w:rFonts w:ascii="Times New Roman" w:eastAsia="Times New Roman" w:hAnsi="Times New Roman" w:cs="Times New Roman"/>
          <w:sz w:val="24"/>
          <w:szCs w:val="20"/>
        </w:rPr>
        <w:t xml:space="preserve">made under the  </w:t>
      </w:r>
    </w:p>
    <w:p w14:paraId="586D562F" w14:textId="77777777" w:rsidR="001F28DD" w:rsidRPr="001F28DD" w:rsidRDefault="001F28DD" w:rsidP="001F28DD">
      <w:pPr>
        <w:tabs>
          <w:tab w:val="left" w:pos="2600"/>
        </w:tabs>
        <w:spacing w:before="320" w:after="0" w:line="240" w:lineRule="auto"/>
        <w:rPr>
          <w:rFonts w:ascii="Arial" w:eastAsia="Times New Roman" w:hAnsi="Arial" w:cs="Times New Roman"/>
          <w:b/>
          <w:sz w:val="24"/>
          <w:szCs w:val="20"/>
        </w:rPr>
      </w:pPr>
      <w:r w:rsidRPr="001F28DD">
        <w:rPr>
          <w:rFonts w:ascii="Arial" w:eastAsia="Times New Roman" w:hAnsi="Arial" w:cs="Arial"/>
          <w:b/>
          <w:sz w:val="20"/>
          <w:szCs w:val="20"/>
        </w:rPr>
        <w:t>Nature Conservation Act 2014, s 90C (Conservation advice)</w:t>
      </w:r>
    </w:p>
    <w:p w14:paraId="75903CE9" w14:textId="77777777" w:rsidR="001F28DD" w:rsidRPr="001F28DD" w:rsidRDefault="001F28DD" w:rsidP="001F28DD">
      <w:pPr>
        <w:spacing w:before="60" w:after="0" w:line="240" w:lineRule="auto"/>
        <w:jc w:val="both"/>
        <w:rPr>
          <w:rFonts w:ascii="Times New Roman" w:eastAsia="Times New Roman" w:hAnsi="Times New Roman" w:cs="Times New Roman"/>
          <w:sz w:val="24"/>
          <w:szCs w:val="20"/>
        </w:rPr>
      </w:pPr>
    </w:p>
    <w:p w14:paraId="397DAFCE" w14:textId="77777777" w:rsidR="001F28DD" w:rsidRPr="001F28DD" w:rsidRDefault="001F28DD" w:rsidP="001F28DD">
      <w:pPr>
        <w:pBdr>
          <w:top w:val="single" w:sz="12" w:space="1" w:color="auto"/>
        </w:pBdr>
        <w:spacing w:after="0" w:line="240" w:lineRule="auto"/>
        <w:jc w:val="both"/>
        <w:rPr>
          <w:rFonts w:ascii="Times New Roman" w:eastAsia="Times New Roman" w:hAnsi="Times New Roman" w:cs="Times New Roman"/>
          <w:sz w:val="24"/>
          <w:szCs w:val="20"/>
        </w:rPr>
      </w:pPr>
    </w:p>
    <w:p w14:paraId="25CE40BD" w14:textId="77777777" w:rsidR="001F28DD" w:rsidRPr="001F28DD" w:rsidRDefault="001F28DD" w:rsidP="001F28DD">
      <w:pPr>
        <w:spacing w:before="60" w:after="60" w:line="240" w:lineRule="auto"/>
        <w:outlineLvl w:val="2"/>
        <w:rPr>
          <w:rFonts w:ascii="Arial" w:eastAsia="Times New Roman" w:hAnsi="Arial" w:cs="Arial"/>
          <w:b/>
          <w:bCs/>
          <w:sz w:val="24"/>
          <w:szCs w:val="20"/>
        </w:rPr>
      </w:pPr>
      <w:r w:rsidRPr="001F28DD">
        <w:rPr>
          <w:rFonts w:ascii="Arial" w:eastAsia="Times New Roman" w:hAnsi="Arial" w:cs="Arial"/>
          <w:b/>
          <w:bCs/>
          <w:sz w:val="24"/>
          <w:szCs w:val="20"/>
        </w:rPr>
        <w:t>1</w:t>
      </w:r>
      <w:r w:rsidRPr="001F28DD">
        <w:rPr>
          <w:rFonts w:ascii="Arial" w:eastAsia="Times New Roman" w:hAnsi="Arial" w:cs="Arial"/>
          <w:b/>
          <w:bCs/>
          <w:sz w:val="24"/>
          <w:szCs w:val="20"/>
        </w:rPr>
        <w:tab/>
        <w:t>Name of instrument</w:t>
      </w:r>
    </w:p>
    <w:p w14:paraId="74965066" w14:textId="77777777" w:rsidR="001F28DD" w:rsidRPr="001F28DD" w:rsidRDefault="001F28DD" w:rsidP="001F28DD">
      <w:pPr>
        <w:spacing w:before="140" w:after="0" w:line="240" w:lineRule="auto"/>
        <w:ind w:left="720"/>
        <w:rPr>
          <w:rFonts w:ascii="Times New Roman" w:eastAsia="Times New Roman" w:hAnsi="Times New Roman" w:cs="Times New Roman"/>
          <w:sz w:val="24"/>
          <w:szCs w:val="20"/>
        </w:rPr>
      </w:pPr>
      <w:r w:rsidRPr="001F28DD">
        <w:rPr>
          <w:rFonts w:ascii="Times New Roman" w:eastAsia="Times New Roman" w:hAnsi="Times New Roman" w:cs="Times New Roman"/>
          <w:sz w:val="24"/>
          <w:szCs w:val="20"/>
        </w:rPr>
        <w:t xml:space="preserve">This instrument is the </w:t>
      </w:r>
      <w:r w:rsidRPr="001F28DD">
        <w:rPr>
          <w:rFonts w:ascii="Times New Roman" w:eastAsia="Times New Roman" w:hAnsi="Times New Roman" w:cs="Times New Roman"/>
          <w:i/>
          <w:iCs/>
          <w:sz w:val="24"/>
          <w:szCs w:val="20"/>
        </w:rPr>
        <w:t>Nature Conservation (Murunung Naruwi) Conservation Advice 2026.</w:t>
      </w:r>
    </w:p>
    <w:p w14:paraId="45974CAB" w14:textId="77777777" w:rsidR="001F28DD" w:rsidRPr="001F28DD" w:rsidRDefault="001F28DD" w:rsidP="001F28DD">
      <w:pPr>
        <w:spacing w:before="300" w:after="0" w:line="240" w:lineRule="auto"/>
        <w:outlineLvl w:val="2"/>
        <w:rPr>
          <w:rFonts w:ascii="Arial" w:eastAsia="Times New Roman" w:hAnsi="Arial" w:cs="Arial"/>
          <w:b/>
          <w:bCs/>
          <w:sz w:val="24"/>
          <w:szCs w:val="20"/>
        </w:rPr>
      </w:pPr>
      <w:r w:rsidRPr="001F28DD">
        <w:rPr>
          <w:rFonts w:ascii="Arial" w:eastAsia="Times New Roman" w:hAnsi="Arial" w:cs="Arial"/>
          <w:b/>
          <w:bCs/>
          <w:sz w:val="24"/>
          <w:szCs w:val="20"/>
        </w:rPr>
        <w:t>2</w:t>
      </w:r>
      <w:r w:rsidRPr="001F28DD">
        <w:rPr>
          <w:rFonts w:ascii="Arial" w:eastAsia="Times New Roman" w:hAnsi="Arial" w:cs="Arial"/>
          <w:b/>
          <w:bCs/>
          <w:sz w:val="24"/>
          <w:szCs w:val="20"/>
        </w:rPr>
        <w:tab/>
        <w:t xml:space="preserve">Commencement </w:t>
      </w:r>
    </w:p>
    <w:p w14:paraId="58652073" w14:textId="77777777" w:rsidR="001F28DD" w:rsidRPr="001F28DD" w:rsidRDefault="001F28DD" w:rsidP="001F28DD">
      <w:pPr>
        <w:spacing w:before="140" w:after="0" w:line="240" w:lineRule="auto"/>
        <w:ind w:left="720"/>
        <w:rPr>
          <w:rFonts w:ascii="Times New Roman" w:eastAsia="Times New Roman" w:hAnsi="Times New Roman" w:cs="Times New Roman"/>
          <w:sz w:val="24"/>
          <w:szCs w:val="20"/>
        </w:rPr>
      </w:pPr>
      <w:r w:rsidRPr="001F28DD">
        <w:rPr>
          <w:rFonts w:ascii="Times New Roman" w:eastAsia="Times New Roman" w:hAnsi="Times New Roman" w:cs="Times New Roman"/>
          <w:sz w:val="24"/>
          <w:szCs w:val="20"/>
        </w:rPr>
        <w:t xml:space="preserve">This instrument commences on the day after its notification day. </w:t>
      </w:r>
    </w:p>
    <w:p w14:paraId="3A9ABDEF" w14:textId="77777777" w:rsidR="001F28DD" w:rsidRPr="001F28DD" w:rsidRDefault="001F28DD" w:rsidP="001F28DD">
      <w:pPr>
        <w:spacing w:before="300" w:after="0" w:line="240" w:lineRule="auto"/>
        <w:outlineLvl w:val="2"/>
        <w:rPr>
          <w:rFonts w:ascii="Arial" w:eastAsia="Times New Roman" w:hAnsi="Arial" w:cs="Arial"/>
          <w:b/>
          <w:bCs/>
          <w:sz w:val="24"/>
          <w:szCs w:val="20"/>
        </w:rPr>
      </w:pPr>
      <w:r w:rsidRPr="001F28DD">
        <w:rPr>
          <w:rFonts w:ascii="Arial" w:eastAsia="Times New Roman" w:hAnsi="Arial" w:cs="Arial"/>
          <w:b/>
          <w:bCs/>
          <w:sz w:val="24"/>
          <w:szCs w:val="20"/>
        </w:rPr>
        <w:t>3</w:t>
      </w:r>
      <w:r w:rsidRPr="001F28DD">
        <w:rPr>
          <w:rFonts w:ascii="Arial" w:eastAsia="Times New Roman" w:hAnsi="Arial" w:cs="Arial"/>
          <w:b/>
          <w:bCs/>
          <w:sz w:val="24"/>
          <w:szCs w:val="20"/>
        </w:rPr>
        <w:tab/>
        <w:t>Conservation advice for Murunung Naruwi</w:t>
      </w:r>
    </w:p>
    <w:p w14:paraId="5D7551B7" w14:textId="77777777" w:rsidR="001F28DD" w:rsidRPr="001F28DD" w:rsidRDefault="001F28DD" w:rsidP="001F28DD">
      <w:pPr>
        <w:spacing w:before="140" w:after="0" w:line="240" w:lineRule="auto"/>
        <w:ind w:left="720"/>
        <w:rPr>
          <w:rFonts w:ascii="Times New Roman" w:eastAsia="Times New Roman" w:hAnsi="Times New Roman" w:cs="Times New Roman"/>
          <w:sz w:val="24"/>
          <w:szCs w:val="20"/>
        </w:rPr>
      </w:pPr>
      <w:r w:rsidRPr="001F28DD">
        <w:rPr>
          <w:rFonts w:ascii="Times New Roman" w:eastAsia="Times New Roman" w:hAnsi="Times New Roman" w:cs="Times New Roman"/>
          <w:sz w:val="24"/>
          <w:szCs w:val="20"/>
        </w:rPr>
        <w:t>Schedule 1 sets out the conservation advice for Murunung Naruwi (</w:t>
      </w:r>
      <w:r w:rsidRPr="001F28DD">
        <w:rPr>
          <w:rFonts w:ascii="Times New Roman" w:eastAsia="Times New Roman" w:hAnsi="Times New Roman" w:cs="Times New Roman"/>
          <w:i/>
          <w:iCs/>
          <w:sz w:val="24"/>
          <w:szCs w:val="20"/>
        </w:rPr>
        <w:t>Euastacus crassus</w:t>
      </w:r>
      <w:r w:rsidRPr="001F28DD">
        <w:rPr>
          <w:rFonts w:ascii="Times New Roman" w:eastAsia="Times New Roman" w:hAnsi="Times New Roman" w:cs="Times New Roman"/>
          <w:sz w:val="24"/>
          <w:szCs w:val="20"/>
        </w:rPr>
        <w:t>).</w:t>
      </w:r>
    </w:p>
    <w:p w14:paraId="78CCB5CA" w14:textId="0EE0303F" w:rsidR="001F28DD" w:rsidRPr="001F28DD" w:rsidRDefault="001F28DD" w:rsidP="001F28DD">
      <w:pPr>
        <w:spacing w:before="720" w:after="0" w:line="240" w:lineRule="auto"/>
        <w:rPr>
          <w:rFonts w:ascii="Times New Roman" w:eastAsia="Times New Roman" w:hAnsi="Times New Roman" w:cs="Times New Roman"/>
          <w:sz w:val="24"/>
          <w:szCs w:val="24"/>
          <w:lang w:eastAsia="en-AU"/>
        </w:rPr>
      </w:pPr>
    </w:p>
    <w:p w14:paraId="6066FE31" w14:textId="77777777" w:rsidR="001F28DD" w:rsidRPr="001F28DD" w:rsidRDefault="001F28DD" w:rsidP="001F28DD">
      <w:pPr>
        <w:spacing w:before="720" w:after="0" w:line="240" w:lineRule="auto"/>
        <w:rPr>
          <w:rFonts w:ascii="Times New Roman" w:eastAsia="Times New Roman" w:hAnsi="Times New Roman" w:cs="Times New Roman"/>
          <w:sz w:val="24"/>
          <w:szCs w:val="24"/>
          <w:lang w:eastAsia="en-AU"/>
        </w:rPr>
      </w:pPr>
      <w:r w:rsidRPr="001F28DD">
        <w:rPr>
          <w:rFonts w:ascii="Times New Roman" w:eastAsia="Times New Roman" w:hAnsi="Times New Roman" w:cs="Times New Roman"/>
          <w:sz w:val="24"/>
          <w:szCs w:val="24"/>
          <w:lang w:eastAsia="en-AU"/>
        </w:rPr>
        <w:t>Simon Clulow</w:t>
      </w:r>
    </w:p>
    <w:p w14:paraId="6A3288B9" w14:textId="77777777" w:rsidR="001F28DD" w:rsidRPr="001F28DD" w:rsidRDefault="001F28DD" w:rsidP="001F28DD">
      <w:pPr>
        <w:spacing w:after="0" w:line="240" w:lineRule="auto"/>
        <w:rPr>
          <w:rFonts w:ascii="Times New Roman" w:eastAsia="Times New Roman" w:hAnsi="Times New Roman" w:cs="Times New Roman"/>
          <w:sz w:val="24"/>
          <w:szCs w:val="24"/>
          <w:lang w:eastAsia="en-AU"/>
        </w:rPr>
      </w:pPr>
      <w:r w:rsidRPr="001F28DD">
        <w:rPr>
          <w:rFonts w:ascii="Times New Roman" w:eastAsia="Times New Roman" w:hAnsi="Times New Roman" w:cs="Times New Roman"/>
          <w:sz w:val="24"/>
          <w:szCs w:val="24"/>
          <w:lang w:eastAsia="en-AU"/>
        </w:rPr>
        <w:t>Chair, Scientific Committee</w:t>
      </w:r>
    </w:p>
    <w:p w14:paraId="2FB402C4" w14:textId="77777777" w:rsidR="001F28DD" w:rsidRPr="001F28DD" w:rsidRDefault="001F28DD" w:rsidP="001F28DD">
      <w:pPr>
        <w:spacing w:after="0" w:line="240" w:lineRule="auto"/>
        <w:rPr>
          <w:rFonts w:ascii="Times New Roman" w:eastAsia="Times New Roman" w:hAnsi="Times New Roman" w:cs="Times New Roman"/>
          <w:sz w:val="24"/>
          <w:szCs w:val="24"/>
          <w:lang w:eastAsia="en-AU"/>
        </w:rPr>
      </w:pPr>
      <w:r w:rsidRPr="001F28DD">
        <w:rPr>
          <w:rFonts w:ascii="Times New Roman" w:eastAsia="Times New Roman" w:hAnsi="Times New Roman" w:cs="Times New Roman"/>
          <w:sz w:val="24"/>
          <w:szCs w:val="24"/>
          <w:lang w:eastAsia="en-AU"/>
        </w:rPr>
        <w:t>7 October 2026</w:t>
      </w:r>
      <w:r w:rsidRPr="001F28DD">
        <w:rPr>
          <w:rFonts w:ascii="Times New Roman" w:eastAsia="Times New Roman" w:hAnsi="Times New Roman" w:cs="Times New Roman"/>
          <w:sz w:val="24"/>
          <w:szCs w:val="24"/>
          <w:lang w:eastAsia="en-AU"/>
        </w:rPr>
        <w:br w:type="page"/>
      </w:r>
    </w:p>
    <w:p w14:paraId="27DADFB6" w14:textId="77777777" w:rsidR="001F28DD" w:rsidRPr="001F28DD" w:rsidRDefault="001F28DD" w:rsidP="001F28DD">
      <w:pPr>
        <w:spacing w:after="0" w:line="240" w:lineRule="auto"/>
        <w:rPr>
          <w:rFonts w:ascii="Arial" w:eastAsia="Times New Roman" w:hAnsi="Arial" w:cs="Arial"/>
          <w:b/>
          <w:sz w:val="34"/>
          <w:szCs w:val="34"/>
        </w:rPr>
      </w:pPr>
      <w:r w:rsidRPr="001F28DD">
        <w:rPr>
          <w:rFonts w:ascii="Arial" w:eastAsia="Times New Roman" w:hAnsi="Arial" w:cs="Arial"/>
          <w:b/>
          <w:sz w:val="34"/>
          <w:szCs w:val="34"/>
        </w:rPr>
        <w:lastRenderedPageBreak/>
        <w:t>Schedule 1</w:t>
      </w:r>
    </w:p>
    <w:p w14:paraId="12C52009" w14:textId="77777777" w:rsidR="001F28DD" w:rsidRPr="001F28DD" w:rsidRDefault="001F28DD" w:rsidP="001F28DD">
      <w:pPr>
        <w:spacing w:before="60" w:after="0" w:line="240" w:lineRule="auto"/>
        <w:rPr>
          <w:rFonts w:ascii="Times New Roman" w:eastAsia="Times New Roman" w:hAnsi="Times New Roman" w:cs="Times New Roman"/>
          <w:sz w:val="18"/>
          <w:szCs w:val="18"/>
        </w:rPr>
      </w:pPr>
      <w:r w:rsidRPr="001F28DD">
        <w:rPr>
          <w:rFonts w:ascii="Times New Roman" w:eastAsia="Times New Roman" w:hAnsi="Times New Roman" w:cs="Times New Roman"/>
          <w:sz w:val="18"/>
          <w:szCs w:val="18"/>
        </w:rPr>
        <w:t>(see s 3)</w:t>
      </w:r>
    </w:p>
    <w:p w14:paraId="2F6AC7B9" w14:textId="77777777" w:rsidR="001F28DD" w:rsidRPr="001F28DD" w:rsidRDefault="001F28DD" w:rsidP="001F28DD">
      <w:pPr>
        <w:pBdr>
          <w:bottom w:val="single" w:sz="4" w:space="1" w:color="auto"/>
        </w:pBdr>
        <w:tabs>
          <w:tab w:val="left" w:pos="1985"/>
        </w:tabs>
        <w:spacing w:before="60" w:after="0" w:line="240" w:lineRule="auto"/>
        <w:rPr>
          <w:rFonts w:ascii="Times New Roman" w:eastAsia="Times New Roman" w:hAnsi="Times New Roman" w:cs="Times New Roman"/>
          <w:sz w:val="18"/>
          <w:szCs w:val="18"/>
        </w:rPr>
      </w:pPr>
    </w:p>
    <w:p w14:paraId="2E7CBE81" w14:textId="77777777" w:rsidR="001F28DD" w:rsidRPr="001F28DD" w:rsidRDefault="001F28DD" w:rsidP="001F28DD">
      <w:pPr>
        <w:tabs>
          <w:tab w:val="left" w:pos="1985"/>
        </w:tabs>
        <w:spacing w:after="0" w:line="240" w:lineRule="auto"/>
        <w:rPr>
          <w:rFonts w:ascii="Times New Roman" w:eastAsia="Times New Roman" w:hAnsi="Times New Roman" w:cs="Times New Roman"/>
          <w:sz w:val="24"/>
          <w:szCs w:val="20"/>
        </w:rPr>
      </w:pPr>
    </w:p>
    <w:p w14:paraId="761A37D5" w14:textId="77777777" w:rsidR="001F28DD" w:rsidRPr="001F28DD" w:rsidRDefault="001F28DD" w:rsidP="001F28DD">
      <w:pPr>
        <w:sectPr w:rsidR="001F28DD" w:rsidRPr="001F28DD" w:rsidSect="00B1141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p w14:paraId="0C5CE4E0" w14:textId="574ABEC1" w:rsidR="00511A29" w:rsidRPr="00F623DD" w:rsidRDefault="00511A29" w:rsidP="00511A29">
      <w:pPr>
        <w:pStyle w:val="Heading1-notindexed"/>
        <w:rPr>
          <w:i/>
          <w:sz w:val="36"/>
          <w:szCs w:val="36"/>
        </w:rPr>
      </w:pPr>
      <w:r w:rsidRPr="00511A29">
        <w:rPr>
          <w:szCs w:val="20"/>
        </w:rPr>
        <w:lastRenderedPageBreak/>
        <w:t>Conservation Advice</w:t>
      </w:r>
      <w:r w:rsidRPr="00511A29">
        <w:rPr>
          <w:szCs w:val="20"/>
        </w:rPr>
        <w:br/>
      </w:r>
      <w:r w:rsidR="00CA3380">
        <w:rPr>
          <w:sz w:val="36"/>
          <w:szCs w:val="36"/>
        </w:rPr>
        <w:t>MURUNUNG NARUWI</w:t>
      </w:r>
      <w:r w:rsidRPr="00F02178">
        <w:rPr>
          <w:sz w:val="36"/>
          <w:szCs w:val="36"/>
        </w:rPr>
        <w:t xml:space="preserve"> – </w:t>
      </w:r>
      <w:r w:rsidR="00F02178" w:rsidRPr="00F02178">
        <w:rPr>
          <w:i/>
          <w:caps w:val="0"/>
          <w:sz w:val="36"/>
          <w:szCs w:val="36"/>
        </w:rPr>
        <w:t xml:space="preserve">Euastacus </w:t>
      </w:r>
      <w:r w:rsidR="00D206CE">
        <w:rPr>
          <w:i/>
          <w:caps w:val="0"/>
          <w:sz w:val="36"/>
          <w:szCs w:val="36"/>
        </w:rPr>
        <w:t>crassus</w:t>
      </w:r>
    </w:p>
    <w:p w14:paraId="62C52AD5" w14:textId="76FFB5A5" w:rsidR="00511A29" w:rsidRPr="005C7F26" w:rsidRDefault="00511A29" w:rsidP="00511A29">
      <w:pPr>
        <w:pBdr>
          <w:bottom w:val="single" w:sz="12" w:space="1" w:color="auto"/>
        </w:pBdr>
        <w:tabs>
          <w:tab w:val="left" w:pos="9071"/>
        </w:tabs>
        <w:contextualSpacing/>
        <w:mirrorIndents/>
        <w:rPr>
          <w:sz w:val="22"/>
          <w:szCs w:val="22"/>
        </w:rPr>
      </w:pPr>
    </w:p>
    <w:p w14:paraId="410915D4" w14:textId="1F037859" w:rsidR="00F623DD" w:rsidRDefault="00F623DD" w:rsidP="00832AE4">
      <w:pPr>
        <w:pStyle w:val="Heading2-notindexed"/>
      </w:pPr>
      <w:r>
        <w:t>Conservation Status</w:t>
      </w:r>
    </w:p>
    <w:p w14:paraId="149747CD" w14:textId="771B00B5" w:rsidR="00F623DD" w:rsidRDefault="00F623DD" w:rsidP="00F623DD">
      <w:r>
        <w:t>The</w:t>
      </w:r>
      <w:r w:rsidR="00D17ADA" w:rsidRPr="00D17ADA">
        <w:t xml:space="preserve"> </w:t>
      </w:r>
      <w:r w:rsidR="00CA3380">
        <w:t>Murunung Naruwi</w:t>
      </w:r>
      <w:r w:rsidR="00D17ADA" w:rsidRPr="00D17ADA">
        <w:t xml:space="preserve"> – </w:t>
      </w:r>
      <w:r w:rsidR="00D17ADA" w:rsidRPr="00D17ADA">
        <w:rPr>
          <w:i/>
          <w:iCs/>
        </w:rPr>
        <w:t xml:space="preserve">Euastacus </w:t>
      </w:r>
      <w:r w:rsidR="00D206CE">
        <w:rPr>
          <w:i/>
          <w:iCs/>
        </w:rPr>
        <w:t>crassus</w:t>
      </w:r>
      <w:r w:rsidR="00D206CE" w:rsidRPr="00790292">
        <w:t xml:space="preserve"> </w:t>
      </w:r>
      <w:r w:rsidR="00790292" w:rsidRPr="00790292">
        <w:t>(</w:t>
      </w:r>
      <w:r w:rsidR="00D206CE">
        <w:t>Riek</w:t>
      </w:r>
      <w:r w:rsidR="00790292">
        <w:t>,</w:t>
      </w:r>
      <w:r w:rsidR="00D206CE">
        <w:t xml:space="preserve"> </w:t>
      </w:r>
      <w:r w:rsidR="00D206CE" w:rsidRPr="00F37F8A">
        <w:t>19</w:t>
      </w:r>
      <w:r w:rsidR="00790292">
        <w:t>51)</w:t>
      </w:r>
      <w:r w:rsidR="00D206CE">
        <w:t xml:space="preserve"> </w:t>
      </w:r>
      <w:r w:rsidR="00663396" w:rsidRPr="00663396">
        <w:t xml:space="preserve">– </w:t>
      </w:r>
      <w:r>
        <w:t xml:space="preserve">is recognised as threatened in the following </w:t>
      </w:r>
      <w:r w:rsidR="00BD5FD9">
        <w:t>jurisdictions</w:t>
      </w:r>
      <w:r>
        <w:t>:</w:t>
      </w:r>
    </w:p>
    <w:p w14:paraId="36FC3F34" w14:textId="25B9AA05" w:rsidR="00C51682" w:rsidRDefault="00C51682" w:rsidP="00321CA9">
      <w:pPr>
        <w:tabs>
          <w:tab w:val="left" w:pos="1418"/>
        </w:tabs>
        <w:ind w:left="1418" w:hanging="1418"/>
        <w:contextualSpacing/>
      </w:pPr>
      <w:r>
        <w:t>International</w:t>
      </w:r>
      <w:r>
        <w:tab/>
        <w:t xml:space="preserve">Endangered, </w:t>
      </w:r>
      <w:r w:rsidRPr="00677C43">
        <w:t xml:space="preserve">International Union </w:t>
      </w:r>
      <w:r>
        <w:t xml:space="preserve">for </w:t>
      </w:r>
      <w:r w:rsidRPr="00677C43">
        <w:t>Conservation of Nature (IUCN) Red List</w:t>
      </w:r>
    </w:p>
    <w:p w14:paraId="3F47373C" w14:textId="1852381A" w:rsidR="00F623DD" w:rsidRPr="00677C43" w:rsidRDefault="00321CA9" w:rsidP="00321CA9">
      <w:pPr>
        <w:tabs>
          <w:tab w:val="left" w:pos="1418"/>
        </w:tabs>
        <w:ind w:left="1418" w:hanging="1418"/>
        <w:contextualSpacing/>
      </w:pPr>
      <w:r w:rsidRPr="00677C43">
        <w:t>National</w:t>
      </w:r>
      <w:r w:rsidR="00F623DD" w:rsidRPr="00677C43">
        <w:tab/>
      </w:r>
      <w:r w:rsidR="00CA3380">
        <w:t>Under assessment</w:t>
      </w:r>
      <w:r w:rsidR="00F623DD" w:rsidRPr="00D206CE">
        <w:t>,</w:t>
      </w:r>
      <w:r w:rsidR="00F623DD" w:rsidRPr="00677C43">
        <w:t xml:space="preserve"> </w:t>
      </w:r>
      <w:r w:rsidR="00F623DD" w:rsidRPr="00677C43">
        <w:rPr>
          <w:i/>
        </w:rPr>
        <w:t>Environment Protection and Biodiversity Conservation Act 1999</w:t>
      </w:r>
      <w:r w:rsidR="00D17ADA">
        <w:rPr>
          <w:i/>
        </w:rPr>
        <w:t xml:space="preserve"> </w:t>
      </w:r>
      <w:r w:rsidR="00D17ADA">
        <w:rPr>
          <w:iCs/>
        </w:rPr>
        <w:t>(EPBC</w:t>
      </w:r>
      <w:r w:rsidR="00C42D33">
        <w:rPr>
          <w:iCs/>
        </w:rPr>
        <w:t> </w:t>
      </w:r>
      <w:r w:rsidR="00D17ADA">
        <w:rPr>
          <w:iCs/>
        </w:rPr>
        <w:t>Act)</w:t>
      </w:r>
    </w:p>
    <w:p w14:paraId="2A1EC85F" w14:textId="7B44949F" w:rsidR="00F623DD" w:rsidRDefault="00321CA9" w:rsidP="00321CA9">
      <w:pPr>
        <w:tabs>
          <w:tab w:val="left" w:pos="1418"/>
        </w:tabs>
        <w:ind w:left="1418" w:hanging="1418"/>
        <w:contextualSpacing/>
        <w:rPr>
          <w:i/>
          <w:iCs/>
        </w:rPr>
      </w:pPr>
      <w:r w:rsidRPr="00677C43">
        <w:t>ACT</w:t>
      </w:r>
      <w:r w:rsidR="00F623DD" w:rsidRPr="00677C43">
        <w:tab/>
      </w:r>
      <w:r w:rsidR="00025328">
        <w:rPr>
          <w:b/>
          <w:bCs/>
        </w:rPr>
        <w:t>Endangered</w:t>
      </w:r>
      <w:r w:rsidR="00F623DD" w:rsidRPr="00677C43">
        <w:rPr>
          <w:iCs/>
        </w:rPr>
        <w:t>,</w:t>
      </w:r>
      <w:r w:rsidR="00F623DD" w:rsidRPr="00677C43">
        <w:rPr>
          <w:i/>
          <w:iCs/>
        </w:rPr>
        <w:t xml:space="preserve"> Nature Conservation Act 2014</w:t>
      </w:r>
    </w:p>
    <w:p w14:paraId="7C789AD5" w14:textId="02665004" w:rsidR="00677C43" w:rsidRPr="00D742BE" w:rsidRDefault="00677C43" w:rsidP="00832AE4">
      <w:pPr>
        <w:pStyle w:val="Heading2-notindexed"/>
      </w:pPr>
      <w:r w:rsidRPr="00D742BE">
        <w:t>ELIGIBILITY</w:t>
      </w:r>
    </w:p>
    <w:p w14:paraId="7CA9B54B" w14:textId="3A2CD344" w:rsidR="00FB48AB" w:rsidRDefault="00663396" w:rsidP="00FB48AB">
      <w:pPr>
        <w:pStyle w:val="ListParagraph"/>
        <w:ind w:left="0"/>
      </w:pPr>
      <w:r w:rsidRPr="00C3359C">
        <w:t>The</w:t>
      </w:r>
      <w:r w:rsidR="00904DF9">
        <w:t xml:space="preserve"> </w:t>
      </w:r>
      <w:r w:rsidR="00CA3380">
        <w:t>Murunung Naruwi</w:t>
      </w:r>
      <w:r w:rsidRPr="00C3359C">
        <w:t xml:space="preserve"> is </w:t>
      </w:r>
      <w:r w:rsidR="00D206CE">
        <w:t xml:space="preserve">eligible to be </w:t>
      </w:r>
      <w:r w:rsidRPr="00C3359C">
        <w:t>listed as</w:t>
      </w:r>
      <w:r w:rsidR="00904DF9">
        <w:t xml:space="preserve"> Endangered</w:t>
      </w:r>
      <w:r w:rsidRPr="00C3359C">
        <w:t xml:space="preserve"> in the ACT Threatened Native Species List under </w:t>
      </w:r>
      <w:r w:rsidRPr="008971A0">
        <w:t>IUCN</w:t>
      </w:r>
      <w:r w:rsidR="005B5E17">
        <w:t> </w:t>
      </w:r>
      <w:r w:rsidRPr="008971A0">
        <w:t>Criter</w:t>
      </w:r>
      <w:r w:rsidRPr="00C3359C">
        <w:t>i</w:t>
      </w:r>
      <w:r w:rsidR="004C70D7">
        <w:t>on</w:t>
      </w:r>
      <w:r w:rsidR="005B5E17">
        <w:t> </w:t>
      </w:r>
      <w:r w:rsidR="004C70D7">
        <w:t>B</w:t>
      </w:r>
      <w:r w:rsidRPr="00C3359C">
        <w:t>:</w:t>
      </w:r>
      <w:r w:rsidR="005B5E17">
        <w:t> </w:t>
      </w:r>
      <w:r w:rsidR="00904DF9" w:rsidRPr="00904DF9">
        <w:t>B</w:t>
      </w:r>
      <w:r w:rsidR="00A610A8" w:rsidRPr="001F67FD">
        <w:rPr>
          <w:bCs/>
          <w:lang w:eastAsia="ja-JP"/>
        </w:rPr>
        <w:t>1ab(</w:t>
      </w:r>
      <w:proofErr w:type="spellStart"/>
      <w:r w:rsidR="00A610A8" w:rsidRPr="001F67FD">
        <w:rPr>
          <w:bCs/>
          <w:lang w:eastAsia="ja-JP"/>
        </w:rPr>
        <w:t>iii,v</w:t>
      </w:r>
      <w:proofErr w:type="spellEnd"/>
      <w:r w:rsidR="00A610A8" w:rsidRPr="001F67FD">
        <w:rPr>
          <w:bCs/>
          <w:lang w:eastAsia="ja-JP"/>
        </w:rPr>
        <w:t>)+</w:t>
      </w:r>
      <w:r w:rsidR="00904DF9" w:rsidRPr="00904DF9">
        <w:t>2ab(</w:t>
      </w:r>
      <w:proofErr w:type="spellStart"/>
      <w:r w:rsidR="00904DF9" w:rsidRPr="00904DF9">
        <w:t>iii,v</w:t>
      </w:r>
      <w:proofErr w:type="spellEnd"/>
      <w:r w:rsidR="00904DF9" w:rsidRPr="00904DF9">
        <w:t>)</w:t>
      </w:r>
      <w:r w:rsidRPr="008971A0">
        <w:t xml:space="preserve"> </w:t>
      </w:r>
      <w:r w:rsidR="00BF0A16" w:rsidRPr="00BF0A16">
        <w:t>at the national level (Attachment</w:t>
      </w:r>
      <w:r w:rsidR="005B5E17">
        <w:t> </w:t>
      </w:r>
      <w:r w:rsidR="00BF0A16" w:rsidRPr="00BF0A16">
        <w:t>A)</w:t>
      </w:r>
      <w:r w:rsidR="00BF0A16">
        <w:t xml:space="preserve">. </w:t>
      </w:r>
      <w:r w:rsidR="00BF0A16" w:rsidRPr="00BF0A16">
        <w:t>T</w:t>
      </w:r>
      <w:r w:rsidR="007C74EF" w:rsidRPr="00BF0A16">
        <w:t xml:space="preserve">he main contributing factors </w:t>
      </w:r>
      <w:r w:rsidR="00BF0A16">
        <w:t xml:space="preserve">are </w:t>
      </w:r>
      <w:r w:rsidR="004C70D7">
        <w:t xml:space="preserve">a restricted </w:t>
      </w:r>
      <w:r w:rsidR="00591860">
        <w:t>distribution (</w:t>
      </w:r>
      <w:r w:rsidR="00C42D33">
        <w:t>extent of occurrence</w:t>
      </w:r>
      <w:r w:rsidR="004C70D7">
        <w:t xml:space="preserve"> (</w:t>
      </w:r>
      <w:r w:rsidR="00C42D33">
        <w:t>E</w:t>
      </w:r>
      <w:r w:rsidR="004C70D7">
        <w:t>OO) of 1</w:t>
      </w:r>
      <w:r w:rsidR="00C42D33">
        <w:t>77</w:t>
      </w:r>
      <w:r w:rsidR="005B5E17">
        <w:t> </w:t>
      </w:r>
      <w:r w:rsidR="004C70D7">
        <w:t>km</w:t>
      </w:r>
      <w:r w:rsidR="004C70D7" w:rsidRPr="004C70D7">
        <w:rPr>
          <w:vertAlign w:val="superscript"/>
        </w:rPr>
        <w:t>2</w:t>
      </w:r>
      <w:r w:rsidR="00C42D33" w:rsidRPr="00C42D33">
        <w:t xml:space="preserve"> </w:t>
      </w:r>
      <w:r w:rsidR="00C42D33">
        <w:t>and area of occupancy (AOO</w:t>
      </w:r>
      <w:r w:rsidR="00591860">
        <w:t xml:space="preserve">) </w:t>
      </w:r>
      <w:r w:rsidR="00C42D33">
        <w:t>of 48 km</w:t>
      </w:r>
      <w:r w:rsidR="00C42D33" w:rsidRPr="00C42D33">
        <w:rPr>
          <w:vertAlign w:val="superscript"/>
        </w:rPr>
        <w:t>2</w:t>
      </w:r>
      <w:r w:rsidR="00C42D33">
        <w:t xml:space="preserve">) </w:t>
      </w:r>
      <w:r w:rsidR="004C70D7">
        <w:t xml:space="preserve">and number of locations </w:t>
      </w:r>
      <w:r w:rsidR="00591860">
        <w:t xml:space="preserve">(not greater than five (5)) </w:t>
      </w:r>
      <w:r w:rsidR="004C70D7">
        <w:t xml:space="preserve">with </w:t>
      </w:r>
      <w:r w:rsidR="00BF0A16">
        <w:t xml:space="preserve">continuing decline </w:t>
      </w:r>
      <w:r w:rsidR="00591860">
        <w:t xml:space="preserve">inferred </w:t>
      </w:r>
      <w:r w:rsidR="00BF0A16">
        <w:t>in area, extent and/or quality of habitat</w:t>
      </w:r>
      <w:r w:rsidR="00591860">
        <w:t>, and number of mature individuals</w:t>
      </w:r>
      <w:r w:rsidR="004C70D7">
        <w:t xml:space="preserve"> </w:t>
      </w:r>
      <w:r w:rsidR="00BF0A16">
        <w:t>due to climate change (increasing temperature and increasing bushfire</w:t>
      </w:r>
      <w:r w:rsidR="004C70D7">
        <w:t xml:space="preserve"> frequency</w:t>
      </w:r>
      <w:r w:rsidR="00BF0A16">
        <w:t>) and other threats</w:t>
      </w:r>
      <w:r w:rsidR="00591860">
        <w:t xml:space="preserve"> including predation by foxes (particularly after fire) and habitat degradation by horses </w:t>
      </w:r>
      <w:r w:rsidR="0071151B">
        <w:t>(</w:t>
      </w:r>
      <w:r w:rsidR="00D206CE">
        <w:t>Attachment A</w:t>
      </w:r>
      <w:r w:rsidR="0071151B" w:rsidRPr="00E0749D">
        <w:t>)</w:t>
      </w:r>
      <w:r w:rsidR="00BF0A16" w:rsidRPr="00E0749D">
        <w:t>.</w:t>
      </w:r>
      <w:r w:rsidR="00BF0A16">
        <w:t xml:space="preserve"> </w:t>
      </w:r>
    </w:p>
    <w:p w14:paraId="15E08784" w14:textId="0A8C3A2C" w:rsidR="007A182B" w:rsidRDefault="00C51682" w:rsidP="00832AE4">
      <w:pPr>
        <w:pStyle w:val="Heading2-notindexed"/>
      </w:pPr>
      <w:r>
        <w:rPr>
          <w:noProof/>
        </w:rPr>
        <w:drawing>
          <wp:anchor distT="0" distB="0" distL="114300" distR="114300" simplePos="0" relativeHeight="251658240" behindDoc="0" locked="0" layoutInCell="1" allowOverlap="1" wp14:anchorId="2DEC883B" wp14:editId="40A050A6">
            <wp:simplePos x="0" y="0"/>
            <wp:positionH relativeFrom="margin">
              <wp:posOffset>2821940</wp:posOffset>
            </wp:positionH>
            <wp:positionV relativeFrom="margin">
              <wp:posOffset>4705985</wp:posOffset>
            </wp:positionV>
            <wp:extent cx="2911475" cy="3829685"/>
            <wp:effectExtent l="0" t="0" r="317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5" cstate="print">
                      <a:extLst>
                        <a:ext uri="{28A0092B-C50C-407E-A947-70E740481C1C}">
                          <a14:useLocalDpi xmlns:a14="http://schemas.microsoft.com/office/drawing/2010/main" val="0"/>
                        </a:ext>
                      </a:extLst>
                    </a:blip>
                    <a:srcRect l="5197" t="668" r="4446" b="2481"/>
                    <a:stretch/>
                  </pic:blipFill>
                  <pic:spPr bwMode="auto">
                    <a:xfrm>
                      <a:off x="0" y="0"/>
                      <a:ext cx="2911475" cy="3829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182B">
        <w:t>DESCRIPTION AND ECOLOGY</w:t>
      </w:r>
    </w:p>
    <w:p w14:paraId="5F74B920" w14:textId="0678D323" w:rsidR="00591860" w:rsidRDefault="00BC7C57" w:rsidP="00836CFC">
      <w:r>
        <w:t>T</w:t>
      </w:r>
      <w:r w:rsidR="00D206CE">
        <w:t>he</w:t>
      </w:r>
      <w:r w:rsidR="00CA3380">
        <w:t xml:space="preserve"> </w:t>
      </w:r>
      <w:r w:rsidR="000F493D">
        <w:t>Murunung Naruwi</w:t>
      </w:r>
      <w:r w:rsidR="000F493D" w:rsidRPr="000F493D">
        <w:t xml:space="preserve"> </w:t>
      </w:r>
      <w:r w:rsidR="00CA3380">
        <w:t>(translated as cold</w:t>
      </w:r>
      <w:r w:rsidR="00CA3380" w:rsidRPr="00B53782">
        <w:t xml:space="preserve"> </w:t>
      </w:r>
      <w:r w:rsidR="00CA3380">
        <w:t>c</w:t>
      </w:r>
      <w:r w:rsidR="00CA3380" w:rsidRPr="00B53782">
        <w:t>rayfish</w:t>
      </w:r>
      <w:r w:rsidR="00E2462E">
        <w:t xml:space="preserve"> – </w:t>
      </w:r>
      <w:proofErr w:type="spellStart"/>
      <w:r w:rsidR="000F493D" w:rsidRPr="000F493D">
        <w:t>Winanggaay</w:t>
      </w:r>
      <w:proofErr w:type="spellEnd"/>
      <w:r w:rsidR="000F493D" w:rsidRPr="000F493D">
        <w:t xml:space="preserve"> Ngunnawal Language Aboriginal Corporation)</w:t>
      </w:r>
      <w:r w:rsidR="00B53782" w:rsidRPr="00B53782">
        <w:t xml:space="preserve"> </w:t>
      </w:r>
      <w:r w:rsidR="00C538CC">
        <w:t xml:space="preserve">and previously known as the Alpine Spiny Crayfish, </w:t>
      </w:r>
      <w:r w:rsidR="00B53782" w:rsidRPr="00B53782">
        <w:t xml:space="preserve">is </w:t>
      </w:r>
      <w:r w:rsidR="00207B20">
        <w:t xml:space="preserve">a </w:t>
      </w:r>
      <w:r w:rsidR="00B53782" w:rsidRPr="00B53782">
        <w:t xml:space="preserve">small and </w:t>
      </w:r>
      <w:r w:rsidR="002E173B">
        <w:t>spiny</w:t>
      </w:r>
      <w:r w:rsidR="002E173B" w:rsidRPr="00B53782">
        <w:t xml:space="preserve"> </w:t>
      </w:r>
      <w:r w:rsidR="00207B20">
        <w:t xml:space="preserve">crayfish </w:t>
      </w:r>
      <w:r w:rsidR="00B53782" w:rsidRPr="00B53782">
        <w:rPr>
          <w:iCs/>
        </w:rPr>
        <w:t>(Coughran 2008)</w:t>
      </w:r>
      <w:r w:rsidR="00207B20">
        <w:t>,</w:t>
      </w:r>
      <w:r w:rsidR="00B53782" w:rsidRPr="00B53782">
        <w:t xml:space="preserve"> recorded as reaching 5</w:t>
      </w:r>
      <w:r w:rsidR="00D206CE">
        <w:t>8</w:t>
      </w:r>
      <w:r w:rsidR="005B5E17">
        <w:t> </w:t>
      </w:r>
      <w:r w:rsidR="00B53782" w:rsidRPr="00B53782">
        <w:t>mm occipital carapace length (OCL</w:t>
      </w:r>
      <w:r w:rsidR="002E173B">
        <w:t xml:space="preserve"> </w:t>
      </w:r>
      <w:r w:rsidR="00CB4E95">
        <w:t>(</w:t>
      </w:r>
      <w:r w:rsidR="005B5E17">
        <w:t>‘</w:t>
      </w:r>
      <w:r w:rsidR="002E173B">
        <w:t xml:space="preserve">head </w:t>
      </w:r>
      <w:r w:rsidR="00CB4E95">
        <w:t>length</w:t>
      </w:r>
      <w:r w:rsidR="005B5E17">
        <w:t>’</w:t>
      </w:r>
      <w:r w:rsidR="002E173B">
        <w:t>)</w:t>
      </w:r>
      <w:r w:rsidR="00207B20">
        <w:t>)</w:t>
      </w:r>
      <w:r w:rsidR="00B53782" w:rsidRPr="00B53782">
        <w:t xml:space="preserve"> </w:t>
      </w:r>
      <w:r w:rsidR="002E173B">
        <w:t>(</w:t>
      </w:r>
      <w:r w:rsidR="00B53782" w:rsidRPr="00B53782">
        <w:t xml:space="preserve">Morgan 1997). The body is usually </w:t>
      </w:r>
      <w:r w:rsidR="00D206CE" w:rsidRPr="007C1516">
        <w:t xml:space="preserve">blue-green with abdominal segments reddish </w:t>
      </w:r>
      <w:r w:rsidR="00D206CE">
        <w:t xml:space="preserve">across the front half of body tending to </w:t>
      </w:r>
      <w:r w:rsidR="00D206CE" w:rsidRPr="007C1516">
        <w:t xml:space="preserve">blue-green </w:t>
      </w:r>
      <w:r w:rsidR="00D206CE">
        <w:t xml:space="preserve">toward the back and </w:t>
      </w:r>
      <w:r w:rsidR="00D206CE" w:rsidRPr="007C1516">
        <w:t>blue laterally</w:t>
      </w:r>
      <w:r w:rsidR="00D206CE">
        <w:t xml:space="preserve"> </w:t>
      </w:r>
      <w:r w:rsidR="00E97DA4">
        <w:t>with bright blue</w:t>
      </w:r>
      <w:r w:rsidR="007B7404">
        <w:t xml:space="preserve"> c</w:t>
      </w:r>
      <w:r w:rsidR="007B7404" w:rsidRPr="00B53782">
        <w:t>law</w:t>
      </w:r>
      <w:r w:rsidR="00E97DA4">
        <w:t>s</w:t>
      </w:r>
      <w:r w:rsidR="007B7404">
        <w:t xml:space="preserve"> </w:t>
      </w:r>
      <w:r w:rsidR="00E97DA4">
        <w:t xml:space="preserve">being </w:t>
      </w:r>
      <w:r w:rsidR="007B7404">
        <w:t xml:space="preserve">white </w:t>
      </w:r>
      <w:r w:rsidR="007B7404" w:rsidRPr="007B7404">
        <w:t xml:space="preserve">underneath </w:t>
      </w:r>
      <w:r w:rsidR="00D206CE" w:rsidRPr="007B7404">
        <w:t>(Riek 1951; Morgan 1997; McCormack 2012)</w:t>
      </w:r>
      <w:r w:rsidR="00B53782" w:rsidRPr="007B7404">
        <w:t>.</w:t>
      </w:r>
      <w:r w:rsidR="00B53782" w:rsidRPr="00B53782">
        <w:t xml:space="preserve"> </w:t>
      </w:r>
      <w:r w:rsidR="00496C5E">
        <w:t xml:space="preserve">Internal features are generally required to distinguish this species. </w:t>
      </w:r>
    </w:p>
    <w:p w14:paraId="7AD2F82A" w14:textId="79B184E1" w:rsidR="00836CFC" w:rsidRPr="00365A46" w:rsidRDefault="00C7583A" w:rsidP="00836CFC">
      <w:r>
        <w:rPr>
          <w:noProof/>
        </w:rPr>
        <mc:AlternateContent>
          <mc:Choice Requires="wps">
            <w:drawing>
              <wp:anchor distT="0" distB="0" distL="114300" distR="114300" simplePos="0" relativeHeight="251660288" behindDoc="0" locked="0" layoutInCell="1" allowOverlap="1" wp14:anchorId="06DF2BE8" wp14:editId="699E23A7">
                <wp:simplePos x="0" y="0"/>
                <wp:positionH relativeFrom="margin">
                  <wp:align>right</wp:align>
                </wp:positionH>
                <wp:positionV relativeFrom="page">
                  <wp:posOffset>9627870</wp:posOffset>
                </wp:positionV>
                <wp:extent cx="3345180" cy="152400"/>
                <wp:effectExtent l="0" t="0" r="7620" b="0"/>
                <wp:wrapSquare wrapText="bothSides"/>
                <wp:docPr id="17" name="Text Box 17"/>
                <wp:cNvGraphicFramePr/>
                <a:graphic xmlns:a="http://schemas.openxmlformats.org/drawingml/2006/main">
                  <a:graphicData uri="http://schemas.microsoft.com/office/word/2010/wordprocessingShape">
                    <wps:wsp>
                      <wps:cNvSpPr txBox="1"/>
                      <wps:spPr>
                        <a:xfrm>
                          <a:off x="0" y="0"/>
                          <a:ext cx="3345180" cy="152400"/>
                        </a:xfrm>
                        <a:prstGeom prst="rect">
                          <a:avLst/>
                        </a:prstGeom>
                        <a:solidFill>
                          <a:prstClr val="white"/>
                        </a:solidFill>
                        <a:ln>
                          <a:noFill/>
                        </a:ln>
                      </wps:spPr>
                      <wps:txbx>
                        <w:txbxContent>
                          <w:p w14:paraId="29DB5D14" w14:textId="0AB5DB5E" w:rsidR="00836CFC" w:rsidRPr="008C5CD0" w:rsidRDefault="00E2462E" w:rsidP="00836CFC">
                            <w:pPr>
                              <w:pStyle w:val="Caption"/>
                              <w:jc w:val="right"/>
                              <w:rPr>
                                <w:b w:val="0"/>
                                <w:bCs w:val="0"/>
                                <w:noProof/>
                                <w:sz w:val="21"/>
                                <w:szCs w:val="21"/>
                              </w:rPr>
                            </w:pPr>
                            <w:r>
                              <w:rPr>
                                <w:b w:val="0"/>
                                <w:bCs w:val="0"/>
                                <w:sz w:val="21"/>
                              </w:rPr>
                              <w:t>Murunung Naruwi</w:t>
                            </w:r>
                            <w:r w:rsidR="00836CFC" w:rsidRPr="008C5CD0">
                              <w:rPr>
                                <w:b w:val="0"/>
                                <w:bCs w:val="0"/>
                                <w:sz w:val="21"/>
                              </w:rPr>
                              <w:t xml:space="preserve"> (Mark Jekabson</w:t>
                            </w:r>
                            <w:r w:rsidR="005A204F" w:rsidRPr="008C5CD0">
                              <w:rPr>
                                <w:b w:val="0"/>
                                <w:bCs w:val="0"/>
                                <w:sz w:val="21"/>
                              </w:rPr>
                              <w:t>s</w:t>
                            </w:r>
                            <w:r w:rsidR="00836CFC" w:rsidRPr="008C5CD0">
                              <w:rPr>
                                <w:b w:val="0"/>
                                <w:bCs w:val="0"/>
                                <w:sz w:val="21"/>
                              </w:rPr>
                              <w:t xml:space="preserve"> – </w:t>
                            </w:r>
                            <w:r>
                              <w:rPr>
                                <w:b w:val="0"/>
                                <w:bCs w:val="0"/>
                                <w:sz w:val="21"/>
                              </w:rPr>
                              <w:t>ACT Government</w:t>
                            </w:r>
                            <w:r w:rsidR="00836CFC" w:rsidRPr="008C5CD0">
                              <w:rPr>
                                <w:b w:val="0"/>
                                <w:bCs w:val="0"/>
                                <w:sz w:val="2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DF2BE8" id="_x0000_t202" coordsize="21600,21600" o:spt="202" path="m,l,21600r21600,l21600,xe">
                <v:stroke joinstyle="miter"/>
                <v:path gradientshapeok="t" o:connecttype="rect"/>
              </v:shapetype>
              <v:shape id="Text Box 17" o:spid="_x0000_s1026" type="#_x0000_t202" style="position:absolute;margin-left:212.2pt;margin-top:758.1pt;width:263.4pt;height:12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CuHGgIAADsEAAAOAAAAZHJzL2Uyb0RvYy54bWysU8Fu2zAMvQ/YPwi6L07SdiiMOEWWIsOA&#10;oC2QDj0rshQbkEWNUmJ3Xz9KtpOu22nYRaZFiuR7fFzcdY1hJ4W+Blvw2WTKmbISytoeCv79efPp&#10;ljMfhC2FAasK/qo8v1t+/LBoXa7mUIEpFTJKYn3euoJXIbg8y7ysVCP8BJyy5NSAjQj0i4esRNFS&#10;9sZk8+n0c9YClg5BKu/p9r538mXKr7WS4VFrrwIzBafeQjoxnft4ZsuFyA8oXFXLoQ3xD100orZU&#10;9JzqXgTBjlj/kaqpJYIHHSYSmgy0rqVKGAjNbPoOza4STiUsRI53Z5r8/0srH04794QsdF+gowFG&#10;Qlrnc0+XEU+nsYlf6pSRnyh8PdOmusAkXV5dXd/MbsklyTe7mV9PE6/Z5bVDH74qaFg0Co40lsSW&#10;OG19oIoUOobEYh5MXW5qY+JPdKwNspOgEbZVHVTskV78FmVsjLUQX/XueJNdoEQrdPtuwLeH8pVg&#10;I/SK8E5uaiq0FT48CSQJEBySdXikQxtoCw6DxVkF+PNv9zGeJkNezlqSVMH9j6NAxZn5ZmlmUX+j&#10;gaOxHw17bNZAEGe0ME4mkx5gMKOpEZoXUvsqViGXsJJqFTyM5jr0wqZtkWq1SkGkMifC1u6cjKlH&#10;Qp+7F4FuGEegQT7AKDaRv5tKH9vTuzoG0HUaWSS0Z3HgmRSa5jJsU1yBt/8p6rLzy18AAAD//wMA&#10;UEsDBBQABgAIAAAAIQCvcz6b3gAAAAoBAAAPAAAAZHJzL2Rvd25yZXYueG1sTI/BTsMwEETvSPyD&#10;tUhcEHVq0QiFOBW0cINDS9XzNnaTqPE6ip0m/Xu2J3rcmdHsvHw5uVacbR8aTxrmswSEpdKbhioN&#10;u9+v51cQISIZbD1ZDRcbYFnc3+WYGT/Sxp63sRJcQiFDDXWMXSZlKGvrMMx8Z4m9o+8dRj77Spoe&#10;Ry53rVRJkkqHDfGHGju7qm152g5OQ7ruh3FDq6f17vMbf7pK7T8ue60fH6b3NxDRTvE/DNf5PB0K&#10;3nTwA5kgWg0MElldzFMFgv2FShnlcJVeEgWyyOUtQvEHAAD//wMAUEsBAi0AFAAGAAgAAAAhALaD&#10;OJL+AAAA4QEAABMAAAAAAAAAAAAAAAAAAAAAAFtDb250ZW50X1R5cGVzXS54bWxQSwECLQAUAAYA&#10;CAAAACEAOP0h/9YAAACUAQAACwAAAAAAAAAAAAAAAAAvAQAAX3JlbHMvLnJlbHNQSwECLQAUAAYA&#10;CAAAACEAJKwrhxoCAAA7BAAADgAAAAAAAAAAAAAAAAAuAgAAZHJzL2Uyb0RvYy54bWxQSwECLQAU&#10;AAYACAAAACEAr3M+m94AAAAKAQAADwAAAAAAAAAAAAAAAAB0BAAAZHJzL2Rvd25yZXYueG1sUEsF&#10;BgAAAAAEAAQA8wAAAH8FAAAAAA==&#10;" stroked="f">
                <v:textbox inset="0,0,0,0">
                  <w:txbxContent>
                    <w:p w14:paraId="29DB5D14" w14:textId="0AB5DB5E" w:rsidR="00836CFC" w:rsidRPr="008C5CD0" w:rsidRDefault="00E2462E" w:rsidP="00836CFC">
                      <w:pPr>
                        <w:pStyle w:val="Caption"/>
                        <w:jc w:val="right"/>
                        <w:rPr>
                          <w:b w:val="0"/>
                          <w:bCs w:val="0"/>
                          <w:noProof/>
                          <w:sz w:val="21"/>
                          <w:szCs w:val="21"/>
                        </w:rPr>
                      </w:pPr>
                      <w:r>
                        <w:rPr>
                          <w:b w:val="0"/>
                          <w:bCs w:val="0"/>
                          <w:sz w:val="21"/>
                        </w:rPr>
                        <w:t>Murunung Naruwi</w:t>
                      </w:r>
                      <w:r w:rsidR="00836CFC" w:rsidRPr="008C5CD0">
                        <w:rPr>
                          <w:b w:val="0"/>
                          <w:bCs w:val="0"/>
                          <w:sz w:val="21"/>
                        </w:rPr>
                        <w:t xml:space="preserve"> (Mark Jekabson</w:t>
                      </w:r>
                      <w:r w:rsidR="005A204F" w:rsidRPr="008C5CD0">
                        <w:rPr>
                          <w:b w:val="0"/>
                          <w:bCs w:val="0"/>
                          <w:sz w:val="21"/>
                        </w:rPr>
                        <w:t>s</w:t>
                      </w:r>
                      <w:r w:rsidR="00836CFC" w:rsidRPr="008C5CD0">
                        <w:rPr>
                          <w:b w:val="0"/>
                          <w:bCs w:val="0"/>
                          <w:sz w:val="21"/>
                        </w:rPr>
                        <w:t xml:space="preserve"> – </w:t>
                      </w:r>
                      <w:r>
                        <w:rPr>
                          <w:b w:val="0"/>
                          <w:bCs w:val="0"/>
                          <w:sz w:val="21"/>
                        </w:rPr>
                        <w:t>ACT Government</w:t>
                      </w:r>
                      <w:r w:rsidR="00836CFC" w:rsidRPr="008C5CD0">
                        <w:rPr>
                          <w:b w:val="0"/>
                          <w:bCs w:val="0"/>
                          <w:sz w:val="21"/>
                        </w:rPr>
                        <w:t>)</w:t>
                      </w:r>
                    </w:p>
                  </w:txbxContent>
                </v:textbox>
                <w10:wrap type="square" anchorx="margin" anchory="page"/>
              </v:shape>
            </w:pict>
          </mc:Fallback>
        </mc:AlternateContent>
      </w:r>
      <w:r w:rsidR="00C305E6" w:rsidRPr="00C305E6">
        <w:t xml:space="preserve">Knowledge on the biology and ecology of </w:t>
      </w:r>
      <w:r w:rsidR="007B7404">
        <w:t xml:space="preserve">the </w:t>
      </w:r>
      <w:r w:rsidR="00CA3380">
        <w:t>Murunung Naruwi</w:t>
      </w:r>
      <w:r w:rsidR="00C305E6" w:rsidRPr="00C305E6">
        <w:t xml:space="preserve"> is limited</w:t>
      </w:r>
      <w:r w:rsidR="00365A46">
        <w:t xml:space="preserve"> particularly given that much of the information may now relate to separate species</w:t>
      </w:r>
      <w:r w:rsidR="007B25D0">
        <w:t>.</w:t>
      </w:r>
      <w:r w:rsidR="00365A46">
        <w:t xml:space="preserve"> H</w:t>
      </w:r>
      <w:r w:rsidR="00C305E6" w:rsidRPr="00C305E6">
        <w:t xml:space="preserve">owever, it is recognised that </w:t>
      </w:r>
      <w:r w:rsidR="00C305E6" w:rsidRPr="00C305E6">
        <w:rPr>
          <w:i/>
        </w:rPr>
        <w:t>Euastacus</w:t>
      </w:r>
      <w:r w:rsidR="00C305E6" w:rsidRPr="00C305E6">
        <w:t xml:space="preserve"> species have a suite of common biological characteristics </w:t>
      </w:r>
      <w:r w:rsidR="00C305E6" w:rsidRPr="00C305E6">
        <w:fldChar w:fldCharType="begin"/>
      </w:r>
      <w:r w:rsidR="00C305E6" w:rsidRPr="00C305E6">
        <w:instrText xml:space="preserve"> ADDIN EN.CITE &lt;EndNote&gt;&lt;Cite&gt;&lt;Author&gt;Furse&lt;/Author&gt;&lt;Year&gt;2011&lt;/Year&gt;&lt;RecNum&gt;670&lt;/RecNum&gt;&lt;Prefix&gt;see below`, but also summarised in &lt;/Prefix&gt;&lt;DisplayText&gt;(see below, but also summarised in Furse &amp;amp; Coughran 2011)&lt;/DisplayText&gt;&lt;record&gt;&lt;rec-number&gt;670&lt;/rec-number&gt;&lt;ref-type name="Journal Article"&gt;17&lt;/ref-type&gt;&lt;contributors&gt;&lt;authors&gt;&lt;author&gt;J M Furse&lt;/author&gt;&lt;author&gt;J Coughran&lt;/author&gt;&lt;/authors&gt;&lt;/contributors&gt;&lt;titles&gt;&lt;title&gt;&lt;style face="normal" font="default" size="100%"&gt;An assessment of the distribution, biology, threatening processes and conservation status of the freshwater crayfish, genus &lt;/style&gt;&lt;style face="italic" font="default" size="100%"&gt;Euastacus&lt;/style&gt;&lt;style face="normal" font="default" size="100%"&gt; (Decapoda: Parastacidae), in Continental Australia. I. Biological Background and Current Status&lt;/style&gt;&lt;/title&gt;&lt;secondary-title&gt;Crustaceana Monographs&lt;/secondary-title&gt;&lt;/titles&gt;&lt;pages&gt;241-252&lt;/pages&gt;&lt;volume&gt;15 (Special edition: New Frontiers in Crustacean Biology)&lt;/volume&gt;&lt;dates&gt;&lt;year&gt;2011&lt;/year&gt;&lt;/dates&gt;&lt;urls&gt;&lt;/urls&gt;&lt;/record&gt;&lt;/Cite&gt;&lt;/EndNote&gt;</w:instrText>
      </w:r>
      <w:r w:rsidR="00C305E6" w:rsidRPr="00C305E6">
        <w:fldChar w:fldCharType="end"/>
      </w:r>
      <w:r w:rsidR="0027163E">
        <w:t>as</w:t>
      </w:r>
      <w:r w:rsidR="00C305E6" w:rsidRPr="00C305E6">
        <w:t xml:space="preserve"> summarised </w:t>
      </w:r>
      <w:r w:rsidR="00C305E6" w:rsidRPr="00C305E6">
        <w:lastRenderedPageBreak/>
        <w:t xml:space="preserve">in Furse </w:t>
      </w:r>
      <w:r w:rsidR="0027163E">
        <w:t>and</w:t>
      </w:r>
      <w:r w:rsidR="00E0749D">
        <w:t xml:space="preserve"> </w:t>
      </w:r>
      <w:r w:rsidR="00C305E6" w:rsidRPr="00C305E6">
        <w:t xml:space="preserve">Coughran </w:t>
      </w:r>
      <w:r w:rsidR="0027163E">
        <w:t>(</w:t>
      </w:r>
      <w:r w:rsidR="00C305E6" w:rsidRPr="00C305E6">
        <w:t xml:space="preserve">2011a), which also apply to </w:t>
      </w:r>
      <w:r w:rsidR="007B7404">
        <w:t xml:space="preserve">the </w:t>
      </w:r>
      <w:r w:rsidR="00CA3380">
        <w:t>Murunung Naruwi</w:t>
      </w:r>
      <w:r w:rsidR="00C305E6" w:rsidRPr="00C305E6">
        <w:t xml:space="preserve">. Various studies have established that </w:t>
      </w:r>
      <w:r w:rsidR="00C305E6" w:rsidRPr="00C305E6">
        <w:rPr>
          <w:i/>
          <w:iCs/>
        </w:rPr>
        <w:t>Euastacus</w:t>
      </w:r>
      <w:r w:rsidR="00C305E6" w:rsidRPr="00C305E6">
        <w:t xml:space="preserve"> are </w:t>
      </w:r>
      <w:r w:rsidR="00FB23BE">
        <w:t xml:space="preserve">very </w:t>
      </w:r>
      <w:r w:rsidR="00635CF4" w:rsidRPr="00C305E6">
        <w:t>slow growing</w:t>
      </w:r>
      <w:r w:rsidR="00C305E6" w:rsidRPr="00C305E6">
        <w:t xml:space="preserve"> (growth increments of a few </w:t>
      </w:r>
      <w:r w:rsidR="005B5E17" w:rsidRPr="00C305E6">
        <w:t>m</w:t>
      </w:r>
      <w:r w:rsidR="005B5E17">
        <w:t>illimetres </w:t>
      </w:r>
      <w:r w:rsidR="00C305E6" w:rsidRPr="00C305E6">
        <w:t xml:space="preserve">OCL </w:t>
      </w:r>
      <w:r w:rsidR="0027163E">
        <w:t xml:space="preserve">per </w:t>
      </w:r>
      <w:r w:rsidR="00C305E6" w:rsidRPr="00C305E6">
        <w:t>y</w:t>
      </w:r>
      <w:r w:rsidR="0027163E">
        <w:t>ea</w:t>
      </w:r>
      <w:r w:rsidR="00C305E6" w:rsidRPr="00C305E6">
        <w:t>r)</w:t>
      </w:r>
      <w:r w:rsidR="0027163E">
        <w:t xml:space="preserve"> and</w:t>
      </w:r>
      <w:r w:rsidR="00C305E6" w:rsidRPr="00C305E6">
        <w:t xml:space="preserve"> very long-lived, (Honan </w:t>
      </w:r>
      <w:r w:rsidR="0027163E">
        <w:t>and</w:t>
      </w:r>
      <w:r w:rsidR="00C305E6" w:rsidRPr="00C305E6">
        <w:t xml:space="preserve"> Mitchell 1995a,</w:t>
      </w:r>
      <w:r w:rsidR="0027163E">
        <w:t xml:space="preserve"> 1995</w:t>
      </w:r>
      <w:r w:rsidR="00C305E6" w:rsidRPr="00C305E6">
        <w:t xml:space="preserve">b; Turvey </w:t>
      </w:r>
      <w:r w:rsidR="0027163E">
        <w:t>and</w:t>
      </w:r>
      <w:r w:rsidR="00C305E6" w:rsidRPr="00C305E6">
        <w:t xml:space="preserve"> Merrick 1997; Morey 1998; Furse </w:t>
      </w:r>
      <w:r w:rsidR="0027163E">
        <w:t>and</w:t>
      </w:r>
      <w:r w:rsidR="00C305E6" w:rsidRPr="00C305E6">
        <w:t xml:space="preserve"> Wild 2004; Coughran 2013).</w:t>
      </w:r>
    </w:p>
    <w:p w14:paraId="7D57B3C5" w14:textId="416B5BC9" w:rsidR="00E059DF" w:rsidRDefault="006B5E98" w:rsidP="0057782F">
      <w:pPr>
        <w:rPr>
          <w:lang w:val="en-US"/>
        </w:rPr>
      </w:pPr>
      <w:r>
        <w:t xml:space="preserve">Reproductive studies show that </w:t>
      </w:r>
      <w:r w:rsidRPr="003A5F4E">
        <w:rPr>
          <w:i/>
          <w:iCs/>
        </w:rPr>
        <w:t>Euastacus</w:t>
      </w:r>
      <w:r>
        <w:t xml:space="preserve"> species are typically late-maturing with females only reaching reproductive maturity at 5‒10 years (e.g., Honan &amp; Mitchell 1995a, b; Turvey &amp; Merrick 1997; Borsboom 1998; Furse &amp; Wild 2004; Coughran 2013). </w:t>
      </w:r>
      <w:r w:rsidR="0057782F" w:rsidRPr="60F18277">
        <w:rPr>
          <w:lang w:val="en-US"/>
        </w:rPr>
        <w:t xml:space="preserve">There are </w:t>
      </w:r>
      <w:r>
        <w:rPr>
          <w:lang w:val="en-US"/>
        </w:rPr>
        <w:t>limited</w:t>
      </w:r>
      <w:r w:rsidR="0057782F" w:rsidRPr="60F18277">
        <w:rPr>
          <w:lang w:val="en-US"/>
        </w:rPr>
        <w:t xml:space="preserve"> </w:t>
      </w:r>
      <w:r w:rsidR="00216CDA">
        <w:rPr>
          <w:lang w:val="en-US"/>
        </w:rPr>
        <w:t>studies published</w:t>
      </w:r>
      <w:r w:rsidR="0057782F" w:rsidRPr="60F18277">
        <w:rPr>
          <w:lang w:val="en-US"/>
        </w:rPr>
        <w:t xml:space="preserve"> or information on reproduction in </w:t>
      </w:r>
      <w:r w:rsidR="007B7404">
        <w:t xml:space="preserve">the </w:t>
      </w:r>
      <w:r w:rsidR="00CA3380">
        <w:t>Murunung Naruwi</w:t>
      </w:r>
      <w:r w:rsidR="0057782F" w:rsidRPr="60F18277">
        <w:rPr>
          <w:lang w:val="en-US"/>
        </w:rPr>
        <w:t>.</w:t>
      </w:r>
      <w:r w:rsidR="00716778">
        <w:rPr>
          <w:lang w:val="en-US"/>
        </w:rPr>
        <w:t xml:space="preserve"> </w:t>
      </w:r>
      <w:r w:rsidR="00716778" w:rsidRPr="00716778">
        <w:rPr>
          <w:lang w:val="en-US"/>
        </w:rPr>
        <w:t>They are considered winter breeders with females thought to approach maturity around 40‒50 mm OCL (Morgan 1997; McCormack 2012</w:t>
      </w:r>
      <w:r w:rsidR="00365A46">
        <w:rPr>
          <w:lang w:val="en-US"/>
        </w:rPr>
        <w:t>, ACT gov unpublished data</w:t>
      </w:r>
      <w:r w:rsidR="00716778" w:rsidRPr="00716778">
        <w:rPr>
          <w:lang w:val="en-US"/>
        </w:rPr>
        <w:t>). Berried females carrying around up to 200 eggs have been observed in Autumn, with the release of juveniles thought to occur between January to April based on water temperature (</w:t>
      </w:r>
      <w:r w:rsidR="00997FC2">
        <w:rPr>
          <w:lang w:val="en-US"/>
        </w:rPr>
        <w:t xml:space="preserve">ACT Gov. observation; </w:t>
      </w:r>
      <w:r w:rsidR="00716778" w:rsidRPr="00716778">
        <w:rPr>
          <w:lang w:val="en-US"/>
        </w:rPr>
        <w:t>Morgan 1997; McCormack 2012). Eggs are pale</w:t>
      </w:r>
      <w:r w:rsidR="00216CDA">
        <w:rPr>
          <w:lang w:val="en-US"/>
        </w:rPr>
        <w:t xml:space="preserve"> to dark</w:t>
      </w:r>
      <w:r w:rsidR="00716778" w:rsidRPr="00716778">
        <w:rPr>
          <w:lang w:val="en-US"/>
        </w:rPr>
        <w:t xml:space="preserve"> orange in colour (</w:t>
      </w:r>
      <w:r w:rsidR="00997FC2">
        <w:rPr>
          <w:lang w:val="en-US"/>
        </w:rPr>
        <w:t xml:space="preserve">ACT Gov. observation; </w:t>
      </w:r>
      <w:r w:rsidR="00716778" w:rsidRPr="00716778">
        <w:rPr>
          <w:lang w:val="en-US"/>
        </w:rPr>
        <w:t>Morgan 1997; McCormack 2012).</w:t>
      </w:r>
      <w:r w:rsidR="0050759D">
        <w:rPr>
          <w:lang w:val="en-US"/>
        </w:rPr>
        <w:t xml:space="preserve"> </w:t>
      </w:r>
      <w:r w:rsidR="0050759D">
        <w:rPr>
          <w:szCs w:val="18"/>
        </w:rPr>
        <w:t xml:space="preserve">The longevity, fecundity, and age of sexual maturity in females is presently unknown for this species. In addition, there is little information available from other </w:t>
      </w:r>
      <w:r w:rsidR="0050759D" w:rsidRPr="0050759D">
        <w:rPr>
          <w:i/>
          <w:iCs/>
          <w:szCs w:val="18"/>
        </w:rPr>
        <w:t>Euastacus</w:t>
      </w:r>
      <w:r w:rsidR="0050759D">
        <w:rPr>
          <w:szCs w:val="18"/>
        </w:rPr>
        <w:t xml:space="preserve"> specie</w:t>
      </w:r>
      <w:r w:rsidR="0050759D">
        <w:rPr>
          <w:i/>
          <w:iCs/>
          <w:szCs w:val="18"/>
        </w:rPr>
        <w:t>s</w:t>
      </w:r>
      <w:r w:rsidR="0050759D">
        <w:rPr>
          <w:szCs w:val="18"/>
        </w:rPr>
        <w:t>.</w:t>
      </w:r>
    </w:p>
    <w:p w14:paraId="31AFF23D" w14:textId="5CC04F5D" w:rsidR="00467BD7" w:rsidRPr="007F7910" w:rsidRDefault="00997FC2" w:rsidP="00591860">
      <w:pPr>
        <w:rPr>
          <w:iCs/>
        </w:rPr>
      </w:pPr>
      <w:r>
        <w:t>Like most of the medium sized Euastacus t</w:t>
      </w:r>
      <w:r w:rsidR="00BC7C57">
        <w:t xml:space="preserve">he </w:t>
      </w:r>
      <w:r w:rsidR="00CA3380">
        <w:t>Murunung Naruwi</w:t>
      </w:r>
      <w:r w:rsidR="00BC7C57" w:rsidRPr="00BC7C57">
        <w:t xml:space="preserve"> is</w:t>
      </w:r>
      <w:r>
        <w:t xml:space="preserve"> predominantly</w:t>
      </w:r>
      <w:r w:rsidR="00BC7C57" w:rsidRPr="00BC7C57">
        <w:t xml:space="preserve"> nocturnal</w:t>
      </w:r>
      <w:r w:rsidR="0050759D">
        <w:t xml:space="preserve"> </w:t>
      </w:r>
      <w:r w:rsidR="00BC7C57" w:rsidRPr="00BC7C57">
        <w:t>(McCormack 2012).</w:t>
      </w:r>
      <w:r w:rsidR="00BC7C57">
        <w:t xml:space="preserve"> </w:t>
      </w:r>
      <w:r w:rsidR="0050759D">
        <w:t>It eats</w:t>
      </w:r>
      <w:r w:rsidR="00E2137C">
        <w:t xml:space="preserve"> </w:t>
      </w:r>
      <w:r w:rsidR="006B5E98">
        <w:t>mostly vegetation/</w:t>
      </w:r>
      <w:r w:rsidR="00BC7C57">
        <w:t>detritus,</w:t>
      </w:r>
      <w:r w:rsidR="006B5E98">
        <w:t xml:space="preserve"> but it will eat meat opportunistically</w:t>
      </w:r>
      <w:r w:rsidR="00E2137C">
        <w:t xml:space="preserve">. Little is also known about </w:t>
      </w:r>
      <w:r w:rsidR="0050759D">
        <w:t>its</w:t>
      </w:r>
      <w:r w:rsidR="00E2137C">
        <w:t xml:space="preserve"> general biological characteristics, although given its </w:t>
      </w:r>
      <w:r w:rsidR="00BC7C57">
        <w:t>high-altitude</w:t>
      </w:r>
      <w:r w:rsidR="00E2137C">
        <w:t xml:space="preserve"> distribution and its close association with cool conditions </w:t>
      </w:r>
      <w:r w:rsidR="009F3ADD">
        <w:t xml:space="preserve">und undisturbed vegetation </w:t>
      </w:r>
      <w:r w:rsidR="00E2137C">
        <w:t>it is anticipated to be intolerant of high temperatures</w:t>
      </w:r>
      <w:r w:rsidR="00BC7C57">
        <w:t xml:space="preserve"> like other </w:t>
      </w:r>
      <w:r w:rsidR="00BC7C57" w:rsidRPr="00BC7C57">
        <w:rPr>
          <w:i/>
          <w:iCs/>
        </w:rPr>
        <w:t>Euastacus</w:t>
      </w:r>
      <w:r w:rsidR="00BC7C57">
        <w:t xml:space="preserve"> species</w:t>
      </w:r>
      <w:r w:rsidR="00E2137C">
        <w:t xml:space="preserve"> (Bone et al. 2014).</w:t>
      </w:r>
    </w:p>
    <w:p w14:paraId="708A4B97" w14:textId="0E26BE19" w:rsidR="007A182B" w:rsidRDefault="007A182B" w:rsidP="00832AE4">
      <w:pPr>
        <w:pStyle w:val="Heading2-notindexed"/>
      </w:pPr>
      <w:r>
        <w:t>Distribution and Habitat</w:t>
      </w:r>
    </w:p>
    <w:p w14:paraId="66871BBE" w14:textId="2D5168ED" w:rsidR="008F17CF" w:rsidRPr="003548C1" w:rsidRDefault="003548C1" w:rsidP="008F17CF">
      <w:pPr>
        <w:rPr>
          <w:highlight w:val="yellow"/>
        </w:rPr>
      </w:pPr>
      <w:r>
        <w:t xml:space="preserve">The </w:t>
      </w:r>
      <w:r w:rsidR="00CA3380">
        <w:t>Murunung Naruwi</w:t>
      </w:r>
      <w:r w:rsidR="008F17CF">
        <w:t xml:space="preserve"> is </w:t>
      </w:r>
      <w:r w:rsidR="0050759D">
        <w:t>likely</w:t>
      </w:r>
      <w:r w:rsidR="0050759D" w:rsidRPr="0050759D">
        <w:t xml:space="preserve"> endemic to the high country (&gt;600 m above sea level (ASL) with records up to 1544 m ASL) in the western extent of the Australian Capital Territory (ACT) (Morgan 1997; Coughran &amp; Furse 2010; Hammer &amp; Beitzel 2019; Austin et al. 2022) (Map 1).</w:t>
      </w:r>
    </w:p>
    <w:p w14:paraId="0BCEDA19" w14:textId="33DE7123" w:rsidR="0050759D" w:rsidRDefault="0050759D" w:rsidP="0050759D">
      <w:r>
        <w:t xml:space="preserve">The refinement of the range of </w:t>
      </w:r>
      <w:r w:rsidRPr="0050759D">
        <w:rPr>
          <w:i/>
          <w:iCs/>
        </w:rPr>
        <w:t>E. crassus</w:t>
      </w:r>
      <w:r>
        <w:t xml:space="preserve"> </w:t>
      </w:r>
      <w:r w:rsidRPr="00CA3380">
        <w:rPr>
          <w:i/>
          <w:iCs/>
        </w:rPr>
        <w:t>sensu stricto</w:t>
      </w:r>
      <w:r>
        <w:t xml:space="preserve"> to only occur in the ACT is based on the molecular genetic analyses of Austin et al. (2022) and sampling by the ACT Government. It was formerly considered to occur more widely in southern NSW as well as north-eastern Victoria, but the molecular genetic analyses of Austin et al. (2022) identified specimens from those regions as belonging to different lineages. These divergent lineages do not overlap in distribution with </w:t>
      </w:r>
      <w:r w:rsidRPr="0050759D">
        <w:rPr>
          <w:i/>
          <w:iCs/>
        </w:rPr>
        <w:t>E. crassus</w:t>
      </w:r>
      <w:r>
        <w:t xml:space="preserve"> </w:t>
      </w:r>
      <w:r w:rsidRPr="00CA3380">
        <w:rPr>
          <w:i/>
          <w:iCs/>
        </w:rPr>
        <w:t>sensu stricto</w:t>
      </w:r>
      <w:r>
        <w:t xml:space="preserve">, namely with </w:t>
      </w:r>
      <w:r w:rsidRPr="0050759D">
        <w:rPr>
          <w:i/>
          <w:iCs/>
        </w:rPr>
        <w:t>E. cf. crassus</w:t>
      </w:r>
      <w:r>
        <w:t xml:space="preserve"> observed in Machine Creek, Bull Flat Creek and a tributary of </w:t>
      </w:r>
      <w:proofErr w:type="spellStart"/>
      <w:r>
        <w:t>Micalong</w:t>
      </w:r>
      <w:proofErr w:type="spellEnd"/>
      <w:r>
        <w:t xml:space="preserve"> Creek in the upper Murrumbidgee River Catchment in NSW. It is acknowledged that </w:t>
      </w:r>
      <w:r w:rsidR="00CA3380">
        <w:rPr>
          <w:i/>
          <w:iCs/>
        </w:rPr>
        <w:t>Murunung Naruwi</w:t>
      </w:r>
      <w:r>
        <w:t xml:space="preserve"> could occur in headwater streams (e.g. upper Goodradigbee River Catchment) of adjacent areas of NSW, but this habitat is anticipated to be extremely limited given the known nearby (non-overlapping) range of different lineages identified by Austin et al. (2022) (Map 1).    </w:t>
      </w:r>
    </w:p>
    <w:p w14:paraId="1991A0D0" w14:textId="6E29B20A" w:rsidR="0050759D" w:rsidRDefault="0050759D" w:rsidP="0050759D">
      <w:r>
        <w:t xml:space="preserve">In the ACT, </w:t>
      </w:r>
      <w:r w:rsidR="009F3ADD">
        <w:t xml:space="preserve">the </w:t>
      </w:r>
      <w:r w:rsidR="00CA3380">
        <w:t>Murunung Naruwi</w:t>
      </w:r>
      <w:r>
        <w:t xml:space="preserve"> is recorded from the tributaries and bogs and fens of the Cotter River (Gibraltar, Lees, Ginini, Bushrangers, Condor and Kangaroo creeks and upper Tidbinbilla River) in the upper Murrumbidgee catchment. It is commonly found in the high country of northern Namadgi National Park, Tidbinbilla Nature Reserve, Lower Cotter Catchment and Woods Reserve. </w:t>
      </w:r>
    </w:p>
    <w:p w14:paraId="2A800A08" w14:textId="2BE1E386" w:rsidR="009F3ADD" w:rsidRDefault="0050759D" w:rsidP="0050759D">
      <w:r>
        <w:t xml:space="preserve">Part of the range of this species is afforded a degree of protection by being contained within the EPBC listed Endangered Ecological Community Alpine Sphagnum Bogs and Associated Fens that also occurs in protected areas and reserves (Namadgi National Park, Tidbinbilla Nature Reserve and Woods Reserve), but these areas are not actively managed for conservation of </w:t>
      </w:r>
      <w:r w:rsidR="009F3ADD">
        <w:t xml:space="preserve">the </w:t>
      </w:r>
      <w:r w:rsidR="00CA3380">
        <w:t>Murunung Naruwi</w:t>
      </w:r>
      <w:r>
        <w:t>.</w:t>
      </w:r>
    </w:p>
    <w:p w14:paraId="49A02761" w14:textId="6A8C4877" w:rsidR="00E2137C" w:rsidRDefault="009F3ADD" w:rsidP="0050759D">
      <w:r>
        <w:lastRenderedPageBreak/>
        <w:t xml:space="preserve">The </w:t>
      </w:r>
      <w:r w:rsidR="00CA3380">
        <w:t>Murunung Naruwi</w:t>
      </w:r>
      <w:r w:rsidRPr="009F3ADD">
        <w:t xml:space="preserve"> inhabits extensive burrow systems that generally start at the water level mark of small, high streams that have relatively undisturbed vegetation (Morgan 1997; McCormack 2012). It preferentially inhabits permanent, cold-water streams but can also be found in ephemeral streams. Permanent water in the burrows is a requirement of the species (McCormack 2012). </w:t>
      </w:r>
      <w:r>
        <w:t xml:space="preserve">It </w:t>
      </w:r>
      <w:r w:rsidRPr="009F3ADD">
        <w:t>can travel up and down streams using temporary shelter (McCormack 2012).</w:t>
      </w:r>
      <w:r w:rsidR="00E2137C">
        <w:t xml:space="preserve"> </w:t>
      </w:r>
    </w:p>
    <w:p w14:paraId="42A90BD7" w14:textId="7AA5B835" w:rsidR="00DA0575" w:rsidRPr="00DA0575" w:rsidRDefault="003548C1" w:rsidP="00DA0575">
      <w:pPr>
        <w:keepNext/>
        <w:rPr>
          <w:b/>
          <w:lang w:val="en-US"/>
        </w:rPr>
      </w:pPr>
      <w:r>
        <w:rPr>
          <w:b/>
          <w:lang w:val="en-US"/>
        </w:rPr>
        <w:t>Map 1</w:t>
      </w:r>
      <w:r w:rsidR="00DA0575" w:rsidRPr="00BA5FE2">
        <w:rPr>
          <w:b/>
          <w:lang w:val="en-US"/>
        </w:rPr>
        <w:t xml:space="preserve">: </w:t>
      </w:r>
      <w:r>
        <w:rPr>
          <w:b/>
          <w:lang w:val="en-US"/>
        </w:rPr>
        <w:t>Recorded D</w:t>
      </w:r>
      <w:r w:rsidR="00DA0575">
        <w:rPr>
          <w:b/>
          <w:lang w:val="en-US"/>
        </w:rPr>
        <w:t xml:space="preserve">istribution of the </w:t>
      </w:r>
      <w:r w:rsidR="00CA3380">
        <w:rPr>
          <w:b/>
          <w:lang w:val="en-US"/>
        </w:rPr>
        <w:t>Murunung Naruwi</w:t>
      </w:r>
      <w:r w:rsidR="00DA0575">
        <w:rPr>
          <w:b/>
          <w:lang w:val="en-US"/>
        </w:rPr>
        <w:t xml:space="preserve"> </w:t>
      </w:r>
      <w:r w:rsidR="009F3ADD">
        <w:rPr>
          <w:b/>
          <w:lang w:val="en-US"/>
        </w:rPr>
        <w:t>(</w:t>
      </w:r>
      <w:r w:rsidR="009F3ADD" w:rsidRPr="009F3ADD">
        <w:rPr>
          <w:b/>
          <w:i/>
          <w:iCs/>
          <w:lang w:val="en-US"/>
        </w:rPr>
        <w:t>E. crassus</w:t>
      </w:r>
      <w:r w:rsidR="009F3ADD">
        <w:rPr>
          <w:b/>
          <w:lang w:val="en-US"/>
        </w:rPr>
        <w:t xml:space="preserve">) and other </w:t>
      </w:r>
      <w:r w:rsidR="009F3ADD" w:rsidRPr="009F3ADD">
        <w:rPr>
          <w:b/>
          <w:i/>
          <w:iCs/>
          <w:lang w:val="en-US"/>
        </w:rPr>
        <w:t>Euastacus</w:t>
      </w:r>
      <w:r w:rsidR="009F3ADD">
        <w:rPr>
          <w:b/>
          <w:lang w:val="en-US"/>
        </w:rPr>
        <w:t xml:space="preserve"> species </w:t>
      </w:r>
      <w:r w:rsidR="00DA0575">
        <w:rPr>
          <w:b/>
          <w:lang w:val="en-US"/>
        </w:rPr>
        <w:t>(</w:t>
      </w:r>
      <w:r>
        <w:rPr>
          <w:b/>
          <w:lang w:val="en-US"/>
        </w:rPr>
        <w:t xml:space="preserve">ACT Wildlife </w:t>
      </w:r>
      <w:r w:rsidR="009F3ADD">
        <w:rPr>
          <w:b/>
          <w:lang w:val="en-US"/>
        </w:rPr>
        <w:t>A</w:t>
      </w:r>
      <w:r>
        <w:rPr>
          <w:b/>
          <w:lang w:val="en-US"/>
        </w:rPr>
        <w:t>tlas</w:t>
      </w:r>
      <w:r w:rsidR="00DA0575" w:rsidRPr="00950CAF">
        <w:rPr>
          <w:b/>
          <w:lang w:val="en-US"/>
        </w:rPr>
        <w:t>)</w:t>
      </w:r>
    </w:p>
    <w:p w14:paraId="17C28F4E" w14:textId="537A5132" w:rsidR="00DA0575" w:rsidRPr="00D158F7" w:rsidRDefault="0050759D" w:rsidP="0050759D">
      <w:pPr>
        <w:rPr>
          <w:lang w:val="en-US"/>
        </w:rPr>
      </w:pPr>
      <w:r w:rsidRPr="00880FCF">
        <w:rPr>
          <w:rFonts w:cs="Calibri"/>
          <w:noProof/>
          <w:color w:val="000000"/>
        </w:rPr>
        <w:drawing>
          <wp:inline distT="0" distB="0" distL="0" distR="0" wp14:anchorId="1689C30F" wp14:editId="1A6C1B6C">
            <wp:extent cx="4798835" cy="7191375"/>
            <wp:effectExtent l="0" t="0" r="1905" b="0"/>
            <wp:docPr id="1052839762" name="Picture 2" descr="A map of a mountain r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39762" name="Picture 2" descr="A map of a mountain rang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6641" cy="7292987"/>
                    </a:xfrm>
                    <a:prstGeom prst="rect">
                      <a:avLst/>
                    </a:prstGeom>
                    <a:noFill/>
                    <a:ln>
                      <a:noFill/>
                    </a:ln>
                  </pic:spPr>
                </pic:pic>
              </a:graphicData>
            </a:graphic>
          </wp:inline>
        </w:drawing>
      </w:r>
    </w:p>
    <w:p w14:paraId="3D1BC3F6" w14:textId="51B57073" w:rsidR="0078503A" w:rsidRDefault="0078503A" w:rsidP="00832AE4">
      <w:pPr>
        <w:pStyle w:val="Heading2-notindexed"/>
      </w:pPr>
      <w:r>
        <w:lastRenderedPageBreak/>
        <w:t>Threats</w:t>
      </w:r>
    </w:p>
    <w:p w14:paraId="203655E7" w14:textId="77777777" w:rsidR="00C51682" w:rsidRDefault="00871D12" w:rsidP="00832AE4">
      <w:pPr>
        <w:pStyle w:val="Heading2-notindexed"/>
        <w:rPr>
          <w:rFonts w:asciiTheme="minorHAnsi" w:eastAsiaTheme="minorHAnsi" w:hAnsiTheme="minorHAnsi" w:cstheme="minorBidi"/>
          <w:bCs w:val="0"/>
          <w:caps w:val="0"/>
          <w:color w:val="auto"/>
          <w:sz w:val="21"/>
          <w:szCs w:val="21"/>
        </w:rPr>
      </w:pPr>
      <w:r w:rsidRPr="00871D12">
        <w:rPr>
          <w:rFonts w:asciiTheme="minorHAnsi" w:eastAsiaTheme="minorHAnsi" w:hAnsiTheme="minorHAnsi" w:cstheme="minorBidi"/>
          <w:bCs w:val="0"/>
          <w:caps w:val="0"/>
          <w:color w:val="auto"/>
          <w:sz w:val="21"/>
          <w:szCs w:val="21"/>
        </w:rPr>
        <w:t>Established threats (habitat destruction, invasive and translocated native species, human exploitation, climate change and related changes to fire and flooding events) and potential threats (disease such as</w:t>
      </w:r>
      <w:r>
        <w:rPr>
          <w:rFonts w:asciiTheme="minorHAnsi" w:eastAsiaTheme="minorHAnsi" w:hAnsiTheme="minorHAnsi" w:cstheme="minorBidi"/>
          <w:bCs w:val="0"/>
          <w:caps w:val="0"/>
          <w:color w:val="auto"/>
          <w:sz w:val="21"/>
          <w:szCs w:val="21"/>
        </w:rPr>
        <w:t xml:space="preserve"> Crayfish Plague</w:t>
      </w:r>
      <w:r w:rsidRPr="00871D12">
        <w:rPr>
          <w:rFonts w:asciiTheme="minorHAnsi" w:eastAsiaTheme="minorHAnsi" w:hAnsiTheme="minorHAnsi" w:cstheme="minorBidi"/>
          <w:bCs w:val="0"/>
          <w:caps w:val="0"/>
          <w:color w:val="auto"/>
          <w:sz w:val="21"/>
          <w:szCs w:val="21"/>
        </w:rPr>
        <w:t xml:space="preserve"> </w:t>
      </w:r>
      <w:r>
        <w:rPr>
          <w:rFonts w:asciiTheme="minorHAnsi" w:eastAsiaTheme="minorHAnsi" w:hAnsiTheme="minorHAnsi" w:cstheme="minorBidi"/>
          <w:bCs w:val="0"/>
          <w:caps w:val="0"/>
          <w:color w:val="auto"/>
          <w:sz w:val="21"/>
          <w:szCs w:val="21"/>
        </w:rPr>
        <w:t>(</w:t>
      </w:r>
      <w:r w:rsidRPr="00871D12">
        <w:rPr>
          <w:rFonts w:asciiTheme="minorHAnsi" w:eastAsiaTheme="minorHAnsi" w:hAnsiTheme="minorHAnsi" w:cstheme="minorBidi"/>
          <w:bCs w:val="0"/>
          <w:i/>
          <w:iCs/>
          <w:caps w:val="0"/>
          <w:color w:val="auto"/>
          <w:sz w:val="21"/>
          <w:szCs w:val="21"/>
        </w:rPr>
        <w:t xml:space="preserve">Aphanomyces </w:t>
      </w:r>
      <w:proofErr w:type="spellStart"/>
      <w:r w:rsidRPr="00871D12">
        <w:rPr>
          <w:rFonts w:asciiTheme="minorHAnsi" w:eastAsiaTheme="minorHAnsi" w:hAnsiTheme="minorHAnsi" w:cstheme="minorBidi"/>
          <w:bCs w:val="0"/>
          <w:i/>
          <w:iCs/>
          <w:caps w:val="0"/>
          <w:color w:val="auto"/>
          <w:sz w:val="21"/>
          <w:szCs w:val="21"/>
        </w:rPr>
        <w:t>astaci</w:t>
      </w:r>
      <w:proofErr w:type="spellEnd"/>
      <w:r w:rsidRPr="00871D12">
        <w:rPr>
          <w:rFonts w:asciiTheme="minorHAnsi" w:eastAsiaTheme="minorHAnsi" w:hAnsiTheme="minorHAnsi" w:cstheme="minorBidi"/>
          <w:bCs w:val="0"/>
          <w:caps w:val="0"/>
          <w:color w:val="auto"/>
          <w:sz w:val="21"/>
          <w:szCs w:val="21"/>
        </w:rPr>
        <w:t xml:space="preserve">) </w:t>
      </w:r>
      <w:r>
        <w:rPr>
          <w:rFonts w:asciiTheme="minorHAnsi" w:eastAsiaTheme="minorHAnsi" w:hAnsiTheme="minorHAnsi" w:cstheme="minorBidi"/>
          <w:bCs w:val="0"/>
          <w:caps w:val="0"/>
          <w:color w:val="auto"/>
          <w:sz w:val="21"/>
          <w:szCs w:val="21"/>
        </w:rPr>
        <w:t>(</w:t>
      </w:r>
      <w:proofErr w:type="spellStart"/>
      <w:r w:rsidRPr="00871D12">
        <w:rPr>
          <w:rFonts w:asciiTheme="minorHAnsi" w:eastAsiaTheme="minorHAnsi" w:hAnsiTheme="minorHAnsi" w:cstheme="minorBidi"/>
          <w:bCs w:val="0"/>
          <w:caps w:val="0"/>
          <w:color w:val="auto"/>
          <w:sz w:val="21"/>
          <w:szCs w:val="21"/>
        </w:rPr>
        <w:t>Panteleit</w:t>
      </w:r>
      <w:proofErr w:type="spellEnd"/>
      <w:r w:rsidRPr="00871D12">
        <w:rPr>
          <w:rFonts w:asciiTheme="minorHAnsi" w:eastAsiaTheme="minorHAnsi" w:hAnsiTheme="minorHAnsi" w:cstheme="minorBidi"/>
          <w:bCs w:val="0"/>
          <w:caps w:val="0"/>
          <w:color w:val="auto"/>
          <w:sz w:val="21"/>
          <w:szCs w:val="21"/>
        </w:rPr>
        <w:t xml:space="preserve"> </w:t>
      </w:r>
      <w:r w:rsidRPr="0030633E">
        <w:rPr>
          <w:rFonts w:asciiTheme="minorHAnsi" w:eastAsiaTheme="minorHAnsi" w:hAnsiTheme="minorHAnsi" w:cstheme="minorBidi"/>
          <w:bCs w:val="0"/>
          <w:i/>
          <w:iCs/>
          <w:caps w:val="0"/>
          <w:color w:val="auto"/>
          <w:sz w:val="21"/>
          <w:szCs w:val="21"/>
        </w:rPr>
        <w:t>et al</w:t>
      </w:r>
      <w:r w:rsidRPr="00871D12">
        <w:rPr>
          <w:rFonts w:asciiTheme="minorHAnsi" w:eastAsiaTheme="minorHAnsi" w:hAnsiTheme="minorHAnsi" w:cstheme="minorBidi"/>
          <w:bCs w:val="0"/>
          <w:caps w:val="0"/>
          <w:color w:val="auto"/>
          <w:sz w:val="21"/>
          <w:szCs w:val="21"/>
        </w:rPr>
        <w:t xml:space="preserve">. 2017; DAWE 2019) may put nearly all species of </w:t>
      </w:r>
      <w:r w:rsidRPr="00871D12">
        <w:rPr>
          <w:rFonts w:asciiTheme="minorHAnsi" w:eastAsiaTheme="minorHAnsi" w:hAnsiTheme="minorHAnsi" w:cstheme="minorBidi"/>
          <w:bCs w:val="0"/>
          <w:i/>
          <w:iCs/>
          <w:caps w:val="0"/>
          <w:color w:val="auto"/>
          <w:sz w:val="21"/>
          <w:szCs w:val="21"/>
        </w:rPr>
        <w:t>Euastacus</w:t>
      </w:r>
      <w:r w:rsidRPr="00871D12">
        <w:rPr>
          <w:rFonts w:asciiTheme="minorHAnsi" w:eastAsiaTheme="minorHAnsi" w:hAnsiTheme="minorHAnsi" w:cstheme="minorBidi"/>
          <w:bCs w:val="0"/>
          <w:caps w:val="0"/>
          <w:color w:val="auto"/>
          <w:sz w:val="21"/>
          <w:szCs w:val="21"/>
        </w:rPr>
        <w:t xml:space="preserve"> at serious risk of population declines, or extinction, over sub-decadal timeframes (Wells et al. 1983; Coughran 2007; Furse &amp; Coughran 2011b; Furse 2014; Richman et al. 2015). </w:t>
      </w:r>
    </w:p>
    <w:p w14:paraId="11EE5B7A" w14:textId="7A897E6B" w:rsidR="00C51682" w:rsidRDefault="00871D12" w:rsidP="00832AE4">
      <w:pPr>
        <w:pStyle w:val="Heading2-notindexed"/>
        <w:rPr>
          <w:rFonts w:asciiTheme="minorHAnsi" w:eastAsiaTheme="minorHAnsi" w:hAnsiTheme="minorHAnsi" w:cstheme="minorBidi"/>
          <w:bCs w:val="0"/>
          <w:caps w:val="0"/>
          <w:color w:val="auto"/>
          <w:sz w:val="21"/>
          <w:szCs w:val="21"/>
        </w:rPr>
      </w:pPr>
      <w:r w:rsidRPr="00871D12">
        <w:rPr>
          <w:rFonts w:asciiTheme="minorHAnsi" w:eastAsiaTheme="minorHAnsi" w:hAnsiTheme="minorHAnsi" w:cstheme="minorBidi"/>
          <w:bCs w:val="0"/>
          <w:caps w:val="0"/>
          <w:color w:val="auto"/>
          <w:sz w:val="21"/>
          <w:szCs w:val="21"/>
        </w:rPr>
        <w:t xml:space="preserve">Climate change is a key threat to most </w:t>
      </w:r>
      <w:r w:rsidRPr="00871D12">
        <w:rPr>
          <w:rFonts w:asciiTheme="minorHAnsi" w:eastAsiaTheme="minorHAnsi" w:hAnsiTheme="minorHAnsi" w:cstheme="minorBidi"/>
          <w:bCs w:val="0"/>
          <w:i/>
          <w:iCs/>
          <w:caps w:val="0"/>
          <w:color w:val="auto"/>
          <w:sz w:val="21"/>
          <w:szCs w:val="21"/>
        </w:rPr>
        <w:t>Euastacus</w:t>
      </w:r>
      <w:r w:rsidRPr="00871D12">
        <w:rPr>
          <w:rFonts w:asciiTheme="minorHAnsi" w:eastAsiaTheme="minorHAnsi" w:hAnsiTheme="minorHAnsi" w:cstheme="minorBidi"/>
          <w:bCs w:val="0"/>
          <w:caps w:val="0"/>
          <w:color w:val="auto"/>
          <w:sz w:val="21"/>
          <w:szCs w:val="21"/>
        </w:rPr>
        <w:t xml:space="preserve"> </w:t>
      </w:r>
      <w:r w:rsidR="00C51682">
        <w:rPr>
          <w:rFonts w:asciiTheme="minorHAnsi" w:eastAsiaTheme="minorHAnsi" w:hAnsiTheme="minorHAnsi" w:cstheme="minorBidi"/>
          <w:bCs w:val="0"/>
          <w:caps w:val="0"/>
          <w:color w:val="auto"/>
          <w:sz w:val="21"/>
          <w:szCs w:val="21"/>
        </w:rPr>
        <w:t xml:space="preserve">species </w:t>
      </w:r>
      <w:r w:rsidRPr="00871D12">
        <w:rPr>
          <w:rFonts w:asciiTheme="minorHAnsi" w:eastAsiaTheme="minorHAnsi" w:hAnsiTheme="minorHAnsi" w:cstheme="minorBidi"/>
          <w:bCs w:val="0"/>
          <w:caps w:val="0"/>
          <w:color w:val="auto"/>
          <w:sz w:val="21"/>
          <w:szCs w:val="21"/>
        </w:rPr>
        <w:t>(Hossain 2018), including</w:t>
      </w:r>
      <w:r>
        <w:rPr>
          <w:rFonts w:asciiTheme="minorHAnsi" w:eastAsiaTheme="minorHAnsi" w:hAnsiTheme="minorHAnsi" w:cstheme="minorBidi"/>
          <w:bCs w:val="0"/>
          <w:caps w:val="0"/>
          <w:color w:val="auto"/>
          <w:sz w:val="21"/>
          <w:szCs w:val="21"/>
        </w:rPr>
        <w:t xml:space="preserve"> the </w:t>
      </w:r>
      <w:r w:rsidR="00CA3380">
        <w:rPr>
          <w:rFonts w:asciiTheme="minorHAnsi" w:eastAsiaTheme="minorHAnsi" w:hAnsiTheme="minorHAnsi" w:cstheme="minorBidi"/>
          <w:bCs w:val="0"/>
          <w:caps w:val="0"/>
          <w:color w:val="auto"/>
          <w:sz w:val="21"/>
          <w:szCs w:val="21"/>
        </w:rPr>
        <w:t>Murunung Naruwi</w:t>
      </w:r>
      <w:r w:rsidRPr="00871D12">
        <w:rPr>
          <w:rFonts w:asciiTheme="minorHAnsi" w:eastAsiaTheme="minorHAnsi" w:hAnsiTheme="minorHAnsi" w:cstheme="minorBidi"/>
          <w:bCs w:val="0"/>
          <w:caps w:val="0"/>
          <w:color w:val="auto"/>
          <w:sz w:val="21"/>
          <w:szCs w:val="21"/>
        </w:rPr>
        <w:t xml:space="preserve">, with the species having limited capacity to relocate to higher, cooler altitudes, or overland to other nearby suitably cool </w:t>
      </w:r>
      <w:r w:rsidR="00A60594">
        <w:rPr>
          <w:rFonts w:asciiTheme="minorHAnsi" w:eastAsiaTheme="minorHAnsi" w:hAnsiTheme="minorHAnsi" w:cstheme="minorBidi"/>
          <w:bCs w:val="0"/>
          <w:caps w:val="0"/>
          <w:color w:val="auto"/>
          <w:sz w:val="21"/>
          <w:szCs w:val="21"/>
        </w:rPr>
        <w:t>and wet habitat</w:t>
      </w:r>
      <w:r w:rsidRPr="00871D12">
        <w:rPr>
          <w:rFonts w:asciiTheme="minorHAnsi" w:eastAsiaTheme="minorHAnsi" w:hAnsiTheme="minorHAnsi" w:cstheme="minorBidi"/>
          <w:bCs w:val="0"/>
          <w:caps w:val="0"/>
          <w:color w:val="auto"/>
          <w:sz w:val="21"/>
          <w:szCs w:val="21"/>
        </w:rPr>
        <w:t xml:space="preserve">. </w:t>
      </w:r>
    </w:p>
    <w:p w14:paraId="6CBA8D78" w14:textId="442758A9" w:rsidR="00871D12" w:rsidRDefault="00871D12" w:rsidP="00832AE4">
      <w:pPr>
        <w:pStyle w:val="Heading2-notindexed"/>
        <w:rPr>
          <w:rFonts w:asciiTheme="minorHAnsi" w:eastAsiaTheme="minorHAnsi" w:hAnsiTheme="minorHAnsi" w:cstheme="minorBidi"/>
          <w:bCs w:val="0"/>
          <w:caps w:val="0"/>
          <w:color w:val="auto"/>
          <w:sz w:val="21"/>
          <w:szCs w:val="21"/>
        </w:rPr>
      </w:pPr>
      <w:r w:rsidRPr="00871D12">
        <w:rPr>
          <w:rFonts w:asciiTheme="minorHAnsi" w:eastAsiaTheme="minorHAnsi" w:hAnsiTheme="minorHAnsi" w:cstheme="minorBidi"/>
          <w:bCs w:val="0"/>
          <w:caps w:val="0"/>
          <w:color w:val="auto"/>
          <w:sz w:val="21"/>
          <w:szCs w:val="21"/>
        </w:rPr>
        <w:t xml:space="preserve">The species is </w:t>
      </w:r>
      <w:r w:rsidR="006F37C3">
        <w:rPr>
          <w:rFonts w:asciiTheme="minorHAnsi" w:eastAsiaTheme="minorHAnsi" w:hAnsiTheme="minorHAnsi" w:cstheme="minorBidi"/>
          <w:bCs w:val="0"/>
          <w:caps w:val="0"/>
          <w:color w:val="auto"/>
          <w:sz w:val="21"/>
          <w:szCs w:val="21"/>
        </w:rPr>
        <w:t xml:space="preserve">likely to be </w:t>
      </w:r>
      <w:r w:rsidRPr="00871D12">
        <w:rPr>
          <w:rFonts w:asciiTheme="minorHAnsi" w:eastAsiaTheme="minorHAnsi" w:hAnsiTheme="minorHAnsi" w:cstheme="minorBidi"/>
          <w:bCs w:val="0"/>
          <w:caps w:val="0"/>
          <w:color w:val="auto"/>
          <w:sz w:val="21"/>
          <w:szCs w:val="21"/>
        </w:rPr>
        <w:t xml:space="preserve">impacted by invasive species, such as </w:t>
      </w:r>
      <w:r>
        <w:rPr>
          <w:rFonts w:asciiTheme="minorHAnsi" w:eastAsiaTheme="minorHAnsi" w:hAnsiTheme="minorHAnsi" w:cstheme="minorBidi"/>
          <w:bCs w:val="0"/>
          <w:caps w:val="0"/>
          <w:color w:val="auto"/>
          <w:sz w:val="21"/>
          <w:szCs w:val="21"/>
        </w:rPr>
        <w:t>R</w:t>
      </w:r>
      <w:r w:rsidRPr="00871D12">
        <w:rPr>
          <w:rFonts w:asciiTheme="minorHAnsi" w:eastAsiaTheme="minorHAnsi" w:hAnsiTheme="minorHAnsi" w:cstheme="minorBidi"/>
          <w:bCs w:val="0"/>
          <w:caps w:val="0"/>
          <w:color w:val="auto"/>
          <w:sz w:val="21"/>
          <w:szCs w:val="21"/>
        </w:rPr>
        <w:t xml:space="preserve">ainbow </w:t>
      </w:r>
      <w:r>
        <w:rPr>
          <w:rFonts w:asciiTheme="minorHAnsi" w:eastAsiaTheme="minorHAnsi" w:hAnsiTheme="minorHAnsi" w:cstheme="minorBidi"/>
          <w:bCs w:val="0"/>
          <w:caps w:val="0"/>
          <w:color w:val="auto"/>
          <w:sz w:val="21"/>
          <w:szCs w:val="21"/>
        </w:rPr>
        <w:t>T</w:t>
      </w:r>
      <w:r w:rsidRPr="00871D12">
        <w:rPr>
          <w:rFonts w:asciiTheme="minorHAnsi" w:eastAsiaTheme="minorHAnsi" w:hAnsiTheme="minorHAnsi" w:cstheme="minorBidi"/>
          <w:bCs w:val="0"/>
          <w:caps w:val="0"/>
          <w:color w:val="auto"/>
          <w:sz w:val="21"/>
          <w:szCs w:val="21"/>
        </w:rPr>
        <w:t>rout (</w:t>
      </w:r>
      <w:r w:rsidRPr="00871D12">
        <w:rPr>
          <w:rFonts w:asciiTheme="minorHAnsi" w:eastAsiaTheme="minorHAnsi" w:hAnsiTheme="minorHAnsi" w:cstheme="minorBidi"/>
          <w:bCs w:val="0"/>
          <w:i/>
          <w:iCs/>
          <w:caps w:val="0"/>
          <w:color w:val="auto"/>
          <w:sz w:val="21"/>
          <w:szCs w:val="21"/>
        </w:rPr>
        <w:t>Oncorhynchus mykiss</w:t>
      </w:r>
      <w:r w:rsidRPr="00871D12">
        <w:rPr>
          <w:rFonts w:asciiTheme="minorHAnsi" w:eastAsiaTheme="minorHAnsi" w:hAnsiTheme="minorHAnsi" w:cstheme="minorBidi"/>
          <w:bCs w:val="0"/>
          <w:caps w:val="0"/>
          <w:color w:val="auto"/>
          <w:sz w:val="21"/>
          <w:szCs w:val="21"/>
        </w:rPr>
        <w:t xml:space="preserve">), </w:t>
      </w:r>
      <w:r>
        <w:rPr>
          <w:rFonts w:asciiTheme="minorHAnsi" w:eastAsiaTheme="minorHAnsi" w:hAnsiTheme="minorHAnsi" w:cstheme="minorBidi"/>
          <w:bCs w:val="0"/>
          <w:caps w:val="0"/>
          <w:color w:val="auto"/>
          <w:sz w:val="21"/>
          <w:szCs w:val="21"/>
        </w:rPr>
        <w:t>B</w:t>
      </w:r>
      <w:r w:rsidRPr="00871D12">
        <w:rPr>
          <w:rFonts w:asciiTheme="minorHAnsi" w:eastAsiaTheme="minorHAnsi" w:hAnsiTheme="minorHAnsi" w:cstheme="minorBidi"/>
          <w:bCs w:val="0"/>
          <w:caps w:val="0"/>
          <w:color w:val="auto"/>
          <w:sz w:val="21"/>
          <w:szCs w:val="21"/>
        </w:rPr>
        <w:t xml:space="preserve">rown </w:t>
      </w:r>
      <w:r>
        <w:rPr>
          <w:rFonts w:asciiTheme="minorHAnsi" w:eastAsiaTheme="minorHAnsi" w:hAnsiTheme="minorHAnsi" w:cstheme="minorBidi"/>
          <w:bCs w:val="0"/>
          <w:caps w:val="0"/>
          <w:color w:val="auto"/>
          <w:sz w:val="21"/>
          <w:szCs w:val="21"/>
        </w:rPr>
        <w:t>T</w:t>
      </w:r>
      <w:r w:rsidRPr="00871D12">
        <w:rPr>
          <w:rFonts w:asciiTheme="minorHAnsi" w:eastAsiaTheme="minorHAnsi" w:hAnsiTheme="minorHAnsi" w:cstheme="minorBidi"/>
          <w:bCs w:val="0"/>
          <w:caps w:val="0"/>
          <w:color w:val="auto"/>
          <w:sz w:val="21"/>
          <w:szCs w:val="21"/>
        </w:rPr>
        <w:t>rout (</w:t>
      </w:r>
      <w:r w:rsidRPr="00871D12">
        <w:rPr>
          <w:rFonts w:asciiTheme="minorHAnsi" w:eastAsiaTheme="minorHAnsi" w:hAnsiTheme="minorHAnsi" w:cstheme="minorBidi"/>
          <w:bCs w:val="0"/>
          <w:i/>
          <w:iCs/>
          <w:caps w:val="0"/>
          <w:color w:val="auto"/>
          <w:sz w:val="21"/>
          <w:szCs w:val="21"/>
        </w:rPr>
        <w:t>Salmo trutta</w:t>
      </w:r>
      <w:r w:rsidRPr="00871D12">
        <w:rPr>
          <w:rFonts w:asciiTheme="minorHAnsi" w:eastAsiaTheme="minorHAnsi" w:hAnsiTheme="minorHAnsi" w:cstheme="minorBidi"/>
          <w:bCs w:val="0"/>
          <w:caps w:val="0"/>
          <w:color w:val="auto"/>
          <w:sz w:val="21"/>
          <w:szCs w:val="21"/>
        </w:rPr>
        <w:t>), feral pigs (</w:t>
      </w:r>
      <w:r w:rsidRPr="00871D12">
        <w:rPr>
          <w:rFonts w:asciiTheme="minorHAnsi" w:eastAsiaTheme="minorHAnsi" w:hAnsiTheme="minorHAnsi" w:cstheme="minorBidi"/>
          <w:bCs w:val="0"/>
          <w:i/>
          <w:iCs/>
          <w:caps w:val="0"/>
          <w:color w:val="auto"/>
          <w:sz w:val="21"/>
          <w:szCs w:val="21"/>
        </w:rPr>
        <w:t>Sus scrofa</w:t>
      </w:r>
      <w:r w:rsidRPr="00871D12">
        <w:rPr>
          <w:rFonts w:asciiTheme="minorHAnsi" w:eastAsiaTheme="minorHAnsi" w:hAnsiTheme="minorHAnsi" w:cstheme="minorBidi"/>
          <w:bCs w:val="0"/>
          <w:caps w:val="0"/>
          <w:color w:val="auto"/>
          <w:sz w:val="21"/>
          <w:szCs w:val="21"/>
        </w:rPr>
        <w:t xml:space="preserve">), </w:t>
      </w:r>
      <w:r>
        <w:rPr>
          <w:rFonts w:asciiTheme="minorHAnsi" w:eastAsiaTheme="minorHAnsi" w:hAnsiTheme="minorHAnsi" w:cstheme="minorBidi"/>
          <w:bCs w:val="0"/>
          <w:caps w:val="0"/>
          <w:color w:val="auto"/>
          <w:sz w:val="21"/>
          <w:szCs w:val="21"/>
        </w:rPr>
        <w:t xml:space="preserve">European </w:t>
      </w:r>
      <w:r w:rsidRPr="00871D12">
        <w:rPr>
          <w:rFonts w:asciiTheme="minorHAnsi" w:eastAsiaTheme="minorHAnsi" w:hAnsiTheme="minorHAnsi" w:cstheme="minorBidi"/>
          <w:bCs w:val="0"/>
          <w:caps w:val="0"/>
          <w:color w:val="auto"/>
          <w:sz w:val="21"/>
          <w:szCs w:val="21"/>
        </w:rPr>
        <w:t>foxes (</w:t>
      </w:r>
      <w:r w:rsidRPr="00871D12">
        <w:rPr>
          <w:rFonts w:asciiTheme="minorHAnsi" w:eastAsiaTheme="minorHAnsi" w:hAnsiTheme="minorHAnsi" w:cstheme="minorBidi"/>
          <w:bCs w:val="0"/>
          <w:i/>
          <w:iCs/>
          <w:caps w:val="0"/>
          <w:color w:val="auto"/>
          <w:sz w:val="21"/>
          <w:szCs w:val="21"/>
        </w:rPr>
        <w:t>Vulpes vulpes</w:t>
      </w:r>
      <w:r w:rsidRPr="00871D12">
        <w:rPr>
          <w:rFonts w:asciiTheme="minorHAnsi" w:eastAsiaTheme="minorHAnsi" w:hAnsiTheme="minorHAnsi" w:cstheme="minorBidi"/>
          <w:bCs w:val="0"/>
          <w:caps w:val="0"/>
          <w:color w:val="auto"/>
          <w:sz w:val="21"/>
          <w:szCs w:val="21"/>
        </w:rPr>
        <w:t>)</w:t>
      </w:r>
      <w:r w:rsidR="006F37C3">
        <w:rPr>
          <w:rFonts w:asciiTheme="minorHAnsi" w:eastAsiaTheme="minorHAnsi" w:hAnsiTheme="minorHAnsi" w:cstheme="minorBidi"/>
          <w:bCs w:val="0"/>
          <w:caps w:val="0"/>
          <w:color w:val="auto"/>
          <w:sz w:val="21"/>
          <w:szCs w:val="21"/>
        </w:rPr>
        <w:t xml:space="preserve">. Competition with </w:t>
      </w:r>
      <w:r>
        <w:rPr>
          <w:rFonts w:asciiTheme="minorHAnsi" w:eastAsiaTheme="minorHAnsi" w:hAnsiTheme="minorHAnsi" w:cstheme="minorBidi"/>
          <w:bCs w:val="0"/>
          <w:caps w:val="0"/>
          <w:color w:val="auto"/>
          <w:sz w:val="21"/>
          <w:szCs w:val="21"/>
        </w:rPr>
        <w:t>C</w:t>
      </w:r>
      <w:r w:rsidRPr="00871D12">
        <w:rPr>
          <w:rFonts w:asciiTheme="minorHAnsi" w:eastAsiaTheme="minorHAnsi" w:hAnsiTheme="minorHAnsi" w:cstheme="minorBidi"/>
          <w:bCs w:val="0"/>
          <w:caps w:val="0"/>
          <w:color w:val="auto"/>
          <w:sz w:val="21"/>
          <w:szCs w:val="21"/>
        </w:rPr>
        <w:t xml:space="preserve">ommon </w:t>
      </w:r>
      <w:r>
        <w:rPr>
          <w:rFonts w:asciiTheme="minorHAnsi" w:eastAsiaTheme="minorHAnsi" w:hAnsiTheme="minorHAnsi" w:cstheme="minorBidi"/>
          <w:bCs w:val="0"/>
          <w:caps w:val="0"/>
          <w:color w:val="auto"/>
          <w:sz w:val="21"/>
          <w:szCs w:val="21"/>
        </w:rPr>
        <w:t>Y</w:t>
      </w:r>
      <w:r w:rsidRPr="00871D12">
        <w:rPr>
          <w:rFonts w:asciiTheme="minorHAnsi" w:eastAsiaTheme="minorHAnsi" w:hAnsiTheme="minorHAnsi" w:cstheme="minorBidi"/>
          <w:bCs w:val="0"/>
          <w:caps w:val="0"/>
          <w:color w:val="auto"/>
          <w:sz w:val="21"/>
          <w:szCs w:val="21"/>
        </w:rPr>
        <w:t>abbies (</w:t>
      </w:r>
      <w:proofErr w:type="spellStart"/>
      <w:r w:rsidRPr="00871D12">
        <w:rPr>
          <w:rFonts w:asciiTheme="minorHAnsi" w:eastAsiaTheme="minorHAnsi" w:hAnsiTheme="minorHAnsi" w:cstheme="minorBidi"/>
          <w:bCs w:val="0"/>
          <w:i/>
          <w:iCs/>
          <w:caps w:val="0"/>
          <w:color w:val="auto"/>
          <w:sz w:val="21"/>
          <w:szCs w:val="21"/>
        </w:rPr>
        <w:t>Cherax</w:t>
      </w:r>
      <w:proofErr w:type="spellEnd"/>
      <w:r w:rsidRPr="00871D12">
        <w:rPr>
          <w:rFonts w:asciiTheme="minorHAnsi" w:eastAsiaTheme="minorHAnsi" w:hAnsiTheme="minorHAnsi" w:cstheme="minorBidi"/>
          <w:bCs w:val="0"/>
          <w:i/>
          <w:iCs/>
          <w:caps w:val="0"/>
          <w:color w:val="auto"/>
          <w:sz w:val="21"/>
          <w:szCs w:val="21"/>
        </w:rPr>
        <w:t xml:space="preserve"> destructor</w:t>
      </w:r>
      <w:r w:rsidRPr="00871D12">
        <w:rPr>
          <w:rFonts w:asciiTheme="minorHAnsi" w:eastAsiaTheme="minorHAnsi" w:hAnsiTheme="minorHAnsi" w:cstheme="minorBidi"/>
          <w:bCs w:val="0"/>
          <w:caps w:val="0"/>
          <w:color w:val="auto"/>
          <w:sz w:val="21"/>
          <w:szCs w:val="21"/>
        </w:rPr>
        <w:t xml:space="preserve">) </w:t>
      </w:r>
      <w:r w:rsidR="006F37C3">
        <w:rPr>
          <w:rFonts w:asciiTheme="minorHAnsi" w:eastAsiaTheme="minorHAnsi" w:hAnsiTheme="minorHAnsi" w:cstheme="minorBidi"/>
          <w:bCs w:val="0"/>
          <w:caps w:val="0"/>
          <w:color w:val="auto"/>
          <w:sz w:val="21"/>
          <w:szCs w:val="21"/>
        </w:rPr>
        <w:t xml:space="preserve">is also </w:t>
      </w:r>
      <w:r w:rsidR="007B25D0">
        <w:rPr>
          <w:rFonts w:asciiTheme="minorHAnsi" w:eastAsiaTheme="minorHAnsi" w:hAnsiTheme="minorHAnsi" w:cstheme="minorBidi"/>
          <w:bCs w:val="0"/>
          <w:caps w:val="0"/>
          <w:color w:val="auto"/>
          <w:sz w:val="21"/>
          <w:szCs w:val="21"/>
        </w:rPr>
        <w:t xml:space="preserve">a </w:t>
      </w:r>
      <w:r w:rsidR="006F37C3">
        <w:rPr>
          <w:rFonts w:asciiTheme="minorHAnsi" w:eastAsiaTheme="minorHAnsi" w:hAnsiTheme="minorHAnsi" w:cstheme="minorBidi"/>
          <w:bCs w:val="0"/>
          <w:caps w:val="0"/>
          <w:color w:val="auto"/>
          <w:sz w:val="21"/>
          <w:szCs w:val="21"/>
        </w:rPr>
        <w:t xml:space="preserve">threat to the species. This, </w:t>
      </w:r>
      <w:r w:rsidR="007B25D0">
        <w:rPr>
          <w:rFonts w:asciiTheme="minorHAnsi" w:eastAsiaTheme="minorHAnsi" w:hAnsiTheme="minorHAnsi" w:cstheme="minorBidi"/>
          <w:bCs w:val="0"/>
          <w:caps w:val="0"/>
          <w:color w:val="auto"/>
          <w:sz w:val="21"/>
          <w:szCs w:val="21"/>
        </w:rPr>
        <w:t>a</w:t>
      </w:r>
      <w:r w:rsidR="006F37C3">
        <w:rPr>
          <w:rFonts w:asciiTheme="minorHAnsi" w:eastAsiaTheme="minorHAnsi" w:hAnsiTheme="minorHAnsi" w:cstheme="minorBidi"/>
          <w:bCs w:val="0"/>
          <w:caps w:val="0"/>
          <w:color w:val="auto"/>
          <w:sz w:val="21"/>
          <w:szCs w:val="21"/>
        </w:rPr>
        <w:t>l</w:t>
      </w:r>
      <w:r w:rsidRPr="00871D12">
        <w:rPr>
          <w:rFonts w:asciiTheme="minorHAnsi" w:eastAsiaTheme="minorHAnsi" w:hAnsiTheme="minorHAnsi" w:cstheme="minorBidi"/>
          <w:bCs w:val="0"/>
          <w:caps w:val="0"/>
          <w:color w:val="auto"/>
          <w:sz w:val="21"/>
          <w:szCs w:val="21"/>
        </w:rPr>
        <w:t>ong with being attracted to baited traps making illegal fishing a concern (McCormack 2012).</w:t>
      </w:r>
      <w:r w:rsidR="008739F4">
        <w:rPr>
          <w:rFonts w:asciiTheme="minorHAnsi" w:eastAsiaTheme="minorHAnsi" w:hAnsiTheme="minorHAnsi" w:cstheme="minorBidi"/>
          <w:bCs w:val="0"/>
          <w:caps w:val="0"/>
          <w:color w:val="auto"/>
          <w:sz w:val="21"/>
          <w:szCs w:val="21"/>
        </w:rPr>
        <w:t xml:space="preserve"> </w:t>
      </w:r>
      <w:r w:rsidR="008739F4" w:rsidRPr="008739F4">
        <w:rPr>
          <w:rFonts w:asciiTheme="minorHAnsi" w:eastAsiaTheme="minorHAnsi" w:hAnsiTheme="minorHAnsi" w:cstheme="minorBidi"/>
          <w:bCs w:val="0"/>
          <w:caps w:val="0"/>
          <w:color w:val="auto"/>
          <w:sz w:val="21"/>
          <w:szCs w:val="21"/>
        </w:rPr>
        <w:t xml:space="preserve">Dramatic increases in predated crayfish remains have been observed following fires (Carey </w:t>
      </w:r>
      <w:r w:rsidR="008739F4" w:rsidRPr="0030633E">
        <w:rPr>
          <w:rFonts w:asciiTheme="minorHAnsi" w:eastAsiaTheme="minorHAnsi" w:hAnsiTheme="minorHAnsi" w:cstheme="minorBidi"/>
          <w:bCs w:val="0"/>
          <w:i/>
          <w:iCs/>
          <w:caps w:val="0"/>
          <w:color w:val="auto"/>
          <w:sz w:val="21"/>
          <w:szCs w:val="21"/>
        </w:rPr>
        <w:t xml:space="preserve">et al. </w:t>
      </w:r>
      <w:r w:rsidR="008739F4" w:rsidRPr="008739F4">
        <w:rPr>
          <w:rFonts w:asciiTheme="minorHAnsi" w:eastAsiaTheme="minorHAnsi" w:hAnsiTheme="minorHAnsi" w:cstheme="minorBidi"/>
          <w:bCs w:val="0"/>
          <w:caps w:val="0"/>
          <w:color w:val="auto"/>
          <w:sz w:val="21"/>
          <w:szCs w:val="21"/>
        </w:rPr>
        <w:t>2003) and recent evidence from the 2019–20 fires documented &gt; 90 % of predator scats collected around upland bogs in the ACT contained crayfish remains (ACT Government 2021).</w:t>
      </w:r>
    </w:p>
    <w:p w14:paraId="51396B97" w14:textId="5458C641" w:rsidR="0078503A" w:rsidRDefault="00D742BE" w:rsidP="00832AE4">
      <w:pPr>
        <w:pStyle w:val="Heading2-notindexed"/>
      </w:pPr>
      <w:r>
        <w:t>Major Conservation Objective</w:t>
      </w:r>
    </w:p>
    <w:p w14:paraId="22E157E6" w14:textId="39244183" w:rsidR="00CB64F2" w:rsidRDefault="00CB64F2" w:rsidP="0078503A">
      <w:r>
        <w:t xml:space="preserve">The priority management objective </w:t>
      </w:r>
      <w:r w:rsidR="0033532A">
        <w:t xml:space="preserve">should be </w:t>
      </w:r>
      <w:r>
        <w:t>to</w:t>
      </w:r>
      <w:r w:rsidR="0033532A">
        <w:t xml:space="preserve"> </w:t>
      </w:r>
      <w:r w:rsidR="00800408">
        <w:t>increase</w:t>
      </w:r>
      <w:r w:rsidR="0033532A">
        <w:t xml:space="preserve"> in the long term, viable, wild </w:t>
      </w:r>
      <w:r w:rsidR="0033532A" w:rsidRPr="00E37C8B">
        <w:t xml:space="preserve">populations of </w:t>
      </w:r>
      <w:r w:rsidR="0033532A">
        <w:t>the species</w:t>
      </w:r>
      <w:r w:rsidR="0033532A" w:rsidRPr="00E37C8B">
        <w:t xml:space="preserve"> as a component of the indigenous biological resources of the ACT. This includes the need to maintain natural evolutionary processes</w:t>
      </w:r>
      <w:r w:rsidR="008D7024">
        <w:t xml:space="preserve"> and resilience to major impact</w:t>
      </w:r>
      <w:r w:rsidR="0033532A" w:rsidRPr="00E37C8B">
        <w:t>.</w:t>
      </w:r>
    </w:p>
    <w:p w14:paraId="39F5D671" w14:textId="05FBE362" w:rsidR="0078503A" w:rsidRDefault="0078503A" w:rsidP="00832AE4">
      <w:pPr>
        <w:pStyle w:val="Heading2-notindexed"/>
      </w:pPr>
      <w:r>
        <w:t xml:space="preserve">Conservation </w:t>
      </w:r>
      <w:r w:rsidR="00C359A0">
        <w:t>Priorities</w:t>
      </w:r>
    </w:p>
    <w:p w14:paraId="77FAF467" w14:textId="3FE0B956" w:rsidR="00897BC6" w:rsidRDefault="003C5F62" w:rsidP="00897BC6">
      <w:pPr>
        <w:spacing w:after="0"/>
      </w:pPr>
      <w:r>
        <w:t>C</w:t>
      </w:r>
      <w:r w:rsidRPr="001D147A">
        <w:t xml:space="preserve">onservation </w:t>
      </w:r>
      <w:r w:rsidR="00E4102A">
        <w:t>and management priorities</w:t>
      </w:r>
      <w:r w:rsidRPr="001D147A">
        <w:t xml:space="preserve"> </w:t>
      </w:r>
      <w:r w:rsidR="00E4102A">
        <w:t xml:space="preserve">for the </w:t>
      </w:r>
      <w:r w:rsidR="00CA3380">
        <w:t>Murunung Naruwi</w:t>
      </w:r>
      <w:r w:rsidR="00E4102A">
        <w:t xml:space="preserve"> </w:t>
      </w:r>
      <w:r>
        <w:t xml:space="preserve">are </w:t>
      </w:r>
      <w:r w:rsidR="00E4102A">
        <w:t xml:space="preserve">detailed in the listing assessment (ACT Scientific Committee 2025) </w:t>
      </w:r>
      <w:r w:rsidR="00897BC6">
        <w:t>for the</w:t>
      </w:r>
      <w:r w:rsidR="00D27B98">
        <w:t xml:space="preserve"> </w:t>
      </w:r>
      <w:r w:rsidR="00CA3380">
        <w:t>Murunung Naruwi</w:t>
      </w:r>
      <w:r w:rsidR="00897BC6" w:rsidRPr="00423C48">
        <w:t xml:space="preserve"> </w:t>
      </w:r>
      <w:r w:rsidR="00E4102A">
        <w:t>including</w:t>
      </w:r>
      <w:r w:rsidR="00897BC6" w:rsidRPr="00423C48">
        <w:t xml:space="preserve"> to: </w:t>
      </w:r>
    </w:p>
    <w:p w14:paraId="612D9BAE" w14:textId="77777777" w:rsidR="00C62678" w:rsidRDefault="00C62678" w:rsidP="00C7583A">
      <w:pPr>
        <w:pStyle w:val="Dotpoint"/>
      </w:pPr>
      <w:r>
        <w:t>protect the species from harvest</w:t>
      </w:r>
    </w:p>
    <w:p w14:paraId="2C6AA8A1" w14:textId="77777777" w:rsidR="00725161" w:rsidRPr="00725161" w:rsidRDefault="00C62678" w:rsidP="00C7583A">
      <w:pPr>
        <w:pStyle w:val="Dotpoint"/>
      </w:pPr>
      <w:r w:rsidRPr="00725161">
        <w:t>protect sites in the ACT where the species occurs</w:t>
      </w:r>
      <w:r w:rsidR="00725161" w:rsidRPr="00725161">
        <w:t xml:space="preserve"> </w:t>
      </w:r>
    </w:p>
    <w:p w14:paraId="2DBA421F" w14:textId="34F68EEC" w:rsidR="00C62678" w:rsidRPr="00725161" w:rsidRDefault="00725161" w:rsidP="00C7583A">
      <w:pPr>
        <w:pStyle w:val="Dotpoint"/>
      </w:pPr>
      <w:r>
        <w:t>i</w:t>
      </w:r>
      <w:r w:rsidRPr="001B0BD5">
        <w:t>dentif</w:t>
      </w:r>
      <w:r>
        <w:t>y</w:t>
      </w:r>
      <w:r w:rsidRPr="001B0BD5">
        <w:t xml:space="preserve"> and includ</w:t>
      </w:r>
      <w:r>
        <w:t>e the</w:t>
      </w:r>
      <w:r w:rsidRPr="001B0BD5">
        <w:t xml:space="preserve"> species and habitat location and requirements specifically in the ACT Ecological Guidelines (ACT Government 20</w:t>
      </w:r>
      <w:r w:rsidR="00635CF4">
        <w:t>26</w:t>
      </w:r>
      <w:r w:rsidRPr="001B0BD5">
        <w:t>) and on-ground management app</w:t>
      </w:r>
      <w:r w:rsidR="00931A3B">
        <w:t>lications</w:t>
      </w:r>
    </w:p>
    <w:p w14:paraId="5D8765EB" w14:textId="6BBD858B" w:rsidR="00C62678" w:rsidRPr="00C7583A" w:rsidRDefault="00C62678" w:rsidP="00C7583A">
      <w:pPr>
        <w:pStyle w:val="Dotpoint"/>
        <w:rPr>
          <w:rFonts w:ascii="Times New Roman" w:hAnsi="Times New Roman" w:cs="Times New Roman"/>
        </w:rPr>
      </w:pPr>
      <w:r w:rsidRPr="00931A3B">
        <w:t>manage habitat to conserve populations</w:t>
      </w:r>
      <w:r w:rsidR="00725161" w:rsidRPr="00931A3B">
        <w:t xml:space="preserve"> by </w:t>
      </w:r>
      <w:r w:rsidR="008D7024" w:rsidRPr="00931A3B">
        <w:t>implementing post fire recovery actions and protecting waterways from tracks and road runoff</w:t>
      </w:r>
      <w:r w:rsidR="008D7024" w:rsidRPr="00931A3B">
        <w:rPr>
          <w:b/>
          <w:bCs/>
        </w:rPr>
        <w:t xml:space="preserve"> </w:t>
      </w:r>
    </w:p>
    <w:p w14:paraId="20DBADE7" w14:textId="32A967AE" w:rsidR="00C7583A" w:rsidRPr="00C7583A" w:rsidRDefault="00C7583A" w:rsidP="00C7583A">
      <w:pPr>
        <w:pStyle w:val="Dotpoint"/>
      </w:pPr>
      <w:r>
        <w:t>a</w:t>
      </w:r>
      <w:r w:rsidRPr="00C7583A">
        <w:t>ctively control foxes</w:t>
      </w:r>
      <w:r>
        <w:t xml:space="preserve"> around known habitats, especially </w:t>
      </w:r>
      <w:r w:rsidRPr="00C7583A">
        <w:t>immediately following fire</w:t>
      </w:r>
    </w:p>
    <w:p w14:paraId="2E5DCD3A" w14:textId="77777777" w:rsidR="00C62678" w:rsidRDefault="00C62678" w:rsidP="00C7583A">
      <w:pPr>
        <w:pStyle w:val="Dotpoint"/>
      </w:pPr>
      <w:r>
        <w:t>enhance the long-term viability of populations</w:t>
      </w:r>
    </w:p>
    <w:p w14:paraId="48AD828D" w14:textId="75E1EEFA" w:rsidR="00522462" w:rsidRPr="00522462" w:rsidRDefault="00C62678" w:rsidP="00C7583A">
      <w:pPr>
        <w:pStyle w:val="Dotpoint"/>
      </w:pPr>
      <w:r>
        <w:t>improve understanding of the species’ ecology, habitat</w:t>
      </w:r>
      <w:r w:rsidR="003A35F7">
        <w:t xml:space="preserve"> and functional role in its ecosystem</w:t>
      </w:r>
    </w:p>
    <w:p w14:paraId="661F3071" w14:textId="77777777" w:rsidR="003F4DA3" w:rsidRDefault="002A0112" w:rsidP="00C7583A">
      <w:pPr>
        <w:pStyle w:val="Dotpoint"/>
      </w:pPr>
      <w:r>
        <w:t xml:space="preserve">identify </w:t>
      </w:r>
      <w:r w:rsidR="00522462">
        <w:t xml:space="preserve">options for management of </w:t>
      </w:r>
      <w:r w:rsidR="00C62678">
        <w:t>threats</w:t>
      </w:r>
      <w:r w:rsidR="00522462">
        <w:t xml:space="preserve"> including drought, fire and pest species</w:t>
      </w:r>
      <w:r w:rsidR="00931A3B">
        <w:t xml:space="preserve"> </w:t>
      </w:r>
      <w:r w:rsidR="00C62678">
        <w:t>improve community awareness and support for the species and freshwater fish conservation</w:t>
      </w:r>
    </w:p>
    <w:p w14:paraId="40989804" w14:textId="01FBEF9E" w:rsidR="00C62678" w:rsidRPr="00C62678" w:rsidRDefault="003F4DA3" w:rsidP="003F4DA3">
      <w:pPr>
        <w:pStyle w:val="Dotpoint"/>
      </w:pPr>
      <w:r w:rsidRPr="00433491">
        <w:t>actively seek opportunities to</w:t>
      </w:r>
      <w:r>
        <w:t xml:space="preserve"> involve members of local indigenous communities </w:t>
      </w:r>
      <w:r w:rsidRPr="00433491">
        <w:t xml:space="preserve">in on ground </w:t>
      </w:r>
      <w:r w:rsidR="003548C1">
        <w:t xml:space="preserve">management and research </w:t>
      </w:r>
      <w:r w:rsidRPr="00433491">
        <w:t>activities</w:t>
      </w:r>
      <w:r w:rsidR="00C62678">
        <w:t>.</w:t>
      </w:r>
    </w:p>
    <w:p w14:paraId="6817AE2C" w14:textId="1505F399" w:rsidR="00A034CA" w:rsidRDefault="00A034CA" w:rsidP="00A034CA">
      <w:pPr>
        <w:pStyle w:val="Heading2-notindexed"/>
      </w:pPr>
      <w:r>
        <w:t>Conservation Issues</w:t>
      </w:r>
    </w:p>
    <w:p w14:paraId="6F81AA38" w14:textId="5AA19091" w:rsidR="00A034CA" w:rsidRDefault="00B71DD4" w:rsidP="00A034CA">
      <w:pPr>
        <w:rPr>
          <w:rFonts w:cstheme="minorHAnsi"/>
        </w:rPr>
      </w:pPr>
      <w:r>
        <w:rPr>
          <w:rFonts w:cstheme="minorHAnsi"/>
          <w:lang w:val="en-US"/>
        </w:rPr>
        <w:t>It is recommended that quantitative targets and resourcing requirements are clearly identified in any Action Plan or other related projects/programs relevant to this species.</w:t>
      </w:r>
      <w:r w:rsidR="003C5F62">
        <w:rPr>
          <w:rFonts w:cstheme="minorHAnsi"/>
          <w:lang w:val="en-US"/>
        </w:rPr>
        <w:t xml:space="preserve"> </w:t>
      </w:r>
      <w:r w:rsidR="00A034CA">
        <w:rPr>
          <w:rFonts w:cstheme="minorHAnsi"/>
        </w:rPr>
        <w:t>B</w:t>
      </w:r>
      <w:r w:rsidR="00A034CA" w:rsidRPr="00E4045A">
        <w:rPr>
          <w:rFonts w:cstheme="minorHAnsi"/>
        </w:rPr>
        <w:t>roader conservation issues need to be considered in developing and implementing actions arising from this advice</w:t>
      </w:r>
      <w:r w:rsidR="009E5635">
        <w:rPr>
          <w:rFonts w:cstheme="minorHAnsi"/>
        </w:rPr>
        <w:t xml:space="preserve"> and the listing assessment</w:t>
      </w:r>
      <w:r w:rsidR="00A034CA">
        <w:rPr>
          <w:rFonts w:cstheme="minorHAnsi"/>
        </w:rPr>
        <w:t>.</w:t>
      </w:r>
    </w:p>
    <w:p w14:paraId="1AE5DD7C" w14:textId="77777777" w:rsidR="00A034CA" w:rsidRDefault="00A034CA" w:rsidP="002258B7">
      <w:pPr>
        <w:pStyle w:val="Heading3"/>
        <w:numPr>
          <w:ilvl w:val="0"/>
          <w:numId w:val="0"/>
        </w:numPr>
      </w:pPr>
      <w:r>
        <w:lastRenderedPageBreak/>
        <w:t>Critical Habitat</w:t>
      </w:r>
    </w:p>
    <w:p w14:paraId="54D219D9" w14:textId="5B898C4B" w:rsidR="009C0D54" w:rsidRPr="00E4102A" w:rsidRDefault="003B6E0B" w:rsidP="009C0D54">
      <w:pPr>
        <w:rPr>
          <w:highlight w:val="yellow"/>
        </w:rPr>
      </w:pPr>
      <w:r>
        <w:t xml:space="preserve">Critical habitat has not been formally defined for the </w:t>
      </w:r>
      <w:r w:rsidR="00CA3380">
        <w:t>Murunung Naruwi</w:t>
      </w:r>
      <w:r>
        <w:t xml:space="preserve"> but as it </w:t>
      </w:r>
      <w:r w:rsidR="009C0D54">
        <w:t>is restricted to high country streams and bogs and</w:t>
      </w:r>
      <w:r w:rsidR="003B2874">
        <w:t xml:space="preserve"> requires</w:t>
      </w:r>
      <w:r w:rsidR="003B2874" w:rsidRPr="003B2874">
        <w:t xml:space="preserve"> </w:t>
      </w:r>
      <w:r w:rsidR="003B2874">
        <w:t>p</w:t>
      </w:r>
      <w:r w:rsidR="003B2874" w:rsidRPr="009F3ADD">
        <w:t xml:space="preserve">ermanent water in the burrows </w:t>
      </w:r>
      <w:r w:rsidR="003B2874">
        <w:t>and relatively undisturbed vegetation, these features are critical to the survival of the species.</w:t>
      </w:r>
    </w:p>
    <w:p w14:paraId="7CD3637D" w14:textId="43BF34CC" w:rsidR="00D44A26" w:rsidRPr="003B2874" w:rsidRDefault="003B2874" w:rsidP="00B71DD4">
      <w:r w:rsidRPr="003B2874">
        <w:t>Generally, under the EPBC Act h</w:t>
      </w:r>
      <w:r w:rsidR="00B71DD4" w:rsidRPr="003B2874">
        <w:t xml:space="preserve">abitat critical to the survival </w:t>
      </w:r>
      <w:r w:rsidRPr="003B2874">
        <w:t xml:space="preserve">of a species </w:t>
      </w:r>
      <w:r w:rsidR="00B71DD4" w:rsidRPr="003B2874">
        <w:t>should not be cleared, fragmented or degraded. Any known or likely habitat (Map</w:t>
      </w:r>
      <w:r w:rsidR="005B5E17" w:rsidRPr="003B2874">
        <w:t> </w:t>
      </w:r>
      <w:r w:rsidR="00B71DD4" w:rsidRPr="003B2874">
        <w:t>1) should be considered as habitat critical to the survival of the species. It is essential that the highest level of protection is provided to these areas,</w:t>
      </w:r>
      <w:r>
        <w:t xml:space="preserve"> </w:t>
      </w:r>
      <w:r w:rsidR="00B71DD4" w:rsidRPr="003B2874">
        <w:t xml:space="preserve">and that enhancement and protection measures target these productive sites. </w:t>
      </w:r>
    </w:p>
    <w:p w14:paraId="514D0248" w14:textId="77777777" w:rsidR="00A034CA" w:rsidRDefault="00A034CA" w:rsidP="002258B7">
      <w:pPr>
        <w:pStyle w:val="Heading3"/>
        <w:numPr>
          <w:ilvl w:val="0"/>
          <w:numId w:val="0"/>
        </w:numPr>
      </w:pPr>
      <w:r>
        <w:t>Climate Change</w:t>
      </w:r>
    </w:p>
    <w:p w14:paraId="125D56CE" w14:textId="1A9F4767" w:rsidR="00A034CA" w:rsidRDefault="00A034CA" w:rsidP="00A034CA">
      <w:pPr>
        <w:rPr>
          <w:rFonts w:cstheme="minorHAnsi"/>
        </w:rPr>
      </w:pPr>
      <w:r w:rsidRPr="007A151F">
        <w:t xml:space="preserve">Climate change impacts </w:t>
      </w:r>
      <w:r w:rsidR="009E5635">
        <w:t>are</w:t>
      </w:r>
      <w:r w:rsidRPr="007A151F">
        <w:t xml:space="preserve"> inevitable and will affect the likelihood of persistence</w:t>
      </w:r>
      <w:r>
        <w:t>,</w:t>
      </w:r>
      <w:r w:rsidRPr="007A151F">
        <w:t xml:space="preserve"> within the ACT</w:t>
      </w:r>
      <w:r>
        <w:t>,</w:t>
      </w:r>
      <w:r w:rsidRPr="007A151F">
        <w:t xml:space="preserve"> of many species. Most vulnerable in this regard are those species that occupy highly fragmented habitat with highly restricted distributions, such as the</w:t>
      </w:r>
      <w:r w:rsidR="00D471F4">
        <w:t xml:space="preserve"> </w:t>
      </w:r>
      <w:r w:rsidR="00CA3380">
        <w:t>Murunung Naruwi</w:t>
      </w:r>
      <w:r w:rsidRPr="007A151F">
        <w:t xml:space="preserve">. Capacity </w:t>
      </w:r>
      <w:r w:rsidR="00E4102A">
        <w:t>must</w:t>
      </w:r>
      <w:r w:rsidRPr="007A151F">
        <w:t xml:space="preserve"> be developed to model the impact on the </w:t>
      </w:r>
      <w:r w:rsidR="00CA3380">
        <w:t>Murunung Naruwi</w:t>
      </w:r>
      <w:r w:rsidRPr="007A151F">
        <w:t xml:space="preserve"> and its habitat under likely climate change scenarios if we are to anticipate and manage the impacts of climate change. This will require a combination of research and the development of in-house capacity for the collection of relevant data and its application in climate change modelling.</w:t>
      </w:r>
      <w:r w:rsidRPr="00AA13EB">
        <w:rPr>
          <w:rFonts w:cstheme="minorHAnsi"/>
        </w:rPr>
        <w:t xml:space="preserve"> </w:t>
      </w:r>
    </w:p>
    <w:p w14:paraId="173B156C" w14:textId="77777777" w:rsidR="00935CA3" w:rsidRDefault="00935CA3" w:rsidP="00935CA3">
      <w:pPr>
        <w:pStyle w:val="Heading3"/>
        <w:numPr>
          <w:ilvl w:val="0"/>
          <w:numId w:val="0"/>
        </w:numPr>
        <w:ind w:left="709" w:hanging="709"/>
      </w:pPr>
      <w:bookmarkStart w:id="0" w:name="_Hlk208846081"/>
      <w:r>
        <w:t>Disease Risk</w:t>
      </w:r>
    </w:p>
    <w:bookmarkEnd w:id="0"/>
    <w:p w14:paraId="1013154F" w14:textId="0BAB8771" w:rsidR="00C23711" w:rsidRPr="0016348C" w:rsidRDefault="00C23711" w:rsidP="00C23711">
      <w:pPr>
        <w:rPr>
          <w:sz w:val="22"/>
          <w:szCs w:val="22"/>
        </w:rPr>
      </w:pPr>
      <w:r w:rsidRPr="0016348C">
        <w:t>The potential catastrophic impacts of the crayfish plague (</w:t>
      </w:r>
      <w:proofErr w:type="spellStart"/>
      <w:r w:rsidRPr="0016348C">
        <w:t>Panteleit</w:t>
      </w:r>
      <w:proofErr w:type="spellEnd"/>
      <w:r w:rsidRPr="0016348C">
        <w:t xml:space="preserve"> et al. 2017) entering Australia on the population viability of freshwater crayfish will require rapid management responses (DAWE 2019) to prevent extinction and a reassessment of priorities if biosecurity barriers are breached as the control of the crayfish plague is considered exceptionally challenging (Koivu-Jolma </w:t>
      </w:r>
      <w:r w:rsidR="00216CDA" w:rsidRPr="0016348C">
        <w:t xml:space="preserve">et al. </w:t>
      </w:r>
      <w:r w:rsidRPr="0016348C">
        <w:t xml:space="preserve">2023). Any biosecurity issues should be progressed to the Australian Chief Biosecurity Officer in the Commonwealth Department of Agriculture, Fisheries and Forestry. The EPBC Act regulates the import of live ornamental ‘fish’ into Australia, ensuring that only species on the </w:t>
      </w:r>
      <w:hyperlink r:id="rId17" w:history="1">
        <w:r w:rsidRPr="0016348C">
          <w:rPr>
            <w:rStyle w:val="Hyperlink"/>
            <w:color w:val="auto"/>
            <w:u w:val="none"/>
          </w:rPr>
          <w:t>Live Import List</w:t>
        </w:r>
      </w:hyperlink>
      <w:r w:rsidRPr="0016348C">
        <w:t xml:space="preserve"> can be imported. There are no crayfish on the live import list and the approval for importation requires a risk assessment, jurisdictional consultation, permit and the species must be disease free. </w:t>
      </w:r>
    </w:p>
    <w:p w14:paraId="76D0FC35" w14:textId="77777777" w:rsidR="00C23711" w:rsidRPr="0016348C" w:rsidRDefault="00C23711" w:rsidP="00C23711">
      <w:r w:rsidRPr="0016348C">
        <w:t xml:space="preserve">Similar to the human-assisted dispersal of alien freshwater fish in Australia (Lintermans 2004), illegal wildlife/aquarium trade is the greatest risk of entry to Australia. While there are no known early detection systems outside commercial disease screening, aquarium inspection surveillance, training scenarios and pathway identification would be beneficial if able to be prioritised for resourcing. </w:t>
      </w:r>
    </w:p>
    <w:p w14:paraId="255146E0" w14:textId="5B2FB9C3" w:rsidR="00C23711" w:rsidRPr="0016348C" w:rsidRDefault="00C23711" w:rsidP="00C23711">
      <w:r w:rsidRPr="0016348C">
        <w:t>Despite no crayfish being permitted to be imported into Australia, additional measures, such as listing potential high-risk taxa as prohibited, could reduce the risk of the crayfish plague and the threat to Australian native crayfish species, especially as illegal crayfish trade through the internet is not easily enforced. In the ACT, the crayfish plague (</w:t>
      </w:r>
      <w:r w:rsidRPr="0016348C">
        <w:rPr>
          <w:i/>
          <w:iCs/>
        </w:rPr>
        <w:t xml:space="preserve">Aphanomyces </w:t>
      </w:r>
      <w:proofErr w:type="spellStart"/>
      <w:r w:rsidRPr="0016348C">
        <w:rPr>
          <w:i/>
          <w:iCs/>
        </w:rPr>
        <w:t>astaci</w:t>
      </w:r>
      <w:proofErr w:type="spellEnd"/>
      <w:r w:rsidRPr="0016348C">
        <w:rPr>
          <w:i/>
          <w:iCs/>
        </w:rPr>
        <w:t>)</w:t>
      </w:r>
      <w:r w:rsidRPr="0016348C">
        <w:t xml:space="preserve"> is included on the </w:t>
      </w:r>
      <w:hyperlink r:id="rId18" w:history="1">
        <w:r w:rsidRPr="0016348C">
          <w:rPr>
            <w:rStyle w:val="Hyperlink"/>
            <w:i/>
            <w:iCs/>
            <w:color w:val="auto"/>
          </w:rPr>
          <w:t>Biosecurity (Notifiable and Prohibited Biosecurity Matter) Declaration 2025</w:t>
        </w:r>
      </w:hyperlink>
      <w:r w:rsidRPr="0016348C">
        <w:t xml:space="preserve">. Potential carriers of the crayfish plague should also be included as prohibited and notifiable on this instrument </w:t>
      </w:r>
      <w:hyperlink r:id="rId19" w:history="1">
        <w:r w:rsidRPr="0016348C">
          <w:rPr>
            <w:rStyle w:val="Hyperlink"/>
            <w:i/>
            <w:iCs/>
            <w:color w:val="auto"/>
          </w:rPr>
          <w:t>Biosecurity (Pests) Declaration</w:t>
        </w:r>
      </w:hyperlink>
      <w:r w:rsidRPr="0016348C">
        <w:t xml:space="preserve"> under the ACT </w:t>
      </w:r>
      <w:r w:rsidRPr="0016348C">
        <w:rPr>
          <w:i/>
          <w:iCs/>
        </w:rPr>
        <w:t>Biosecurity Act 2023</w:t>
      </w:r>
      <w:r w:rsidRPr="0016348C">
        <w:t xml:space="preserve">. </w:t>
      </w:r>
    </w:p>
    <w:p w14:paraId="5A6EE175" w14:textId="77777777" w:rsidR="00A034CA" w:rsidRDefault="00A034CA" w:rsidP="002258B7">
      <w:pPr>
        <w:pStyle w:val="Heading3"/>
        <w:numPr>
          <w:ilvl w:val="0"/>
          <w:numId w:val="0"/>
        </w:numPr>
      </w:pPr>
      <w:r>
        <w:t>Population Viability</w:t>
      </w:r>
    </w:p>
    <w:p w14:paraId="6ACC270F" w14:textId="44B36CB9" w:rsidR="00A034CA" w:rsidRPr="007A151F" w:rsidRDefault="00A034CA" w:rsidP="00A034CA">
      <w:r w:rsidRPr="007A151F">
        <w:t xml:space="preserve">With </w:t>
      </w:r>
      <w:r w:rsidR="002E24E7">
        <w:t>a threatened species</w:t>
      </w:r>
      <w:r w:rsidRPr="007A151F">
        <w:t>, such as the</w:t>
      </w:r>
      <w:r w:rsidR="005528EB">
        <w:t xml:space="preserve"> </w:t>
      </w:r>
      <w:r w:rsidR="00CA3380">
        <w:t>Murunung Naruwi</w:t>
      </w:r>
      <w:r w:rsidRPr="007A151F">
        <w:t xml:space="preserve">, the question often raised is whether the </w:t>
      </w:r>
      <w:r w:rsidR="00A66167">
        <w:t xml:space="preserve">remaining </w:t>
      </w:r>
      <w:r w:rsidR="002E24E7">
        <w:t xml:space="preserve">population </w:t>
      </w:r>
      <w:r w:rsidR="002A0112">
        <w:t>is</w:t>
      </w:r>
      <w:r w:rsidR="002E24E7">
        <w:t xml:space="preserve"> viable into the future</w:t>
      </w:r>
      <w:r w:rsidRPr="007A151F">
        <w:t>. That is, have the populations declined in abundance and become fragmented to such an extent</w:t>
      </w:r>
      <w:r w:rsidR="00F27D41">
        <w:t>,</w:t>
      </w:r>
      <w:r w:rsidRPr="007A151F">
        <w:t xml:space="preserve"> and has the genetic diversity of the species declined to such an extent</w:t>
      </w:r>
      <w:r w:rsidR="00F27D41">
        <w:t>,</w:t>
      </w:r>
      <w:r w:rsidRPr="007A151F">
        <w:t xml:space="preserve"> that the species no longer has the capacity to rebound should conditions improve or to respond to management intervention. Such an assessment </w:t>
      </w:r>
      <w:r w:rsidR="002A0112">
        <w:t>may need</w:t>
      </w:r>
      <w:r w:rsidR="002A0112" w:rsidRPr="007A151F">
        <w:t xml:space="preserve"> </w:t>
      </w:r>
      <w:r w:rsidRPr="007A151F">
        <w:t xml:space="preserve">to be </w:t>
      </w:r>
      <w:r w:rsidR="002A0112">
        <w:t>undertaken</w:t>
      </w:r>
      <w:r w:rsidR="002A0112" w:rsidRPr="007A151F">
        <w:t xml:space="preserve"> </w:t>
      </w:r>
      <w:r w:rsidRPr="007A151F">
        <w:t>in the case of the</w:t>
      </w:r>
      <w:r w:rsidR="005528EB">
        <w:t xml:space="preserve"> </w:t>
      </w:r>
      <w:r w:rsidR="00CA3380">
        <w:lastRenderedPageBreak/>
        <w:t>Murunung Naruwi</w:t>
      </w:r>
      <w:r w:rsidRPr="007A151F">
        <w:t xml:space="preserve">, and if it is determined that the species </w:t>
      </w:r>
      <w:r w:rsidR="00A66167">
        <w:t xml:space="preserve">population is </w:t>
      </w:r>
      <w:r w:rsidR="002A0112">
        <w:t xml:space="preserve">not </w:t>
      </w:r>
      <w:r w:rsidR="00A66167">
        <w:t>viable</w:t>
      </w:r>
      <w:r w:rsidRPr="007A151F">
        <w:t>, to explore more</w:t>
      </w:r>
      <w:r w:rsidR="009C37B2">
        <w:t xml:space="preserve"> intensive</w:t>
      </w:r>
      <w:r w:rsidRPr="007A151F">
        <w:t xml:space="preserve"> options for bringing the species to a position where it has the potential to recover</w:t>
      </w:r>
      <w:r w:rsidR="009C37B2">
        <w:t>, such as genetic rescue</w:t>
      </w:r>
      <w:r w:rsidR="00A66167">
        <w:t>.</w:t>
      </w:r>
      <w:r w:rsidR="009C37B2">
        <w:t xml:space="preserve"> </w:t>
      </w:r>
    </w:p>
    <w:p w14:paraId="2DE5BD13" w14:textId="77777777" w:rsidR="00A034CA" w:rsidRDefault="00A034CA" w:rsidP="002258B7">
      <w:pPr>
        <w:pStyle w:val="Heading3"/>
        <w:numPr>
          <w:ilvl w:val="0"/>
          <w:numId w:val="0"/>
        </w:numPr>
      </w:pPr>
      <w:r>
        <w:t>Ngunnawal Community Engagement</w:t>
      </w:r>
    </w:p>
    <w:p w14:paraId="29A993F1" w14:textId="7C9B884D" w:rsidR="00A034CA" w:rsidRPr="003816DC" w:rsidRDefault="00A034CA" w:rsidP="00A034CA">
      <w:r>
        <w:t xml:space="preserve">The ACT Government should </w:t>
      </w:r>
      <w:r w:rsidR="009E5635">
        <w:t xml:space="preserve">actively </w:t>
      </w:r>
      <w:r>
        <w:t>facilitate, the inclusion of the Ngunnawal people in the conservation of this species and its habitat as part of Ngunnawal Country. Reference to the draft Cultural Resource Management Plan (ACT Government in prep.) would be useful to inform culturally appropriate resource management including of native species that aligns with achieving conservation outcomes for the species.</w:t>
      </w:r>
    </w:p>
    <w:p w14:paraId="09358737" w14:textId="77777777" w:rsidR="00321CA9" w:rsidRDefault="00321CA9" w:rsidP="00832AE4">
      <w:pPr>
        <w:pStyle w:val="Heading2-notindexed"/>
      </w:pPr>
      <w:r>
        <w:t>Other Relevant Advice, plans or Prescriptions</w:t>
      </w:r>
    </w:p>
    <w:p w14:paraId="6590F629" w14:textId="2296051B" w:rsidR="00321CA9" w:rsidRDefault="002E13A8">
      <w:pPr>
        <w:pStyle w:val="ListParagraph"/>
        <w:numPr>
          <w:ilvl w:val="0"/>
          <w:numId w:val="4"/>
        </w:numPr>
        <w:rPr>
          <w:szCs w:val="20"/>
        </w:rPr>
      </w:pPr>
      <w:r w:rsidRPr="00905E5A">
        <w:rPr>
          <w:szCs w:val="20"/>
        </w:rPr>
        <w:t>ACT Aquatic and Riparian Conservation Strategy (ACT Government 2018)</w:t>
      </w:r>
    </w:p>
    <w:p w14:paraId="10B843CA" w14:textId="0F0CB342" w:rsidR="00EA42B2" w:rsidRPr="00EA42B2" w:rsidRDefault="00EA42B2" w:rsidP="00EA42B2">
      <w:pPr>
        <w:pStyle w:val="ListParagraph"/>
        <w:numPr>
          <w:ilvl w:val="0"/>
          <w:numId w:val="4"/>
        </w:numPr>
        <w:rPr>
          <w:szCs w:val="20"/>
        </w:rPr>
      </w:pPr>
      <w:r>
        <w:rPr>
          <w:szCs w:val="20"/>
        </w:rPr>
        <w:t>ACT Conservation Advice – High Country Bogs and Associated Fens (ACT Government 2019)</w:t>
      </w:r>
    </w:p>
    <w:p w14:paraId="518E3503" w14:textId="3F511090" w:rsidR="00937997" w:rsidRDefault="00937997" w:rsidP="00937997">
      <w:pPr>
        <w:pStyle w:val="ListParagraph"/>
        <w:numPr>
          <w:ilvl w:val="0"/>
          <w:numId w:val="4"/>
        </w:numPr>
        <w:rPr>
          <w:szCs w:val="20"/>
        </w:rPr>
      </w:pPr>
      <w:r w:rsidRPr="00937997">
        <w:rPr>
          <w:szCs w:val="20"/>
        </w:rPr>
        <w:t>ACT High Country Bogs</w:t>
      </w:r>
      <w:r>
        <w:rPr>
          <w:szCs w:val="20"/>
        </w:rPr>
        <w:t xml:space="preserve"> </w:t>
      </w:r>
      <w:r w:rsidRPr="00937997">
        <w:rPr>
          <w:szCs w:val="20"/>
        </w:rPr>
        <w:t>and Associated Fens</w:t>
      </w:r>
      <w:r>
        <w:rPr>
          <w:szCs w:val="20"/>
        </w:rPr>
        <w:t xml:space="preserve"> </w:t>
      </w:r>
      <w:r w:rsidRPr="00937997">
        <w:rPr>
          <w:szCs w:val="20"/>
        </w:rPr>
        <w:t>Ecological Community</w:t>
      </w:r>
      <w:r>
        <w:rPr>
          <w:szCs w:val="20"/>
        </w:rPr>
        <w:t xml:space="preserve"> – Draft Action Plan (ACT Government 2023)</w:t>
      </w:r>
    </w:p>
    <w:p w14:paraId="0617C242" w14:textId="7CB8F9BE" w:rsidR="005B041B" w:rsidRPr="005B041B" w:rsidRDefault="005B041B" w:rsidP="005B041B">
      <w:pPr>
        <w:pStyle w:val="ListParagraph"/>
        <w:numPr>
          <w:ilvl w:val="0"/>
          <w:numId w:val="4"/>
        </w:numPr>
        <w:rPr>
          <w:szCs w:val="20"/>
        </w:rPr>
      </w:pPr>
      <w:r w:rsidRPr="002258B7">
        <w:rPr>
          <w:szCs w:val="20"/>
        </w:rPr>
        <w:t xml:space="preserve">Commonwealth Conservation Advice – </w:t>
      </w:r>
      <w:r>
        <w:rPr>
          <w:szCs w:val="20"/>
        </w:rPr>
        <w:t>Riek’s Crayfish (</w:t>
      </w:r>
      <w:r w:rsidR="00C7583A">
        <w:t>DCCEEW</w:t>
      </w:r>
      <w:r w:rsidR="00AC0AAD">
        <w:rPr>
          <w:szCs w:val="20"/>
        </w:rPr>
        <w:t xml:space="preserve"> 2023</w:t>
      </w:r>
      <w:r w:rsidRPr="00FB313F">
        <w:rPr>
          <w:szCs w:val="20"/>
        </w:rPr>
        <w:t>)</w:t>
      </w:r>
    </w:p>
    <w:p w14:paraId="5E2839C0" w14:textId="2E63E142" w:rsidR="005B041B" w:rsidRPr="005B041B" w:rsidRDefault="005B041B" w:rsidP="005B041B">
      <w:pPr>
        <w:pStyle w:val="ListParagraph"/>
        <w:numPr>
          <w:ilvl w:val="0"/>
          <w:numId w:val="4"/>
        </w:numPr>
        <w:rPr>
          <w:szCs w:val="20"/>
        </w:rPr>
      </w:pPr>
      <w:r w:rsidRPr="00905E5A">
        <w:rPr>
          <w:szCs w:val="20"/>
        </w:rPr>
        <w:t xml:space="preserve">Namadgi National Park Plan of Management (ACT Government 2010) </w:t>
      </w:r>
    </w:p>
    <w:p w14:paraId="143D66ED" w14:textId="77777777" w:rsidR="00CB64F2" w:rsidRDefault="00321CA9" w:rsidP="00832AE4">
      <w:pPr>
        <w:pStyle w:val="Heading2-notindexed"/>
      </w:pPr>
      <w:r>
        <w:t>Listing Background</w:t>
      </w:r>
    </w:p>
    <w:p w14:paraId="6A7AB62C" w14:textId="7A1D1252" w:rsidR="0017084B" w:rsidRPr="004F118A" w:rsidRDefault="009F493E" w:rsidP="0078503A">
      <w:pPr>
        <w:rPr>
          <w:szCs w:val="20"/>
        </w:rPr>
      </w:pPr>
      <w:r w:rsidRPr="009F493E">
        <w:t xml:space="preserve">The </w:t>
      </w:r>
      <w:r w:rsidR="00CA3380">
        <w:t>Murunung Naruwi</w:t>
      </w:r>
      <w:r w:rsidRPr="00217437">
        <w:t xml:space="preserve"> </w:t>
      </w:r>
      <w:r w:rsidRPr="009F493E">
        <w:t xml:space="preserve">was assessed under the </w:t>
      </w:r>
      <w:r w:rsidRPr="009F493E">
        <w:rPr>
          <w:i/>
          <w:iCs/>
        </w:rPr>
        <w:t>Nature Conservation Act 2014</w:t>
      </w:r>
      <w:r w:rsidRPr="009F493E">
        <w:t xml:space="preserve">, for the first time, by the ACT Scientific Committee in 2025. The national scale assessment concluded that the species is eligible to be included in the Endangered category on the Threatened Native Species List under IUCN Criterion B — </w:t>
      </w:r>
      <w:r w:rsidRPr="00904DF9">
        <w:t>B</w:t>
      </w:r>
      <w:r w:rsidR="001F67FD" w:rsidRPr="001F67FD">
        <w:rPr>
          <w:bCs/>
          <w:lang w:eastAsia="ja-JP"/>
        </w:rPr>
        <w:t>1ab(</w:t>
      </w:r>
      <w:proofErr w:type="spellStart"/>
      <w:r w:rsidR="001F67FD" w:rsidRPr="001F67FD">
        <w:rPr>
          <w:bCs/>
          <w:lang w:eastAsia="ja-JP"/>
        </w:rPr>
        <w:t>iii,v</w:t>
      </w:r>
      <w:proofErr w:type="spellEnd"/>
      <w:r w:rsidR="001F67FD" w:rsidRPr="001F67FD">
        <w:rPr>
          <w:bCs/>
          <w:lang w:eastAsia="ja-JP"/>
        </w:rPr>
        <w:t>)+</w:t>
      </w:r>
      <w:r w:rsidRPr="00904DF9">
        <w:t>2ab(</w:t>
      </w:r>
      <w:proofErr w:type="spellStart"/>
      <w:r w:rsidRPr="00904DF9">
        <w:t>iii,v</w:t>
      </w:r>
      <w:proofErr w:type="spellEnd"/>
      <w:r w:rsidRPr="00904DF9">
        <w:t>)</w:t>
      </w:r>
      <w:r w:rsidRPr="009F493E">
        <w:t>.</w:t>
      </w:r>
      <w:r>
        <w:t xml:space="preserve"> The species was added to the EPBC Act Final Priority Assessment List (FPAL) in 2025 for assessment by October 2026.</w:t>
      </w:r>
    </w:p>
    <w:p w14:paraId="53CF875F" w14:textId="77777777" w:rsidR="0017084B" w:rsidRPr="00962F3D" w:rsidRDefault="0017084B" w:rsidP="0017084B">
      <w:pPr>
        <w:pStyle w:val="Heading2-notindexed"/>
      </w:pPr>
      <w:r w:rsidRPr="00962F3D">
        <w:t>Action Plan Decision</w:t>
      </w:r>
    </w:p>
    <w:p w14:paraId="68551F9F" w14:textId="12B4917F" w:rsidR="004F118A" w:rsidRDefault="004F118A" w:rsidP="004F118A">
      <w:r w:rsidRPr="00116487">
        <w:t xml:space="preserve">The ACT Scientific Committee </w:t>
      </w:r>
      <w:r w:rsidR="005632E2">
        <w:t>does</w:t>
      </w:r>
      <w:r>
        <w:t xml:space="preserve"> </w:t>
      </w:r>
      <w:r w:rsidRPr="00116487">
        <w:t xml:space="preserve">recommend that the Minister for the Environment should make the decision to have an action plan for the species in the ACT under the </w:t>
      </w:r>
      <w:r w:rsidRPr="00116487">
        <w:rPr>
          <w:i/>
          <w:iCs/>
        </w:rPr>
        <w:t>Nature Conservation Act 2014</w:t>
      </w:r>
      <w:r w:rsidRPr="00116487">
        <w:t>.</w:t>
      </w:r>
      <w:r>
        <w:t xml:space="preserve"> </w:t>
      </w:r>
      <w:r w:rsidR="00725161" w:rsidRPr="00725161">
        <w:t xml:space="preserve">The key habitat areas of the species in the ACT </w:t>
      </w:r>
      <w:r w:rsidR="00D639CE">
        <w:t>are</w:t>
      </w:r>
      <w:r w:rsidR="00725161" w:rsidRPr="00725161">
        <w:t xml:space="preserve"> in Namadgi National Par</w:t>
      </w:r>
      <w:r w:rsidR="00725161" w:rsidRPr="008A1029">
        <w:t>k (</w:t>
      </w:r>
      <w:r w:rsidR="008A1029" w:rsidRPr="008A1029">
        <w:t xml:space="preserve">most commonly above </w:t>
      </w:r>
      <w:r w:rsidR="00725161" w:rsidRPr="008A1029">
        <w:t>1</w:t>
      </w:r>
      <w:r w:rsidR="008A1029" w:rsidRPr="008A1029">
        <w:t>0</w:t>
      </w:r>
      <w:r w:rsidR="00725161" w:rsidRPr="008A1029">
        <w:t>00</w:t>
      </w:r>
      <w:r w:rsidR="005B5E17">
        <w:t> </w:t>
      </w:r>
      <w:r w:rsidR="00725161" w:rsidRPr="008A1029">
        <w:t>m</w:t>
      </w:r>
      <w:r w:rsidR="00AE5F83">
        <w:t> asl</w:t>
      </w:r>
      <w:r w:rsidR="00725161" w:rsidRPr="008A1029">
        <w:t>)</w:t>
      </w:r>
      <w:r w:rsidR="00725161" w:rsidRPr="00725161">
        <w:t xml:space="preserve"> and its habitat is protected there</w:t>
      </w:r>
      <w:r w:rsidR="00D639CE">
        <w:t xml:space="preserve"> but has</w:t>
      </w:r>
      <w:r w:rsidR="00D639CE" w:rsidRPr="00D639CE">
        <w:t xml:space="preserve"> not been actively managed for the conservation of Riek’s Crayfish</w:t>
      </w:r>
      <w:r w:rsidR="00725161" w:rsidRPr="00725161">
        <w:t xml:space="preserve">. </w:t>
      </w:r>
      <w:r w:rsidR="00E4102A">
        <w:t>The Listing Assessment (ACT Scientific Committee 2025)</w:t>
      </w:r>
      <w:r w:rsidR="00725161" w:rsidRPr="00725161">
        <w:t xml:space="preserve"> and this Conservation Advice should be used to inform and support the priorit</w:t>
      </w:r>
      <w:r w:rsidR="00725161">
        <w:t>ies</w:t>
      </w:r>
      <w:r w:rsidR="00725161" w:rsidRPr="00725161">
        <w:t xml:space="preserve"> identified above. This especially includes the need for monitoring</w:t>
      </w:r>
      <w:r w:rsidR="00725161">
        <w:t>,</w:t>
      </w:r>
      <w:r w:rsidR="00725161" w:rsidRPr="00725161">
        <w:t xml:space="preserve"> and identifying and including the species and its habitat’s needs in ecological guidelines for on-ground management</w:t>
      </w:r>
      <w:r w:rsidR="00C33E2A">
        <w:t>.</w:t>
      </w:r>
    </w:p>
    <w:p w14:paraId="68F3A52E" w14:textId="77777777" w:rsidR="00CB64F2" w:rsidRDefault="00CB64F2" w:rsidP="00832AE4">
      <w:pPr>
        <w:pStyle w:val="Heading2-notindexed"/>
      </w:pPr>
      <w:r>
        <w:t>References</w:t>
      </w:r>
    </w:p>
    <w:p w14:paraId="7BA3C50E" w14:textId="11EFC8CB" w:rsidR="003F55C1" w:rsidRPr="00D51D25" w:rsidRDefault="003F55C1" w:rsidP="00DF0426">
      <w:pPr>
        <w:ind w:left="567" w:hanging="567"/>
        <w:contextualSpacing/>
      </w:pPr>
      <w:r w:rsidRPr="00D51D25">
        <w:t>ACT Government</w:t>
      </w:r>
      <w:r w:rsidR="0081464E">
        <w:t xml:space="preserve"> </w:t>
      </w:r>
      <w:r w:rsidRPr="00D51D25">
        <w:t>in prep</w:t>
      </w:r>
      <w:r w:rsidR="0081464E">
        <w:t>.</w:t>
      </w:r>
      <w:r w:rsidRPr="00D51D25">
        <w:t xml:space="preserve"> </w:t>
      </w:r>
      <w:r w:rsidRPr="00D51D25">
        <w:rPr>
          <w:i/>
          <w:iCs/>
        </w:rPr>
        <w:t>Draft Cultural Resource Management Plan</w:t>
      </w:r>
      <w:r w:rsidRPr="00D51D25">
        <w:t>. Environment, Planning and Sustainable Development Directorate, ACT Government, Canberra.</w:t>
      </w:r>
    </w:p>
    <w:p w14:paraId="395C4273" w14:textId="35D25588" w:rsidR="00DA0120" w:rsidRPr="00D51D25" w:rsidRDefault="00DA0120" w:rsidP="00DF0426">
      <w:pPr>
        <w:ind w:left="567" w:hanging="567"/>
        <w:contextualSpacing/>
      </w:pPr>
      <w:r w:rsidRPr="00D51D25">
        <w:t>ACT Government 2010</w:t>
      </w:r>
      <w:r w:rsidR="0081464E">
        <w:t>.</w:t>
      </w:r>
      <w:r w:rsidRPr="00D51D25">
        <w:t xml:space="preserve"> </w:t>
      </w:r>
      <w:r w:rsidRPr="00C33E2A">
        <w:rPr>
          <w:i/>
          <w:iCs/>
        </w:rPr>
        <w:t>Namadgi National Park Plan of Management</w:t>
      </w:r>
      <w:r w:rsidRPr="00D51D25">
        <w:t>. Environment, Planning and Sustainable Development Directorate, Canberra.</w:t>
      </w:r>
      <w:r w:rsidR="00793549" w:rsidRPr="00D51D25">
        <w:t xml:space="preserve"> Accessed 14 August 2023 from</w:t>
      </w:r>
      <w:r w:rsidRPr="00D51D25">
        <w:t>:</w:t>
      </w:r>
      <w:r w:rsidR="007D3EF7" w:rsidRPr="00D51D25">
        <w:t xml:space="preserve"> </w:t>
      </w:r>
      <w:hyperlink r:id="rId20" w:history="1">
        <w:r w:rsidR="007D3EF7" w:rsidRPr="00D51D25">
          <w:rPr>
            <w:rStyle w:val="Hyperlink1"/>
            <w:rFonts w:cstheme="minorHAnsi"/>
            <w:color w:val="0000FF"/>
            <w:u w:val="single"/>
            <w:shd w:val="clear" w:color="auto" w:fill="FFFFFF"/>
          </w:rPr>
          <w:t>https://www.legislation.act.gov.au/di/2010-192/</w:t>
        </w:r>
      </w:hyperlink>
      <w:r w:rsidR="007D3EF7" w:rsidRPr="00D51D25">
        <w:t xml:space="preserve"> </w:t>
      </w:r>
    </w:p>
    <w:p w14:paraId="3DF80D86" w14:textId="5BC1E3B2" w:rsidR="00B917FF" w:rsidRPr="00D51D25" w:rsidRDefault="002E13A8" w:rsidP="00DF0426">
      <w:pPr>
        <w:ind w:left="567" w:hanging="567"/>
        <w:contextualSpacing/>
        <w:rPr>
          <w:color w:val="0000FF"/>
          <w:u w:val="single"/>
          <w:shd w:val="clear" w:color="auto" w:fill="FFFFFF"/>
        </w:rPr>
      </w:pPr>
      <w:r w:rsidRPr="00D51D25">
        <w:rPr>
          <w:color w:val="000000"/>
          <w:shd w:val="clear" w:color="auto" w:fill="FFFFFF"/>
        </w:rPr>
        <w:t>ACT Government 2018</w:t>
      </w:r>
      <w:r w:rsidR="0081464E">
        <w:rPr>
          <w:color w:val="000000"/>
          <w:shd w:val="clear" w:color="auto" w:fill="FFFFFF"/>
        </w:rPr>
        <w:t xml:space="preserve">. </w:t>
      </w:r>
      <w:r w:rsidRPr="00D51D25">
        <w:rPr>
          <w:i/>
          <w:iCs/>
          <w:color w:val="000000"/>
          <w:shd w:val="clear" w:color="auto" w:fill="FFFFFF"/>
        </w:rPr>
        <w:t>ACT Aquatic and Riparian Conservation Strategy and Action Plans</w:t>
      </w:r>
      <w:r w:rsidRPr="00D51D25">
        <w:rPr>
          <w:color w:val="000000"/>
          <w:shd w:val="clear" w:color="auto" w:fill="FFFFFF"/>
        </w:rPr>
        <w:t xml:space="preserve">. Environment, Planning and Sustainable Development Directorate, Canberra. </w:t>
      </w:r>
      <w:r w:rsidR="007D3EF7" w:rsidRPr="00D51D25">
        <w:t>Accessed 14 August 2023 from:</w:t>
      </w:r>
      <w:r w:rsidRPr="00D51D25">
        <w:rPr>
          <w:color w:val="000000"/>
          <w:shd w:val="clear" w:color="auto" w:fill="FFFFFF"/>
        </w:rPr>
        <w:t> </w:t>
      </w:r>
      <w:hyperlink r:id="rId21" w:history="1">
        <w:r w:rsidRPr="00D51D25">
          <w:rPr>
            <w:rStyle w:val="Hyperlink1"/>
            <w:rFonts w:cstheme="minorHAnsi"/>
            <w:color w:val="0000FF"/>
            <w:u w:val="single"/>
            <w:shd w:val="clear" w:color="auto" w:fill="FFFFFF"/>
          </w:rPr>
          <w:t>https://www.legislation.act.gov.au/di/2018-240/</w:t>
        </w:r>
      </w:hyperlink>
    </w:p>
    <w:p w14:paraId="57E74EF1" w14:textId="7D2FD71F" w:rsidR="00B917FF" w:rsidRPr="00D51D25" w:rsidRDefault="00B917FF" w:rsidP="00DF0426">
      <w:pPr>
        <w:ind w:left="567" w:hanging="567"/>
        <w:contextualSpacing/>
        <w:rPr>
          <w:color w:val="0000FF"/>
          <w:u w:val="single"/>
          <w:shd w:val="clear" w:color="auto" w:fill="FFFFFF"/>
        </w:rPr>
      </w:pPr>
    </w:p>
    <w:p w14:paraId="2D01C4AB" w14:textId="56E88DC6" w:rsidR="00D858DC" w:rsidRPr="00D51D25" w:rsidRDefault="001D770B" w:rsidP="00DF0426">
      <w:pPr>
        <w:ind w:left="567" w:hanging="567"/>
        <w:contextualSpacing/>
      </w:pPr>
      <w:r w:rsidRPr="00D51D25">
        <w:lastRenderedPageBreak/>
        <w:t>ACT Government 2019</w:t>
      </w:r>
      <w:r w:rsidR="0081464E">
        <w:t>.</w:t>
      </w:r>
      <w:r w:rsidRPr="00D51D25">
        <w:t xml:space="preserve"> </w:t>
      </w:r>
      <w:r w:rsidR="00D858DC" w:rsidRPr="00C33E2A">
        <w:rPr>
          <w:i/>
          <w:iCs/>
        </w:rPr>
        <w:t>ACT Conservation Advice – High Country Bogs and Associated Fens</w:t>
      </w:r>
      <w:r w:rsidR="00D858DC" w:rsidRPr="00D51D25">
        <w:t>.</w:t>
      </w:r>
      <w:r w:rsidR="007D3EF7" w:rsidRPr="00D51D25">
        <w:t xml:space="preserve"> Accessed 14 August 2023 from:</w:t>
      </w:r>
      <w:r w:rsidR="00D858DC" w:rsidRPr="00D51D25">
        <w:t xml:space="preserve"> </w:t>
      </w:r>
      <w:hyperlink r:id="rId22" w:history="1">
        <w:r w:rsidR="00D858DC" w:rsidRPr="00D51D25">
          <w:rPr>
            <w:rStyle w:val="Hyperlink1"/>
            <w:color w:val="0000FF"/>
            <w:u w:val="single"/>
            <w:shd w:val="clear" w:color="auto" w:fill="FFFFFF"/>
          </w:rPr>
          <w:t>https://www.legislation.act.gov.au/View/ni/2019-66/current/html/2019-66.html</w:t>
        </w:r>
      </w:hyperlink>
      <w:r w:rsidR="00793549" w:rsidRPr="00D51D25">
        <w:rPr>
          <w:rStyle w:val="Hyperlink1"/>
          <w:color w:val="0000FF"/>
          <w:u w:val="single"/>
          <w:shd w:val="clear" w:color="auto" w:fill="FFFFFF"/>
        </w:rPr>
        <w:t>.</w:t>
      </w:r>
      <w:r w:rsidR="00D858DC" w:rsidRPr="00D51D25">
        <w:t xml:space="preserve"> </w:t>
      </w:r>
    </w:p>
    <w:p w14:paraId="3AAB40F9" w14:textId="0A96AD1E" w:rsidR="009F0523" w:rsidRPr="00D51D25" w:rsidRDefault="009F0523" w:rsidP="00DF0426">
      <w:pPr>
        <w:ind w:left="567" w:hanging="567"/>
        <w:contextualSpacing/>
      </w:pPr>
      <w:r w:rsidRPr="00D51D25">
        <w:t>ACT Government 2021</w:t>
      </w:r>
      <w:r w:rsidR="0081464E">
        <w:t>.</w:t>
      </w:r>
      <w:r w:rsidRPr="00D51D25">
        <w:t xml:space="preserve"> </w:t>
      </w:r>
      <w:r w:rsidRPr="00D51D25">
        <w:rPr>
          <w:i/>
          <w:iCs/>
        </w:rPr>
        <w:t xml:space="preserve">Bushfire Ecosystem Recovery </w:t>
      </w:r>
      <w:r w:rsidR="0081464E">
        <w:rPr>
          <w:i/>
          <w:iCs/>
        </w:rPr>
        <w:t>–</w:t>
      </w:r>
      <w:r w:rsidRPr="00D51D25">
        <w:rPr>
          <w:i/>
          <w:iCs/>
        </w:rPr>
        <w:t xml:space="preserve"> Orroral Valley bushfire one year on: our ecosystem recovery programs</w:t>
      </w:r>
      <w:r w:rsidRPr="00D51D25">
        <w:t xml:space="preserve">. Environment, Planning and Sustainable Development Directorate – Environment, Heritage and Water – ACT Government. Accessed </w:t>
      </w:r>
      <w:r w:rsidR="00491E89" w:rsidRPr="00D51D25">
        <w:t>23</w:t>
      </w:r>
      <w:r w:rsidRPr="00D51D25">
        <w:t xml:space="preserve"> </w:t>
      </w:r>
      <w:r w:rsidR="00491E89" w:rsidRPr="00D51D25">
        <w:t xml:space="preserve">August </w:t>
      </w:r>
      <w:r w:rsidRPr="00D51D25">
        <w:t>202</w:t>
      </w:r>
      <w:r w:rsidR="00491E89" w:rsidRPr="00D51D25">
        <w:t>4 from</w:t>
      </w:r>
      <w:r w:rsidRPr="00D51D25">
        <w:t xml:space="preserve">: </w:t>
      </w:r>
      <w:hyperlink r:id="rId23" w:history="1">
        <w:r w:rsidRPr="00D51D25">
          <w:rPr>
            <w:rStyle w:val="Hyperlink"/>
            <w:rFonts w:cstheme="minorHAnsi"/>
          </w:rPr>
          <w:t>https://storymaps.arcgis.com/collections/4849e685478d48d6a6b37e84d144b176?item=2</w:t>
        </w:r>
      </w:hyperlink>
      <w:r w:rsidRPr="00D51D25">
        <w:t xml:space="preserve">.  </w:t>
      </w:r>
    </w:p>
    <w:p w14:paraId="7BEDADDA" w14:textId="208DB65E" w:rsidR="00937997" w:rsidRPr="00D51D25" w:rsidRDefault="001D770B" w:rsidP="00DF0426">
      <w:pPr>
        <w:ind w:left="567" w:hanging="567"/>
        <w:contextualSpacing/>
        <w:rPr>
          <w:rFonts w:cstheme="minorHAnsi"/>
        </w:rPr>
      </w:pPr>
      <w:r w:rsidRPr="00D51D25">
        <w:rPr>
          <w:rFonts w:cstheme="minorHAnsi"/>
        </w:rPr>
        <w:t>ACT Government 2023</w:t>
      </w:r>
      <w:r w:rsidR="0081464E">
        <w:rPr>
          <w:rFonts w:cstheme="minorHAnsi"/>
        </w:rPr>
        <w:t>.</w:t>
      </w:r>
      <w:r w:rsidRPr="00D51D25">
        <w:rPr>
          <w:rFonts w:cstheme="minorHAnsi"/>
        </w:rPr>
        <w:t xml:space="preserve"> </w:t>
      </w:r>
      <w:bookmarkStart w:id="1" w:name="_Hlk143764303"/>
      <w:r w:rsidR="00937997" w:rsidRPr="00D51D25">
        <w:rPr>
          <w:rFonts w:cstheme="minorHAnsi"/>
          <w:i/>
          <w:iCs/>
        </w:rPr>
        <w:t>ACT High Country Bogs and Associated Fens Ecological Community – Draft Action Plan</w:t>
      </w:r>
      <w:bookmarkEnd w:id="1"/>
      <w:r w:rsidR="00937997" w:rsidRPr="00D51D25">
        <w:rPr>
          <w:rFonts w:cstheme="minorHAnsi"/>
        </w:rPr>
        <w:t>.</w:t>
      </w:r>
      <w:r w:rsidR="00491E89" w:rsidRPr="00D51D25">
        <w:rPr>
          <w:rFonts w:cstheme="minorHAnsi"/>
        </w:rPr>
        <w:t xml:space="preserve"> Accessed 14 August 2023 from:</w:t>
      </w:r>
      <w:r w:rsidR="00937997" w:rsidRPr="00D51D25">
        <w:rPr>
          <w:rFonts w:cstheme="minorHAnsi"/>
        </w:rPr>
        <w:t xml:space="preserve"> </w:t>
      </w:r>
      <w:hyperlink r:id="rId24" w:history="1">
        <w:r w:rsidR="00937997" w:rsidRPr="00D51D25">
          <w:rPr>
            <w:rStyle w:val="Hyperlink1"/>
            <w:color w:val="0000FF"/>
            <w:u w:val="single"/>
            <w:shd w:val="clear" w:color="auto" w:fill="FFFFFF"/>
          </w:rPr>
          <w:t>https://yoursayconversations.act.gov.au/draft-action-plan-high-country-bogs-and-fens</w:t>
        </w:r>
      </w:hyperlink>
      <w:r w:rsidR="00937997" w:rsidRPr="00D51D25">
        <w:rPr>
          <w:rStyle w:val="Hyperlink1"/>
          <w:color w:val="0000FF"/>
          <w:u w:val="single"/>
          <w:shd w:val="clear" w:color="auto" w:fill="FFFFFF"/>
        </w:rPr>
        <w:t>.</w:t>
      </w:r>
      <w:r w:rsidR="00937997" w:rsidRPr="00D51D25">
        <w:rPr>
          <w:rFonts w:cstheme="minorHAnsi"/>
        </w:rPr>
        <w:t xml:space="preserve"> </w:t>
      </w:r>
    </w:p>
    <w:p w14:paraId="541A4301" w14:textId="0565020F" w:rsidR="00635CF4" w:rsidRDefault="00635CF4" w:rsidP="00DF0426">
      <w:pPr>
        <w:ind w:left="567" w:hanging="567"/>
        <w:contextualSpacing/>
      </w:pPr>
      <w:r w:rsidRPr="00D51D25">
        <w:rPr>
          <w:color w:val="000000"/>
          <w:shd w:val="clear" w:color="auto" w:fill="FFFFFF"/>
        </w:rPr>
        <w:t>ACT Government 20</w:t>
      </w:r>
      <w:r>
        <w:rPr>
          <w:color w:val="000000"/>
          <w:shd w:val="clear" w:color="auto" w:fill="FFFFFF"/>
        </w:rPr>
        <w:t>26.</w:t>
      </w:r>
      <w:r w:rsidRPr="00D51D25">
        <w:t xml:space="preserve"> </w:t>
      </w:r>
      <w:r w:rsidRPr="00D51D25">
        <w:rPr>
          <w:i/>
          <w:iCs/>
        </w:rPr>
        <w:t xml:space="preserve">Ecological Guidelines </w:t>
      </w:r>
      <w:r>
        <w:rPr>
          <w:i/>
          <w:iCs/>
        </w:rPr>
        <w:t>f</w:t>
      </w:r>
      <w:r w:rsidRPr="00D51D25">
        <w:rPr>
          <w:i/>
          <w:iCs/>
        </w:rPr>
        <w:t>or Fire, Fuel and Access Management Operations</w:t>
      </w:r>
      <w:r w:rsidRPr="00D51D25">
        <w:t xml:space="preserve">. </w:t>
      </w:r>
      <w:r>
        <w:rPr>
          <w:color w:val="000000"/>
          <w:shd w:val="clear" w:color="auto" w:fill="FFFFFF"/>
        </w:rPr>
        <w:t>Office of Nature Conservation, City and Environment Directorate. ACT Government</w:t>
      </w:r>
      <w:r w:rsidRPr="00D51D25">
        <w:rPr>
          <w:color w:val="000000"/>
          <w:shd w:val="clear" w:color="auto" w:fill="FFFFFF"/>
        </w:rPr>
        <w:t xml:space="preserve">, Canberra. </w:t>
      </w:r>
      <w:hyperlink r:id="rId25" w:history="1">
        <w:r w:rsidRPr="00456CEE">
          <w:rPr>
            <w:rStyle w:val="Hyperlink"/>
            <w:shd w:val="clear" w:color="auto" w:fill="FFFFFF"/>
          </w:rPr>
          <w:t>https://www.act.gov.au/open/bushfire-management-plans</w:t>
        </w:r>
      </w:hyperlink>
      <w:r>
        <w:rPr>
          <w:color w:val="000000"/>
          <w:shd w:val="clear" w:color="auto" w:fill="FFFFFF"/>
        </w:rPr>
        <w:t xml:space="preserve"> </w:t>
      </w:r>
    </w:p>
    <w:p w14:paraId="69E669FA" w14:textId="131CD4BE" w:rsidR="008E4E9F" w:rsidRPr="0050759D" w:rsidRDefault="008E4E9F" w:rsidP="00DF0426">
      <w:pPr>
        <w:ind w:left="567" w:hanging="567"/>
        <w:contextualSpacing/>
        <w:rPr>
          <w:rFonts w:cstheme="minorHAnsi"/>
        </w:rPr>
      </w:pPr>
      <w:r w:rsidRPr="0050759D">
        <w:rPr>
          <w:rFonts w:cstheme="minorHAnsi"/>
        </w:rPr>
        <w:t xml:space="preserve">Austin C, Whiterod NS, McCormack R, Raadik TA, </w:t>
      </w:r>
      <w:proofErr w:type="spellStart"/>
      <w:r w:rsidRPr="0050759D">
        <w:rPr>
          <w:rFonts w:cstheme="minorHAnsi"/>
        </w:rPr>
        <w:t>Ahyong</w:t>
      </w:r>
      <w:proofErr w:type="spellEnd"/>
      <w:r w:rsidRPr="0050759D">
        <w:rPr>
          <w:rFonts w:cstheme="minorHAnsi"/>
        </w:rPr>
        <w:t xml:space="preserve"> ST, </w:t>
      </w:r>
      <w:proofErr w:type="spellStart"/>
      <w:r w:rsidRPr="0050759D">
        <w:rPr>
          <w:rFonts w:cstheme="minorHAnsi"/>
        </w:rPr>
        <w:t>Lintermans</w:t>
      </w:r>
      <w:proofErr w:type="spellEnd"/>
      <w:r w:rsidRPr="0050759D">
        <w:rPr>
          <w:rFonts w:cstheme="minorHAnsi"/>
        </w:rPr>
        <w:t xml:space="preserve"> M, Furse JM and Grandjean F 2022</w:t>
      </w:r>
      <w:r w:rsidR="0081464E" w:rsidRPr="0050759D">
        <w:rPr>
          <w:rFonts w:cstheme="minorHAnsi"/>
        </w:rPr>
        <w:t>.</w:t>
      </w:r>
      <w:r w:rsidRPr="0050759D">
        <w:rPr>
          <w:rFonts w:cstheme="minorHAnsi"/>
        </w:rPr>
        <w:t xml:space="preserve"> </w:t>
      </w:r>
      <w:r w:rsidRPr="0050759D">
        <w:rPr>
          <w:rFonts w:cstheme="minorHAnsi"/>
          <w:i/>
          <w:iCs/>
        </w:rPr>
        <w:t xml:space="preserve">Molecular taxonomy of Australia’s endemic freshwater crayfish genus </w:t>
      </w:r>
      <w:proofErr w:type="spellStart"/>
      <w:r w:rsidRPr="0050759D">
        <w:rPr>
          <w:rFonts w:cstheme="minorHAnsi"/>
          <w:i/>
          <w:iCs/>
        </w:rPr>
        <w:t>Euastacus</w:t>
      </w:r>
      <w:proofErr w:type="spellEnd"/>
      <w:r w:rsidRPr="0050759D">
        <w:rPr>
          <w:rFonts w:cstheme="minorHAnsi"/>
          <w:i/>
          <w:iCs/>
        </w:rPr>
        <w:t xml:space="preserve"> (</w:t>
      </w:r>
      <w:proofErr w:type="spellStart"/>
      <w:r w:rsidRPr="0050759D">
        <w:rPr>
          <w:rFonts w:cstheme="minorHAnsi"/>
          <w:i/>
          <w:iCs/>
        </w:rPr>
        <w:t>Parastacidae</w:t>
      </w:r>
      <w:proofErr w:type="spellEnd"/>
      <w:r w:rsidRPr="0050759D">
        <w:rPr>
          <w:rFonts w:cstheme="minorHAnsi"/>
          <w:i/>
          <w:iCs/>
        </w:rPr>
        <w:t>), with reference to priority 2019–20 bushfire-impacted species – 2022 update</w:t>
      </w:r>
      <w:r w:rsidRPr="0050759D">
        <w:rPr>
          <w:rFonts w:cstheme="minorHAnsi"/>
        </w:rPr>
        <w:t xml:space="preserve">. A report supported by the Australian Government’s Bushfire Recovery for Wildlife and their Habitats. Deakin University and </w:t>
      </w:r>
      <w:proofErr w:type="spellStart"/>
      <w:r w:rsidRPr="0050759D">
        <w:rPr>
          <w:rFonts w:cstheme="minorHAnsi"/>
        </w:rPr>
        <w:t>Aquasave</w:t>
      </w:r>
      <w:proofErr w:type="spellEnd"/>
      <w:r w:rsidRPr="0050759D">
        <w:rPr>
          <w:rFonts w:cstheme="minorHAnsi"/>
        </w:rPr>
        <w:t>–Nature Glenelg Trust, Victor Harbor.</w:t>
      </w:r>
    </w:p>
    <w:p w14:paraId="52CAE665" w14:textId="69CFF1EC" w:rsidR="001058DD" w:rsidRDefault="001058DD" w:rsidP="00DF0426">
      <w:pPr>
        <w:ind w:left="567" w:hanging="567"/>
        <w:contextualSpacing/>
        <w:rPr>
          <w:rFonts w:cstheme="minorHAnsi"/>
        </w:rPr>
      </w:pPr>
      <w:r w:rsidRPr="001058DD">
        <w:rPr>
          <w:rFonts w:cstheme="minorHAnsi"/>
        </w:rPr>
        <w:t>Bachman S, Moat J, Hill A, de la Torre J &amp; Scott B 2011</w:t>
      </w:r>
      <w:r>
        <w:rPr>
          <w:rFonts w:cstheme="minorHAnsi"/>
        </w:rPr>
        <w:t>.</w:t>
      </w:r>
      <w:r w:rsidRPr="001058DD">
        <w:rPr>
          <w:rFonts w:cstheme="minorHAnsi"/>
        </w:rPr>
        <w:t xml:space="preserve"> Supporting Red List threat assessments with </w:t>
      </w:r>
      <w:proofErr w:type="spellStart"/>
      <w:r w:rsidRPr="001058DD">
        <w:rPr>
          <w:rFonts w:cstheme="minorHAnsi"/>
        </w:rPr>
        <w:t>GeoCAT</w:t>
      </w:r>
      <w:proofErr w:type="spellEnd"/>
      <w:r w:rsidRPr="001058DD">
        <w:rPr>
          <w:rFonts w:cstheme="minorHAnsi"/>
        </w:rPr>
        <w:t>: geospatial conservation assessment tool. In. Smith V, Penev L (Eds) e-Infrastructures for data publishing in biodiversity science.</w:t>
      </w:r>
      <w:r w:rsidRPr="001058DD">
        <w:rPr>
          <w:rFonts w:cstheme="minorHAnsi"/>
          <w:i/>
          <w:iCs/>
        </w:rPr>
        <w:t xml:space="preserve"> </w:t>
      </w:r>
      <w:proofErr w:type="spellStart"/>
      <w:r w:rsidRPr="001058DD">
        <w:rPr>
          <w:rFonts w:cstheme="minorHAnsi"/>
          <w:i/>
          <w:iCs/>
        </w:rPr>
        <w:t>Zookeys</w:t>
      </w:r>
      <w:proofErr w:type="spellEnd"/>
      <w:r w:rsidRPr="001058DD">
        <w:rPr>
          <w:rFonts w:cstheme="minorHAnsi"/>
        </w:rPr>
        <w:t xml:space="preserve"> 150: 117-126. </w:t>
      </w:r>
      <w:proofErr w:type="spellStart"/>
      <w:r w:rsidRPr="001058DD">
        <w:rPr>
          <w:rFonts w:cstheme="minorHAnsi"/>
        </w:rPr>
        <w:t>doi</w:t>
      </w:r>
      <w:proofErr w:type="spellEnd"/>
      <w:r w:rsidRPr="001058DD">
        <w:rPr>
          <w:rFonts w:cstheme="minorHAnsi"/>
        </w:rPr>
        <w:t>: 110.3897/zookeys.3150.2109.</w:t>
      </w:r>
    </w:p>
    <w:p w14:paraId="2892BEA9" w14:textId="22DEF1B8" w:rsidR="005F2ED5" w:rsidRPr="005F2ED5" w:rsidRDefault="005F2ED5" w:rsidP="005F2ED5">
      <w:pPr>
        <w:ind w:left="567" w:hanging="567"/>
        <w:contextualSpacing/>
        <w:rPr>
          <w:rFonts w:cstheme="minorHAnsi"/>
        </w:rPr>
      </w:pPr>
      <w:r w:rsidRPr="005F2ED5">
        <w:rPr>
          <w:rFonts w:cstheme="minorHAnsi"/>
        </w:rPr>
        <w:t>Bone JWP, Renshaw GMC, Furse JM &amp; Wild CH 2015</w:t>
      </w:r>
      <w:r>
        <w:rPr>
          <w:rFonts w:cstheme="minorHAnsi"/>
        </w:rPr>
        <w:t>.</w:t>
      </w:r>
      <w:r w:rsidRPr="005F2ED5">
        <w:rPr>
          <w:rFonts w:cstheme="minorHAnsi"/>
        </w:rPr>
        <w:t xml:space="preserve"> Using biochemical markers to assess the effects of imposed temperature stress on freshwater decapod crustaceans: </w:t>
      </w:r>
      <w:proofErr w:type="spellStart"/>
      <w:r w:rsidRPr="005F2ED5">
        <w:rPr>
          <w:rFonts w:cstheme="minorHAnsi"/>
          <w:i/>
          <w:iCs/>
        </w:rPr>
        <w:t>Cherax</w:t>
      </w:r>
      <w:proofErr w:type="spellEnd"/>
      <w:r w:rsidRPr="005F2ED5">
        <w:rPr>
          <w:rFonts w:cstheme="minorHAnsi"/>
          <w:i/>
          <w:iCs/>
        </w:rPr>
        <w:t xml:space="preserve"> </w:t>
      </w:r>
      <w:proofErr w:type="spellStart"/>
      <w:r w:rsidRPr="005F2ED5">
        <w:rPr>
          <w:rFonts w:cstheme="minorHAnsi"/>
          <w:i/>
          <w:iCs/>
        </w:rPr>
        <w:t>quadricarinatus</w:t>
      </w:r>
      <w:proofErr w:type="spellEnd"/>
      <w:r w:rsidRPr="005F2ED5">
        <w:rPr>
          <w:rFonts w:cstheme="minorHAnsi"/>
          <w:i/>
          <w:iCs/>
        </w:rPr>
        <w:t xml:space="preserve"> </w:t>
      </w:r>
      <w:r w:rsidRPr="005F2ED5">
        <w:rPr>
          <w:rFonts w:cstheme="minorHAnsi"/>
        </w:rPr>
        <w:t xml:space="preserve">as a test case. </w:t>
      </w:r>
      <w:r w:rsidRPr="005F2ED5">
        <w:rPr>
          <w:rFonts w:cstheme="minorHAnsi"/>
          <w:i/>
          <w:iCs/>
        </w:rPr>
        <w:t>Journal of Comparative Physiology B: Biochemical, Systems, and Environmental Physiology</w:t>
      </w:r>
      <w:r w:rsidRPr="005F2ED5">
        <w:rPr>
          <w:rFonts w:cstheme="minorHAnsi"/>
        </w:rPr>
        <w:t xml:space="preserve"> 185(3), 291</w:t>
      </w:r>
      <w:r w:rsidRPr="00BC7C57">
        <w:rPr>
          <w:rFonts w:cstheme="minorHAnsi"/>
        </w:rPr>
        <w:t>–</w:t>
      </w:r>
      <w:r w:rsidRPr="005F2ED5">
        <w:rPr>
          <w:rFonts w:cstheme="minorHAnsi"/>
        </w:rPr>
        <w:t>301.</w:t>
      </w:r>
    </w:p>
    <w:p w14:paraId="4D645F7D" w14:textId="66C2FAE4" w:rsidR="005F2ED5" w:rsidRDefault="005F2ED5" w:rsidP="005F2ED5">
      <w:pPr>
        <w:ind w:left="567" w:hanging="567"/>
        <w:contextualSpacing/>
        <w:rPr>
          <w:rFonts w:cstheme="minorHAnsi"/>
        </w:rPr>
      </w:pPr>
      <w:r w:rsidRPr="005F2ED5">
        <w:rPr>
          <w:rFonts w:cstheme="minorHAnsi"/>
        </w:rPr>
        <w:t>Bone JWP, Renshaw GMC &amp; Wild CH 2017</w:t>
      </w:r>
      <w:r>
        <w:rPr>
          <w:rFonts w:cstheme="minorHAnsi"/>
        </w:rPr>
        <w:t>.</w:t>
      </w:r>
      <w:r w:rsidRPr="005F2ED5">
        <w:rPr>
          <w:rFonts w:cstheme="minorHAnsi"/>
        </w:rPr>
        <w:t xml:space="preserve"> Physiological and biochemical responses to elevated temperature in a threatened freshwater crayfish, </w:t>
      </w:r>
      <w:proofErr w:type="spellStart"/>
      <w:r w:rsidRPr="005F2ED5">
        <w:rPr>
          <w:rFonts w:cstheme="minorHAnsi"/>
          <w:i/>
          <w:iCs/>
        </w:rPr>
        <w:t>Euastacus</w:t>
      </w:r>
      <w:proofErr w:type="spellEnd"/>
      <w:r w:rsidRPr="005F2ED5">
        <w:rPr>
          <w:rFonts w:cstheme="minorHAnsi"/>
          <w:i/>
          <w:iCs/>
        </w:rPr>
        <w:t xml:space="preserve"> </w:t>
      </w:r>
      <w:proofErr w:type="spellStart"/>
      <w:r w:rsidRPr="005F2ED5">
        <w:rPr>
          <w:rFonts w:cstheme="minorHAnsi"/>
          <w:i/>
          <w:iCs/>
        </w:rPr>
        <w:t>sulcatus</w:t>
      </w:r>
      <w:proofErr w:type="spellEnd"/>
      <w:r w:rsidRPr="005F2ED5">
        <w:rPr>
          <w:rFonts w:cstheme="minorHAnsi"/>
        </w:rPr>
        <w:t xml:space="preserve"> (Decapoda: </w:t>
      </w:r>
      <w:proofErr w:type="spellStart"/>
      <w:r w:rsidRPr="005F2ED5">
        <w:rPr>
          <w:rFonts w:cstheme="minorHAnsi"/>
        </w:rPr>
        <w:t>Parastacidae</w:t>
      </w:r>
      <w:proofErr w:type="spellEnd"/>
      <w:r w:rsidRPr="005F2ED5">
        <w:rPr>
          <w:rFonts w:cstheme="minorHAnsi"/>
        </w:rPr>
        <w:t xml:space="preserve">). </w:t>
      </w:r>
      <w:r w:rsidRPr="005F2ED5">
        <w:rPr>
          <w:rFonts w:cstheme="minorHAnsi"/>
          <w:i/>
          <w:iCs/>
        </w:rPr>
        <w:t>Marine and Freshwater Research</w:t>
      </w:r>
      <w:r w:rsidRPr="005F2ED5">
        <w:rPr>
          <w:rFonts w:cstheme="minorHAnsi"/>
        </w:rPr>
        <w:t xml:space="preserve"> 68(10): 1845</w:t>
      </w:r>
      <w:r w:rsidRPr="00BC7C57">
        <w:rPr>
          <w:rFonts w:cstheme="minorHAnsi"/>
        </w:rPr>
        <w:t>–</w:t>
      </w:r>
      <w:r w:rsidRPr="005F2ED5">
        <w:rPr>
          <w:rFonts w:cstheme="minorHAnsi"/>
        </w:rPr>
        <w:t>1854. doi.org/1810.1071/MF16232.</w:t>
      </w:r>
    </w:p>
    <w:p w14:paraId="46EF2504" w14:textId="13235444" w:rsidR="0088487D" w:rsidRPr="00BC7C57" w:rsidRDefault="0088487D" w:rsidP="00DF0426">
      <w:pPr>
        <w:ind w:left="567" w:hanging="567"/>
        <w:contextualSpacing/>
        <w:rPr>
          <w:rFonts w:cstheme="minorHAnsi"/>
        </w:rPr>
      </w:pPr>
      <w:r w:rsidRPr="00BC7C57">
        <w:rPr>
          <w:rFonts w:cstheme="minorHAnsi"/>
        </w:rPr>
        <w:t xml:space="preserve">Bone JWP, Wild CH </w:t>
      </w:r>
      <w:r w:rsidR="0027163E" w:rsidRPr="00BC7C57">
        <w:rPr>
          <w:rFonts w:cstheme="minorHAnsi"/>
        </w:rPr>
        <w:t>and</w:t>
      </w:r>
      <w:r w:rsidRPr="00BC7C57">
        <w:rPr>
          <w:rFonts w:cstheme="minorHAnsi"/>
        </w:rPr>
        <w:t xml:space="preserve"> Furse JM 2014</w:t>
      </w:r>
      <w:r w:rsidR="0081464E" w:rsidRPr="00BC7C57">
        <w:rPr>
          <w:rFonts w:cstheme="minorHAnsi"/>
        </w:rPr>
        <w:t>.</w:t>
      </w:r>
      <w:r w:rsidRPr="00BC7C57">
        <w:rPr>
          <w:rFonts w:cstheme="minorHAnsi"/>
        </w:rPr>
        <w:t xml:space="preserve"> Thermal limit of </w:t>
      </w:r>
      <w:proofErr w:type="spellStart"/>
      <w:r w:rsidRPr="00BC7C57">
        <w:rPr>
          <w:rFonts w:cstheme="minorHAnsi"/>
          <w:i/>
          <w:iCs/>
        </w:rPr>
        <w:t>Euastacus</w:t>
      </w:r>
      <w:proofErr w:type="spellEnd"/>
      <w:r w:rsidRPr="00BC7C57">
        <w:rPr>
          <w:rFonts w:cstheme="minorHAnsi"/>
          <w:i/>
          <w:iCs/>
        </w:rPr>
        <w:t xml:space="preserve"> </w:t>
      </w:r>
      <w:proofErr w:type="spellStart"/>
      <w:r w:rsidRPr="00BC7C57">
        <w:rPr>
          <w:rFonts w:cstheme="minorHAnsi"/>
          <w:i/>
          <w:iCs/>
        </w:rPr>
        <w:t>sulcatus</w:t>
      </w:r>
      <w:proofErr w:type="spellEnd"/>
      <w:r w:rsidRPr="00BC7C57">
        <w:rPr>
          <w:rFonts w:cstheme="minorHAnsi"/>
        </w:rPr>
        <w:t xml:space="preserve"> (Decapoda: </w:t>
      </w:r>
      <w:proofErr w:type="spellStart"/>
      <w:r w:rsidRPr="00BC7C57">
        <w:rPr>
          <w:rFonts w:cstheme="minorHAnsi"/>
        </w:rPr>
        <w:t>Parastacidae</w:t>
      </w:r>
      <w:proofErr w:type="spellEnd"/>
      <w:r w:rsidRPr="00BC7C57">
        <w:rPr>
          <w:rFonts w:cstheme="minorHAnsi"/>
        </w:rPr>
        <w:t xml:space="preserve">), a freshwater crayfish from the highlands of central eastern Australia. </w:t>
      </w:r>
      <w:r w:rsidRPr="00BC7C57">
        <w:rPr>
          <w:rFonts w:cstheme="minorHAnsi"/>
          <w:i/>
          <w:iCs/>
        </w:rPr>
        <w:t>Marine and Freshwater Research</w:t>
      </w:r>
      <w:r w:rsidRPr="00BC7C57">
        <w:rPr>
          <w:rFonts w:cstheme="minorHAnsi"/>
        </w:rPr>
        <w:t xml:space="preserve"> 65: 645</w:t>
      </w:r>
      <w:r w:rsidR="0081464E" w:rsidRPr="00BC7C57">
        <w:rPr>
          <w:rFonts w:cstheme="minorHAnsi"/>
        </w:rPr>
        <w:t>–</w:t>
      </w:r>
      <w:r w:rsidRPr="00BC7C57">
        <w:rPr>
          <w:rFonts w:cstheme="minorHAnsi"/>
        </w:rPr>
        <w:t>651.</w:t>
      </w:r>
    </w:p>
    <w:p w14:paraId="3E9DF1CE" w14:textId="66866D59" w:rsidR="006B5E98" w:rsidRPr="00E4102A" w:rsidRDefault="006B5E98" w:rsidP="00DF0426">
      <w:pPr>
        <w:ind w:left="567" w:hanging="567"/>
        <w:contextualSpacing/>
        <w:rPr>
          <w:rFonts w:cstheme="minorHAnsi"/>
          <w:highlight w:val="yellow"/>
        </w:rPr>
      </w:pPr>
      <w:r w:rsidRPr="006B5E98">
        <w:rPr>
          <w:rFonts w:cstheme="minorHAnsi"/>
        </w:rPr>
        <w:t>Borsboom A 1998</w:t>
      </w:r>
      <w:r w:rsidR="001058DD">
        <w:rPr>
          <w:rFonts w:cstheme="minorHAnsi"/>
        </w:rPr>
        <w:t>.</w:t>
      </w:r>
      <w:r w:rsidRPr="006B5E98">
        <w:rPr>
          <w:rFonts w:cstheme="minorHAnsi"/>
        </w:rPr>
        <w:t xml:space="preserve"> Aspects of the biology and ecology of the Australian freshwater crayfish, </w:t>
      </w:r>
      <w:proofErr w:type="spellStart"/>
      <w:r w:rsidRPr="006B5E98">
        <w:rPr>
          <w:rFonts w:cstheme="minorHAnsi"/>
        </w:rPr>
        <w:t>Euastacus</w:t>
      </w:r>
      <w:proofErr w:type="spellEnd"/>
      <w:r w:rsidRPr="006B5E98">
        <w:rPr>
          <w:rFonts w:cstheme="minorHAnsi"/>
        </w:rPr>
        <w:t xml:space="preserve"> </w:t>
      </w:r>
      <w:proofErr w:type="spellStart"/>
      <w:r w:rsidRPr="006B5E98">
        <w:rPr>
          <w:rFonts w:cstheme="minorHAnsi"/>
        </w:rPr>
        <w:t>urospinosus</w:t>
      </w:r>
      <w:proofErr w:type="spellEnd"/>
      <w:r w:rsidRPr="006B5E98">
        <w:rPr>
          <w:rFonts w:cstheme="minorHAnsi"/>
        </w:rPr>
        <w:t xml:space="preserve"> (Decapoda: </w:t>
      </w:r>
      <w:proofErr w:type="spellStart"/>
      <w:r w:rsidRPr="006B5E98">
        <w:rPr>
          <w:rFonts w:cstheme="minorHAnsi"/>
        </w:rPr>
        <w:t>Parastacidae</w:t>
      </w:r>
      <w:proofErr w:type="spellEnd"/>
      <w:r w:rsidRPr="006B5E98">
        <w:rPr>
          <w:rFonts w:cstheme="minorHAnsi"/>
        </w:rPr>
        <w:t>). Proceedings of The Linnean Society of New South Wales 119, 87–100.</w:t>
      </w:r>
    </w:p>
    <w:p w14:paraId="60410849" w14:textId="69A9D869" w:rsidR="00CF7AD0" w:rsidRPr="003B2874" w:rsidRDefault="00CF7AD0" w:rsidP="00DF0426">
      <w:pPr>
        <w:ind w:left="567" w:hanging="567"/>
        <w:contextualSpacing/>
        <w:rPr>
          <w:rFonts w:cstheme="minorHAnsi"/>
        </w:rPr>
      </w:pPr>
      <w:r w:rsidRPr="003B2874">
        <w:rPr>
          <w:rFonts w:cstheme="minorHAnsi"/>
        </w:rPr>
        <w:t xml:space="preserve">Carey A, Evans, M, Hann P, Lintermans M, MacDonald T, Ormay P, Sharp S, Shorthouse D </w:t>
      </w:r>
      <w:r w:rsidR="0027163E" w:rsidRPr="003B2874">
        <w:rPr>
          <w:rFonts w:cstheme="minorHAnsi"/>
        </w:rPr>
        <w:t>and</w:t>
      </w:r>
      <w:r w:rsidRPr="003B2874">
        <w:rPr>
          <w:rFonts w:cstheme="minorHAnsi"/>
        </w:rPr>
        <w:t xml:space="preserve"> Webb N 2003</w:t>
      </w:r>
      <w:r w:rsidR="0081464E" w:rsidRPr="003B2874">
        <w:rPr>
          <w:rFonts w:cstheme="minorHAnsi"/>
        </w:rPr>
        <w:t>.</w:t>
      </w:r>
      <w:r w:rsidRPr="003B2874">
        <w:rPr>
          <w:rFonts w:cstheme="minorHAnsi"/>
        </w:rPr>
        <w:t xml:space="preserve"> Wildfires in the ACT 2003: Report on Initial Impacts on Natural Ecosystems. Technical Report No. 17, Environment ACT, Canberra. </w:t>
      </w:r>
    </w:p>
    <w:p w14:paraId="2852091C" w14:textId="38766C56" w:rsidR="00864B02" w:rsidRPr="00D206CE" w:rsidRDefault="009F0523" w:rsidP="00DF0426">
      <w:pPr>
        <w:ind w:left="567" w:hanging="567"/>
        <w:contextualSpacing/>
        <w:rPr>
          <w:rFonts w:cstheme="minorHAnsi"/>
        </w:rPr>
      </w:pPr>
      <w:r w:rsidRPr="00D206CE">
        <w:rPr>
          <w:rFonts w:cstheme="minorHAnsi"/>
        </w:rPr>
        <w:t>Coughran J 2008</w:t>
      </w:r>
      <w:r w:rsidR="0081464E" w:rsidRPr="00D206CE">
        <w:rPr>
          <w:rFonts w:cstheme="minorHAnsi"/>
        </w:rPr>
        <w:t>.</w:t>
      </w:r>
      <w:r w:rsidRPr="00D206CE">
        <w:rPr>
          <w:rFonts w:cstheme="minorHAnsi"/>
        </w:rPr>
        <w:t xml:space="preserve"> Distinct groups in the genus </w:t>
      </w:r>
      <w:r w:rsidRPr="00D206CE">
        <w:rPr>
          <w:rFonts w:cstheme="minorHAnsi"/>
          <w:i/>
          <w:iCs/>
        </w:rPr>
        <w:t>Euastacus? Freshwater Crayfish</w:t>
      </w:r>
      <w:r w:rsidRPr="00D206CE">
        <w:rPr>
          <w:rFonts w:cstheme="minorHAnsi"/>
        </w:rPr>
        <w:t xml:space="preserve"> 16: 125</w:t>
      </w:r>
      <w:r w:rsidR="0081464E" w:rsidRPr="00D206CE">
        <w:rPr>
          <w:rFonts w:cstheme="minorHAnsi"/>
        </w:rPr>
        <w:t>–</w:t>
      </w:r>
      <w:r w:rsidRPr="00D206CE">
        <w:rPr>
          <w:rFonts w:cstheme="minorHAnsi"/>
        </w:rPr>
        <w:t>132.</w:t>
      </w:r>
    </w:p>
    <w:p w14:paraId="5C4DC716" w14:textId="1B4876A6" w:rsidR="005A40E6" w:rsidRPr="007B7404" w:rsidRDefault="005A40E6" w:rsidP="00DF0426">
      <w:pPr>
        <w:ind w:left="567" w:hanging="567"/>
        <w:contextualSpacing/>
        <w:rPr>
          <w:rFonts w:cstheme="minorHAnsi"/>
        </w:rPr>
      </w:pPr>
      <w:r w:rsidRPr="007B7404">
        <w:rPr>
          <w:rFonts w:cstheme="minorHAnsi"/>
        </w:rPr>
        <w:t>Coughran J 2013</w:t>
      </w:r>
      <w:r w:rsidR="0081464E" w:rsidRPr="007B7404">
        <w:rPr>
          <w:rFonts w:cstheme="minorHAnsi"/>
        </w:rPr>
        <w:t>.</w:t>
      </w:r>
      <w:r w:rsidRPr="007B7404">
        <w:rPr>
          <w:rFonts w:cstheme="minorHAnsi"/>
        </w:rPr>
        <w:t xml:space="preserve"> Biology of the Mountain Crayfish </w:t>
      </w:r>
      <w:proofErr w:type="spellStart"/>
      <w:r w:rsidRPr="007B7404">
        <w:rPr>
          <w:rFonts w:cstheme="minorHAnsi"/>
          <w:i/>
          <w:iCs/>
        </w:rPr>
        <w:t>Euastacus</w:t>
      </w:r>
      <w:proofErr w:type="spellEnd"/>
      <w:r w:rsidRPr="007B7404">
        <w:rPr>
          <w:rFonts w:cstheme="minorHAnsi"/>
          <w:i/>
          <w:iCs/>
        </w:rPr>
        <w:t xml:space="preserve"> </w:t>
      </w:r>
      <w:proofErr w:type="spellStart"/>
      <w:r w:rsidRPr="007B7404">
        <w:rPr>
          <w:rFonts w:cstheme="minorHAnsi"/>
          <w:i/>
          <w:iCs/>
        </w:rPr>
        <w:t>sulcatus</w:t>
      </w:r>
      <w:proofErr w:type="spellEnd"/>
      <w:r w:rsidRPr="007B7404">
        <w:rPr>
          <w:rFonts w:cstheme="minorHAnsi"/>
        </w:rPr>
        <w:t xml:space="preserve"> Riek, 1951 (Crustacea: </w:t>
      </w:r>
      <w:proofErr w:type="spellStart"/>
      <w:r w:rsidRPr="007B7404">
        <w:rPr>
          <w:rFonts w:cstheme="minorHAnsi"/>
        </w:rPr>
        <w:t>Parastacidae</w:t>
      </w:r>
      <w:proofErr w:type="spellEnd"/>
      <w:r w:rsidRPr="007B7404">
        <w:rPr>
          <w:rFonts w:cstheme="minorHAnsi"/>
        </w:rPr>
        <w:t xml:space="preserve">), in New South Wales, Australia. </w:t>
      </w:r>
      <w:r w:rsidRPr="007B7404">
        <w:rPr>
          <w:rFonts w:cstheme="minorHAnsi"/>
          <w:i/>
          <w:iCs/>
        </w:rPr>
        <w:t>Journal of Threatened Taxa</w:t>
      </w:r>
      <w:r w:rsidRPr="007B7404">
        <w:rPr>
          <w:rFonts w:cstheme="minorHAnsi"/>
        </w:rPr>
        <w:t xml:space="preserve"> 5: 4840</w:t>
      </w:r>
      <w:r w:rsidR="0081464E" w:rsidRPr="007B7404">
        <w:rPr>
          <w:rFonts w:cstheme="minorHAnsi"/>
        </w:rPr>
        <w:t>–</w:t>
      </w:r>
      <w:r w:rsidRPr="007B7404">
        <w:rPr>
          <w:rFonts w:cstheme="minorHAnsi"/>
        </w:rPr>
        <w:t>4853.</w:t>
      </w:r>
    </w:p>
    <w:p w14:paraId="50B01DB5" w14:textId="03FE70CB" w:rsidR="00864B02" w:rsidRPr="0050759D" w:rsidRDefault="00864B02" w:rsidP="00DF0426">
      <w:pPr>
        <w:ind w:left="567" w:hanging="567"/>
        <w:contextualSpacing/>
        <w:rPr>
          <w:rFonts w:cstheme="minorHAnsi"/>
        </w:rPr>
      </w:pPr>
      <w:r w:rsidRPr="0050759D">
        <w:rPr>
          <w:rFonts w:cstheme="minorHAnsi"/>
        </w:rPr>
        <w:t xml:space="preserve">Coughran J </w:t>
      </w:r>
      <w:r w:rsidR="0027163E" w:rsidRPr="0050759D">
        <w:rPr>
          <w:rFonts w:cstheme="minorHAnsi"/>
        </w:rPr>
        <w:t>and</w:t>
      </w:r>
      <w:r w:rsidRPr="0050759D">
        <w:rPr>
          <w:rFonts w:cstheme="minorHAnsi"/>
        </w:rPr>
        <w:t xml:space="preserve"> Furse JM 2010</w:t>
      </w:r>
      <w:r w:rsidR="0081464E" w:rsidRPr="0050759D">
        <w:rPr>
          <w:rFonts w:cstheme="minorHAnsi"/>
        </w:rPr>
        <w:t>.</w:t>
      </w:r>
      <w:r w:rsidRPr="0050759D">
        <w:rPr>
          <w:rFonts w:cstheme="minorHAnsi"/>
        </w:rPr>
        <w:t xml:space="preserve"> An assessment of genus </w:t>
      </w:r>
      <w:r w:rsidRPr="0050759D">
        <w:rPr>
          <w:rFonts w:cstheme="minorHAnsi"/>
          <w:i/>
          <w:iCs/>
        </w:rPr>
        <w:t>Euastacus</w:t>
      </w:r>
      <w:r w:rsidRPr="0050759D">
        <w:rPr>
          <w:rFonts w:cstheme="minorHAnsi"/>
        </w:rPr>
        <w:t xml:space="preserve"> (49 species) versus IUCN Red List criteria. A report prepared for the global species conservation assessment of crayfishes for the IUCN Red List of Threatened Species. The International Association of </w:t>
      </w:r>
      <w:proofErr w:type="spellStart"/>
      <w:r w:rsidRPr="0050759D">
        <w:rPr>
          <w:rFonts w:cstheme="minorHAnsi"/>
        </w:rPr>
        <w:t>Astacology</w:t>
      </w:r>
      <w:proofErr w:type="spellEnd"/>
      <w:r w:rsidRPr="0050759D">
        <w:rPr>
          <w:rFonts w:cstheme="minorHAnsi"/>
        </w:rPr>
        <w:t>. ISBN: 978-0-9805452-1-0. Auburn, Alabama, USA.</w:t>
      </w:r>
    </w:p>
    <w:p w14:paraId="219A759B" w14:textId="75E8D7AE" w:rsidR="00935CA3" w:rsidRPr="00935CA3" w:rsidRDefault="00935CA3" w:rsidP="00DF0426">
      <w:pPr>
        <w:ind w:left="567" w:hanging="567"/>
        <w:contextualSpacing/>
        <w:rPr>
          <w:rFonts w:cstheme="minorHAnsi"/>
        </w:rPr>
      </w:pPr>
      <w:bookmarkStart w:id="2" w:name="_Hlk207717287"/>
      <w:r w:rsidRPr="00935CA3">
        <w:rPr>
          <w:rFonts w:cstheme="minorHAnsi"/>
        </w:rPr>
        <w:t xml:space="preserve">DAWE 2019. Australian aquatic veterinary emergency plan (AQUAVETPLAN) for crayfish plague (version 2.0). Department of Agriculture Water and the Environment, </w:t>
      </w:r>
      <w:r w:rsidR="0016348C">
        <w:rPr>
          <w:rFonts w:cstheme="minorHAnsi"/>
        </w:rPr>
        <w:t>Australian</w:t>
      </w:r>
      <w:r w:rsidRPr="00935CA3">
        <w:rPr>
          <w:rFonts w:cstheme="minorHAnsi"/>
        </w:rPr>
        <w:t xml:space="preserve"> </w:t>
      </w:r>
      <w:r w:rsidR="0016348C">
        <w:rPr>
          <w:rFonts w:cstheme="minorHAnsi"/>
        </w:rPr>
        <w:t>Government,</w:t>
      </w:r>
      <w:r w:rsidRPr="00935CA3">
        <w:rPr>
          <w:rFonts w:cstheme="minorHAnsi"/>
        </w:rPr>
        <w:t xml:space="preserve"> </w:t>
      </w:r>
      <w:r w:rsidRPr="003134D0">
        <w:rPr>
          <w:rFonts w:cstheme="minorHAnsi"/>
        </w:rPr>
        <w:t>Canberra.</w:t>
      </w:r>
      <w:r w:rsidRPr="003134D0">
        <w:rPr>
          <w:rFonts w:cstheme="minorHAnsi"/>
        </w:rPr>
        <w:br/>
      </w:r>
      <w:hyperlink r:id="rId26" w:history="1">
        <w:r w:rsidRPr="00935CA3">
          <w:rPr>
            <w:rStyle w:val="Hyperlink"/>
            <w:rFonts w:cstheme="minorHAnsi"/>
          </w:rPr>
          <w:t>https://www.agriculture.gov.au/sites/default/files/documents/aquavetplan-crayfish-plague.pdf</w:t>
        </w:r>
      </w:hyperlink>
    </w:p>
    <w:bookmarkEnd w:id="2"/>
    <w:p w14:paraId="1156F56F" w14:textId="73C75DAF" w:rsidR="004C15E7" w:rsidRDefault="004C15E7" w:rsidP="004C15E7">
      <w:pPr>
        <w:ind w:left="567" w:hanging="567"/>
        <w:contextualSpacing/>
        <w:rPr>
          <w:rFonts w:cstheme="minorHAnsi"/>
        </w:rPr>
      </w:pPr>
      <w:r w:rsidRPr="004C15E7">
        <w:rPr>
          <w:rFonts w:cstheme="minorHAnsi"/>
        </w:rPr>
        <w:lastRenderedPageBreak/>
        <w:t>Furse JM 2014.</w:t>
      </w:r>
      <w:r>
        <w:rPr>
          <w:rFonts w:cstheme="minorHAnsi"/>
        </w:rPr>
        <w:t xml:space="preserve"> </w:t>
      </w:r>
      <w:r w:rsidRPr="004C15E7">
        <w:rPr>
          <w:rFonts w:cstheme="minorHAnsi"/>
        </w:rPr>
        <w:t>The freshwater crayfish fauna of Australia: update on conservation status and threats</w:t>
      </w:r>
      <w:r w:rsidR="00216CDA">
        <w:rPr>
          <w:rFonts w:cstheme="minorHAnsi"/>
        </w:rPr>
        <w:t>, in</w:t>
      </w:r>
      <w:r w:rsidRPr="004C15E7">
        <w:rPr>
          <w:rFonts w:cstheme="minorHAnsi"/>
        </w:rPr>
        <w:t xml:space="preserve"> Yeo DCJ, </w:t>
      </w:r>
      <w:proofErr w:type="spellStart"/>
      <w:r w:rsidRPr="004C15E7">
        <w:rPr>
          <w:rFonts w:cstheme="minorHAnsi"/>
        </w:rPr>
        <w:t>Cumberlidge</w:t>
      </w:r>
      <w:proofErr w:type="spellEnd"/>
      <w:r w:rsidRPr="004C15E7">
        <w:rPr>
          <w:rFonts w:cstheme="minorHAnsi"/>
        </w:rPr>
        <w:t xml:space="preserve"> N, </w:t>
      </w:r>
      <w:r w:rsidR="00216CDA">
        <w:rPr>
          <w:rFonts w:cstheme="minorHAnsi"/>
        </w:rPr>
        <w:t>and</w:t>
      </w:r>
      <w:r w:rsidRPr="004C15E7">
        <w:rPr>
          <w:rFonts w:cstheme="minorHAnsi"/>
        </w:rPr>
        <w:t xml:space="preserve"> Klaus S (eds.) </w:t>
      </w:r>
      <w:r w:rsidRPr="00216CDA">
        <w:rPr>
          <w:rFonts w:cstheme="minorHAnsi"/>
          <w:i/>
          <w:iCs/>
        </w:rPr>
        <w:t>Advances in Freshwater Decapod Systematics and Biology (</w:t>
      </w:r>
      <w:proofErr w:type="spellStart"/>
      <w:r w:rsidRPr="00216CDA">
        <w:rPr>
          <w:rFonts w:cstheme="minorHAnsi"/>
          <w:i/>
          <w:iCs/>
        </w:rPr>
        <w:t>Crustaceana</w:t>
      </w:r>
      <w:proofErr w:type="spellEnd"/>
      <w:r w:rsidRPr="00216CDA">
        <w:rPr>
          <w:rFonts w:cstheme="minorHAnsi"/>
          <w:i/>
          <w:iCs/>
        </w:rPr>
        <w:t xml:space="preserve"> Monographs, Vol. 19</w:t>
      </w:r>
      <w:r w:rsidRPr="004C15E7">
        <w:rPr>
          <w:rFonts w:cstheme="minorHAnsi"/>
        </w:rPr>
        <w:t>), 273–296. Brill, Leiden.</w:t>
      </w:r>
    </w:p>
    <w:p w14:paraId="1C466645" w14:textId="551492F7" w:rsidR="004C15E7" w:rsidRPr="004C15E7" w:rsidRDefault="004C15E7" w:rsidP="004C15E7">
      <w:pPr>
        <w:ind w:left="567" w:hanging="567"/>
        <w:contextualSpacing/>
        <w:rPr>
          <w:rFonts w:cstheme="minorHAnsi"/>
        </w:rPr>
      </w:pPr>
      <w:r w:rsidRPr="004C15E7">
        <w:rPr>
          <w:rFonts w:cstheme="minorHAnsi"/>
        </w:rPr>
        <w:t>Furse JM &amp; Coughran J 2011a</w:t>
      </w:r>
      <w:r>
        <w:rPr>
          <w:rFonts w:cstheme="minorHAnsi"/>
        </w:rPr>
        <w:t>.</w:t>
      </w:r>
      <w:r w:rsidRPr="004C15E7">
        <w:rPr>
          <w:rFonts w:cstheme="minorHAnsi"/>
        </w:rPr>
        <w:t xml:space="preserve"> An assessment of the distribution, biology, threatening processes and conservation status of the freshwater crayfish, genus </w:t>
      </w:r>
      <w:proofErr w:type="spellStart"/>
      <w:r w:rsidRPr="004C15E7">
        <w:rPr>
          <w:rFonts w:cstheme="minorHAnsi"/>
        </w:rPr>
        <w:t>Euastacus</w:t>
      </w:r>
      <w:proofErr w:type="spellEnd"/>
      <w:r w:rsidRPr="004C15E7">
        <w:rPr>
          <w:rFonts w:cstheme="minorHAnsi"/>
        </w:rPr>
        <w:t xml:space="preserve"> (Decapoda: </w:t>
      </w:r>
      <w:proofErr w:type="spellStart"/>
      <w:r w:rsidRPr="004C15E7">
        <w:rPr>
          <w:rFonts w:cstheme="minorHAnsi"/>
        </w:rPr>
        <w:t>Parastacidae</w:t>
      </w:r>
      <w:proofErr w:type="spellEnd"/>
      <w:r w:rsidRPr="004C15E7">
        <w:rPr>
          <w:rFonts w:cstheme="minorHAnsi"/>
        </w:rPr>
        <w:t xml:space="preserve">), in Continental Australia. I. Biological Background and Current Status. </w:t>
      </w:r>
      <w:proofErr w:type="spellStart"/>
      <w:r w:rsidRPr="004C15E7">
        <w:rPr>
          <w:rFonts w:cstheme="minorHAnsi"/>
        </w:rPr>
        <w:t>Crustaceana</w:t>
      </w:r>
      <w:proofErr w:type="spellEnd"/>
      <w:r w:rsidRPr="004C15E7">
        <w:rPr>
          <w:rFonts w:cstheme="minorHAnsi"/>
        </w:rPr>
        <w:t xml:space="preserve"> Monographs 15 (Special edition: New Frontiers in Crustacean Biology): 241-252. </w:t>
      </w:r>
    </w:p>
    <w:p w14:paraId="4AAB0015" w14:textId="52FFD9CE" w:rsidR="004C15E7" w:rsidRDefault="004C15E7" w:rsidP="004C15E7">
      <w:pPr>
        <w:ind w:left="567" w:hanging="567"/>
        <w:contextualSpacing/>
        <w:rPr>
          <w:rFonts w:cstheme="minorHAnsi"/>
        </w:rPr>
      </w:pPr>
      <w:r w:rsidRPr="004C15E7">
        <w:rPr>
          <w:rFonts w:cstheme="minorHAnsi"/>
        </w:rPr>
        <w:t>Furse JM &amp; Coughran J 2011b</w:t>
      </w:r>
      <w:r>
        <w:rPr>
          <w:rFonts w:cstheme="minorHAnsi"/>
        </w:rPr>
        <w:t>.</w:t>
      </w:r>
      <w:r w:rsidRPr="004C15E7">
        <w:rPr>
          <w:rFonts w:cstheme="minorHAnsi"/>
        </w:rPr>
        <w:t xml:space="preserve"> An assessment of the distribution, biology, threatening processes and conservation status of the freshwater crayfish, genus </w:t>
      </w:r>
      <w:proofErr w:type="spellStart"/>
      <w:r w:rsidRPr="004C15E7">
        <w:rPr>
          <w:rFonts w:cstheme="minorHAnsi"/>
        </w:rPr>
        <w:t>Euastacus</w:t>
      </w:r>
      <w:proofErr w:type="spellEnd"/>
      <w:r w:rsidRPr="004C15E7">
        <w:rPr>
          <w:rFonts w:cstheme="minorHAnsi"/>
        </w:rPr>
        <w:t xml:space="preserve"> (Decapoda: </w:t>
      </w:r>
      <w:proofErr w:type="spellStart"/>
      <w:r w:rsidRPr="004C15E7">
        <w:rPr>
          <w:rFonts w:cstheme="minorHAnsi"/>
        </w:rPr>
        <w:t>Parastacidae</w:t>
      </w:r>
      <w:proofErr w:type="spellEnd"/>
      <w:r w:rsidRPr="004C15E7">
        <w:rPr>
          <w:rFonts w:cstheme="minorHAnsi"/>
        </w:rPr>
        <w:t xml:space="preserve">), in Continental Australia. II. Threats, Conservation Assessments and Key Findings. </w:t>
      </w:r>
      <w:proofErr w:type="spellStart"/>
      <w:r w:rsidRPr="004C15E7">
        <w:rPr>
          <w:rFonts w:cstheme="minorHAnsi"/>
        </w:rPr>
        <w:t>Crustaceana</w:t>
      </w:r>
      <w:proofErr w:type="spellEnd"/>
      <w:r w:rsidRPr="004C15E7">
        <w:rPr>
          <w:rFonts w:cstheme="minorHAnsi"/>
        </w:rPr>
        <w:t xml:space="preserve"> Monographs 15 (Special edition: New Frontiers in Crustacean Biology): 253-263.</w:t>
      </w:r>
    </w:p>
    <w:p w14:paraId="004007A5" w14:textId="3C5385E2" w:rsidR="00774001" w:rsidRPr="007B7404" w:rsidRDefault="00774001" w:rsidP="00DF0426">
      <w:pPr>
        <w:ind w:left="567" w:hanging="567"/>
        <w:contextualSpacing/>
        <w:rPr>
          <w:rFonts w:cstheme="minorHAnsi"/>
        </w:rPr>
      </w:pPr>
      <w:r w:rsidRPr="007B7404">
        <w:rPr>
          <w:rFonts w:cstheme="minorHAnsi"/>
        </w:rPr>
        <w:t xml:space="preserve">Furse JM </w:t>
      </w:r>
      <w:r w:rsidR="0027163E" w:rsidRPr="007B7404">
        <w:rPr>
          <w:rFonts w:cstheme="minorHAnsi"/>
        </w:rPr>
        <w:t>and</w:t>
      </w:r>
      <w:r w:rsidRPr="007B7404">
        <w:rPr>
          <w:rFonts w:cstheme="minorHAnsi"/>
        </w:rPr>
        <w:t xml:space="preserve"> Coughran J 201</w:t>
      </w:r>
      <w:r w:rsidR="004C15E7">
        <w:rPr>
          <w:rFonts w:cstheme="minorHAnsi"/>
        </w:rPr>
        <w:t>2</w:t>
      </w:r>
      <w:r w:rsidR="0081464E" w:rsidRPr="007B7404">
        <w:rPr>
          <w:rFonts w:cstheme="minorHAnsi"/>
        </w:rPr>
        <w:t>.</w:t>
      </w:r>
      <w:r w:rsidRPr="007B7404">
        <w:rPr>
          <w:rFonts w:cstheme="minorHAnsi"/>
        </w:rPr>
        <w:t xml:space="preserve"> An assessment of the distribution, biology, threatening processes and conservation status of the freshwater crayfish, genus </w:t>
      </w:r>
      <w:proofErr w:type="spellStart"/>
      <w:r w:rsidRPr="007B7404">
        <w:rPr>
          <w:rFonts w:cstheme="minorHAnsi"/>
          <w:i/>
          <w:iCs/>
        </w:rPr>
        <w:t>Euastacus</w:t>
      </w:r>
      <w:proofErr w:type="spellEnd"/>
      <w:r w:rsidRPr="007B7404">
        <w:rPr>
          <w:rFonts w:cstheme="minorHAnsi"/>
        </w:rPr>
        <w:t xml:space="preserve"> (Decapoda: </w:t>
      </w:r>
      <w:proofErr w:type="spellStart"/>
      <w:r w:rsidRPr="007B7404">
        <w:rPr>
          <w:rFonts w:cstheme="minorHAnsi"/>
        </w:rPr>
        <w:t>Parastacidae</w:t>
      </w:r>
      <w:proofErr w:type="spellEnd"/>
      <w:r w:rsidRPr="007B7404">
        <w:rPr>
          <w:rFonts w:cstheme="minorHAnsi"/>
        </w:rPr>
        <w:t xml:space="preserve">), in </w:t>
      </w:r>
      <w:r w:rsidRPr="00216CDA">
        <w:rPr>
          <w:rFonts w:cstheme="minorHAnsi"/>
          <w:i/>
          <w:iCs/>
        </w:rPr>
        <w:t>Continental Australia. I. Biological Background and Current Status</w:t>
      </w:r>
      <w:r w:rsidRPr="00216CDA">
        <w:rPr>
          <w:rFonts w:cstheme="minorHAnsi"/>
        </w:rPr>
        <w:t>.</w:t>
      </w:r>
      <w:r w:rsidRPr="00216CDA">
        <w:rPr>
          <w:rFonts w:cstheme="minorHAnsi"/>
          <w:i/>
          <w:iCs/>
        </w:rPr>
        <w:t xml:space="preserve"> </w:t>
      </w:r>
      <w:proofErr w:type="spellStart"/>
      <w:r w:rsidRPr="00216CDA">
        <w:rPr>
          <w:rFonts w:cstheme="minorHAnsi"/>
          <w:i/>
          <w:iCs/>
        </w:rPr>
        <w:t>Crustaceana</w:t>
      </w:r>
      <w:proofErr w:type="spellEnd"/>
      <w:r w:rsidRPr="00216CDA">
        <w:rPr>
          <w:rFonts w:cstheme="minorHAnsi"/>
          <w:i/>
          <w:iCs/>
        </w:rPr>
        <w:t xml:space="preserve"> Monographs 15</w:t>
      </w:r>
      <w:r w:rsidRPr="007B7404">
        <w:rPr>
          <w:rFonts w:cstheme="minorHAnsi"/>
        </w:rPr>
        <w:t xml:space="preserve"> (Special edition: </w:t>
      </w:r>
      <w:r w:rsidRPr="007B7404">
        <w:rPr>
          <w:rFonts w:cstheme="minorHAnsi"/>
          <w:i/>
          <w:iCs/>
        </w:rPr>
        <w:t>New Frontiers in Crustacean Biology</w:t>
      </w:r>
      <w:r w:rsidRPr="007B7404">
        <w:rPr>
          <w:rFonts w:cstheme="minorHAnsi"/>
        </w:rPr>
        <w:t>): 241</w:t>
      </w:r>
      <w:r w:rsidR="0081464E" w:rsidRPr="007B7404">
        <w:rPr>
          <w:rFonts w:cstheme="minorHAnsi"/>
        </w:rPr>
        <w:t>–</w:t>
      </w:r>
      <w:r w:rsidRPr="007B7404">
        <w:rPr>
          <w:rFonts w:cstheme="minorHAnsi"/>
        </w:rPr>
        <w:t>252.</w:t>
      </w:r>
    </w:p>
    <w:p w14:paraId="3308871D" w14:textId="4D648A9A" w:rsidR="00C51682" w:rsidRDefault="00C51682" w:rsidP="00DF0426">
      <w:pPr>
        <w:ind w:left="567" w:hanging="567"/>
        <w:contextualSpacing/>
        <w:rPr>
          <w:rFonts w:cstheme="minorHAnsi"/>
        </w:rPr>
      </w:pPr>
      <w:r w:rsidRPr="00C51682">
        <w:rPr>
          <w:rFonts w:cstheme="minorHAnsi"/>
        </w:rPr>
        <w:t xml:space="preserve">Furse J, Coughran J </w:t>
      </w:r>
      <w:r>
        <w:rPr>
          <w:rFonts w:cstheme="minorHAnsi"/>
        </w:rPr>
        <w:t>and</w:t>
      </w:r>
      <w:r w:rsidRPr="00C51682">
        <w:rPr>
          <w:rFonts w:cstheme="minorHAnsi"/>
        </w:rPr>
        <w:t xml:space="preserve"> Lawler S. 2010. </w:t>
      </w:r>
      <w:r w:rsidRPr="00C51682">
        <w:rPr>
          <w:rFonts w:cstheme="minorHAnsi"/>
          <w:i/>
          <w:iCs/>
        </w:rPr>
        <w:t>Euastacus crassus</w:t>
      </w:r>
      <w:r w:rsidRPr="00C51682">
        <w:rPr>
          <w:rFonts w:cstheme="minorHAnsi"/>
        </w:rPr>
        <w:t xml:space="preserve">. The IUCN Red List of Threatened Species 2010: e.T8148A12892235. </w:t>
      </w:r>
      <w:hyperlink r:id="rId27" w:history="1">
        <w:r w:rsidRPr="006F5B59">
          <w:rPr>
            <w:rStyle w:val="Hyperlink"/>
            <w:rFonts w:cstheme="minorHAnsi"/>
          </w:rPr>
          <w:t>https://dx.doi.org/10.2305/IUCN.UK.2010-3.RLTS.T8148A12892235.en</w:t>
        </w:r>
      </w:hyperlink>
      <w:r w:rsidRPr="00C51682">
        <w:rPr>
          <w:rFonts w:cstheme="minorHAnsi"/>
        </w:rPr>
        <w:t>.</w:t>
      </w:r>
      <w:r>
        <w:rPr>
          <w:rFonts w:cstheme="minorHAnsi"/>
        </w:rPr>
        <w:t xml:space="preserve"> </w:t>
      </w:r>
    </w:p>
    <w:p w14:paraId="7D388A39" w14:textId="709A0D5A" w:rsidR="005A40E6" w:rsidRPr="007B7404" w:rsidRDefault="005A40E6" w:rsidP="00DF0426">
      <w:pPr>
        <w:ind w:left="567" w:hanging="567"/>
        <w:contextualSpacing/>
        <w:rPr>
          <w:rFonts w:cstheme="minorHAnsi"/>
        </w:rPr>
      </w:pPr>
      <w:r w:rsidRPr="007B7404">
        <w:rPr>
          <w:rFonts w:cstheme="minorHAnsi"/>
        </w:rPr>
        <w:t xml:space="preserve">Furse JM </w:t>
      </w:r>
      <w:r w:rsidR="0027163E" w:rsidRPr="007B7404">
        <w:rPr>
          <w:rFonts w:cstheme="minorHAnsi"/>
        </w:rPr>
        <w:t>and</w:t>
      </w:r>
      <w:r w:rsidRPr="007B7404">
        <w:rPr>
          <w:rFonts w:cstheme="minorHAnsi"/>
        </w:rPr>
        <w:t xml:space="preserve"> Wild CH 2004</w:t>
      </w:r>
      <w:r w:rsidR="0081464E" w:rsidRPr="007B7404">
        <w:rPr>
          <w:rFonts w:cstheme="minorHAnsi"/>
        </w:rPr>
        <w:t>.</w:t>
      </w:r>
      <w:r w:rsidRPr="007B7404">
        <w:rPr>
          <w:rFonts w:cstheme="minorHAnsi"/>
        </w:rPr>
        <w:t xml:space="preserve"> Laboratory moult increment, frequency, and growth in </w:t>
      </w:r>
      <w:proofErr w:type="spellStart"/>
      <w:r w:rsidRPr="007B7404">
        <w:rPr>
          <w:rFonts w:cstheme="minorHAnsi"/>
          <w:i/>
          <w:iCs/>
        </w:rPr>
        <w:t>Euastacus</w:t>
      </w:r>
      <w:proofErr w:type="spellEnd"/>
      <w:r w:rsidRPr="007B7404">
        <w:rPr>
          <w:rFonts w:cstheme="minorHAnsi"/>
          <w:i/>
          <w:iCs/>
        </w:rPr>
        <w:t xml:space="preserve"> </w:t>
      </w:r>
      <w:proofErr w:type="spellStart"/>
      <w:r w:rsidRPr="007B7404">
        <w:rPr>
          <w:rFonts w:cstheme="minorHAnsi"/>
          <w:i/>
          <w:iCs/>
        </w:rPr>
        <w:t>sulcatus</w:t>
      </w:r>
      <w:proofErr w:type="spellEnd"/>
      <w:r w:rsidRPr="007B7404">
        <w:rPr>
          <w:rFonts w:cstheme="minorHAnsi"/>
        </w:rPr>
        <w:t xml:space="preserve">. </w:t>
      </w:r>
      <w:r w:rsidRPr="007B7404">
        <w:rPr>
          <w:rFonts w:cstheme="minorHAnsi"/>
          <w:i/>
          <w:iCs/>
        </w:rPr>
        <w:t>Freshwater Crayfish</w:t>
      </w:r>
      <w:r w:rsidRPr="007B7404">
        <w:rPr>
          <w:rFonts w:cstheme="minorHAnsi"/>
        </w:rPr>
        <w:t xml:space="preserve"> 14: 205</w:t>
      </w:r>
      <w:r w:rsidR="0081464E" w:rsidRPr="007B7404">
        <w:rPr>
          <w:rFonts w:cstheme="minorHAnsi"/>
        </w:rPr>
        <w:t>–</w:t>
      </w:r>
      <w:r w:rsidRPr="007B7404">
        <w:rPr>
          <w:rFonts w:cstheme="minorHAnsi"/>
        </w:rPr>
        <w:t>211.</w:t>
      </w:r>
    </w:p>
    <w:p w14:paraId="653D1F2C" w14:textId="3947EFCA" w:rsidR="0050759D" w:rsidRDefault="0050759D" w:rsidP="00DF0426">
      <w:pPr>
        <w:ind w:left="567" w:hanging="567"/>
        <w:contextualSpacing/>
        <w:rPr>
          <w:rFonts w:cstheme="minorHAnsi"/>
        </w:rPr>
      </w:pPr>
      <w:r w:rsidRPr="0050759D">
        <w:rPr>
          <w:rFonts w:cstheme="minorHAnsi"/>
        </w:rPr>
        <w:t>Hammer M and Beitzel M 2019. Australian Capital Territory region Bush Blitz: fishes and crayfish. Report submitted to Director of National Parks.</w:t>
      </w:r>
    </w:p>
    <w:p w14:paraId="7469969D" w14:textId="44058060" w:rsidR="00650B5B" w:rsidRPr="007B7404" w:rsidRDefault="00650B5B" w:rsidP="00DF0426">
      <w:pPr>
        <w:ind w:left="567" w:hanging="567"/>
        <w:contextualSpacing/>
        <w:rPr>
          <w:rFonts w:cstheme="minorHAnsi"/>
        </w:rPr>
      </w:pPr>
      <w:r w:rsidRPr="007B7404">
        <w:rPr>
          <w:rFonts w:cstheme="minorHAnsi"/>
        </w:rPr>
        <w:t xml:space="preserve">Honan JA </w:t>
      </w:r>
      <w:r w:rsidR="0027163E" w:rsidRPr="007B7404">
        <w:rPr>
          <w:rFonts w:cstheme="minorHAnsi"/>
        </w:rPr>
        <w:t>and</w:t>
      </w:r>
      <w:r w:rsidRPr="007B7404">
        <w:rPr>
          <w:rFonts w:cstheme="minorHAnsi"/>
        </w:rPr>
        <w:t xml:space="preserve"> Mitchell BD 1995a</w:t>
      </w:r>
      <w:r w:rsidR="0081464E" w:rsidRPr="007B7404">
        <w:rPr>
          <w:rFonts w:cstheme="minorHAnsi"/>
        </w:rPr>
        <w:t>.</w:t>
      </w:r>
      <w:r w:rsidRPr="007B7404">
        <w:rPr>
          <w:rFonts w:cstheme="minorHAnsi"/>
        </w:rPr>
        <w:t xml:space="preserve"> Growth of the large freshwater crayfish </w:t>
      </w:r>
      <w:proofErr w:type="spellStart"/>
      <w:r w:rsidRPr="007B7404">
        <w:rPr>
          <w:rFonts w:cstheme="minorHAnsi"/>
          <w:i/>
          <w:iCs/>
        </w:rPr>
        <w:t>Euastacus</w:t>
      </w:r>
      <w:proofErr w:type="spellEnd"/>
      <w:r w:rsidRPr="007B7404">
        <w:rPr>
          <w:rFonts w:cstheme="minorHAnsi"/>
          <w:i/>
          <w:iCs/>
        </w:rPr>
        <w:t xml:space="preserve"> </w:t>
      </w:r>
      <w:proofErr w:type="spellStart"/>
      <w:r w:rsidRPr="007B7404">
        <w:rPr>
          <w:rFonts w:cstheme="minorHAnsi"/>
          <w:i/>
          <w:iCs/>
        </w:rPr>
        <w:t>bispinosus</w:t>
      </w:r>
      <w:proofErr w:type="spellEnd"/>
      <w:r w:rsidRPr="007B7404">
        <w:rPr>
          <w:rFonts w:cstheme="minorHAnsi"/>
        </w:rPr>
        <w:t xml:space="preserve"> Clark (Decapoda: </w:t>
      </w:r>
      <w:proofErr w:type="spellStart"/>
      <w:r w:rsidRPr="007B7404">
        <w:rPr>
          <w:rFonts w:cstheme="minorHAnsi"/>
        </w:rPr>
        <w:t>Parastacidae</w:t>
      </w:r>
      <w:proofErr w:type="spellEnd"/>
      <w:r w:rsidRPr="007B7404">
        <w:rPr>
          <w:rFonts w:cstheme="minorHAnsi"/>
        </w:rPr>
        <w:t xml:space="preserve">). </w:t>
      </w:r>
      <w:r w:rsidRPr="007B7404">
        <w:rPr>
          <w:rFonts w:cstheme="minorHAnsi"/>
          <w:i/>
          <w:iCs/>
        </w:rPr>
        <w:t>Freshwater Crayfish</w:t>
      </w:r>
      <w:r w:rsidRPr="007B7404">
        <w:rPr>
          <w:rFonts w:cstheme="minorHAnsi"/>
        </w:rPr>
        <w:t xml:space="preserve"> 10: 118</w:t>
      </w:r>
      <w:r w:rsidR="0081464E" w:rsidRPr="007B7404">
        <w:rPr>
          <w:rFonts w:cstheme="minorHAnsi"/>
        </w:rPr>
        <w:t>–</w:t>
      </w:r>
      <w:r w:rsidRPr="007B7404">
        <w:rPr>
          <w:rFonts w:cstheme="minorHAnsi"/>
        </w:rPr>
        <w:t>131.</w:t>
      </w:r>
    </w:p>
    <w:p w14:paraId="1443498E" w14:textId="745C85F4" w:rsidR="00650B5B" w:rsidRPr="007B7404" w:rsidRDefault="00650B5B" w:rsidP="00DF0426">
      <w:pPr>
        <w:ind w:left="567" w:hanging="567"/>
        <w:contextualSpacing/>
        <w:rPr>
          <w:rFonts w:cstheme="minorHAnsi"/>
        </w:rPr>
      </w:pPr>
      <w:r w:rsidRPr="007B7404">
        <w:rPr>
          <w:rFonts w:cstheme="minorHAnsi"/>
        </w:rPr>
        <w:t xml:space="preserve">Honan JA </w:t>
      </w:r>
      <w:r w:rsidR="0027163E" w:rsidRPr="007B7404">
        <w:rPr>
          <w:rFonts w:cstheme="minorHAnsi"/>
        </w:rPr>
        <w:t>and</w:t>
      </w:r>
      <w:r w:rsidRPr="007B7404">
        <w:rPr>
          <w:rFonts w:cstheme="minorHAnsi"/>
        </w:rPr>
        <w:t xml:space="preserve"> Mitchell BD 1995b</w:t>
      </w:r>
      <w:r w:rsidR="0081464E" w:rsidRPr="007B7404">
        <w:rPr>
          <w:rFonts w:cstheme="minorHAnsi"/>
        </w:rPr>
        <w:t>.</w:t>
      </w:r>
      <w:r w:rsidRPr="007B7404">
        <w:rPr>
          <w:rFonts w:cstheme="minorHAnsi"/>
        </w:rPr>
        <w:t xml:space="preserve"> Reproduction of </w:t>
      </w:r>
      <w:proofErr w:type="spellStart"/>
      <w:r w:rsidRPr="007B7404">
        <w:rPr>
          <w:rFonts w:cstheme="minorHAnsi"/>
          <w:i/>
          <w:iCs/>
        </w:rPr>
        <w:t>Euastacus</w:t>
      </w:r>
      <w:proofErr w:type="spellEnd"/>
      <w:r w:rsidRPr="007B7404">
        <w:rPr>
          <w:rFonts w:cstheme="minorHAnsi"/>
          <w:i/>
          <w:iCs/>
        </w:rPr>
        <w:t xml:space="preserve"> </w:t>
      </w:r>
      <w:proofErr w:type="spellStart"/>
      <w:r w:rsidRPr="007B7404">
        <w:rPr>
          <w:rFonts w:cstheme="minorHAnsi"/>
          <w:i/>
          <w:iCs/>
        </w:rPr>
        <w:t>bispinosus</w:t>
      </w:r>
      <w:proofErr w:type="spellEnd"/>
      <w:r w:rsidRPr="007B7404">
        <w:rPr>
          <w:rFonts w:cstheme="minorHAnsi"/>
        </w:rPr>
        <w:t xml:space="preserve"> Clark (Decapoda: </w:t>
      </w:r>
      <w:proofErr w:type="spellStart"/>
      <w:r w:rsidRPr="007B7404">
        <w:rPr>
          <w:rFonts w:cstheme="minorHAnsi"/>
        </w:rPr>
        <w:t>Parastacidae</w:t>
      </w:r>
      <w:proofErr w:type="spellEnd"/>
      <w:r w:rsidRPr="007B7404">
        <w:rPr>
          <w:rFonts w:cstheme="minorHAnsi"/>
        </w:rPr>
        <w:t xml:space="preserve">), and trends in the reproductive characteristics of freshwater crayfish. </w:t>
      </w:r>
      <w:r w:rsidRPr="007B7404">
        <w:rPr>
          <w:rFonts w:cstheme="minorHAnsi"/>
          <w:i/>
          <w:iCs/>
        </w:rPr>
        <w:t>Marine and Freshwater Research</w:t>
      </w:r>
      <w:r w:rsidRPr="007B7404">
        <w:rPr>
          <w:rFonts w:cstheme="minorHAnsi"/>
        </w:rPr>
        <w:t xml:space="preserve"> 46: 485</w:t>
      </w:r>
      <w:r w:rsidR="0081464E" w:rsidRPr="007B7404">
        <w:rPr>
          <w:rFonts w:cstheme="minorHAnsi"/>
        </w:rPr>
        <w:t>–</w:t>
      </w:r>
      <w:r w:rsidRPr="007B7404">
        <w:rPr>
          <w:rFonts w:cstheme="minorHAnsi"/>
        </w:rPr>
        <w:t>499.</w:t>
      </w:r>
    </w:p>
    <w:p w14:paraId="0B226899" w14:textId="3DDF87BB" w:rsidR="00826FA7" w:rsidRPr="003B2874" w:rsidRDefault="00826FA7" w:rsidP="00DF0426">
      <w:pPr>
        <w:ind w:left="567" w:hanging="567"/>
        <w:contextualSpacing/>
        <w:rPr>
          <w:rFonts w:cstheme="minorHAnsi"/>
        </w:rPr>
      </w:pPr>
      <w:bookmarkStart w:id="3" w:name="_Hlk198798414"/>
      <w:r w:rsidRPr="00216CDA">
        <w:rPr>
          <w:rFonts w:cstheme="minorHAnsi"/>
        </w:rPr>
        <w:t>Lintermans M 2021</w:t>
      </w:r>
      <w:r w:rsidR="0081464E" w:rsidRPr="00216CDA">
        <w:rPr>
          <w:rFonts w:cstheme="minorHAnsi"/>
        </w:rPr>
        <w:t>.</w:t>
      </w:r>
      <w:r w:rsidRPr="00216CDA">
        <w:rPr>
          <w:rFonts w:cstheme="minorHAnsi"/>
        </w:rPr>
        <w:t xml:space="preserve"> Unpublished post-bushfire survey data for </w:t>
      </w:r>
      <w:proofErr w:type="spellStart"/>
      <w:r w:rsidRPr="00216CDA">
        <w:rPr>
          <w:rFonts w:cstheme="minorHAnsi"/>
          <w:i/>
          <w:iCs/>
        </w:rPr>
        <w:t>Euastacus</w:t>
      </w:r>
      <w:proofErr w:type="spellEnd"/>
      <w:r w:rsidRPr="00216CDA">
        <w:rPr>
          <w:rFonts w:cstheme="minorHAnsi"/>
          <w:i/>
          <w:iCs/>
        </w:rPr>
        <w:t xml:space="preserve"> crassus</w:t>
      </w:r>
      <w:r w:rsidRPr="00216CDA">
        <w:rPr>
          <w:rFonts w:cstheme="minorHAnsi"/>
        </w:rPr>
        <w:t xml:space="preserve"> and </w:t>
      </w:r>
      <w:proofErr w:type="spellStart"/>
      <w:r w:rsidRPr="00216CDA">
        <w:rPr>
          <w:rFonts w:cstheme="minorHAnsi"/>
          <w:i/>
          <w:iCs/>
        </w:rPr>
        <w:t>Euastacus</w:t>
      </w:r>
      <w:proofErr w:type="spellEnd"/>
      <w:r w:rsidRPr="00216CDA">
        <w:rPr>
          <w:rFonts w:cstheme="minorHAnsi"/>
          <w:i/>
          <w:iCs/>
        </w:rPr>
        <w:t xml:space="preserve"> </w:t>
      </w:r>
      <w:proofErr w:type="spellStart"/>
      <w:r w:rsidRPr="00216CDA">
        <w:rPr>
          <w:rFonts w:cstheme="minorHAnsi"/>
          <w:i/>
          <w:iCs/>
        </w:rPr>
        <w:t>rieki</w:t>
      </w:r>
      <w:proofErr w:type="spellEnd"/>
      <w:r w:rsidRPr="00216CDA">
        <w:rPr>
          <w:rFonts w:cstheme="minorHAnsi"/>
        </w:rPr>
        <w:t xml:space="preserve"> in the High Country of NSW. Report to </w:t>
      </w:r>
      <w:proofErr w:type="spellStart"/>
      <w:r w:rsidRPr="00216CDA">
        <w:rPr>
          <w:rFonts w:cstheme="minorHAnsi"/>
        </w:rPr>
        <w:t>Aquasave</w:t>
      </w:r>
      <w:proofErr w:type="spellEnd"/>
      <w:r w:rsidRPr="00216CDA">
        <w:rPr>
          <w:rFonts w:cstheme="minorHAnsi"/>
        </w:rPr>
        <w:t xml:space="preserve">–NGT for Project: 100086 Saving the </w:t>
      </w:r>
      <w:proofErr w:type="spellStart"/>
      <w:r w:rsidRPr="00216CDA">
        <w:rPr>
          <w:rFonts w:cstheme="minorHAnsi"/>
        </w:rPr>
        <w:t>spinys</w:t>
      </w:r>
      <w:proofErr w:type="spellEnd"/>
      <w:r w:rsidRPr="00216CDA">
        <w:rPr>
          <w:rFonts w:cstheme="minorHAnsi"/>
        </w:rPr>
        <w:t xml:space="preserve">: urgent actions to conserve the </w:t>
      </w:r>
      <w:r w:rsidRPr="00216CDA">
        <w:rPr>
          <w:rFonts w:cstheme="minorHAnsi"/>
          <w:i/>
          <w:iCs/>
        </w:rPr>
        <w:t>Euastacus</w:t>
      </w:r>
      <w:r w:rsidRPr="00216CDA">
        <w:rPr>
          <w:rFonts w:cstheme="minorHAnsi"/>
        </w:rPr>
        <w:t xml:space="preserve"> freshwater crayfish. Centre for Applied Water Science, University of Canberra.</w:t>
      </w:r>
    </w:p>
    <w:bookmarkEnd w:id="3"/>
    <w:p w14:paraId="632807BF" w14:textId="43A10C22" w:rsidR="00216CDA" w:rsidRDefault="00216CDA" w:rsidP="00216CDA">
      <w:pPr>
        <w:ind w:left="567" w:hanging="567"/>
        <w:contextualSpacing/>
        <w:rPr>
          <w:rFonts w:cstheme="minorHAnsi"/>
          <w:lang w:val="en-US"/>
        </w:rPr>
      </w:pPr>
      <w:r w:rsidRPr="00216CDA">
        <w:rPr>
          <w:rFonts w:cstheme="minorHAnsi"/>
          <w:lang w:val="en-US"/>
        </w:rPr>
        <w:t>Koivu</w:t>
      </w:r>
      <w:r w:rsidRPr="00216CDA">
        <w:rPr>
          <w:rFonts w:ascii="Cambria Math" w:hAnsi="Cambria Math" w:cs="Cambria Math"/>
          <w:lang w:val="en-US"/>
        </w:rPr>
        <w:t>‑</w:t>
      </w:r>
      <w:r w:rsidRPr="00216CDA">
        <w:rPr>
          <w:rFonts w:cstheme="minorHAnsi"/>
          <w:lang w:val="en-US"/>
        </w:rPr>
        <w:t xml:space="preserve">Jolma M, </w:t>
      </w:r>
      <w:proofErr w:type="spellStart"/>
      <w:r w:rsidRPr="00216CDA">
        <w:rPr>
          <w:rFonts w:cstheme="minorHAnsi"/>
          <w:lang w:val="en-US"/>
        </w:rPr>
        <w:t>Kortet</w:t>
      </w:r>
      <w:proofErr w:type="spellEnd"/>
      <w:r w:rsidRPr="00216CDA">
        <w:rPr>
          <w:rFonts w:cstheme="minorHAnsi"/>
          <w:lang w:val="en-US"/>
        </w:rPr>
        <w:t xml:space="preserve"> R, Vainikka A, </w:t>
      </w:r>
      <w:r>
        <w:rPr>
          <w:rFonts w:cstheme="minorHAnsi"/>
          <w:lang w:val="en-US"/>
        </w:rPr>
        <w:t>and</w:t>
      </w:r>
      <w:r w:rsidRPr="00216CDA">
        <w:rPr>
          <w:rFonts w:cstheme="minorHAnsi"/>
          <w:lang w:val="en-US"/>
        </w:rPr>
        <w:t xml:space="preserve"> </w:t>
      </w:r>
      <w:proofErr w:type="spellStart"/>
      <w:r w:rsidRPr="00216CDA">
        <w:rPr>
          <w:rFonts w:cstheme="minorHAnsi"/>
          <w:lang w:val="en-US"/>
        </w:rPr>
        <w:t>Kaitala</w:t>
      </w:r>
      <w:proofErr w:type="spellEnd"/>
      <w:r w:rsidRPr="00216CDA">
        <w:rPr>
          <w:rFonts w:cstheme="minorHAnsi"/>
          <w:lang w:val="en-US"/>
        </w:rPr>
        <w:t xml:space="preserve"> V 2023</w:t>
      </w:r>
      <w:r>
        <w:rPr>
          <w:rFonts w:cstheme="minorHAnsi"/>
          <w:lang w:val="en-US"/>
        </w:rPr>
        <w:t xml:space="preserve">. </w:t>
      </w:r>
      <w:r w:rsidRPr="00216CDA">
        <w:rPr>
          <w:rFonts w:cstheme="minorHAnsi"/>
          <w:lang w:val="en-US"/>
        </w:rPr>
        <w:t>Crayfish population size under different routes of pathogen transmission.</w:t>
      </w:r>
      <w:r>
        <w:rPr>
          <w:rFonts w:cstheme="minorHAnsi"/>
          <w:lang w:val="en-US"/>
        </w:rPr>
        <w:t xml:space="preserve"> </w:t>
      </w:r>
      <w:r w:rsidRPr="00216CDA">
        <w:rPr>
          <w:rFonts w:cstheme="minorHAnsi"/>
          <w:i/>
          <w:iCs/>
          <w:lang w:val="en-US"/>
        </w:rPr>
        <w:t>Ecology and Evolution</w:t>
      </w:r>
      <w:r w:rsidRPr="00216CDA">
        <w:rPr>
          <w:rFonts w:cstheme="minorHAnsi"/>
          <w:lang w:val="en-US"/>
        </w:rPr>
        <w:t xml:space="preserve"> 13(1)</w:t>
      </w:r>
      <w:r>
        <w:rPr>
          <w:rFonts w:cstheme="minorHAnsi"/>
          <w:lang w:val="en-US"/>
        </w:rPr>
        <w:t>:</w:t>
      </w:r>
      <w:r w:rsidRPr="00216CDA">
        <w:rPr>
          <w:rFonts w:cstheme="minorHAnsi"/>
          <w:lang w:val="en-US"/>
        </w:rPr>
        <w:t xml:space="preserve"> e9647.</w:t>
      </w:r>
      <w:r>
        <w:rPr>
          <w:rFonts w:cstheme="minorHAnsi"/>
          <w:lang w:val="en-US"/>
        </w:rPr>
        <w:t xml:space="preserve"> </w:t>
      </w:r>
      <w:r w:rsidRPr="00216CDA">
        <w:rPr>
          <w:rFonts w:cstheme="minorHAnsi"/>
          <w:lang w:val="en-US"/>
        </w:rPr>
        <w:t>https://doi.org/10.1002/ece3.9647</w:t>
      </w:r>
    </w:p>
    <w:p w14:paraId="4542C929" w14:textId="3D28D960" w:rsidR="005F2ED5" w:rsidRDefault="005F2ED5" w:rsidP="00DF0426">
      <w:pPr>
        <w:ind w:left="567" w:hanging="567"/>
        <w:contextualSpacing/>
        <w:rPr>
          <w:rFonts w:cstheme="minorHAnsi"/>
          <w:lang w:val="en-US"/>
        </w:rPr>
      </w:pPr>
      <w:r w:rsidRPr="005F2ED5">
        <w:rPr>
          <w:rFonts w:cstheme="minorHAnsi"/>
          <w:lang w:val="en-US"/>
        </w:rPr>
        <w:t xml:space="preserve">Lowe S, Browne M, </w:t>
      </w:r>
      <w:proofErr w:type="spellStart"/>
      <w:r w:rsidRPr="005F2ED5">
        <w:rPr>
          <w:rFonts w:cstheme="minorHAnsi"/>
          <w:lang w:val="en-US"/>
        </w:rPr>
        <w:t>Boudjelas</w:t>
      </w:r>
      <w:proofErr w:type="spellEnd"/>
      <w:r w:rsidRPr="005F2ED5">
        <w:rPr>
          <w:rFonts w:cstheme="minorHAnsi"/>
          <w:lang w:val="en-US"/>
        </w:rPr>
        <w:t xml:space="preserve"> S </w:t>
      </w:r>
      <w:r>
        <w:rPr>
          <w:rFonts w:cstheme="minorHAnsi"/>
          <w:lang w:val="en-US"/>
        </w:rPr>
        <w:t>and</w:t>
      </w:r>
      <w:r w:rsidRPr="005F2ED5">
        <w:rPr>
          <w:rFonts w:cstheme="minorHAnsi"/>
          <w:lang w:val="en-US"/>
        </w:rPr>
        <w:t xml:space="preserve"> De-</w:t>
      </w:r>
      <w:proofErr w:type="spellStart"/>
      <w:r w:rsidRPr="005F2ED5">
        <w:rPr>
          <w:rFonts w:cstheme="minorHAnsi"/>
          <w:lang w:val="en-US"/>
        </w:rPr>
        <w:t>Poorter</w:t>
      </w:r>
      <w:proofErr w:type="spellEnd"/>
      <w:r w:rsidRPr="005F2ED5">
        <w:rPr>
          <w:rFonts w:cstheme="minorHAnsi"/>
          <w:lang w:val="en-US"/>
        </w:rPr>
        <w:t xml:space="preserve"> M 2000</w:t>
      </w:r>
      <w:r>
        <w:rPr>
          <w:rFonts w:cstheme="minorHAnsi"/>
          <w:lang w:val="en-US"/>
        </w:rPr>
        <w:t>.</w:t>
      </w:r>
      <w:r w:rsidRPr="005F2ED5">
        <w:rPr>
          <w:rFonts w:cstheme="minorHAnsi"/>
          <w:lang w:val="en-US"/>
        </w:rPr>
        <w:t xml:space="preserve"> 100 of the world’s worst invasive alien species. A selection from the global invasive species database. </w:t>
      </w:r>
      <w:r w:rsidRPr="005F2ED5">
        <w:rPr>
          <w:rFonts w:cstheme="minorHAnsi"/>
          <w:i/>
          <w:iCs/>
          <w:lang w:val="en-US"/>
        </w:rPr>
        <w:t>Aliens</w:t>
      </w:r>
      <w:r w:rsidRPr="005F2ED5">
        <w:rPr>
          <w:rFonts w:cstheme="minorHAnsi"/>
          <w:lang w:val="en-US"/>
        </w:rPr>
        <w:t xml:space="preserve"> 12: 1</w:t>
      </w:r>
      <w:r w:rsidRPr="002D1393">
        <w:t>–</w:t>
      </w:r>
      <w:r w:rsidRPr="005F2ED5">
        <w:rPr>
          <w:rFonts w:cstheme="minorHAnsi"/>
          <w:lang w:val="en-US"/>
        </w:rPr>
        <w:t xml:space="preserve">12. </w:t>
      </w:r>
    </w:p>
    <w:p w14:paraId="725CE549" w14:textId="5544A38A" w:rsidR="00650B5B" w:rsidRPr="007B7404" w:rsidRDefault="00650B5B" w:rsidP="00DF0426">
      <w:pPr>
        <w:ind w:left="567" w:hanging="567"/>
        <w:contextualSpacing/>
        <w:rPr>
          <w:rFonts w:cstheme="minorHAnsi"/>
          <w:lang w:val="en-US"/>
        </w:rPr>
      </w:pPr>
      <w:r w:rsidRPr="007B7404">
        <w:rPr>
          <w:rFonts w:cstheme="minorHAnsi"/>
          <w:lang w:val="en-US"/>
        </w:rPr>
        <w:t>McCormack RB 2012</w:t>
      </w:r>
      <w:r w:rsidR="0081464E" w:rsidRPr="007B7404">
        <w:rPr>
          <w:rFonts w:cstheme="minorHAnsi"/>
          <w:lang w:val="en-US"/>
        </w:rPr>
        <w:t>.</w:t>
      </w:r>
      <w:r w:rsidRPr="007B7404">
        <w:rPr>
          <w:rFonts w:cstheme="minorHAnsi"/>
          <w:lang w:val="en-US"/>
        </w:rPr>
        <w:t xml:space="preserve"> </w:t>
      </w:r>
      <w:r w:rsidRPr="007B7404">
        <w:rPr>
          <w:rFonts w:cstheme="minorHAnsi"/>
          <w:i/>
          <w:lang w:val="en-US"/>
        </w:rPr>
        <w:t>A Guide to Australia's Spiny Freshwater Crayfish</w:t>
      </w:r>
      <w:r w:rsidRPr="007B7404">
        <w:rPr>
          <w:rFonts w:cstheme="minorHAnsi"/>
          <w:lang w:val="en-US"/>
        </w:rPr>
        <w:t>. CSIRO Publishing. Collingwood, Victoria.</w:t>
      </w:r>
    </w:p>
    <w:p w14:paraId="4628FF47" w14:textId="13F595B1" w:rsidR="00650B5B" w:rsidRPr="007B7404" w:rsidRDefault="00650B5B" w:rsidP="00DF0426">
      <w:pPr>
        <w:ind w:left="567" w:hanging="567"/>
        <w:contextualSpacing/>
        <w:rPr>
          <w:rFonts w:cstheme="minorHAnsi"/>
        </w:rPr>
      </w:pPr>
      <w:r w:rsidRPr="007B7404">
        <w:rPr>
          <w:rFonts w:cstheme="minorHAnsi"/>
        </w:rPr>
        <w:t>Morey JL 1998</w:t>
      </w:r>
      <w:r w:rsidR="0081464E" w:rsidRPr="007B7404">
        <w:rPr>
          <w:rFonts w:cstheme="minorHAnsi"/>
        </w:rPr>
        <w:t>.</w:t>
      </w:r>
      <w:r w:rsidRPr="007B7404">
        <w:rPr>
          <w:rFonts w:cstheme="minorHAnsi"/>
        </w:rPr>
        <w:t xml:space="preserve"> Growth, catch rates and notes on the biology of the Gippsland Spiny Freshwater Crayfish, </w:t>
      </w:r>
      <w:proofErr w:type="spellStart"/>
      <w:r w:rsidRPr="007B7404">
        <w:rPr>
          <w:rFonts w:cstheme="minorHAnsi"/>
          <w:i/>
          <w:iCs/>
        </w:rPr>
        <w:t>Euastacus</w:t>
      </w:r>
      <w:proofErr w:type="spellEnd"/>
      <w:r w:rsidRPr="007B7404">
        <w:rPr>
          <w:rFonts w:cstheme="minorHAnsi"/>
          <w:i/>
          <w:iCs/>
        </w:rPr>
        <w:t xml:space="preserve"> </w:t>
      </w:r>
      <w:proofErr w:type="spellStart"/>
      <w:r w:rsidRPr="007B7404">
        <w:rPr>
          <w:rFonts w:cstheme="minorHAnsi"/>
          <w:i/>
          <w:iCs/>
        </w:rPr>
        <w:t>kershawi</w:t>
      </w:r>
      <w:proofErr w:type="spellEnd"/>
      <w:r w:rsidRPr="007B7404">
        <w:rPr>
          <w:rFonts w:cstheme="minorHAnsi"/>
        </w:rPr>
        <w:t xml:space="preserve"> (Decapoda: </w:t>
      </w:r>
      <w:proofErr w:type="spellStart"/>
      <w:r w:rsidRPr="007B7404">
        <w:rPr>
          <w:rFonts w:cstheme="minorHAnsi"/>
        </w:rPr>
        <w:t>Parastacidae</w:t>
      </w:r>
      <w:proofErr w:type="spellEnd"/>
      <w:r w:rsidRPr="007B7404">
        <w:rPr>
          <w:rFonts w:cstheme="minorHAnsi"/>
        </w:rPr>
        <w:t xml:space="preserve">), in West Gippsland, Victoria. </w:t>
      </w:r>
      <w:r w:rsidRPr="007B7404">
        <w:rPr>
          <w:rFonts w:cstheme="minorHAnsi"/>
          <w:i/>
          <w:iCs/>
        </w:rPr>
        <w:t>Proceedings of the Linnean Society of New South Wales</w:t>
      </w:r>
      <w:r w:rsidRPr="007B7404">
        <w:rPr>
          <w:rFonts w:cstheme="minorHAnsi"/>
        </w:rPr>
        <w:t xml:space="preserve"> 119: 55</w:t>
      </w:r>
      <w:r w:rsidR="0081464E" w:rsidRPr="007B7404">
        <w:rPr>
          <w:rFonts w:cstheme="minorHAnsi"/>
        </w:rPr>
        <w:t>–</w:t>
      </w:r>
      <w:r w:rsidRPr="007B7404">
        <w:rPr>
          <w:rFonts w:cstheme="minorHAnsi"/>
        </w:rPr>
        <w:t>69.</w:t>
      </w:r>
    </w:p>
    <w:p w14:paraId="645829F9" w14:textId="71E6E820" w:rsidR="00F90854" w:rsidRDefault="00F90854" w:rsidP="00DF0426">
      <w:pPr>
        <w:ind w:left="567" w:hanging="567"/>
        <w:contextualSpacing/>
        <w:rPr>
          <w:rFonts w:cstheme="minorHAnsi"/>
          <w:lang w:val="en-US"/>
        </w:rPr>
      </w:pPr>
      <w:r w:rsidRPr="00D206CE">
        <w:rPr>
          <w:rFonts w:cstheme="minorHAnsi"/>
          <w:lang w:val="en-US"/>
        </w:rPr>
        <w:t>Morgan GJ 1997</w:t>
      </w:r>
      <w:r w:rsidR="0081464E" w:rsidRPr="00D206CE">
        <w:rPr>
          <w:rFonts w:cstheme="minorHAnsi"/>
          <w:lang w:val="en-US"/>
        </w:rPr>
        <w:t>.</w:t>
      </w:r>
      <w:r w:rsidRPr="00D206CE">
        <w:rPr>
          <w:rFonts w:cstheme="minorHAnsi"/>
          <w:lang w:val="en-US"/>
        </w:rPr>
        <w:t xml:space="preserve"> Freshwater crayfish of the genus </w:t>
      </w:r>
      <w:proofErr w:type="spellStart"/>
      <w:r w:rsidRPr="00D206CE">
        <w:rPr>
          <w:rFonts w:cstheme="minorHAnsi"/>
          <w:i/>
          <w:iCs/>
          <w:lang w:val="en-US"/>
        </w:rPr>
        <w:t>Euastacus</w:t>
      </w:r>
      <w:proofErr w:type="spellEnd"/>
      <w:r w:rsidRPr="00D206CE">
        <w:rPr>
          <w:rFonts w:cstheme="minorHAnsi"/>
          <w:lang w:val="en-US"/>
        </w:rPr>
        <w:t xml:space="preserve"> Clark (Decapoda: </w:t>
      </w:r>
      <w:proofErr w:type="spellStart"/>
      <w:r w:rsidRPr="00D206CE">
        <w:rPr>
          <w:rFonts w:cstheme="minorHAnsi"/>
          <w:lang w:val="en-US"/>
        </w:rPr>
        <w:t>Parastacidae</w:t>
      </w:r>
      <w:proofErr w:type="spellEnd"/>
      <w:r w:rsidRPr="00D206CE">
        <w:rPr>
          <w:rFonts w:cstheme="minorHAnsi"/>
          <w:lang w:val="en-US"/>
        </w:rPr>
        <w:t xml:space="preserve">) from New South Wales, with a key to all species of the genus. </w:t>
      </w:r>
      <w:r w:rsidRPr="00D206CE">
        <w:rPr>
          <w:rFonts w:cstheme="minorHAnsi"/>
          <w:i/>
          <w:iCs/>
          <w:lang w:val="en-US"/>
        </w:rPr>
        <w:t>Records of the Australian Museum Supplement</w:t>
      </w:r>
      <w:r w:rsidRPr="00D206CE">
        <w:rPr>
          <w:rFonts w:cstheme="minorHAnsi"/>
          <w:lang w:val="en-US"/>
        </w:rPr>
        <w:t xml:space="preserve"> 23: 1</w:t>
      </w:r>
      <w:r w:rsidR="0081464E" w:rsidRPr="00D206CE">
        <w:rPr>
          <w:rFonts w:cstheme="minorHAnsi"/>
          <w:lang w:val="en-US"/>
        </w:rPr>
        <w:t>–</w:t>
      </w:r>
      <w:r w:rsidRPr="00D206CE">
        <w:rPr>
          <w:rFonts w:cstheme="minorHAnsi"/>
          <w:lang w:val="en-US"/>
        </w:rPr>
        <w:t>110.</w:t>
      </w:r>
    </w:p>
    <w:p w14:paraId="3195B8C8" w14:textId="77777777" w:rsidR="00935CA3" w:rsidRPr="002D1393" w:rsidRDefault="00935CA3" w:rsidP="00935CA3">
      <w:pPr>
        <w:spacing w:afterLines="200" w:after="480"/>
        <w:ind w:left="567" w:hanging="567"/>
        <w:contextualSpacing/>
      </w:pPr>
      <w:proofErr w:type="spellStart"/>
      <w:r w:rsidRPr="002D1393">
        <w:t>Panteleit</w:t>
      </w:r>
      <w:proofErr w:type="spellEnd"/>
      <w:r w:rsidRPr="002D1393">
        <w:t xml:space="preserve"> J, Keller N, Kokko H, Jussila J, Makkonen J, </w:t>
      </w:r>
      <w:proofErr w:type="spellStart"/>
      <w:r w:rsidRPr="002D1393">
        <w:t>Theissinger</w:t>
      </w:r>
      <w:proofErr w:type="spellEnd"/>
      <w:r w:rsidRPr="002D1393">
        <w:t xml:space="preserve"> K and Schrimpf A 2017. Investigation of ornamental crayfish reveals new carrier species of the crayfish plague pathogen (</w:t>
      </w:r>
      <w:r w:rsidRPr="002D1393">
        <w:rPr>
          <w:i/>
          <w:iCs/>
        </w:rPr>
        <w:t xml:space="preserve">Aphanomyces </w:t>
      </w:r>
      <w:proofErr w:type="spellStart"/>
      <w:r w:rsidRPr="002D1393">
        <w:rPr>
          <w:i/>
          <w:iCs/>
        </w:rPr>
        <w:t>astaci</w:t>
      </w:r>
      <w:proofErr w:type="spellEnd"/>
      <w:r w:rsidRPr="002D1393">
        <w:t xml:space="preserve">). </w:t>
      </w:r>
      <w:r w:rsidRPr="002D1393">
        <w:rPr>
          <w:i/>
          <w:iCs/>
        </w:rPr>
        <w:t>Aquatic Invasions</w:t>
      </w:r>
      <w:r w:rsidRPr="002D1393">
        <w:t xml:space="preserve"> 12(1): 77–83.</w:t>
      </w:r>
    </w:p>
    <w:p w14:paraId="57DE91D8" w14:textId="77777777" w:rsidR="00935CA3" w:rsidRPr="002D1393" w:rsidRDefault="00935CA3" w:rsidP="00935CA3">
      <w:pPr>
        <w:spacing w:afterLines="200" w:after="480"/>
        <w:ind w:left="567"/>
        <w:contextualSpacing/>
      </w:pPr>
      <w:hyperlink r:id="rId28" w:history="1">
        <w:r w:rsidRPr="002D1393">
          <w:rPr>
            <w:rStyle w:val="Hyperlink"/>
          </w:rPr>
          <w:t>http://www.aquaticinvasions.net/2017/AI_2017_Panteleit_etal.pdf</w:t>
        </w:r>
      </w:hyperlink>
      <w:r w:rsidRPr="002D1393">
        <w:t xml:space="preserve"> </w:t>
      </w:r>
    </w:p>
    <w:p w14:paraId="1F9FD494" w14:textId="2FBA7565" w:rsidR="005F2ED5" w:rsidRDefault="005F2ED5" w:rsidP="00DF0426">
      <w:pPr>
        <w:ind w:left="567" w:hanging="567"/>
        <w:contextualSpacing/>
        <w:rPr>
          <w:rFonts w:cstheme="minorHAnsi"/>
        </w:rPr>
      </w:pPr>
      <w:r w:rsidRPr="005F2ED5">
        <w:rPr>
          <w:rFonts w:cstheme="minorHAnsi"/>
        </w:rPr>
        <w:lastRenderedPageBreak/>
        <w:t>Ponniah M &amp; Hughes JM 2004</w:t>
      </w:r>
      <w:r>
        <w:rPr>
          <w:rFonts w:cstheme="minorHAnsi"/>
        </w:rPr>
        <w:t>.</w:t>
      </w:r>
      <w:r w:rsidRPr="005F2ED5">
        <w:rPr>
          <w:rFonts w:cstheme="minorHAnsi"/>
        </w:rPr>
        <w:t xml:space="preserve"> The evolution of Queensland spiny mountain crayfish of the genus </w:t>
      </w:r>
      <w:r w:rsidRPr="005F2ED5">
        <w:rPr>
          <w:rFonts w:cstheme="minorHAnsi"/>
          <w:i/>
          <w:iCs/>
        </w:rPr>
        <w:t>Euastacus</w:t>
      </w:r>
      <w:r w:rsidRPr="005F2ED5">
        <w:rPr>
          <w:rFonts w:cstheme="minorHAnsi"/>
        </w:rPr>
        <w:t xml:space="preserve">. I. Testing vicariance and dispersal with intraspecific mitochondrial DNA. </w:t>
      </w:r>
      <w:r w:rsidRPr="005F2ED5">
        <w:rPr>
          <w:rFonts w:cstheme="minorHAnsi"/>
          <w:i/>
          <w:iCs/>
        </w:rPr>
        <w:t>Evolution</w:t>
      </w:r>
      <w:r w:rsidRPr="005F2ED5">
        <w:rPr>
          <w:rFonts w:cstheme="minorHAnsi"/>
        </w:rPr>
        <w:t xml:space="preserve"> 58(5)</w:t>
      </w:r>
      <w:r>
        <w:rPr>
          <w:rFonts w:cstheme="minorHAnsi"/>
        </w:rPr>
        <w:t>:</w:t>
      </w:r>
      <w:r w:rsidRPr="005F2ED5">
        <w:rPr>
          <w:rFonts w:cstheme="minorHAnsi"/>
        </w:rPr>
        <w:t xml:space="preserve"> 1073</w:t>
      </w:r>
      <w:r w:rsidRPr="007B7404">
        <w:rPr>
          <w:rFonts w:cstheme="minorHAnsi"/>
          <w:lang w:val="en-US"/>
        </w:rPr>
        <w:t>–</w:t>
      </w:r>
      <w:r w:rsidRPr="005F2ED5">
        <w:rPr>
          <w:rFonts w:cstheme="minorHAnsi"/>
        </w:rPr>
        <w:t>1085.</w:t>
      </w:r>
    </w:p>
    <w:p w14:paraId="29491D9B" w14:textId="572ACA4D" w:rsidR="007B7404" w:rsidRPr="00D206CE" w:rsidRDefault="007B7404" w:rsidP="00DF0426">
      <w:pPr>
        <w:ind w:left="567" w:hanging="567"/>
        <w:contextualSpacing/>
        <w:rPr>
          <w:rFonts w:cstheme="minorHAnsi"/>
          <w:lang w:val="en-US"/>
        </w:rPr>
      </w:pPr>
      <w:r w:rsidRPr="007B7404">
        <w:rPr>
          <w:rFonts w:cstheme="minorHAnsi"/>
          <w:lang w:val="en-US"/>
        </w:rPr>
        <w:t xml:space="preserve">Riek EF 1951. The freshwater crayfish (family </w:t>
      </w:r>
      <w:proofErr w:type="spellStart"/>
      <w:r w:rsidRPr="007B7404">
        <w:rPr>
          <w:rFonts w:cstheme="minorHAnsi"/>
          <w:lang w:val="en-US"/>
        </w:rPr>
        <w:t>Parastacidae</w:t>
      </w:r>
      <w:proofErr w:type="spellEnd"/>
      <w:r w:rsidRPr="007B7404">
        <w:rPr>
          <w:rFonts w:cstheme="minorHAnsi"/>
          <w:lang w:val="en-US"/>
        </w:rPr>
        <w:t>) of Queensland. Records of the Australian Museum 22.</w:t>
      </w:r>
    </w:p>
    <w:p w14:paraId="5B935A74" w14:textId="61344F80" w:rsidR="00BB1DCB" w:rsidRPr="003B2874" w:rsidRDefault="00BB1DCB" w:rsidP="00DF0426">
      <w:pPr>
        <w:ind w:left="567" w:hanging="567"/>
        <w:contextualSpacing/>
        <w:rPr>
          <w:rFonts w:cstheme="minorHAnsi"/>
          <w:lang w:val="en-US"/>
        </w:rPr>
      </w:pPr>
      <w:r w:rsidRPr="003B2874">
        <w:rPr>
          <w:rFonts w:cstheme="minorHAnsi"/>
          <w:lang w:val="en-US"/>
        </w:rPr>
        <w:t xml:space="preserve">Threatened Species Scientific Committee </w:t>
      </w:r>
      <w:r w:rsidR="00AC0AAD" w:rsidRPr="003B2874">
        <w:rPr>
          <w:rFonts w:cstheme="minorHAnsi"/>
          <w:lang w:val="en-US"/>
        </w:rPr>
        <w:t>(TSSC)</w:t>
      </w:r>
      <w:r w:rsidR="001058DD">
        <w:rPr>
          <w:rFonts w:cstheme="minorHAnsi"/>
          <w:lang w:val="en-US"/>
        </w:rPr>
        <w:t xml:space="preserve"> </w:t>
      </w:r>
      <w:r w:rsidRPr="003B2874">
        <w:rPr>
          <w:rFonts w:cstheme="minorHAnsi"/>
          <w:lang w:val="en-US"/>
        </w:rPr>
        <w:t>2008</w:t>
      </w:r>
      <w:r w:rsidR="0081464E" w:rsidRPr="003B2874">
        <w:rPr>
          <w:rFonts w:cstheme="minorHAnsi"/>
          <w:lang w:val="en-US"/>
        </w:rPr>
        <w:t>.</w:t>
      </w:r>
      <w:r w:rsidRPr="003B2874">
        <w:rPr>
          <w:rFonts w:cstheme="minorHAnsi"/>
          <w:lang w:val="en-US"/>
        </w:rPr>
        <w:t xml:space="preserve"> </w:t>
      </w:r>
      <w:r w:rsidRPr="003B2874">
        <w:rPr>
          <w:rFonts w:cstheme="minorHAnsi"/>
          <w:i/>
          <w:iCs/>
          <w:lang w:val="en-US"/>
        </w:rPr>
        <w:t>Commonwealth Conservation Advice on Alpine Sphagnum Bogs and Associated Fens</w:t>
      </w:r>
      <w:r w:rsidRPr="003B2874">
        <w:rPr>
          <w:rFonts w:cstheme="minorHAnsi"/>
          <w:lang w:val="en-US"/>
        </w:rPr>
        <w:t>. Department of the Environment, Water, Heritage and the Arts. Canberra, ACT, Australia.</w:t>
      </w:r>
    </w:p>
    <w:p w14:paraId="30E5591D" w14:textId="1B6846B7" w:rsidR="00650B5B" w:rsidRPr="007B7404" w:rsidRDefault="00650B5B" w:rsidP="00DF0426">
      <w:pPr>
        <w:ind w:left="567" w:hanging="567"/>
        <w:contextualSpacing/>
        <w:rPr>
          <w:rFonts w:cstheme="minorHAnsi"/>
          <w:lang w:val="en-US"/>
        </w:rPr>
      </w:pPr>
      <w:r w:rsidRPr="007B7404">
        <w:rPr>
          <w:rFonts w:cstheme="minorHAnsi"/>
          <w:lang w:val="en-US"/>
        </w:rPr>
        <w:t xml:space="preserve">Turvey P </w:t>
      </w:r>
      <w:r w:rsidR="0027163E" w:rsidRPr="007B7404">
        <w:rPr>
          <w:rFonts w:cstheme="minorHAnsi"/>
          <w:lang w:val="en-US"/>
        </w:rPr>
        <w:t>and</w:t>
      </w:r>
      <w:r w:rsidRPr="007B7404">
        <w:rPr>
          <w:rFonts w:cstheme="minorHAnsi"/>
          <w:lang w:val="en-US"/>
        </w:rPr>
        <w:t xml:space="preserve"> Merrick JR 1997</w:t>
      </w:r>
      <w:r w:rsidR="0081464E" w:rsidRPr="007B7404">
        <w:rPr>
          <w:rFonts w:cstheme="minorHAnsi"/>
          <w:lang w:val="en-US"/>
        </w:rPr>
        <w:t>.</w:t>
      </w:r>
      <w:r w:rsidRPr="007B7404">
        <w:rPr>
          <w:rFonts w:cstheme="minorHAnsi"/>
          <w:lang w:val="en-US"/>
        </w:rPr>
        <w:t xml:space="preserve"> Growth with age in the freshwater crayfish, </w:t>
      </w:r>
      <w:proofErr w:type="spellStart"/>
      <w:r w:rsidRPr="007B7404">
        <w:rPr>
          <w:rFonts w:cstheme="minorHAnsi"/>
          <w:i/>
          <w:iCs/>
          <w:lang w:val="en-US"/>
        </w:rPr>
        <w:t>Euastacus</w:t>
      </w:r>
      <w:proofErr w:type="spellEnd"/>
      <w:r w:rsidRPr="007B7404">
        <w:rPr>
          <w:rFonts w:cstheme="minorHAnsi"/>
          <w:i/>
          <w:iCs/>
          <w:lang w:val="en-US"/>
        </w:rPr>
        <w:t xml:space="preserve"> </w:t>
      </w:r>
      <w:proofErr w:type="spellStart"/>
      <w:r w:rsidRPr="007B7404">
        <w:rPr>
          <w:rFonts w:cstheme="minorHAnsi"/>
          <w:i/>
          <w:iCs/>
          <w:lang w:val="en-US"/>
        </w:rPr>
        <w:t>spinifer</w:t>
      </w:r>
      <w:proofErr w:type="spellEnd"/>
      <w:r w:rsidRPr="007B7404">
        <w:rPr>
          <w:rFonts w:cstheme="minorHAnsi"/>
          <w:lang w:val="en-US"/>
        </w:rPr>
        <w:t xml:space="preserve"> (Decapoda: </w:t>
      </w:r>
      <w:proofErr w:type="spellStart"/>
      <w:r w:rsidRPr="007B7404">
        <w:rPr>
          <w:rFonts w:cstheme="minorHAnsi"/>
          <w:lang w:val="en-US"/>
        </w:rPr>
        <w:t>Parastacidae</w:t>
      </w:r>
      <w:proofErr w:type="spellEnd"/>
      <w:r w:rsidRPr="007B7404">
        <w:rPr>
          <w:rFonts w:cstheme="minorHAnsi"/>
          <w:lang w:val="en-US"/>
        </w:rPr>
        <w:t xml:space="preserve">), from the Sydney region, Australia. </w:t>
      </w:r>
      <w:r w:rsidRPr="007B7404">
        <w:rPr>
          <w:rFonts w:cstheme="minorHAnsi"/>
          <w:i/>
          <w:iCs/>
          <w:lang w:val="en-US"/>
        </w:rPr>
        <w:t>Proceedings of the Linnean Society of New South Wales</w:t>
      </w:r>
      <w:r w:rsidRPr="007B7404">
        <w:rPr>
          <w:rFonts w:cstheme="minorHAnsi"/>
          <w:lang w:val="en-US"/>
        </w:rPr>
        <w:t xml:space="preserve"> 118: 205</w:t>
      </w:r>
      <w:r w:rsidR="0081464E" w:rsidRPr="007B7404">
        <w:rPr>
          <w:rFonts w:cstheme="minorHAnsi"/>
          <w:lang w:val="en-US"/>
        </w:rPr>
        <w:t>–</w:t>
      </w:r>
      <w:r w:rsidRPr="007B7404">
        <w:rPr>
          <w:rFonts w:cstheme="minorHAnsi"/>
          <w:lang w:val="en-US"/>
        </w:rPr>
        <w:t>215.</w:t>
      </w:r>
    </w:p>
    <w:p w14:paraId="654339CF" w14:textId="2A7E0410" w:rsidR="005B418B" w:rsidRDefault="00864B02" w:rsidP="00DF0426">
      <w:pPr>
        <w:ind w:left="567" w:hanging="567"/>
        <w:contextualSpacing/>
        <w:rPr>
          <w:rFonts w:cstheme="minorHAnsi"/>
          <w:lang w:val="en-US"/>
        </w:rPr>
      </w:pPr>
      <w:proofErr w:type="spellStart"/>
      <w:r w:rsidRPr="00D206CE">
        <w:rPr>
          <w:rFonts w:cstheme="minorHAnsi"/>
          <w:lang w:val="en-US"/>
        </w:rPr>
        <w:t>Unestam</w:t>
      </w:r>
      <w:proofErr w:type="spellEnd"/>
      <w:r w:rsidRPr="00D206CE">
        <w:rPr>
          <w:rFonts w:cstheme="minorHAnsi"/>
          <w:lang w:val="en-US"/>
        </w:rPr>
        <w:t xml:space="preserve"> T 1975</w:t>
      </w:r>
      <w:r w:rsidR="0081464E" w:rsidRPr="00D206CE">
        <w:rPr>
          <w:rFonts w:cstheme="minorHAnsi"/>
          <w:lang w:val="en-US"/>
        </w:rPr>
        <w:t>.</w:t>
      </w:r>
      <w:r w:rsidRPr="00D206CE">
        <w:rPr>
          <w:rFonts w:cstheme="minorHAnsi"/>
          <w:lang w:val="en-US"/>
        </w:rPr>
        <w:t xml:space="preserve"> </w:t>
      </w:r>
      <w:proofErr w:type="spellStart"/>
      <w:r w:rsidRPr="00D206CE">
        <w:rPr>
          <w:rFonts w:cstheme="minorHAnsi"/>
          <w:lang w:val="en-US"/>
        </w:rPr>
        <w:t>Defence</w:t>
      </w:r>
      <w:proofErr w:type="spellEnd"/>
      <w:r w:rsidRPr="00D206CE">
        <w:rPr>
          <w:rFonts w:cstheme="minorHAnsi"/>
          <w:lang w:val="en-US"/>
        </w:rPr>
        <w:t xml:space="preserve"> reactions in and susceptibility of Australian and New Guinean freshwater crayfish to European-crayfish-plague fungus.</w:t>
      </w:r>
      <w:r w:rsidR="005B418B" w:rsidRPr="00D206CE">
        <w:rPr>
          <w:rFonts w:cstheme="minorHAnsi"/>
          <w:lang w:val="en-US"/>
        </w:rPr>
        <w:t xml:space="preserve"> </w:t>
      </w:r>
      <w:r w:rsidR="005B418B" w:rsidRPr="00D206CE">
        <w:rPr>
          <w:rFonts w:cstheme="minorHAnsi"/>
          <w:i/>
          <w:iCs/>
          <w:lang w:val="en-US"/>
        </w:rPr>
        <w:t>Australian Journal of Experimental Biology and Medical Science</w:t>
      </w:r>
      <w:r w:rsidR="005B418B" w:rsidRPr="00D206CE">
        <w:rPr>
          <w:rFonts w:cstheme="minorHAnsi"/>
          <w:lang w:val="en-US"/>
        </w:rPr>
        <w:t xml:space="preserve"> 53: 349</w:t>
      </w:r>
      <w:r w:rsidR="0081464E" w:rsidRPr="00D206CE">
        <w:rPr>
          <w:rFonts w:cstheme="minorHAnsi"/>
          <w:lang w:val="en-US"/>
        </w:rPr>
        <w:t>–</w:t>
      </w:r>
      <w:r w:rsidR="005B418B" w:rsidRPr="00D206CE">
        <w:rPr>
          <w:rFonts w:cstheme="minorHAnsi"/>
          <w:lang w:val="en-US"/>
        </w:rPr>
        <w:t>359.</w:t>
      </w:r>
    </w:p>
    <w:p w14:paraId="38DAE1E4" w14:textId="116B27D2" w:rsidR="00C51682" w:rsidRPr="00C7583A" w:rsidRDefault="00C51682" w:rsidP="00DF0426">
      <w:pPr>
        <w:ind w:left="567" w:hanging="567"/>
        <w:contextualSpacing/>
        <w:rPr>
          <w:rFonts w:cstheme="minorHAnsi"/>
          <w:lang w:val="en-US"/>
        </w:rPr>
      </w:pPr>
      <w:r w:rsidRPr="00C51682">
        <w:rPr>
          <w:rFonts w:cstheme="minorHAnsi"/>
          <w:lang w:val="en-US"/>
        </w:rPr>
        <w:t xml:space="preserve">Wells SM, Pyle RM </w:t>
      </w:r>
      <w:r>
        <w:rPr>
          <w:rFonts w:cstheme="minorHAnsi"/>
          <w:lang w:val="en-US"/>
        </w:rPr>
        <w:t>and</w:t>
      </w:r>
      <w:r w:rsidRPr="00C51682">
        <w:rPr>
          <w:rFonts w:cstheme="minorHAnsi"/>
          <w:lang w:val="en-US"/>
        </w:rPr>
        <w:t xml:space="preserve"> Collins NM 1983</w:t>
      </w:r>
      <w:r>
        <w:rPr>
          <w:rFonts w:cstheme="minorHAnsi"/>
          <w:lang w:val="en-US"/>
        </w:rPr>
        <w:t>.</w:t>
      </w:r>
      <w:r w:rsidRPr="00C51682">
        <w:rPr>
          <w:rFonts w:cstheme="minorHAnsi"/>
          <w:lang w:val="en-US"/>
        </w:rPr>
        <w:t xml:space="preserve"> </w:t>
      </w:r>
      <w:r w:rsidRPr="00C51682">
        <w:rPr>
          <w:rFonts w:cstheme="minorHAnsi"/>
          <w:i/>
          <w:iCs/>
          <w:lang w:val="en-US"/>
        </w:rPr>
        <w:t>The IUCN Invertebrate Red Data Book</w:t>
      </w:r>
      <w:r w:rsidRPr="00C51682">
        <w:rPr>
          <w:rFonts w:cstheme="minorHAnsi"/>
          <w:lang w:val="en-US"/>
        </w:rPr>
        <w:t>. 1st edition, The IUCN. Gland, Switzerland.</w:t>
      </w:r>
    </w:p>
    <w:p w14:paraId="5D9E600C" w14:textId="77777777" w:rsidR="001C2DE7" w:rsidRDefault="001C2DE7" w:rsidP="00832AE4">
      <w:pPr>
        <w:pStyle w:val="Heading2-notindexed"/>
      </w:pPr>
      <w:r>
        <w:t>Further Information</w:t>
      </w:r>
    </w:p>
    <w:p w14:paraId="1FD7866D" w14:textId="1FE8FB96" w:rsidR="002258B7" w:rsidRPr="00E4102A" w:rsidRDefault="001C2DE7" w:rsidP="00CB64F2">
      <w:pPr>
        <w:rPr>
          <w:rStyle w:val="Hyperlink"/>
          <w:sz w:val="22"/>
          <w:szCs w:val="22"/>
        </w:rPr>
      </w:pPr>
      <w:r w:rsidRPr="005C7F26">
        <w:t xml:space="preserve">Further information on related </w:t>
      </w:r>
      <w:r w:rsidR="004D16B3">
        <w:t>action plans</w:t>
      </w:r>
      <w:r w:rsidRPr="005C7F26">
        <w:t xml:space="preserve"> or other threatened species and ecological communities can be obtained from: Environment, Planning and Sustainable Development Directorate</w:t>
      </w:r>
      <w:r w:rsidR="00E27CF8">
        <w:t xml:space="preserve"> (EPSDD).</w:t>
      </w:r>
      <w:r w:rsidR="00E27CF8">
        <w:br/>
      </w:r>
      <w:r w:rsidRPr="00E4102A">
        <w:t>Phone: (02) 132281</w:t>
      </w:r>
      <w:r w:rsidR="00E27CF8" w:rsidRPr="00E4102A">
        <w:t>, EPSDD</w:t>
      </w:r>
      <w:r w:rsidRPr="00E4102A">
        <w:t xml:space="preserve"> </w:t>
      </w:r>
      <w:r w:rsidR="00E4102A" w:rsidRPr="00E4102A">
        <w:t xml:space="preserve">– Environment </w:t>
      </w:r>
      <w:r w:rsidRPr="00E4102A">
        <w:t xml:space="preserve">Website: </w:t>
      </w:r>
      <w:hyperlink r:id="rId29" w:history="1">
        <w:r w:rsidR="00E4102A" w:rsidRPr="00E4102A">
          <w:rPr>
            <w:rStyle w:val="Hyperlink"/>
            <w:sz w:val="22"/>
            <w:szCs w:val="22"/>
          </w:rPr>
          <w:t>https://www.act.gov.au/environment</w:t>
        </w:r>
      </w:hyperlink>
      <w:r w:rsidR="009F0523" w:rsidRPr="00E4102A">
        <w:rPr>
          <w:sz w:val="22"/>
          <w:szCs w:val="22"/>
        </w:rPr>
        <w:t xml:space="preserve">. </w:t>
      </w:r>
    </w:p>
    <w:p w14:paraId="3A99B972" w14:textId="77777777" w:rsidR="002258B7" w:rsidRPr="00E4102A" w:rsidRDefault="002258B7">
      <w:pPr>
        <w:rPr>
          <w:rStyle w:val="Hyperlink"/>
          <w:sz w:val="22"/>
          <w:szCs w:val="22"/>
        </w:rPr>
      </w:pPr>
      <w:r w:rsidRPr="00E4102A">
        <w:rPr>
          <w:rStyle w:val="Hyperlink"/>
          <w:sz w:val="22"/>
          <w:szCs w:val="22"/>
        </w:rPr>
        <w:br w:type="page"/>
      </w:r>
    </w:p>
    <w:p w14:paraId="675BF01A" w14:textId="14308F6D" w:rsidR="00E4102A" w:rsidRPr="0084187E" w:rsidRDefault="002258B7" w:rsidP="00E4102A">
      <w:pPr>
        <w:pStyle w:val="Heading2-notindexed"/>
        <w:rPr>
          <w:sz w:val="22"/>
          <w:szCs w:val="22"/>
        </w:rPr>
      </w:pPr>
      <w:r w:rsidRPr="007B33A4">
        <w:lastRenderedPageBreak/>
        <w:t>Attachment A: Listing Assessment</w:t>
      </w:r>
    </w:p>
    <w:p w14:paraId="0EBBE14D" w14:textId="29799A07" w:rsidR="00E2462E" w:rsidRDefault="00E2462E" w:rsidP="00E2462E">
      <w:pPr>
        <w:rPr>
          <w:rFonts w:asciiTheme="majorHAnsi" w:hAnsiTheme="majorHAnsi"/>
          <w:sz w:val="22"/>
          <w:szCs w:val="22"/>
        </w:rPr>
      </w:pPr>
      <w:r w:rsidRPr="00E2462E">
        <w:rPr>
          <w:rFonts w:asciiTheme="majorHAnsi" w:hAnsiTheme="majorHAnsi"/>
          <w:sz w:val="22"/>
          <w:szCs w:val="22"/>
          <w:lang w:eastAsia="ja-JP"/>
        </w:rPr>
        <w:t xml:space="preserve">This assessment </w:t>
      </w:r>
      <w:r>
        <w:rPr>
          <w:rFonts w:asciiTheme="majorHAnsi" w:hAnsiTheme="majorHAnsi"/>
          <w:sz w:val="22"/>
          <w:szCs w:val="22"/>
          <w:lang w:eastAsia="ja-JP"/>
        </w:rPr>
        <w:t>only considers</w:t>
      </w:r>
      <w:r w:rsidRPr="00E2462E">
        <w:rPr>
          <w:rFonts w:asciiTheme="majorHAnsi" w:hAnsiTheme="majorHAnsi"/>
          <w:sz w:val="22"/>
          <w:szCs w:val="22"/>
          <w:lang w:eastAsia="ja-JP"/>
        </w:rPr>
        <w:t xml:space="preserve"> the </w:t>
      </w:r>
      <w:r w:rsidRPr="00E2462E">
        <w:rPr>
          <w:rFonts w:asciiTheme="majorHAnsi" w:hAnsiTheme="majorHAnsi"/>
          <w:i/>
          <w:iCs/>
          <w:sz w:val="22"/>
          <w:szCs w:val="22"/>
          <w:lang w:eastAsia="ja-JP"/>
        </w:rPr>
        <w:t>Euastacus crassus sensu strict</w:t>
      </w:r>
      <w:r>
        <w:rPr>
          <w:rFonts w:asciiTheme="majorHAnsi" w:hAnsiTheme="majorHAnsi"/>
          <w:i/>
          <w:iCs/>
          <w:sz w:val="22"/>
          <w:szCs w:val="22"/>
          <w:lang w:eastAsia="ja-JP"/>
        </w:rPr>
        <w:t>o</w:t>
      </w:r>
      <w:r w:rsidRPr="00E2462E">
        <w:rPr>
          <w:rFonts w:asciiTheme="majorHAnsi" w:hAnsiTheme="majorHAnsi"/>
          <w:sz w:val="22"/>
          <w:szCs w:val="22"/>
          <w:lang w:eastAsia="ja-JP"/>
        </w:rPr>
        <w:t xml:space="preserve"> </w:t>
      </w:r>
      <w:r>
        <w:rPr>
          <w:rFonts w:asciiTheme="majorHAnsi" w:hAnsiTheme="majorHAnsi"/>
          <w:sz w:val="22"/>
          <w:szCs w:val="22"/>
          <w:lang w:eastAsia="ja-JP"/>
        </w:rPr>
        <w:t>(</w:t>
      </w:r>
      <w:r w:rsidRPr="00E2462E">
        <w:rPr>
          <w:rFonts w:asciiTheme="majorHAnsi" w:hAnsiTheme="majorHAnsi"/>
          <w:sz w:val="22"/>
          <w:szCs w:val="22"/>
        </w:rPr>
        <w:t xml:space="preserve">i.e., defined in the strict sense) records. </w:t>
      </w:r>
      <w:r w:rsidRPr="00E2462E">
        <w:rPr>
          <w:rFonts w:asciiTheme="majorHAnsi" w:hAnsiTheme="majorHAnsi"/>
          <w:i/>
          <w:iCs/>
          <w:sz w:val="22"/>
          <w:szCs w:val="22"/>
        </w:rPr>
        <w:t>Euastacus crassus sensu stricto</w:t>
      </w:r>
      <w:r w:rsidRPr="00E2462E">
        <w:rPr>
          <w:rFonts w:asciiTheme="majorHAnsi" w:hAnsiTheme="majorHAnsi"/>
          <w:sz w:val="22"/>
          <w:szCs w:val="22"/>
        </w:rPr>
        <w:t xml:space="preserve"> is defined as the genetic lineage that is present at the type location (</w:t>
      </w:r>
      <w:proofErr w:type="spellStart"/>
      <w:r w:rsidRPr="00E2462E">
        <w:rPr>
          <w:rFonts w:asciiTheme="majorHAnsi" w:hAnsiTheme="majorHAnsi"/>
          <w:sz w:val="22"/>
          <w:szCs w:val="22"/>
        </w:rPr>
        <w:t>Bendora</w:t>
      </w:r>
      <w:proofErr w:type="spellEnd"/>
      <w:r w:rsidRPr="00E2462E">
        <w:rPr>
          <w:rFonts w:asciiTheme="majorHAnsi" w:hAnsiTheme="majorHAnsi"/>
          <w:sz w:val="22"/>
          <w:szCs w:val="22"/>
        </w:rPr>
        <w:t xml:space="preserve">, Australian Capital Territory). The other divergent lineages are not included as they are considered to be distinct taxa. </w:t>
      </w:r>
    </w:p>
    <w:p w14:paraId="5AABD818" w14:textId="3BC722E5" w:rsidR="00E2462E" w:rsidRPr="00E2462E" w:rsidRDefault="00E2462E" w:rsidP="00E2462E">
      <w:pPr>
        <w:rPr>
          <w:rFonts w:asciiTheme="majorHAnsi" w:hAnsiTheme="majorHAnsi"/>
          <w:sz w:val="22"/>
          <w:szCs w:val="22"/>
        </w:rPr>
      </w:pPr>
      <w:r w:rsidRPr="00E2462E">
        <w:rPr>
          <w:rFonts w:asciiTheme="majorHAnsi" w:hAnsiTheme="majorHAnsi"/>
          <w:sz w:val="22"/>
          <w:szCs w:val="22"/>
        </w:rPr>
        <w:t xml:space="preserve">The species was described by Riek (1951, 1969) without a common name given. Since that time, various common names have been used, including alpine crayfish, alpine spiny crayfish and thick crayfish. Following consultation with the </w:t>
      </w:r>
      <w:proofErr w:type="spellStart"/>
      <w:r w:rsidRPr="00E2462E">
        <w:rPr>
          <w:rFonts w:asciiTheme="majorHAnsi" w:hAnsiTheme="majorHAnsi"/>
          <w:sz w:val="22"/>
          <w:szCs w:val="22"/>
        </w:rPr>
        <w:t>Winanggaay</w:t>
      </w:r>
      <w:proofErr w:type="spellEnd"/>
      <w:r w:rsidRPr="00E2462E">
        <w:rPr>
          <w:rFonts w:asciiTheme="majorHAnsi" w:hAnsiTheme="majorHAnsi"/>
          <w:sz w:val="22"/>
          <w:szCs w:val="22"/>
        </w:rPr>
        <w:t xml:space="preserve"> Ngunnawal Language Aboriginal Corporation, the Ngunnawal name of Murunung Naruwi (which translates as cold crayfish) was chosen as a preferred common name for </w:t>
      </w:r>
      <w:r w:rsidRPr="00E2462E">
        <w:rPr>
          <w:rStyle w:val="Emphasis"/>
          <w:rFonts w:asciiTheme="majorHAnsi" w:hAnsiTheme="majorHAnsi"/>
          <w:sz w:val="22"/>
          <w:szCs w:val="22"/>
        </w:rPr>
        <w:t>E</w:t>
      </w:r>
      <w:r>
        <w:rPr>
          <w:rStyle w:val="Emphasis"/>
          <w:rFonts w:asciiTheme="majorHAnsi" w:hAnsiTheme="majorHAnsi"/>
          <w:sz w:val="22"/>
          <w:szCs w:val="22"/>
        </w:rPr>
        <w:t>uastacus</w:t>
      </w:r>
      <w:r w:rsidRPr="00E2462E">
        <w:rPr>
          <w:rStyle w:val="Emphasis"/>
          <w:rFonts w:asciiTheme="majorHAnsi" w:hAnsiTheme="majorHAnsi"/>
          <w:sz w:val="22"/>
          <w:szCs w:val="22"/>
        </w:rPr>
        <w:t xml:space="preserve"> crassus </w:t>
      </w:r>
      <w:r w:rsidRPr="00E2462E">
        <w:rPr>
          <w:rFonts w:asciiTheme="majorHAnsi" w:hAnsiTheme="majorHAnsi"/>
          <w:i/>
          <w:iCs/>
          <w:sz w:val="22"/>
          <w:szCs w:val="22"/>
        </w:rPr>
        <w:t>sensu stricto</w:t>
      </w:r>
      <w:r w:rsidRPr="00E2462E">
        <w:rPr>
          <w:rStyle w:val="Emphasis"/>
          <w:rFonts w:asciiTheme="majorHAnsi" w:hAnsiTheme="majorHAnsi"/>
          <w:sz w:val="22"/>
          <w:szCs w:val="22"/>
        </w:rPr>
        <w:t xml:space="preserve">, </w:t>
      </w:r>
      <w:r w:rsidRPr="00E2462E">
        <w:rPr>
          <w:rFonts w:asciiTheme="majorHAnsi" w:hAnsiTheme="majorHAnsi"/>
          <w:sz w:val="22"/>
          <w:szCs w:val="22"/>
        </w:rPr>
        <w:t xml:space="preserve">to reflect its regional presence given its refined distribution. </w:t>
      </w:r>
    </w:p>
    <w:p w14:paraId="18EC72E3" w14:textId="6448996A" w:rsidR="003548C1" w:rsidRPr="000D4CE0" w:rsidRDefault="003548C1" w:rsidP="003548C1">
      <w:pPr>
        <w:keepNext/>
        <w:keepLines/>
        <w:spacing w:before="120" w:after="120"/>
        <w:outlineLvl w:val="2"/>
        <w:rPr>
          <w:rFonts w:ascii="Calibri" w:eastAsia="Times New Roman" w:hAnsi="Calibri" w:cs="Cambria"/>
          <w:b/>
          <w:bCs/>
          <w:sz w:val="28"/>
          <w:szCs w:val="28"/>
          <w:lang w:eastAsia="ja-JP"/>
        </w:rPr>
      </w:pPr>
      <w:r w:rsidRPr="000D4CE0">
        <w:rPr>
          <w:rFonts w:ascii="Calibri" w:eastAsia="Times New Roman" w:hAnsi="Calibri" w:cs="Cambria"/>
          <w:b/>
          <w:bCs/>
          <w:sz w:val="28"/>
          <w:szCs w:val="28"/>
          <w:lang w:eastAsia="ja-JP"/>
        </w:rPr>
        <w:t>Reason for assessment</w:t>
      </w:r>
    </w:p>
    <w:p w14:paraId="42002EE7" w14:textId="77777777" w:rsidR="003548C1" w:rsidRPr="003548C1" w:rsidRDefault="003548C1" w:rsidP="003548C1">
      <w:pPr>
        <w:spacing w:after="120"/>
        <w:rPr>
          <w:rFonts w:ascii="Cambria" w:hAnsi="Cambria"/>
          <w:sz w:val="22"/>
          <w:szCs w:val="22"/>
          <w:lang w:eastAsia="ja-JP"/>
        </w:rPr>
      </w:pPr>
      <w:r w:rsidRPr="003548C1">
        <w:rPr>
          <w:rFonts w:ascii="Cambria" w:hAnsi="Cambria"/>
          <w:sz w:val="22"/>
          <w:szCs w:val="22"/>
          <w:lang w:eastAsia="ja-JP"/>
        </w:rPr>
        <w:t xml:space="preserve">The species was prioritised due to its IUCN conservation status, the reduction in distribution resulting from molecular taxonomic analyses and threats posed to the species. </w:t>
      </w:r>
    </w:p>
    <w:p w14:paraId="1C1435DA" w14:textId="77777777" w:rsidR="003548C1" w:rsidRPr="000D4CE0" w:rsidRDefault="003548C1" w:rsidP="003548C1">
      <w:pPr>
        <w:keepNext/>
        <w:keepLines/>
        <w:spacing w:before="120" w:after="120"/>
        <w:outlineLvl w:val="2"/>
        <w:rPr>
          <w:rFonts w:ascii="Calibri" w:eastAsia="Times New Roman" w:hAnsi="Calibri" w:cs="Cambria"/>
          <w:b/>
          <w:bCs/>
          <w:sz w:val="28"/>
          <w:szCs w:val="28"/>
          <w:lang w:eastAsia="ja-JP"/>
        </w:rPr>
      </w:pPr>
      <w:r w:rsidRPr="000D4CE0">
        <w:rPr>
          <w:rFonts w:ascii="Calibri" w:eastAsia="Times New Roman" w:hAnsi="Calibri" w:cs="Cambria"/>
          <w:b/>
          <w:bCs/>
          <w:sz w:val="28"/>
          <w:szCs w:val="28"/>
          <w:lang w:eastAsia="ja-JP"/>
        </w:rPr>
        <w:t>Assessment of eligibility for listing</w:t>
      </w:r>
    </w:p>
    <w:p w14:paraId="4E62AF2E" w14:textId="77777777" w:rsidR="003548C1" w:rsidRPr="003548C1" w:rsidRDefault="003548C1" w:rsidP="003548C1">
      <w:pPr>
        <w:spacing w:after="120"/>
        <w:rPr>
          <w:rFonts w:ascii="Cambria" w:hAnsi="Cambria"/>
          <w:sz w:val="22"/>
          <w:szCs w:val="22"/>
          <w:lang w:eastAsia="ja-JP"/>
        </w:rPr>
      </w:pPr>
      <w:r w:rsidRPr="003548C1">
        <w:rPr>
          <w:rFonts w:ascii="Cambria" w:hAnsi="Cambria"/>
          <w:sz w:val="22"/>
          <w:szCs w:val="22"/>
          <w:lang w:eastAsia="ja-JP"/>
        </w:rPr>
        <w:t xml:space="preserve">This assessment uses the criteria set out in the </w:t>
      </w:r>
      <w:hyperlink r:id="rId30" w:history="1">
        <w:r w:rsidRPr="003548C1">
          <w:rPr>
            <w:rFonts w:ascii="Cambria" w:hAnsi="Cambria"/>
            <w:color w:val="165788"/>
            <w:sz w:val="22"/>
            <w:szCs w:val="22"/>
            <w:u w:val="single"/>
            <w:lang w:eastAsia="ja-JP"/>
          </w:rPr>
          <w:t>Nature Conservation (Threatened Native Species Eligibility) Criteria 2016</w:t>
        </w:r>
      </w:hyperlink>
      <w:r w:rsidRPr="003548C1">
        <w:rPr>
          <w:rFonts w:ascii="Cambria" w:hAnsi="Cambria"/>
          <w:sz w:val="22"/>
          <w:szCs w:val="22"/>
          <w:lang w:eastAsia="ja-JP"/>
        </w:rPr>
        <w:t xml:space="preserve">. The thresholds used correspond with those in the </w:t>
      </w:r>
      <w:hyperlink r:id="rId31" w:history="1">
        <w:r w:rsidRPr="003548C1">
          <w:rPr>
            <w:rFonts w:ascii="Cambria" w:hAnsi="Cambria"/>
            <w:color w:val="165788"/>
            <w:sz w:val="22"/>
            <w:szCs w:val="22"/>
            <w:u w:val="single"/>
            <w:lang w:eastAsia="ja-JP"/>
          </w:rPr>
          <w:t>IUCN Red List criteria</w:t>
        </w:r>
      </w:hyperlink>
      <w:r w:rsidRPr="003548C1">
        <w:rPr>
          <w:rFonts w:ascii="Cambria" w:hAnsi="Cambria"/>
          <w:sz w:val="22"/>
          <w:szCs w:val="22"/>
          <w:lang w:eastAsia="ja-JP"/>
        </w:rPr>
        <w:t>. The IUCN criteria are used by Australian jurisdictions to achieve consistent listing assessments through the Common Assessment Method (CAM).</w:t>
      </w:r>
    </w:p>
    <w:p w14:paraId="3AE76063" w14:textId="77777777" w:rsidR="003548C1" w:rsidRPr="000D4CE0" w:rsidRDefault="003548C1" w:rsidP="003548C1">
      <w:pPr>
        <w:keepNext/>
        <w:keepLines/>
        <w:spacing w:before="120" w:after="120"/>
        <w:outlineLvl w:val="2"/>
        <w:rPr>
          <w:rFonts w:ascii="Calibri" w:eastAsia="Times New Roman" w:hAnsi="Calibri" w:cs="Cambria"/>
          <w:b/>
          <w:bCs/>
          <w:sz w:val="28"/>
          <w:szCs w:val="28"/>
          <w:lang w:eastAsia="ja-JP"/>
        </w:rPr>
      </w:pPr>
      <w:r w:rsidRPr="000D4CE0">
        <w:rPr>
          <w:rFonts w:ascii="Calibri" w:eastAsia="Times New Roman" w:hAnsi="Calibri" w:cs="Cambria"/>
          <w:b/>
          <w:bCs/>
          <w:sz w:val="28"/>
          <w:szCs w:val="28"/>
          <w:lang w:eastAsia="ja-JP"/>
        </w:rPr>
        <w:t>Key assessment parameters</w:t>
      </w:r>
    </w:p>
    <w:p w14:paraId="59698649" w14:textId="77777777" w:rsidR="003548C1" w:rsidRPr="003548C1" w:rsidRDefault="003548C1" w:rsidP="003548C1">
      <w:pPr>
        <w:spacing w:after="120"/>
        <w:rPr>
          <w:rFonts w:ascii="Cambria" w:hAnsi="Cambria"/>
          <w:sz w:val="22"/>
          <w:szCs w:val="22"/>
          <w:lang w:eastAsia="ja-JP"/>
        </w:rPr>
      </w:pPr>
      <w:r w:rsidRPr="003548C1">
        <w:rPr>
          <w:rFonts w:ascii="Cambria" w:hAnsi="Cambria"/>
          <w:sz w:val="22"/>
          <w:szCs w:val="22"/>
          <w:lang w:eastAsia="ja-JP"/>
        </w:rPr>
        <w:t xml:space="preserve">Table 3 includes the key assessment parameters used in the assessment of eligibility for listing against the criteria. The definition of each of the parameters follows the </w:t>
      </w:r>
      <w:hyperlink r:id="rId32" w:history="1">
        <w:r w:rsidRPr="003548C1">
          <w:rPr>
            <w:rFonts w:ascii="Cambria" w:hAnsi="Cambria"/>
            <w:color w:val="165788"/>
            <w:sz w:val="22"/>
            <w:szCs w:val="22"/>
            <w:u w:val="single"/>
            <w:lang w:eastAsia="ja-JP"/>
          </w:rPr>
          <w:t>Guidelines for Using the IUCN Red List Categories and Criteria</w:t>
        </w:r>
      </w:hyperlink>
      <w:r w:rsidRPr="003548C1">
        <w:rPr>
          <w:rFonts w:ascii="Cambria" w:hAnsi="Cambria"/>
          <w:sz w:val="22"/>
          <w:szCs w:val="22"/>
          <w:lang w:eastAsia="ja-JP"/>
        </w:rPr>
        <w:t>.</w:t>
      </w:r>
    </w:p>
    <w:p w14:paraId="405193EF" w14:textId="77777777" w:rsidR="003548C1" w:rsidRPr="003548C1" w:rsidRDefault="003548C1" w:rsidP="003548C1">
      <w:pPr>
        <w:keepNext/>
        <w:spacing w:after="120" w:line="240" w:lineRule="auto"/>
        <w:rPr>
          <w:rFonts w:ascii="Calibri" w:hAnsi="Calibri"/>
          <w:b/>
          <w:bCs/>
          <w:sz w:val="24"/>
          <w:szCs w:val="18"/>
        </w:rPr>
      </w:pPr>
      <w:r w:rsidRPr="003548C1">
        <w:rPr>
          <w:rFonts w:ascii="Calibri" w:hAnsi="Calibri"/>
          <w:b/>
          <w:bCs/>
          <w:sz w:val="24"/>
          <w:szCs w:val="18"/>
        </w:rPr>
        <w:t xml:space="preserve">Table </w:t>
      </w:r>
      <w:r w:rsidRPr="003548C1">
        <w:rPr>
          <w:rFonts w:ascii="Calibri" w:hAnsi="Calibri"/>
          <w:b/>
          <w:bCs/>
          <w:sz w:val="24"/>
          <w:szCs w:val="18"/>
        </w:rPr>
        <w:fldChar w:fldCharType="begin"/>
      </w:r>
      <w:r w:rsidRPr="003548C1">
        <w:rPr>
          <w:rFonts w:ascii="Calibri" w:hAnsi="Calibri"/>
          <w:b/>
          <w:bCs/>
          <w:sz w:val="24"/>
          <w:szCs w:val="18"/>
        </w:rPr>
        <w:instrText xml:space="preserve"> SEQ Table \* ARABIC </w:instrText>
      </w:r>
      <w:r w:rsidRPr="003548C1">
        <w:rPr>
          <w:rFonts w:ascii="Calibri" w:hAnsi="Calibri"/>
          <w:b/>
          <w:bCs/>
          <w:sz w:val="24"/>
          <w:szCs w:val="18"/>
        </w:rPr>
        <w:fldChar w:fldCharType="separate"/>
      </w:r>
      <w:r w:rsidRPr="003548C1">
        <w:rPr>
          <w:rFonts w:ascii="Calibri" w:hAnsi="Calibri"/>
          <w:b/>
          <w:bCs/>
          <w:noProof/>
          <w:sz w:val="24"/>
          <w:szCs w:val="18"/>
        </w:rPr>
        <w:t>3</w:t>
      </w:r>
      <w:r w:rsidRPr="003548C1">
        <w:rPr>
          <w:rFonts w:ascii="Calibri" w:hAnsi="Calibri"/>
          <w:b/>
          <w:bCs/>
          <w:noProof/>
          <w:sz w:val="24"/>
          <w:szCs w:val="18"/>
        </w:rPr>
        <w:fldChar w:fldCharType="end"/>
      </w:r>
      <w:r w:rsidRPr="003548C1">
        <w:rPr>
          <w:rFonts w:ascii="Calibri" w:hAnsi="Calibri"/>
          <w:b/>
          <w:bCs/>
          <w:sz w:val="24"/>
          <w:szCs w:val="18"/>
        </w:rPr>
        <w:t xml:space="preserve"> Key assessment parameters</w:t>
      </w:r>
    </w:p>
    <w:tbl>
      <w:tblPr>
        <w:tblStyle w:val="TableGrid"/>
        <w:tblW w:w="9067" w:type="dxa"/>
        <w:tblLook w:val="04A0" w:firstRow="1" w:lastRow="0" w:firstColumn="1" w:lastColumn="0" w:noHBand="0" w:noVBand="1"/>
      </w:tblPr>
      <w:tblGrid>
        <w:gridCol w:w="1408"/>
        <w:gridCol w:w="1169"/>
        <w:gridCol w:w="1102"/>
        <w:gridCol w:w="1020"/>
        <w:gridCol w:w="4368"/>
      </w:tblGrid>
      <w:tr w:rsidR="00E20E52" w:rsidRPr="000D4CE0" w14:paraId="6CC2DE21" w14:textId="77777777" w:rsidTr="00085D11">
        <w:trPr>
          <w:cantSplit/>
          <w:tblHeader/>
        </w:trPr>
        <w:tc>
          <w:tcPr>
            <w:tcW w:w="1408" w:type="dxa"/>
          </w:tcPr>
          <w:p w14:paraId="2F447163" w14:textId="77777777" w:rsidR="000D4CE0" w:rsidRPr="000D4CE0" w:rsidRDefault="000D4CE0" w:rsidP="001058DD">
            <w:pPr>
              <w:pStyle w:val="TableHeading0"/>
              <w:keepNext w:val="0"/>
              <w:ind w:left="0" w:hanging="29"/>
              <w:rPr>
                <w:rFonts w:asciiTheme="majorHAnsi" w:hAnsiTheme="majorHAnsi" w:cstheme="minorHAnsi"/>
                <w:szCs w:val="18"/>
              </w:rPr>
            </w:pPr>
            <w:bookmarkStart w:id="4" w:name="_Hlk66963083"/>
            <w:r w:rsidRPr="000D4CE0">
              <w:rPr>
                <w:rFonts w:asciiTheme="majorHAnsi" w:hAnsiTheme="majorHAnsi" w:cstheme="minorHAnsi"/>
                <w:szCs w:val="18"/>
              </w:rPr>
              <w:t>Metric</w:t>
            </w:r>
          </w:p>
        </w:tc>
        <w:tc>
          <w:tcPr>
            <w:tcW w:w="1169" w:type="dxa"/>
          </w:tcPr>
          <w:p w14:paraId="6FBEB037" w14:textId="77777777" w:rsidR="000D4CE0" w:rsidRPr="000D4CE0" w:rsidRDefault="000D4CE0" w:rsidP="000D4CE0">
            <w:pPr>
              <w:pStyle w:val="TableHeading0"/>
              <w:keepNext w:val="0"/>
              <w:ind w:left="0" w:hanging="16"/>
              <w:rPr>
                <w:rFonts w:asciiTheme="majorHAnsi" w:hAnsiTheme="majorHAnsi" w:cstheme="minorHAnsi"/>
                <w:szCs w:val="18"/>
              </w:rPr>
            </w:pPr>
            <w:r w:rsidRPr="000D4CE0">
              <w:rPr>
                <w:rFonts w:asciiTheme="majorHAnsi" w:hAnsiTheme="majorHAnsi" w:cstheme="minorHAnsi"/>
                <w:szCs w:val="18"/>
              </w:rPr>
              <w:t>Estimate used in the assessment</w:t>
            </w:r>
          </w:p>
        </w:tc>
        <w:tc>
          <w:tcPr>
            <w:tcW w:w="1102" w:type="dxa"/>
          </w:tcPr>
          <w:p w14:paraId="017B123D" w14:textId="77777777" w:rsidR="000D4CE0" w:rsidRPr="000D4CE0" w:rsidRDefault="000D4CE0" w:rsidP="00E20E52">
            <w:pPr>
              <w:pStyle w:val="TableHeading0"/>
              <w:keepNext w:val="0"/>
              <w:ind w:left="0" w:firstLine="0"/>
              <w:rPr>
                <w:rFonts w:asciiTheme="majorHAnsi" w:hAnsiTheme="majorHAnsi" w:cstheme="minorHAnsi"/>
                <w:szCs w:val="18"/>
              </w:rPr>
            </w:pPr>
            <w:r w:rsidRPr="000D4CE0">
              <w:rPr>
                <w:rFonts w:asciiTheme="majorHAnsi" w:hAnsiTheme="majorHAnsi" w:cstheme="minorHAnsi"/>
                <w:szCs w:val="18"/>
              </w:rPr>
              <w:t>Minimum plausible value</w:t>
            </w:r>
          </w:p>
        </w:tc>
        <w:tc>
          <w:tcPr>
            <w:tcW w:w="1020" w:type="dxa"/>
          </w:tcPr>
          <w:p w14:paraId="69776322" w14:textId="77777777" w:rsidR="000D4CE0" w:rsidRPr="000D4CE0" w:rsidRDefault="000D4CE0" w:rsidP="00E20E52">
            <w:pPr>
              <w:pStyle w:val="TableHeading0"/>
              <w:keepNext w:val="0"/>
              <w:ind w:left="-24" w:firstLine="0"/>
              <w:rPr>
                <w:rFonts w:asciiTheme="majorHAnsi" w:hAnsiTheme="majorHAnsi" w:cstheme="minorHAnsi"/>
                <w:szCs w:val="18"/>
              </w:rPr>
            </w:pPr>
            <w:r w:rsidRPr="000D4CE0">
              <w:rPr>
                <w:rFonts w:asciiTheme="majorHAnsi" w:hAnsiTheme="majorHAnsi" w:cstheme="minorHAnsi"/>
                <w:szCs w:val="18"/>
              </w:rPr>
              <w:t>Maximum plausible value</w:t>
            </w:r>
          </w:p>
        </w:tc>
        <w:tc>
          <w:tcPr>
            <w:tcW w:w="4368" w:type="dxa"/>
          </w:tcPr>
          <w:p w14:paraId="2422F94E" w14:textId="77777777" w:rsidR="000D4CE0" w:rsidRPr="000D4CE0" w:rsidRDefault="000D4CE0" w:rsidP="000D4CE0">
            <w:pPr>
              <w:pStyle w:val="TableHeading0"/>
              <w:keepNext w:val="0"/>
              <w:ind w:left="0" w:firstLine="0"/>
              <w:rPr>
                <w:rFonts w:asciiTheme="majorHAnsi" w:hAnsiTheme="majorHAnsi" w:cstheme="minorHAnsi"/>
                <w:szCs w:val="18"/>
              </w:rPr>
            </w:pPr>
            <w:r w:rsidRPr="000D4CE0">
              <w:rPr>
                <w:rFonts w:asciiTheme="majorHAnsi" w:hAnsiTheme="majorHAnsi" w:cstheme="minorHAnsi"/>
                <w:szCs w:val="18"/>
              </w:rPr>
              <w:t>Justification</w:t>
            </w:r>
          </w:p>
        </w:tc>
      </w:tr>
      <w:tr w:rsidR="00E20E52" w:rsidRPr="000D4CE0" w14:paraId="38935EEA" w14:textId="77777777" w:rsidTr="00085D11">
        <w:trPr>
          <w:cantSplit/>
        </w:trPr>
        <w:tc>
          <w:tcPr>
            <w:tcW w:w="1408" w:type="dxa"/>
          </w:tcPr>
          <w:p w14:paraId="0AD08C0E" w14:textId="77777777" w:rsidR="000D4CE0" w:rsidRPr="000D4CE0" w:rsidRDefault="000D4CE0" w:rsidP="001058DD">
            <w:pPr>
              <w:pStyle w:val="TableHeading0"/>
              <w:keepNext w:val="0"/>
              <w:ind w:left="0" w:hanging="29"/>
              <w:rPr>
                <w:rStyle w:val="Strong"/>
                <w:rFonts w:asciiTheme="majorHAnsi" w:hAnsiTheme="majorHAnsi" w:cstheme="minorHAnsi"/>
                <w:b/>
                <w:bCs w:val="0"/>
                <w:szCs w:val="18"/>
              </w:rPr>
            </w:pPr>
            <w:r w:rsidRPr="000D4CE0">
              <w:rPr>
                <w:rStyle w:val="Strong"/>
                <w:rFonts w:asciiTheme="majorHAnsi" w:hAnsiTheme="majorHAnsi" w:cstheme="minorHAnsi"/>
                <w:szCs w:val="18"/>
              </w:rPr>
              <w:t>Number of mature individuals</w:t>
            </w:r>
          </w:p>
        </w:tc>
        <w:tc>
          <w:tcPr>
            <w:tcW w:w="1169" w:type="dxa"/>
          </w:tcPr>
          <w:p w14:paraId="7D99B67F" w14:textId="77777777" w:rsidR="000D4CE0" w:rsidRPr="000D4CE0" w:rsidRDefault="000D4CE0" w:rsidP="000D4CE0">
            <w:pPr>
              <w:pStyle w:val="TableText"/>
              <w:ind w:left="0" w:hanging="16"/>
              <w:rPr>
                <w:rFonts w:asciiTheme="majorHAnsi" w:hAnsiTheme="majorHAnsi" w:cstheme="minorHAnsi"/>
                <w:szCs w:val="18"/>
              </w:rPr>
            </w:pPr>
            <w:r w:rsidRPr="000D4CE0">
              <w:rPr>
                <w:rFonts w:asciiTheme="majorHAnsi" w:hAnsiTheme="majorHAnsi" w:cstheme="minorHAnsi"/>
                <w:szCs w:val="18"/>
              </w:rPr>
              <w:t>Unknown</w:t>
            </w:r>
          </w:p>
        </w:tc>
        <w:tc>
          <w:tcPr>
            <w:tcW w:w="1102" w:type="dxa"/>
          </w:tcPr>
          <w:p w14:paraId="0CFB15EF" w14:textId="77777777" w:rsidR="000D4CE0" w:rsidRPr="000D4CE0" w:rsidRDefault="000D4CE0" w:rsidP="00E20E52">
            <w:pPr>
              <w:pStyle w:val="TableText"/>
              <w:ind w:left="0" w:firstLine="0"/>
              <w:rPr>
                <w:rFonts w:asciiTheme="majorHAnsi" w:hAnsiTheme="majorHAnsi" w:cstheme="minorHAnsi"/>
                <w:szCs w:val="18"/>
              </w:rPr>
            </w:pPr>
            <w:r w:rsidRPr="000D4CE0">
              <w:rPr>
                <w:rFonts w:asciiTheme="majorHAnsi" w:hAnsiTheme="majorHAnsi" w:cstheme="minorHAnsi"/>
                <w:szCs w:val="18"/>
              </w:rPr>
              <w:t>Unknown</w:t>
            </w:r>
          </w:p>
        </w:tc>
        <w:tc>
          <w:tcPr>
            <w:tcW w:w="1020" w:type="dxa"/>
          </w:tcPr>
          <w:p w14:paraId="1785259A"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Unknown</w:t>
            </w:r>
          </w:p>
        </w:tc>
        <w:tc>
          <w:tcPr>
            <w:tcW w:w="4368" w:type="dxa"/>
          </w:tcPr>
          <w:p w14:paraId="6A004C20" w14:textId="77777777" w:rsidR="000D4CE0" w:rsidRPr="000D4CE0" w:rsidRDefault="000D4CE0" w:rsidP="000D4CE0">
            <w:pPr>
              <w:pStyle w:val="Default"/>
              <w:ind w:left="0" w:firstLine="0"/>
              <w:rPr>
                <w:rFonts w:asciiTheme="majorHAnsi" w:hAnsiTheme="majorHAnsi" w:cstheme="minorHAnsi"/>
                <w:sz w:val="18"/>
                <w:szCs w:val="18"/>
              </w:rPr>
            </w:pPr>
            <w:r w:rsidRPr="000D4CE0">
              <w:rPr>
                <w:rFonts w:asciiTheme="majorHAnsi" w:hAnsiTheme="majorHAnsi" w:cstheme="minorHAnsi"/>
                <w:sz w:val="18"/>
                <w:szCs w:val="18"/>
              </w:rPr>
              <w:t xml:space="preserve">Not known for this species. </w:t>
            </w:r>
          </w:p>
          <w:p w14:paraId="287556E5" w14:textId="77777777" w:rsidR="000D4CE0" w:rsidRPr="000D4CE0" w:rsidRDefault="000D4CE0" w:rsidP="000D4CE0">
            <w:pPr>
              <w:pStyle w:val="TableText"/>
              <w:ind w:left="0" w:firstLine="0"/>
              <w:rPr>
                <w:rFonts w:asciiTheme="majorHAnsi" w:hAnsiTheme="majorHAnsi" w:cstheme="minorHAnsi"/>
                <w:szCs w:val="18"/>
              </w:rPr>
            </w:pPr>
          </w:p>
        </w:tc>
      </w:tr>
      <w:tr w:rsidR="00E20E52" w:rsidRPr="000D4CE0" w14:paraId="061DB37E" w14:textId="77777777" w:rsidTr="00085D11">
        <w:trPr>
          <w:cantSplit/>
        </w:trPr>
        <w:tc>
          <w:tcPr>
            <w:tcW w:w="1408" w:type="dxa"/>
          </w:tcPr>
          <w:p w14:paraId="08AD1B0A" w14:textId="77777777" w:rsidR="000D4CE0" w:rsidRPr="000D4CE0" w:rsidRDefault="000D4CE0" w:rsidP="001058DD">
            <w:pPr>
              <w:pStyle w:val="TableHeading0"/>
              <w:keepNext w:val="0"/>
              <w:ind w:left="0" w:hanging="29"/>
              <w:rPr>
                <w:rStyle w:val="Strong"/>
                <w:rFonts w:asciiTheme="majorHAnsi" w:hAnsiTheme="majorHAnsi" w:cstheme="minorHAnsi"/>
                <w:b/>
                <w:bCs w:val="0"/>
                <w:szCs w:val="18"/>
              </w:rPr>
            </w:pPr>
            <w:r w:rsidRPr="000D4CE0">
              <w:rPr>
                <w:rStyle w:val="Strong"/>
                <w:rFonts w:asciiTheme="majorHAnsi" w:hAnsiTheme="majorHAnsi" w:cstheme="minorHAnsi"/>
                <w:szCs w:val="18"/>
              </w:rPr>
              <w:t>Trend</w:t>
            </w:r>
          </w:p>
        </w:tc>
        <w:tc>
          <w:tcPr>
            <w:tcW w:w="3291" w:type="dxa"/>
            <w:gridSpan w:val="3"/>
          </w:tcPr>
          <w:p w14:paraId="73F314EA"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Continuing decline – inferred.</w:t>
            </w:r>
          </w:p>
        </w:tc>
        <w:tc>
          <w:tcPr>
            <w:tcW w:w="4368" w:type="dxa"/>
          </w:tcPr>
          <w:p w14:paraId="4F763D62" w14:textId="1693066C" w:rsidR="000D4CE0" w:rsidRPr="000D4CE0" w:rsidRDefault="00E2462E" w:rsidP="00E2462E">
            <w:pPr>
              <w:pStyle w:val="TableText"/>
              <w:ind w:left="0" w:firstLine="0"/>
              <w:rPr>
                <w:rFonts w:asciiTheme="majorHAnsi" w:hAnsiTheme="majorHAnsi" w:cstheme="minorHAnsi"/>
                <w:szCs w:val="18"/>
              </w:rPr>
            </w:pPr>
            <w:r>
              <w:t>There are no long-term repeat monitoring data for Murunung Naruwi. However, due to the widespread threats from climate change, drought, and two severe wildfires since 2000, the number of mature individuals is inferred to be declining.</w:t>
            </w:r>
          </w:p>
        </w:tc>
      </w:tr>
      <w:tr w:rsidR="00E20E52" w:rsidRPr="000D4CE0" w14:paraId="3E199B3A" w14:textId="77777777" w:rsidTr="00085D11">
        <w:trPr>
          <w:cantSplit/>
        </w:trPr>
        <w:tc>
          <w:tcPr>
            <w:tcW w:w="1408" w:type="dxa"/>
          </w:tcPr>
          <w:p w14:paraId="3C7BA8EA" w14:textId="77777777" w:rsidR="000D4CE0" w:rsidRPr="000D4CE0" w:rsidRDefault="000D4CE0" w:rsidP="001058DD">
            <w:pPr>
              <w:pStyle w:val="TableHeading0"/>
              <w:keepNext w:val="0"/>
              <w:ind w:left="0" w:hanging="29"/>
              <w:rPr>
                <w:rStyle w:val="Strong"/>
                <w:rFonts w:asciiTheme="majorHAnsi" w:hAnsiTheme="majorHAnsi" w:cstheme="minorHAnsi"/>
                <w:b/>
                <w:bCs w:val="0"/>
                <w:szCs w:val="18"/>
              </w:rPr>
            </w:pPr>
            <w:r w:rsidRPr="000D4CE0">
              <w:rPr>
                <w:rStyle w:val="Strong"/>
                <w:rFonts w:asciiTheme="majorHAnsi" w:hAnsiTheme="majorHAnsi" w:cstheme="minorHAnsi"/>
                <w:szCs w:val="18"/>
              </w:rPr>
              <w:t>Generation time (years)</w:t>
            </w:r>
          </w:p>
        </w:tc>
        <w:tc>
          <w:tcPr>
            <w:tcW w:w="1169" w:type="dxa"/>
          </w:tcPr>
          <w:p w14:paraId="6F0BDF10" w14:textId="77777777" w:rsidR="000D4CE0" w:rsidRPr="000D4CE0" w:rsidRDefault="000D4CE0" w:rsidP="000D4CE0">
            <w:pPr>
              <w:pStyle w:val="TableText"/>
              <w:ind w:left="0" w:hanging="16"/>
              <w:rPr>
                <w:rFonts w:asciiTheme="majorHAnsi" w:hAnsiTheme="majorHAnsi" w:cstheme="minorHAnsi"/>
                <w:szCs w:val="18"/>
              </w:rPr>
            </w:pPr>
            <w:r w:rsidRPr="000D4CE0">
              <w:rPr>
                <w:rFonts w:asciiTheme="majorHAnsi" w:hAnsiTheme="majorHAnsi" w:cstheme="minorHAnsi"/>
                <w:szCs w:val="18"/>
              </w:rPr>
              <w:t>Unknown</w:t>
            </w:r>
          </w:p>
        </w:tc>
        <w:tc>
          <w:tcPr>
            <w:tcW w:w="1102" w:type="dxa"/>
          </w:tcPr>
          <w:p w14:paraId="357962A6" w14:textId="77777777" w:rsidR="000D4CE0" w:rsidRPr="000D4CE0" w:rsidRDefault="000D4CE0" w:rsidP="00E20E52">
            <w:pPr>
              <w:pStyle w:val="TableText"/>
              <w:ind w:left="0" w:firstLine="0"/>
              <w:rPr>
                <w:rFonts w:asciiTheme="majorHAnsi" w:hAnsiTheme="majorHAnsi" w:cstheme="minorHAnsi"/>
                <w:szCs w:val="18"/>
              </w:rPr>
            </w:pPr>
            <w:r w:rsidRPr="000D4CE0">
              <w:rPr>
                <w:rFonts w:asciiTheme="majorHAnsi" w:hAnsiTheme="majorHAnsi" w:cstheme="minorHAnsi"/>
                <w:szCs w:val="18"/>
              </w:rPr>
              <w:t>Unknown</w:t>
            </w:r>
          </w:p>
        </w:tc>
        <w:tc>
          <w:tcPr>
            <w:tcW w:w="1020" w:type="dxa"/>
          </w:tcPr>
          <w:p w14:paraId="0CCA3B45"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Unknown</w:t>
            </w:r>
          </w:p>
        </w:tc>
        <w:tc>
          <w:tcPr>
            <w:tcW w:w="4368" w:type="dxa"/>
          </w:tcPr>
          <w:p w14:paraId="45508C0D" w14:textId="77777777" w:rsidR="000D4CE0" w:rsidRPr="000D4CE0" w:rsidRDefault="000D4CE0" w:rsidP="000D4CE0">
            <w:pPr>
              <w:pStyle w:val="TableText"/>
              <w:ind w:left="0" w:firstLine="0"/>
              <w:rPr>
                <w:rFonts w:asciiTheme="majorHAnsi" w:hAnsiTheme="majorHAnsi" w:cstheme="minorHAnsi"/>
                <w:szCs w:val="18"/>
              </w:rPr>
            </w:pPr>
            <w:r w:rsidRPr="000D4CE0">
              <w:rPr>
                <w:rFonts w:asciiTheme="majorHAnsi" w:hAnsiTheme="majorHAnsi" w:cstheme="minorHAnsi"/>
                <w:szCs w:val="18"/>
              </w:rPr>
              <w:t xml:space="preserve">The longevity, fecundity, and age of sexual maturity in females is presently unknown for this species. In addition, there is little information available from other species of </w:t>
            </w:r>
            <w:r w:rsidRPr="000D4CE0">
              <w:rPr>
                <w:rFonts w:asciiTheme="majorHAnsi" w:hAnsiTheme="majorHAnsi" w:cstheme="minorHAnsi"/>
                <w:i/>
                <w:iCs/>
                <w:szCs w:val="18"/>
              </w:rPr>
              <w:t>Euastacus</w:t>
            </w:r>
            <w:r w:rsidRPr="000D4CE0">
              <w:rPr>
                <w:rFonts w:asciiTheme="majorHAnsi" w:hAnsiTheme="majorHAnsi" w:cstheme="minorHAnsi"/>
                <w:szCs w:val="18"/>
              </w:rPr>
              <w:t xml:space="preserve">. </w:t>
            </w:r>
          </w:p>
        </w:tc>
      </w:tr>
      <w:tr w:rsidR="00E20E52" w:rsidRPr="000D4CE0" w14:paraId="45417CC7" w14:textId="77777777" w:rsidTr="00085D11">
        <w:trPr>
          <w:cantSplit/>
        </w:trPr>
        <w:tc>
          <w:tcPr>
            <w:tcW w:w="1408" w:type="dxa"/>
          </w:tcPr>
          <w:p w14:paraId="7764C500"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lastRenderedPageBreak/>
              <w:t>Extent of occurrence</w:t>
            </w:r>
          </w:p>
        </w:tc>
        <w:tc>
          <w:tcPr>
            <w:tcW w:w="1169" w:type="dxa"/>
          </w:tcPr>
          <w:p w14:paraId="6FE69565" w14:textId="41B73373" w:rsidR="000D4CE0" w:rsidRPr="000D4CE0" w:rsidRDefault="00C42D33" w:rsidP="000D4CE0">
            <w:pPr>
              <w:pStyle w:val="TableText"/>
              <w:ind w:left="0" w:hanging="16"/>
              <w:rPr>
                <w:rFonts w:asciiTheme="majorHAnsi" w:hAnsiTheme="majorHAnsi" w:cstheme="minorHAnsi"/>
                <w:szCs w:val="18"/>
              </w:rPr>
            </w:pPr>
            <w:r>
              <w:rPr>
                <w:rFonts w:asciiTheme="majorHAnsi" w:hAnsiTheme="majorHAnsi" w:cstheme="minorHAnsi"/>
                <w:szCs w:val="18"/>
              </w:rPr>
              <w:t>17</w:t>
            </w:r>
            <w:r w:rsidR="000D4CE0" w:rsidRPr="000D4CE0">
              <w:rPr>
                <w:rFonts w:asciiTheme="majorHAnsi" w:hAnsiTheme="majorHAnsi" w:cstheme="minorHAnsi"/>
                <w:szCs w:val="18"/>
              </w:rPr>
              <w:t>7km</w:t>
            </w:r>
            <w:r w:rsidR="000D4CE0" w:rsidRPr="000D4CE0">
              <w:rPr>
                <w:rFonts w:asciiTheme="majorHAnsi" w:hAnsiTheme="majorHAnsi" w:cstheme="minorHAnsi"/>
                <w:szCs w:val="18"/>
                <w:vertAlign w:val="superscript"/>
              </w:rPr>
              <w:t>2</w:t>
            </w:r>
          </w:p>
        </w:tc>
        <w:tc>
          <w:tcPr>
            <w:tcW w:w="1102" w:type="dxa"/>
          </w:tcPr>
          <w:p w14:paraId="7BFE4264" w14:textId="4FBB8938" w:rsidR="000D4CE0" w:rsidRPr="000D4CE0" w:rsidRDefault="00C42D33" w:rsidP="00E20E52">
            <w:pPr>
              <w:spacing w:before="60" w:after="60"/>
              <w:ind w:left="-290" w:firstLine="0"/>
              <w:jc w:val="center"/>
              <w:rPr>
                <w:rFonts w:asciiTheme="majorHAnsi" w:hAnsiTheme="majorHAnsi" w:cstheme="minorHAnsi"/>
                <w:sz w:val="18"/>
                <w:szCs w:val="18"/>
              </w:rPr>
            </w:pPr>
            <w:r>
              <w:rPr>
                <w:rFonts w:asciiTheme="majorHAnsi" w:hAnsiTheme="majorHAnsi" w:cstheme="minorHAnsi"/>
                <w:sz w:val="18"/>
                <w:szCs w:val="18"/>
              </w:rPr>
              <w:t>17</w:t>
            </w:r>
            <w:r w:rsidR="000D4CE0" w:rsidRPr="000D4CE0">
              <w:rPr>
                <w:rFonts w:asciiTheme="majorHAnsi" w:hAnsiTheme="majorHAnsi" w:cstheme="minorHAnsi"/>
                <w:sz w:val="18"/>
                <w:szCs w:val="18"/>
              </w:rPr>
              <w:t>7km</w:t>
            </w:r>
            <w:r w:rsidR="000D4CE0" w:rsidRPr="000D4CE0">
              <w:rPr>
                <w:rFonts w:asciiTheme="majorHAnsi" w:hAnsiTheme="majorHAnsi" w:cstheme="minorHAnsi"/>
                <w:sz w:val="18"/>
                <w:szCs w:val="18"/>
                <w:vertAlign w:val="superscript"/>
              </w:rPr>
              <w:t>2</w:t>
            </w:r>
          </w:p>
        </w:tc>
        <w:tc>
          <w:tcPr>
            <w:tcW w:w="1020" w:type="dxa"/>
          </w:tcPr>
          <w:p w14:paraId="6445FC86"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&lt;5000km</w:t>
            </w:r>
            <w:r w:rsidRPr="000D4CE0">
              <w:rPr>
                <w:rFonts w:asciiTheme="majorHAnsi" w:hAnsiTheme="majorHAnsi" w:cstheme="minorHAnsi"/>
                <w:szCs w:val="18"/>
                <w:vertAlign w:val="superscript"/>
              </w:rPr>
              <w:t>2</w:t>
            </w:r>
          </w:p>
        </w:tc>
        <w:tc>
          <w:tcPr>
            <w:tcW w:w="4368" w:type="dxa"/>
          </w:tcPr>
          <w:p w14:paraId="6BF586CE" w14:textId="3F048308" w:rsidR="000D4CE0" w:rsidRPr="000D4CE0" w:rsidRDefault="00E20E52" w:rsidP="000D4CE0">
            <w:pPr>
              <w:pStyle w:val="Default"/>
              <w:ind w:left="0" w:firstLine="0"/>
              <w:rPr>
                <w:rFonts w:asciiTheme="majorHAnsi" w:hAnsiTheme="majorHAnsi" w:cstheme="minorHAnsi"/>
                <w:sz w:val="18"/>
                <w:szCs w:val="18"/>
              </w:rPr>
            </w:pPr>
            <w:r w:rsidRPr="000D4CE0">
              <w:rPr>
                <w:rFonts w:asciiTheme="majorHAnsi" w:hAnsiTheme="majorHAnsi" w:cstheme="minorHAnsi"/>
                <w:color w:val="auto"/>
                <w:sz w:val="18"/>
                <w:szCs w:val="18"/>
              </w:rPr>
              <w:t>Minimum</w:t>
            </w:r>
            <w:r w:rsidR="000D4CE0" w:rsidRPr="000D4CE0">
              <w:rPr>
                <w:rFonts w:asciiTheme="majorHAnsi" w:hAnsiTheme="majorHAnsi" w:cstheme="minorHAnsi"/>
                <w:color w:val="auto"/>
                <w:sz w:val="18"/>
                <w:szCs w:val="18"/>
              </w:rPr>
              <w:t xml:space="preserve"> value (which is estimate used in the assessment) is based on published, and/or known survey and collection records (McCormack 2012; Hammer and Beitzel 2019; ACT Government 2021; Austin et al. 2022) assigned to</w:t>
            </w:r>
            <w:r w:rsidR="000D4CE0" w:rsidRPr="00CA3380">
              <w:rPr>
                <w:rFonts w:asciiTheme="majorHAnsi" w:hAnsiTheme="majorHAnsi" w:cstheme="minorHAnsi"/>
                <w:color w:val="auto"/>
                <w:sz w:val="18"/>
                <w:szCs w:val="18"/>
              </w:rPr>
              <w:t xml:space="preserve"> </w:t>
            </w:r>
            <w:r w:rsidR="00CA3380" w:rsidRPr="00CA3380">
              <w:rPr>
                <w:rFonts w:asciiTheme="majorHAnsi" w:hAnsiTheme="majorHAnsi" w:cstheme="minorHAnsi"/>
                <w:color w:val="auto"/>
                <w:sz w:val="18"/>
                <w:szCs w:val="18"/>
              </w:rPr>
              <w:t>Murunung Naruwi</w:t>
            </w:r>
            <w:r w:rsidR="000D4CE0" w:rsidRPr="00CA3380">
              <w:rPr>
                <w:rFonts w:asciiTheme="majorHAnsi" w:hAnsiTheme="majorHAnsi" w:cstheme="minorHAnsi"/>
                <w:color w:val="auto"/>
                <w:sz w:val="18"/>
                <w:szCs w:val="18"/>
              </w:rPr>
              <w:t xml:space="preserve"> </w:t>
            </w:r>
            <w:r w:rsidR="000D4CE0" w:rsidRPr="000D4CE0">
              <w:rPr>
                <w:rFonts w:asciiTheme="majorHAnsi" w:hAnsiTheme="majorHAnsi" w:cstheme="minorHAnsi"/>
                <w:color w:val="auto"/>
                <w:sz w:val="18"/>
                <w:szCs w:val="18"/>
              </w:rPr>
              <w:t xml:space="preserve">through the genetic analyses of Austin et al. (2022). Calculated using </w:t>
            </w:r>
            <w:proofErr w:type="spellStart"/>
            <w:r w:rsidR="000D4CE0" w:rsidRPr="000D4CE0">
              <w:rPr>
                <w:rFonts w:asciiTheme="majorHAnsi" w:hAnsiTheme="majorHAnsi" w:cstheme="minorHAnsi"/>
                <w:color w:val="auto"/>
                <w:sz w:val="18"/>
                <w:szCs w:val="18"/>
              </w:rPr>
              <w:t>GeoCAT</w:t>
            </w:r>
            <w:proofErr w:type="spellEnd"/>
            <w:r w:rsidR="000D4CE0" w:rsidRPr="000D4CE0">
              <w:rPr>
                <w:rFonts w:asciiTheme="majorHAnsi" w:hAnsiTheme="majorHAnsi" w:cstheme="minorHAnsi"/>
                <w:color w:val="auto"/>
                <w:sz w:val="18"/>
                <w:szCs w:val="18"/>
              </w:rPr>
              <w:t xml:space="preserve"> (Bachman et al. 2011). Maximum EOO value is unknown due to limited sampling beyond the ACT border. Some individuals may occur in nearby areas of NSW, but given the known occupied areas, the availability of suitable habitat and the known nearby areas occupied by other </w:t>
            </w:r>
            <w:r w:rsidR="000D4CE0" w:rsidRPr="000D4CE0">
              <w:rPr>
                <w:rFonts w:asciiTheme="majorHAnsi" w:hAnsiTheme="majorHAnsi" w:cstheme="minorHAnsi"/>
                <w:i/>
                <w:iCs/>
                <w:color w:val="auto"/>
                <w:sz w:val="18"/>
                <w:szCs w:val="18"/>
              </w:rPr>
              <w:t>Euastacus</w:t>
            </w:r>
            <w:r w:rsidR="000D4CE0" w:rsidRPr="000D4CE0">
              <w:rPr>
                <w:rFonts w:asciiTheme="majorHAnsi" w:hAnsiTheme="majorHAnsi" w:cstheme="minorHAnsi"/>
                <w:color w:val="auto"/>
                <w:sz w:val="18"/>
                <w:szCs w:val="18"/>
              </w:rPr>
              <w:t>, it is extremely unlikely to exceed 5000 km</w:t>
            </w:r>
            <w:r w:rsidR="000D4CE0" w:rsidRPr="000D4CE0">
              <w:rPr>
                <w:rFonts w:asciiTheme="majorHAnsi" w:hAnsiTheme="majorHAnsi" w:cstheme="minorHAnsi"/>
                <w:color w:val="auto"/>
                <w:sz w:val="18"/>
                <w:szCs w:val="18"/>
                <w:vertAlign w:val="superscript"/>
              </w:rPr>
              <w:t>2</w:t>
            </w:r>
            <w:r w:rsidR="000D4CE0" w:rsidRPr="000D4CE0">
              <w:rPr>
                <w:rFonts w:asciiTheme="majorHAnsi" w:hAnsiTheme="majorHAnsi" w:cstheme="minorHAnsi"/>
                <w:color w:val="auto"/>
                <w:sz w:val="18"/>
                <w:szCs w:val="18"/>
              </w:rPr>
              <w:t>.</w:t>
            </w:r>
          </w:p>
        </w:tc>
      </w:tr>
      <w:tr w:rsidR="00E20E52" w:rsidRPr="000D4CE0" w14:paraId="091F4AF1" w14:textId="77777777" w:rsidTr="00085D11">
        <w:trPr>
          <w:cantSplit/>
        </w:trPr>
        <w:tc>
          <w:tcPr>
            <w:tcW w:w="1408" w:type="dxa"/>
          </w:tcPr>
          <w:p w14:paraId="7C5CC684"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Trend</w:t>
            </w:r>
          </w:p>
        </w:tc>
        <w:tc>
          <w:tcPr>
            <w:tcW w:w="3291" w:type="dxa"/>
            <w:gridSpan w:val="3"/>
          </w:tcPr>
          <w:p w14:paraId="0E38A932"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Contracting</w:t>
            </w:r>
          </w:p>
        </w:tc>
        <w:tc>
          <w:tcPr>
            <w:tcW w:w="4368" w:type="dxa"/>
          </w:tcPr>
          <w:p w14:paraId="2EBFA4BA" w14:textId="77777777" w:rsidR="000D4CE0" w:rsidRPr="000D4CE0" w:rsidRDefault="000D4CE0" w:rsidP="000D4CE0">
            <w:pPr>
              <w:pStyle w:val="TableText"/>
              <w:ind w:left="0" w:firstLine="0"/>
              <w:rPr>
                <w:rFonts w:asciiTheme="majorHAnsi" w:hAnsiTheme="majorHAnsi" w:cstheme="minorHAnsi"/>
                <w:szCs w:val="18"/>
              </w:rPr>
            </w:pPr>
            <w:r w:rsidRPr="000D4CE0">
              <w:rPr>
                <w:rFonts w:asciiTheme="majorHAnsi" w:hAnsiTheme="majorHAnsi" w:cstheme="minorHAnsi"/>
                <w:szCs w:val="18"/>
              </w:rPr>
              <w:t>No long-term population data available, but given widespread threats from climate change, drought, and two severe wildfires since 2000, the range is assumed to be contracting.</w:t>
            </w:r>
          </w:p>
        </w:tc>
      </w:tr>
      <w:tr w:rsidR="00E20E52" w:rsidRPr="000D4CE0" w14:paraId="04A72268" w14:textId="77777777" w:rsidTr="00085D11">
        <w:trPr>
          <w:cantSplit/>
        </w:trPr>
        <w:tc>
          <w:tcPr>
            <w:tcW w:w="1408" w:type="dxa"/>
          </w:tcPr>
          <w:p w14:paraId="108AAB16"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Area of Occupancy</w:t>
            </w:r>
          </w:p>
        </w:tc>
        <w:tc>
          <w:tcPr>
            <w:tcW w:w="1169" w:type="dxa"/>
          </w:tcPr>
          <w:p w14:paraId="32D232ED" w14:textId="7F490A37" w:rsidR="000D4CE0" w:rsidRPr="000D4CE0" w:rsidRDefault="00C42D33" w:rsidP="000D4CE0">
            <w:pPr>
              <w:pStyle w:val="TableText"/>
              <w:ind w:left="0" w:hanging="16"/>
              <w:rPr>
                <w:rFonts w:asciiTheme="majorHAnsi" w:hAnsiTheme="majorHAnsi" w:cstheme="minorHAnsi"/>
                <w:szCs w:val="18"/>
              </w:rPr>
            </w:pPr>
            <w:r>
              <w:rPr>
                <w:rFonts w:asciiTheme="majorHAnsi" w:hAnsiTheme="majorHAnsi" w:cstheme="minorHAnsi"/>
                <w:szCs w:val="18"/>
              </w:rPr>
              <w:t>48</w:t>
            </w:r>
            <w:r w:rsidR="000D4CE0" w:rsidRPr="000D4CE0">
              <w:rPr>
                <w:rFonts w:asciiTheme="majorHAnsi" w:hAnsiTheme="majorHAnsi" w:cstheme="minorHAnsi"/>
                <w:szCs w:val="18"/>
              </w:rPr>
              <w:t>km</w:t>
            </w:r>
            <w:r w:rsidR="000D4CE0" w:rsidRPr="000D4CE0">
              <w:rPr>
                <w:rFonts w:asciiTheme="majorHAnsi" w:hAnsiTheme="majorHAnsi" w:cstheme="minorHAnsi"/>
                <w:szCs w:val="18"/>
                <w:vertAlign w:val="superscript"/>
              </w:rPr>
              <w:t>2</w:t>
            </w:r>
          </w:p>
        </w:tc>
        <w:tc>
          <w:tcPr>
            <w:tcW w:w="1102" w:type="dxa"/>
          </w:tcPr>
          <w:p w14:paraId="44F86FF6" w14:textId="23CBD3EB" w:rsidR="000D4CE0" w:rsidRPr="000D4CE0" w:rsidRDefault="00C42D33" w:rsidP="00E20E52">
            <w:pPr>
              <w:pStyle w:val="TableText"/>
              <w:ind w:left="-7" w:firstLine="7"/>
              <w:rPr>
                <w:rFonts w:asciiTheme="majorHAnsi" w:hAnsiTheme="majorHAnsi" w:cstheme="minorHAnsi"/>
                <w:szCs w:val="18"/>
              </w:rPr>
            </w:pPr>
            <w:r>
              <w:rPr>
                <w:rFonts w:asciiTheme="majorHAnsi" w:hAnsiTheme="majorHAnsi" w:cstheme="minorHAnsi"/>
                <w:szCs w:val="18"/>
              </w:rPr>
              <w:t>48</w:t>
            </w:r>
            <w:r w:rsidR="000D4CE0" w:rsidRPr="000D4CE0">
              <w:rPr>
                <w:rFonts w:asciiTheme="majorHAnsi" w:hAnsiTheme="majorHAnsi" w:cstheme="minorHAnsi"/>
                <w:szCs w:val="18"/>
              </w:rPr>
              <w:t>km</w:t>
            </w:r>
            <w:r w:rsidR="000D4CE0" w:rsidRPr="000D4CE0">
              <w:rPr>
                <w:rFonts w:asciiTheme="majorHAnsi" w:hAnsiTheme="majorHAnsi" w:cstheme="minorHAnsi"/>
                <w:szCs w:val="18"/>
                <w:vertAlign w:val="superscript"/>
              </w:rPr>
              <w:t>2</w:t>
            </w:r>
          </w:p>
        </w:tc>
        <w:tc>
          <w:tcPr>
            <w:tcW w:w="1020" w:type="dxa"/>
          </w:tcPr>
          <w:p w14:paraId="09EBFD3F"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&lt;500km</w:t>
            </w:r>
            <w:r w:rsidRPr="000D4CE0">
              <w:rPr>
                <w:rFonts w:asciiTheme="majorHAnsi" w:hAnsiTheme="majorHAnsi" w:cstheme="minorHAnsi"/>
                <w:szCs w:val="18"/>
                <w:vertAlign w:val="superscript"/>
              </w:rPr>
              <w:t>2</w:t>
            </w:r>
          </w:p>
        </w:tc>
        <w:tc>
          <w:tcPr>
            <w:tcW w:w="4368" w:type="dxa"/>
          </w:tcPr>
          <w:p w14:paraId="3D5F1B4D" w14:textId="1175E640" w:rsidR="000D4CE0" w:rsidRPr="000D4CE0" w:rsidRDefault="000D4CE0" w:rsidP="000D4CE0">
            <w:pPr>
              <w:pStyle w:val="TableText"/>
              <w:ind w:left="0" w:firstLine="0"/>
              <w:rPr>
                <w:rFonts w:asciiTheme="majorHAnsi" w:hAnsiTheme="majorHAnsi" w:cstheme="minorHAnsi"/>
                <w:szCs w:val="18"/>
              </w:rPr>
            </w:pPr>
            <w:r w:rsidRPr="000D4CE0">
              <w:rPr>
                <w:rFonts w:asciiTheme="majorHAnsi" w:hAnsiTheme="majorHAnsi" w:cstheme="minorHAnsi"/>
                <w:szCs w:val="18"/>
              </w:rPr>
              <w:t>Based on published, and/or known survey and collection records (McCormack 2012; Hammer and Beitzel 2019; ACT Government 2021; Austin et al. 2022) assigned to</w:t>
            </w:r>
            <w:r w:rsidRPr="000D4CE0">
              <w:rPr>
                <w:rFonts w:asciiTheme="majorHAnsi" w:hAnsiTheme="majorHAnsi" w:cstheme="minorHAnsi"/>
                <w:i/>
                <w:iCs/>
                <w:szCs w:val="18"/>
              </w:rPr>
              <w:t xml:space="preserve"> </w:t>
            </w:r>
            <w:r w:rsidR="00CA3380" w:rsidRPr="00CA3380">
              <w:rPr>
                <w:rFonts w:asciiTheme="majorHAnsi" w:hAnsiTheme="majorHAnsi" w:cstheme="minorHAnsi"/>
                <w:szCs w:val="18"/>
              </w:rPr>
              <w:t>Murunung Naruwi</w:t>
            </w:r>
            <w:r w:rsidRPr="00CA3380">
              <w:rPr>
                <w:rFonts w:asciiTheme="majorHAnsi" w:hAnsiTheme="majorHAnsi" w:cstheme="minorHAnsi"/>
                <w:szCs w:val="18"/>
              </w:rPr>
              <w:t xml:space="preserve"> </w:t>
            </w:r>
            <w:r w:rsidRPr="000D4CE0">
              <w:rPr>
                <w:rFonts w:asciiTheme="majorHAnsi" w:hAnsiTheme="majorHAnsi" w:cstheme="minorHAnsi"/>
                <w:szCs w:val="18"/>
              </w:rPr>
              <w:t xml:space="preserve">through the genetic analyses of Austin et al. (2022). Calculated using </w:t>
            </w:r>
            <w:proofErr w:type="spellStart"/>
            <w:r w:rsidRPr="000D4CE0">
              <w:rPr>
                <w:rFonts w:asciiTheme="majorHAnsi" w:hAnsiTheme="majorHAnsi" w:cstheme="minorHAnsi"/>
                <w:szCs w:val="18"/>
              </w:rPr>
              <w:t>GeoCAT</w:t>
            </w:r>
            <w:proofErr w:type="spellEnd"/>
            <w:r w:rsidRPr="000D4CE0">
              <w:rPr>
                <w:rFonts w:asciiTheme="majorHAnsi" w:hAnsiTheme="majorHAnsi" w:cstheme="minorHAnsi"/>
                <w:szCs w:val="18"/>
              </w:rPr>
              <w:t xml:space="preserve"> (Bachman et al. 2011). Maximum AOO value is unknown due to limited sampling beyond the ACT border. Some individuals may occur in nearby areas of NSW, but given the known occupied areas, the availability of suitable habitat and the known nearby areas occupied by other </w:t>
            </w:r>
            <w:r w:rsidRPr="000D4CE0">
              <w:rPr>
                <w:rFonts w:asciiTheme="majorHAnsi" w:hAnsiTheme="majorHAnsi" w:cstheme="minorHAnsi"/>
                <w:i/>
                <w:iCs/>
                <w:szCs w:val="18"/>
              </w:rPr>
              <w:t>Euastacus</w:t>
            </w:r>
            <w:r w:rsidRPr="000D4CE0">
              <w:rPr>
                <w:rFonts w:asciiTheme="majorHAnsi" w:hAnsiTheme="majorHAnsi" w:cstheme="minorHAnsi"/>
                <w:szCs w:val="18"/>
              </w:rPr>
              <w:t>, it is extremely unlikely to exceed 500 km</w:t>
            </w:r>
            <w:r w:rsidRPr="000D4CE0">
              <w:rPr>
                <w:rFonts w:asciiTheme="majorHAnsi" w:hAnsiTheme="majorHAnsi" w:cstheme="minorHAnsi"/>
                <w:szCs w:val="18"/>
                <w:vertAlign w:val="superscript"/>
              </w:rPr>
              <w:t>2</w:t>
            </w:r>
            <w:r w:rsidRPr="000D4CE0">
              <w:rPr>
                <w:rFonts w:asciiTheme="majorHAnsi" w:hAnsiTheme="majorHAnsi" w:cstheme="minorHAnsi"/>
                <w:szCs w:val="18"/>
              </w:rPr>
              <w:t>.</w:t>
            </w:r>
          </w:p>
        </w:tc>
      </w:tr>
      <w:tr w:rsidR="000D4CE0" w:rsidRPr="000D4CE0" w14:paraId="10926C22" w14:textId="77777777" w:rsidTr="00085D11">
        <w:trPr>
          <w:cantSplit/>
        </w:trPr>
        <w:tc>
          <w:tcPr>
            <w:tcW w:w="9067" w:type="dxa"/>
            <w:gridSpan w:val="5"/>
          </w:tcPr>
          <w:p w14:paraId="1ADFA38F" w14:textId="77777777" w:rsidR="000D4CE0" w:rsidRPr="000D4CE0" w:rsidRDefault="000D4CE0" w:rsidP="001058DD">
            <w:pPr>
              <w:pStyle w:val="TableHeading0"/>
              <w:keepNext w:val="0"/>
              <w:ind w:left="0" w:firstLine="0"/>
              <w:rPr>
                <w:rStyle w:val="Strong"/>
                <w:rFonts w:asciiTheme="majorHAnsi" w:hAnsiTheme="majorHAnsi" w:cstheme="minorHAnsi"/>
                <w:w w:val="90"/>
                <w:szCs w:val="18"/>
              </w:rPr>
            </w:pPr>
            <w:r w:rsidRPr="000D4CE0">
              <w:rPr>
                <w:rStyle w:val="Strong"/>
                <w:rFonts w:asciiTheme="majorHAnsi" w:hAnsiTheme="majorHAnsi" w:cstheme="minorHAnsi"/>
                <w:w w:val="90"/>
                <w:szCs w:val="18"/>
              </w:rPr>
              <w:t>AOO is a standardised spatial measure of the risk of extinction, that represents the area of suitable habitat known, inferred or projected to be currently occupied by the taxon. It is estimated using a 2 x 2 km grid to enable comparison with the criteria thresholds.</w:t>
            </w:r>
            <w:r w:rsidRPr="000D4CE0">
              <w:rPr>
                <w:rFonts w:asciiTheme="majorHAnsi" w:hAnsiTheme="majorHAnsi" w:cstheme="minorHAnsi"/>
                <w:szCs w:val="18"/>
              </w:rPr>
              <w:t xml:space="preserve"> </w:t>
            </w:r>
            <w:r w:rsidRPr="000D4CE0">
              <w:rPr>
                <w:rStyle w:val="Strong"/>
                <w:rFonts w:asciiTheme="majorHAnsi" w:hAnsiTheme="majorHAnsi" w:cstheme="minorHAnsi"/>
                <w:w w:val="90"/>
                <w:szCs w:val="18"/>
              </w:rPr>
              <w:t xml:space="preserve">The resolution (grid size) that maximizes the correlation between AOO and extinction risk is determined more by the spatial scale of threats than by the spatial scale at which AOO is estimated or shape of the taxon's distribution. It is not a fine-scale estimate of the actual area occupied. In some cases, AOO is the smallest area essential at any stage to the survival of existing populations of a </w:t>
            </w:r>
            <w:proofErr w:type="spellStart"/>
            <w:r w:rsidRPr="000D4CE0">
              <w:rPr>
                <w:rStyle w:val="Strong"/>
                <w:rFonts w:asciiTheme="majorHAnsi" w:hAnsiTheme="majorHAnsi" w:cstheme="minorHAnsi"/>
                <w:w w:val="90"/>
                <w:szCs w:val="18"/>
              </w:rPr>
              <w:t>taxon</w:t>
            </w:r>
            <w:proofErr w:type="spellEnd"/>
            <w:r w:rsidRPr="000D4CE0">
              <w:rPr>
                <w:rStyle w:val="Strong"/>
                <w:rFonts w:asciiTheme="majorHAnsi" w:hAnsiTheme="majorHAnsi" w:cstheme="minorHAnsi"/>
                <w:w w:val="90"/>
                <w:szCs w:val="18"/>
              </w:rPr>
              <w:t xml:space="preserve"> (e.g. breeding sites for migratory species).</w:t>
            </w:r>
          </w:p>
        </w:tc>
      </w:tr>
      <w:tr w:rsidR="00E20E52" w:rsidRPr="000D4CE0" w14:paraId="54BF9CBB" w14:textId="77777777" w:rsidTr="00085D11">
        <w:trPr>
          <w:cantSplit/>
        </w:trPr>
        <w:tc>
          <w:tcPr>
            <w:tcW w:w="1408" w:type="dxa"/>
          </w:tcPr>
          <w:p w14:paraId="5C4B1D41"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Trend</w:t>
            </w:r>
          </w:p>
        </w:tc>
        <w:tc>
          <w:tcPr>
            <w:tcW w:w="3291" w:type="dxa"/>
            <w:gridSpan w:val="3"/>
          </w:tcPr>
          <w:p w14:paraId="48AE3CB3"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Unknown</w:t>
            </w:r>
          </w:p>
        </w:tc>
        <w:tc>
          <w:tcPr>
            <w:tcW w:w="4368" w:type="dxa"/>
          </w:tcPr>
          <w:p w14:paraId="5F5B830E" w14:textId="77777777" w:rsidR="000D4CE0" w:rsidRPr="000D4CE0" w:rsidRDefault="000D4CE0" w:rsidP="000D4CE0">
            <w:pPr>
              <w:pStyle w:val="TableText"/>
              <w:ind w:left="0" w:firstLine="0"/>
              <w:rPr>
                <w:rFonts w:asciiTheme="majorHAnsi" w:hAnsiTheme="majorHAnsi" w:cstheme="minorHAnsi"/>
                <w:szCs w:val="18"/>
              </w:rPr>
            </w:pPr>
            <w:r w:rsidRPr="000D4CE0">
              <w:rPr>
                <w:rFonts w:asciiTheme="majorHAnsi" w:hAnsiTheme="majorHAnsi" w:cstheme="minorHAnsi"/>
                <w:szCs w:val="18"/>
              </w:rPr>
              <w:t>No long-term population data available.</w:t>
            </w:r>
          </w:p>
        </w:tc>
      </w:tr>
      <w:tr w:rsidR="00E20E52" w:rsidRPr="000D4CE0" w14:paraId="3257E10D" w14:textId="77777777" w:rsidTr="00085D11">
        <w:trPr>
          <w:cantSplit/>
        </w:trPr>
        <w:tc>
          <w:tcPr>
            <w:tcW w:w="1408" w:type="dxa"/>
          </w:tcPr>
          <w:p w14:paraId="55EC9A4F"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Number of subpopulations</w:t>
            </w:r>
          </w:p>
        </w:tc>
        <w:tc>
          <w:tcPr>
            <w:tcW w:w="1169" w:type="dxa"/>
          </w:tcPr>
          <w:p w14:paraId="70E8A382" w14:textId="77777777" w:rsidR="000D4CE0" w:rsidRPr="000D4CE0" w:rsidRDefault="000D4CE0" w:rsidP="000D4CE0">
            <w:pPr>
              <w:pStyle w:val="TableText"/>
              <w:ind w:left="0" w:hanging="16"/>
              <w:rPr>
                <w:rFonts w:asciiTheme="majorHAnsi" w:hAnsiTheme="majorHAnsi" w:cstheme="minorHAnsi"/>
                <w:szCs w:val="18"/>
              </w:rPr>
            </w:pPr>
            <w:r w:rsidRPr="000D4CE0">
              <w:rPr>
                <w:rFonts w:asciiTheme="majorHAnsi" w:hAnsiTheme="majorHAnsi" w:cstheme="minorHAnsi"/>
                <w:szCs w:val="18"/>
              </w:rPr>
              <w:t>&lt;10</w:t>
            </w:r>
          </w:p>
        </w:tc>
        <w:tc>
          <w:tcPr>
            <w:tcW w:w="1102" w:type="dxa"/>
          </w:tcPr>
          <w:p w14:paraId="27D5B820" w14:textId="77777777" w:rsidR="000D4CE0" w:rsidRPr="000D4CE0" w:rsidRDefault="000D4CE0" w:rsidP="00970AD4">
            <w:pPr>
              <w:pStyle w:val="TableText"/>
              <w:rPr>
                <w:rFonts w:asciiTheme="majorHAnsi" w:hAnsiTheme="majorHAnsi" w:cstheme="minorHAnsi"/>
                <w:szCs w:val="18"/>
              </w:rPr>
            </w:pPr>
          </w:p>
        </w:tc>
        <w:tc>
          <w:tcPr>
            <w:tcW w:w="1020" w:type="dxa"/>
          </w:tcPr>
          <w:p w14:paraId="4D056DE1" w14:textId="77777777" w:rsidR="000D4CE0" w:rsidRPr="000D4CE0" w:rsidRDefault="000D4CE0" w:rsidP="00E20E52">
            <w:pPr>
              <w:pStyle w:val="TableText"/>
              <w:ind w:left="-24" w:firstLine="0"/>
              <w:rPr>
                <w:rFonts w:asciiTheme="majorHAnsi" w:hAnsiTheme="majorHAnsi" w:cstheme="minorHAnsi"/>
                <w:szCs w:val="18"/>
              </w:rPr>
            </w:pPr>
          </w:p>
        </w:tc>
        <w:tc>
          <w:tcPr>
            <w:tcW w:w="4368" w:type="dxa"/>
          </w:tcPr>
          <w:p w14:paraId="64552ACD" w14:textId="77777777" w:rsidR="000D4CE0" w:rsidRPr="000D4CE0" w:rsidRDefault="000D4CE0" w:rsidP="000D4CE0">
            <w:pPr>
              <w:pStyle w:val="TableText"/>
              <w:ind w:left="0" w:firstLine="0"/>
              <w:rPr>
                <w:rFonts w:asciiTheme="majorHAnsi" w:hAnsiTheme="majorHAnsi" w:cstheme="minorHAnsi"/>
                <w:szCs w:val="18"/>
              </w:rPr>
            </w:pPr>
            <w:r w:rsidRPr="000D4CE0">
              <w:rPr>
                <w:rFonts w:asciiTheme="majorHAnsi" w:hAnsiTheme="majorHAnsi" w:cstheme="minorHAnsi"/>
                <w:szCs w:val="18"/>
              </w:rPr>
              <w:t xml:space="preserve">Species has a restricted range across the high country with subpopulations separated by lower altitude valleys and forests (from which the species is largely absent). Low vagility means that substantial areas of unsuitable habitat prevent inter-population dispersal. </w:t>
            </w:r>
          </w:p>
        </w:tc>
      </w:tr>
      <w:tr w:rsidR="00E20E52" w:rsidRPr="000D4CE0" w14:paraId="2946B89D" w14:textId="77777777" w:rsidTr="00085D11">
        <w:trPr>
          <w:cantSplit/>
        </w:trPr>
        <w:tc>
          <w:tcPr>
            <w:tcW w:w="1408" w:type="dxa"/>
          </w:tcPr>
          <w:p w14:paraId="70617CBF"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Trend</w:t>
            </w:r>
          </w:p>
        </w:tc>
        <w:tc>
          <w:tcPr>
            <w:tcW w:w="3291" w:type="dxa"/>
            <w:gridSpan w:val="3"/>
          </w:tcPr>
          <w:p w14:paraId="66FBA119"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Declining</w:t>
            </w:r>
          </w:p>
        </w:tc>
        <w:tc>
          <w:tcPr>
            <w:tcW w:w="4368" w:type="dxa"/>
          </w:tcPr>
          <w:p w14:paraId="5E6023B5" w14:textId="7DBA5257" w:rsidR="000D4CE0" w:rsidRPr="000D4CE0" w:rsidRDefault="000D4CE0" w:rsidP="000D4CE0">
            <w:pPr>
              <w:pStyle w:val="TableText"/>
              <w:ind w:left="0" w:firstLine="0"/>
              <w:rPr>
                <w:rFonts w:asciiTheme="majorHAnsi" w:hAnsiTheme="majorHAnsi" w:cstheme="minorHAnsi"/>
                <w:szCs w:val="18"/>
              </w:rPr>
            </w:pPr>
            <w:r w:rsidRPr="000D4CE0">
              <w:rPr>
                <w:rFonts w:asciiTheme="majorHAnsi" w:hAnsiTheme="majorHAnsi" w:cstheme="minorHAnsi"/>
                <w:szCs w:val="18"/>
              </w:rPr>
              <w:t xml:space="preserve">No long-term population data available, but given widespread threats from climate change, drought, and two severe wildfires since 2000, the subpopulations are </w:t>
            </w:r>
            <w:r w:rsidR="00085D11">
              <w:rPr>
                <w:rFonts w:asciiTheme="majorHAnsi" w:hAnsiTheme="majorHAnsi" w:cstheme="minorHAnsi"/>
                <w:szCs w:val="18"/>
              </w:rPr>
              <w:t>inferred</w:t>
            </w:r>
            <w:r w:rsidRPr="000D4CE0">
              <w:rPr>
                <w:rFonts w:asciiTheme="majorHAnsi" w:hAnsiTheme="majorHAnsi" w:cstheme="minorHAnsi"/>
                <w:szCs w:val="18"/>
              </w:rPr>
              <w:t xml:space="preserve"> to be contracting.</w:t>
            </w:r>
          </w:p>
        </w:tc>
      </w:tr>
      <w:tr w:rsidR="000D4CE0" w:rsidRPr="000D4CE0" w14:paraId="6CB2F443" w14:textId="77777777" w:rsidTr="00085D11">
        <w:trPr>
          <w:cantSplit/>
        </w:trPr>
        <w:tc>
          <w:tcPr>
            <w:tcW w:w="1408" w:type="dxa"/>
          </w:tcPr>
          <w:p w14:paraId="19251B0E"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Basis of assessment of subpopulation number</w:t>
            </w:r>
          </w:p>
        </w:tc>
        <w:tc>
          <w:tcPr>
            <w:tcW w:w="7659" w:type="dxa"/>
            <w:gridSpan w:val="4"/>
          </w:tcPr>
          <w:p w14:paraId="3F8BAE85"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 xml:space="preserve">Species is restricted to small isolated upland tributaries of the Cotter and Tidbinbilla valleys separated by a larger river ranges and forests (from which the species is largely absent). </w:t>
            </w:r>
          </w:p>
        </w:tc>
      </w:tr>
      <w:tr w:rsidR="00E20E52" w:rsidRPr="000D4CE0" w14:paraId="3927D473" w14:textId="77777777" w:rsidTr="00085D11">
        <w:trPr>
          <w:cantSplit/>
        </w:trPr>
        <w:tc>
          <w:tcPr>
            <w:tcW w:w="1408" w:type="dxa"/>
          </w:tcPr>
          <w:p w14:paraId="2851A747"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No. locations</w:t>
            </w:r>
          </w:p>
        </w:tc>
        <w:tc>
          <w:tcPr>
            <w:tcW w:w="1169" w:type="dxa"/>
          </w:tcPr>
          <w:p w14:paraId="5F8B08DC" w14:textId="77777777" w:rsidR="000D4CE0" w:rsidRPr="000D4CE0" w:rsidRDefault="000D4CE0" w:rsidP="000D4CE0">
            <w:pPr>
              <w:pStyle w:val="TableText"/>
              <w:ind w:left="0" w:hanging="16"/>
              <w:rPr>
                <w:rFonts w:asciiTheme="majorHAnsi" w:hAnsiTheme="majorHAnsi" w:cstheme="minorHAnsi"/>
                <w:szCs w:val="18"/>
              </w:rPr>
            </w:pPr>
            <w:r w:rsidRPr="000D4CE0">
              <w:rPr>
                <w:rFonts w:asciiTheme="majorHAnsi" w:hAnsiTheme="majorHAnsi" w:cstheme="minorHAnsi"/>
                <w:szCs w:val="18"/>
              </w:rPr>
              <w:t>1</w:t>
            </w:r>
          </w:p>
        </w:tc>
        <w:tc>
          <w:tcPr>
            <w:tcW w:w="1102" w:type="dxa"/>
          </w:tcPr>
          <w:p w14:paraId="73DFD75B" w14:textId="77777777" w:rsidR="000D4CE0" w:rsidRPr="000D4CE0" w:rsidRDefault="000D4CE0" w:rsidP="00E20E52">
            <w:pPr>
              <w:pStyle w:val="TableText"/>
              <w:ind w:left="0" w:hanging="7"/>
              <w:rPr>
                <w:rFonts w:asciiTheme="majorHAnsi" w:hAnsiTheme="majorHAnsi" w:cstheme="minorHAnsi"/>
                <w:szCs w:val="18"/>
              </w:rPr>
            </w:pPr>
            <w:r w:rsidRPr="000D4CE0">
              <w:rPr>
                <w:rFonts w:asciiTheme="majorHAnsi" w:hAnsiTheme="majorHAnsi" w:cstheme="minorHAnsi"/>
                <w:szCs w:val="18"/>
              </w:rPr>
              <w:t>1</w:t>
            </w:r>
          </w:p>
        </w:tc>
        <w:tc>
          <w:tcPr>
            <w:tcW w:w="1020" w:type="dxa"/>
          </w:tcPr>
          <w:p w14:paraId="6D55AC6D"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1</w:t>
            </w:r>
          </w:p>
        </w:tc>
        <w:tc>
          <w:tcPr>
            <w:tcW w:w="4368" w:type="dxa"/>
          </w:tcPr>
          <w:p w14:paraId="0AC4C0DF" w14:textId="77777777" w:rsidR="000D4CE0" w:rsidRPr="000D4CE0" w:rsidRDefault="000D4CE0" w:rsidP="000D4CE0">
            <w:pPr>
              <w:pStyle w:val="Default"/>
              <w:ind w:left="0" w:firstLine="0"/>
              <w:rPr>
                <w:rFonts w:asciiTheme="majorHAnsi" w:hAnsiTheme="majorHAnsi" w:cstheme="minorHAnsi"/>
                <w:sz w:val="18"/>
                <w:szCs w:val="18"/>
              </w:rPr>
            </w:pPr>
            <w:r w:rsidRPr="000D4CE0">
              <w:rPr>
                <w:rFonts w:asciiTheme="majorHAnsi" w:hAnsiTheme="majorHAnsi" w:cstheme="minorHAnsi"/>
                <w:sz w:val="18"/>
                <w:szCs w:val="18"/>
              </w:rPr>
              <w:t xml:space="preserve">Increased temperatures, increased frequency of drought and more frequent severe bushfires (coupled with subsequent predation by foxes) associated with climate change have the capacity to impact the entire range of the species simultaneously. Any of these events could result in a rapid reduction of the population. </w:t>
            </w:r>
          </w:p>
        </w:tc>
      </w:tr>
      <w:tr w:rsidR="00E20E52" w:rsidRPr="000D4CE0" w14:paraId="2254824E" w14:textId="77777777" w:rsidTr="00085D11">
        <w:trPr>
          <w:cantSplit/>
        </w:trPr>
        <w:tc>
          <w:tcPr>
            <w:tcW w:w="1408" w:type="dxa"/>
          </w:tcPr>
          <w:p w14:paraId="480E0469"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lastRenderedPageBreak/>
              <w:t>Trend</w:t>
            </w:r>
          </w:p>
        </w:tc>
        <w:tc>
          <w:tcPr>
            <w:tcW w:w="3291" w:type="dxa"/>
            <w:gridSpan w:val="3"/>
          </w:tcPr>
          <w:p w14:paraId="5CCC18AB" w14:textId="77777777" w:rsidR="000D4CE0" w:rsidRPr="000D4CE0" w:rsidRDefault="000D4CE0" w:rsidP="00E20E52">
            <w:pPr>
              <w:pStyle w:val="TableText"/>
              <w:ind w:left="-24" w:firstLine="0"/>
              <w:rPr>
                <w:rFonts w:asciiTheme="majorHAnsi" w:hAnsiTheme="majorHAnsi" w:cstheme="minorHAnsi"/>
                <w:szCs w:val="18"/>
              </w:rPr>
            </w:pPr>
            <w:r w:rsidRPr="000D4CE0">
              <w:rPr>
                <w:rFonts w:asciiTheme="majorHAnsi" w:hAnsiTheme="majorHAnsi" w:cstheme="minorHAnsi"/>
                <w:szCs w:val="18"/>
              </w:rPr>
              <w:t>Stable</w:t>
            </w:r>
          </w:p>
        </w:tc>
        <w:tc>
          <w:tcPr>
            <w:tcW w:w="4368" w:type="dxa"/>
          </w:tcPr>
          <w:p w14:paraId="1CDB40E0" w14:textId="77777777" w:rsidR="000D4CE0" w:rsidRPr="000D4CE0" w:rsidRDefault="000D4CE0" w:rsidP="000D4CE0">
            <w:pPr>
              <w:pStyle w:val="Default"/>
              <w:ind w:left="0" w:firstLine="0"/>
              <w:rPr>
                <w:rFonts w:asciiTheme="majorHAnsi" w:hAnsiTheme="majorHAnsi" w:cstheme="minorHAnsi"/>
                <w:sz w:val="18"/>
                <w:szCs w:val="18"/>
              </w:rPr>
            </w:pPr>
            <w:r w:rsidRPr="000D4CE0">
              <w:rPr>
                <w:rFonts w:asciiTheme="majorHAnsi" w:hAnsiTheme="majorHAnsi" w:cstheme="minorHAnsi"/>
                <w:sz w:val="18"/>
                <w:szCs w:val="18"/>
              </w:rPr>
              <w:t xml:space="preserve">Broad spatial range is thought to be contracting but number of locations is stable. </w:t>
            </w:r>
          </w:p>
        </w:tc>
      </w:tr>
      <w:tr w:rsidR="000D4CE0" w:rsidRPr="000D4CE0" w14:paraId="51297CF7" w14:textId="77777777" w:rsidTr="00085D11">
        <w:trPr>
          <w:cantSplit/>
        </w:trPr>
        <w:tc>
          <w:tcPr>
            <w:tcW w:w="1408" w:type="dxa"/>
          </w:tcPr>
          <w:p w14:paraId="1F17B544"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bookmarkStart w:id="5" w:name="_Hlk51878889"/>
            <w:r w:rsidRPr="000D4CE0">
              <w:rPr>
                <w:rStyle w:val="Strong"/>
                <w:rFonts w:asciiTheme="majorHAnsi" w:hAnsiTheme="majorHAnsi" w:cstheme="minorHAnsi"/>
                <w:szCs w:val="18"/>
              </w:rPr>
              <w:t>Basis of assessment of location number</w:t>
            </w:r>
            <w:bookmarkEnd w:id="5"/>
          </w:p>
        </w:tc>
        <w:tc>
          <w:tcPr>
            <w:tcW w:w="7659" w:type="dxa"/>
            <w:gridSpan w:val="4"/>
          </w:tcPr>
          <w:p w14:paraId="6B91BDC1" w14:textId="77777777" w:rsidR="000D4CE0" w:rsidRPr="000D4CE0" w:rsidRDefault="000D4CE0" w:rsidP="00E20E52">
            <w:pPr>
              <w:pStyle w:val="Default"/>
              <w:ind w:left="-24" w:firstLine="0"/>
              <w:rPr>
                <w:rFonts w:asciiTheme="majorHAnsi" w:hAnsiTheme="majorHAnsi" w:cstheme="minorHAnsi"/>
                <w:sz w:val="18"/>
                <w:szCs w:val="18"/>
              </w:rPr>
            </w:pPr>
            <w:r w:rsidRPr="000D4CE0">
              <w:rPr>
                <w:rFonts w:asciiTheme="majorHAnsi" w:hAnsiTheme="majorHAnsi" w:cstheme="minorHAnsi"/>
                <w:sz w:val="18"/>
                <w:szCs w:val="18"/>
              </w:rPr>
              <w:t>Increased temperatures, frequency of drought and more severe bushfires associated with climate change have the capacity to impact the entire range of the species simultaneously.</w:t>
            </w:r>
          </w:p>
        </w:tc>
      </w:tr>
      <w:tr w:rsidR="000D4CE0" w:rsidRPr="000D4CE0" w14:paraId="73127010" w14:textId="77777777" w:rsidTr="00085D11">
        <w:trPr>
          <w:cantSplit/>
        </w:trPr>
        <w:tc>
          <w:tcPr>
            <w:tcW w:w="1408" w:type="dxa"/>
          </w:tcPr>
          <w:p w14:paraId="3FABE047" w14:textId="77777777" w:rsidR="000D4CE0" w:rsidRPr="000D4CE0" w:rsidRDefault="000D4CE0" w:rsidP="001058DD">
            <w:pPr>
              <w:pStyle w:val="TableHeading0"/>
              <w:keepNext w:val="0"/>
              <w:ind w:left="0" w:hanging="29"/>
              <w:rPr>
                <w:rStyle w:val="Strong"/>
                <w:rFonts w:asciiTheme="majorHAnsi" w:hAnsiTheme="majorHAnsi" w:cstheme="minorHAnsi"/>
                <w:b/>
                <w:bCs w:val="0"/>
                <w:szCs w:val="18"/>
              </w:rPr>
            </w:pPr>
            <w:r w:rsidRPr="000D4CE0">
              <w:rPr>
                <w:rStyle w:val="Strong"/>
                <w:rFonts w:asciiTheme="majorHAnsi" w:hAnsiTheme="majorHAnsi" w:cstheme="minorHAnsi"/>
                <w:szCs w:val="18"/>
              </w:rPr>
              <w:t>Fragmentation</w:t>
            </w:r>
          </w:p>
        </w:tc>
        <w:tc>
          <w:tcPr>
            <w:tcW w:w="7659" w:type="dxa"/>
            <w:gridSpan w:val="4"/>
          </w:tcPr>
          <w:p w14:paraId="3FC7E7BF" w14:textId="77777777" w:rsidR="000D4CE0" w:rsidRPr="000D4CE0" w:rsidRDefault="000D4CE0" w:rsidP="00E20E52">
            <w:pPr>
              <w:pStyle w:val="Default"/>
              <w:ind w:left="-24" w:firstLine="0"/>
              <w:rPr>
                <w:rFonts w:asciiTheme="majorHAnsi" w:hAnsiTheme="majorHAnsi" w:cstheme="minorHAnsi"/>
                <w:sz w:val="18"/>
                <w:szCs w:val="18"/>
              </w:rPr>
            </w:pPr>
            <w:r w:rsidRPr="000D4CE0">
              <w:rPr>
                <w:rFonts w:asciiTheme="majorHAnsi" w:hAnsiTheme="majorHAnsi" w:cstheme="minorHAnsi"/>
                <w:sz w:val="18"/>
                <w:szCs w:val="18"/>
              </w:rPr>
              <w:t>It is not known if the subpopulations can be considered to be severely fragmented.</w:t>
            </w:r>
          </w:p>
        </w:tc>
      </w:tr>
      <w:tr w:rsidR="000D4CE0" w:rsidRPr="000D4CE0" w14:paraId="50BE00C5" w14:textId="77777777" w:rsidTr="00085D11">
        <w:trPr>
          <w:cantSplit/>
        </w:trPr>
        <w:tc>
          <w:tcPr>
            <w:tcW w:w="1408" w:type="dxa"/>
          </w:tcPr>
          <w:p w14:paraId="25620250" w14:textId="77777777" w:rsidR="000D4CE0" w:rsidRPr="000D4CE0" w:rsidRDefault="000D4CE0" w:rsidP="001058DD">
            <w:pPr>
              <w:pStyle w:val="TableHeading0"/>
              <w:keepNext w:val="0"/>
              <w:ind w:left="0" w:hanging="29"/>
              <w:rPr>
                <w:rStyle w:val="Strong"/>
                <w:rFonts w:asciiTheme="majorHAnsi" w:hAnsiTheme="majorHAnsi" w:cstheme="minorHAnsi"/>
                <w:b/>
                <w:szCs w:val="18"/>
              </w:rPr>
            </w:pPr>
            <w:r w:rsidRPr="000D4CE0">
              <w:rPr>
                <w:rStyle w:val="Strong"/>
                <w:rFonts w:asciiTheme="majorHAnsi" w:hAnsiTheme="majorHAnsi" w:cstheme="minorHAnsi"/>
                <w:szCs w:val="18"/>
              </w:rPr>
              <w:t>Fluctuations</w:t>
            </w:r>
          </w:p>
        </w:tc>
        <w:tc>
          <w:tcPr>
            <w:tcW w:w="7659" w:type="dxa"/>
            <w:gridSpan w:val="4"/>
          </w:tcPr>
          <w:p w14:paraId="3BFF6B23" w14:textId="77777777" w:rsidR="000D4CE0" w:rsidRPr="000D4CE0" w:rsidRDefault="000D4CE0" w:rsidP="00E20E52">
            <w:pPr>
              <w:pStyle w:val="Default"/>
              <w:ind w:left="-24" w:firstLine="0"/>
              <w:rPr>
                <w:rFonts w:asciiTheme="majorHAnsi" w:hAnsiTheme="majorHAnsi" w:cstheme="minorHAnsi"/>
                <w:sz w:val="18"/>
                <w:szCs w:val="18"/>
              </w:rPr>
            </w:pPr>
            <w:r w:rsidRPr="000D4CE0">
              <w:rPr>
                <w:rFonts w:asciiTheme="majorHAnsi" w:hAnsiTheme="majorHAnsi" w:cstheme="minorHAnsi"/>
                <w:sz w:val="18"/>
                <w:szCs w:val="18"/>
              </w:rPr>
              <w:t>Not subject to extreme fluctuations in EOO, AOO, number of subpopulations, locations or mature individuals.</w:t>
            </w:r>
          </w:p>
        </w:tc>
      </w:tr>
      <w:bookmarkEnd w:id="4"/>
    </w:tbl>
    <w:p w14:paraId="08C8BEAB" w14:textId="77777777" w:rsidR="003548C1" w:rsidRPr="003548C1" w:rsidRDefault="003548C1" w:rsidP="003548C1">
      <w:pPr>
        <w:keepNext/>
        <w:spacing w:after="120" w:line="240" w:lineRule="auto"/>
        <w:rPr>
          <w:rFonts w:ascii="Calibri" w:hAnsi="Calibri"/>
          <w:b/>
          <w:bCs/>
          <w:sz w:val="24"/>
          <w:szCs w:val="18"/>
          <w:lang w:eastAsia="ja-JP"/>
        </w:rPr>
      </w:pPr>
    </w:p>
    <w:p w14:paraId="18475507" w14:textId="77777777" w:rsidR="003548C1" w:rsidRPr="00A610A8" w:rsidRDefault="003548C1" w:rsidP="003548C1">
      <w:pPr>
        <w:keepNext/>
        <w:spacing w:after="120" w:line="240" w:lineRule="auto"/>
        <w:rPr>
          <w:rFonts w:ascii="Calibri" w:hAnsi="Calibri"/>
          <w:b/>
          <w:bCs/>
          <w:sz w:val="28"/>
          <w:szCs w:val="28"/>
          <w:lang w:eastAsia="ja-JP"/>
        </w:rPr>
      </w:pPr>
      <w:r w:rsidRPr="00A610A8">
        <w:rPr>
          <w:rFonts w:ascii="Calibri" w:hAnsi="Calibri"/>
          <w:b/>
          <w:bCs/>
          <w:sz w:val="28"/>
          <w:szCs w:val="28"/>
          <w:lang w:eastAsia="ja-JP"/>
        </w:rPr>
        <w:t>Criterion 1 Population size reduction</w:t>
      </w:r>
    </w:p>
    <w:tbl>
      <w:tblPr>
        <w:tblStyle w:val="TableGrid1"/>
        <w:tblW w:w="9975" w:type="dxa"/>
        <w:tblInd w:w="-86" w:type="dxa"/>
        <w:tblLook w:val="04A0" w:firstRow="1" w:lastRow="0" w:firstColumn="1" w:lastColumn="0" w:noHBand="0" w:noVBand="1"/>
      </w:tblPr>
      <w:tblGrid>
        <w:gridCol w:w="3565"/>
        <w:gridCol w:w="2099"/>
        <w:gridCol w:w="513"/>
        <w:gridCol w:w="1134"/>
        <w:gridCol w:w="333"/>
        <w:gridCol w:w="2331"/>
      </w:tblGrid>
      <w:tr w:rsidR="003548C1" w:rsidRPr="003548C1" w14:paraId="225F9FAD" w14:textId="77777777" w:rsidTr="007E5C85">
        <w:trPr>
          <w:cantSplit/>
          <w:trHeight w:val="606"/>
        </w:trPr>
        <w:tc>
          <w:tcPr>
            <w:tcW w:w="9975" w:type="dxa"/>
            <w:gridSpan w:val="6"/>
            <w:shd w:val="clear" w:color="auto" w:fill="595959" w:themeFill="text1" w:themeFillTint="A6"/>
            <w:vAlign w:val="center"/>
          </w:tcPr>
          <w:p w14:paraId="0395BC26" w14:textId="77777777" w:rsidR="003548C1" w:rsidRPr="003548C1" w:rsidRDefault="003548C1" w:rsidP="003548C1">
            <w:pPr>
              <w:keepNext/>
              <w:rPr>
                <w:bCs/>
                <w:color w:val="FFFFFF" w:themeColor="background1"/>
                <w:sz w:val="18"/>
                <w:szCs w:val="22"/>
              </w:rPr>
            </w:pPr>
            <w:r w:rsidRPr="003548C1">
              <w:rPr>
                <w:bCs/>
                <w:color w:val="FFFFFF" w:themeColor="background1"/>
                <w:sz w:val="18"/>
                <w:szCs w:val="22"/>
              </w:rPr>
              <w:t>Reduction in total numbers (measured over the longer of 10 years or 3 generations) based on any of A1 to A4</w:t>
            </w:r>
          </w:p>
        </w:tc>
      </w:tr>
      <w:tr w:rsidR="003548C1" w:rsidRPr="003548C1" w14:paraId="4D2FE796" w14:textId="77777777" w:rsidTr="007E5C85">
        <w:tblPrEx>
          <w:tblCellMar>
            <w:top w:w="57" w:type="dxa"/>
            <w:left w:w="57" w:type="dxa"/>
            <w:bottom w:w="57" w:type="dxa"/>
            <w:right w:w="85" w:type="dxa"/>
          </w:tblCellMar>
        </w:tblPrEx>
        <w:trPr>
          <w:cantSplit/>
        </w:trPr>
        <w:tc>
          <w:tcPr>
            <w:tcW w:w="3565" w:type="dxa"/>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497D6738" w14:textId="77777777" w:rsidR="003548C1" w:rsidRPr="003548C1" w:rsidRDefault="003548C1" w:rsidP="003548C1">
            <w:pPr>
              <w:keepNext/>
              <w:rPr>
                <w:rFonts w:ascii="Arial" w:hAnsi="Arial" w:cs="Arial"/>
                <w:sz w:val="18"/>
                <w:szCs w:val="18"/>
              </w:rPr>
            </w:pPr>
            <w:r w:rsidRPr="003548C1">
              <w:rPr>
                <w:rFonts w:ascii="Arial" w:hAnsi="Arial" w:cs="Arial"/>
                <w:color w:val="FFFFFF" w:themeColor="background1"/>
                <w:sz w:val="18"/>
                <w:szCs w:val="18"/>
              </w:rPr>
              <w:t>–</w:t>
            </w:r>
          </w:p>
        </w:tc>
        <w:tc>
          <w:tcPr>
            <w:tcW w:w="20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0000"/>
          </w:tcPr>
          <w:p w14:paraId="6AEDB219" w14:textId="77777777" w:rsidR="003548C1" w:rsidRPr="003548C1" w:rsidRDefault="003548C1" w:rsidP="003548C1">
            <w:pPr>
              <w:keepNext/>
              <w:rPr>
                <w:b/>
                <w:bCs/>
                <w:sz w:val="18"/>
                <w:szCs w:val="22"/>
              </w:rPr>
            </w:pPr>
            <w:r w:rsidRPr="003548C1">
              <w:rPr>
                <w:b/>
                <w:bCs/>
                <w:sz w:val="18"/>
                <w:szCs w:val="22"/>
              </w:rPr>
              <w:t>Critically Endangered</w:t>
            </w:r>
          </w:p>
          <w:p w14:paraId="3BD6525B" w14:textId="77777777" w:rsidR="003548C1" w:rsidRPr="003548C1" w:rsidRDefault="003548C1" w:rsidP="003548C1">
            <w:pPr>
              <w:keepNext/>
              <w:rPr>
                <w:b/>
                <w:bCs/>
                <w:sz w:val="18"/>
                <w:szCs w:val="22"/>
              </w:rPr>
            </w:pPr>
            <w:r w:rsidRPr="003548C1">
              <w:rPr>
                <w:b/>
                <w:bCs/>
                <w:sz w:val="18"/>
                <w:szCs w:val="22"/>
              </w:rPr>
              <w:t>Very severe reduction</w:t>
            </w:r>
          </w:p>
        </w:tc>
        <w:tc>
          <w:tcPr>
            <w:tcW w:w="198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6600"/>
          </w:tcPr>
          <w:p w14:paraId="28224ED7" w14:textId="77777777" w:rsidR="003548C1" w:rsidRPr="003548C1" w:rsidRDefault="003548C1" w:rsidP="003548C1">
            <w:pPr>
              <w:keepNext/>
              <w:rPr>
                <w:b/>
                <w:bCs/>
                <w:sz w:val="18"/>
                <w:szCs w:val="22"/>
              </w:rPr>
            </w:pPr>
            <w:r w:rsidRPr="003548C1">
              <w:rPr>
                <w:b/>
                <w:bCs/>
                <w:sz w:val="18"/>
                <w:szCs w:val="22"/>
              </w:rPr>
              <w:t>Endangered</w:t>
            </w:r>
          </w:p>
          <w:p w14:paraId="47376985" w14:textId="77777777" w:rsidR="003548C1" w:rsidRPr="003548C1" w:rsidRDefault="003548C1" w:rsidP="003548C1">
            <w:pPr>
              <w:keepNext/>
              <w:rPr>
                <w:b/>
                <w:bCs/>
                <w:sz w:val="18"/>
                <w:szCs w:val="22"/>
              </w:rPr>
            </w:pPr>
            <w:r w:rsidRPr="003548C1">
              <w:rPr>
                <w:b/>
                <w:bCs/>
                <w:sz w:val="18"/>
                <w:szCs w:val="22"/>
              </w:rPr>
              <w:t>Severe reduction</w:t>
            </w:r>
          </w:p>
        </w:tc>
        <w:tc>
          <w:tcPr>
            <w:tcW w:w="2331"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FFFF00"/>
          </w:tcPr>
          <w:p w14:paraId="33D7DDDF" w14:textId="77777777" w:rsidR="003548C1" w:rsidRPr="003548C1" w:rsidRDefault="003548C1" w:rsidP="003548C1">
            <w:pPr>
              <w:keepNext/>
              <w:rPr>
                <w:b/>
                <w:bCs/>
                <w:sz w:val="18"/>
                <w:szCs w:val="22"/>
              </w:rPr>
            </w:pPr>
            <w:r w:rsidRPr="003548C1">
              <w:rPr>
                <w:b/>
                <w:bCs/>
                <w:sz w:val="18"/>
                <w:szCs w:val="22"/>
              </w:rPr>
              <w:t>Vulnerable</w:t>
            </w:r>
          </w:p>
          <w:p w14:paraId="7B678395" w14:textId="77777777" w:rsidR="003548C1" w:rsidRPr="003548C1" w:rsidRDefault="003548C1" w:rsidP="003548C1">
            <w:pPr>
              <w:keepNext/>
              <w:rPr>
                <w:b/>
                <w:bCs/>
                <w:sz w:val="18"/>
                <w:szCs w:val="22"/>
              </w:rPr>
            </w:pPr>
            <w:r w:rsidRPr="003548C1">
              <w:rPr>
                <w:b/>
                <w:bCs/>
                <w:sz w:val="18"/>
                <w:szCs w:val="22"/>
              </w:rPr>
              <w:t>Substantial reduction</w:t>
            </w:r>
          </w:p>
        </w:tc>
      </w:tr>
      <w:tr w:rsidR="003548C1" w:rsidRPr="003548C1" w14:paraId="6EF904BE" w14:textId="77777777" w:rsidTr="007E5C85">
        <w:tblPrEx>
          <w:tblCellMar>
            <w:top w:w="57" w:type="dxa"/>
            <w:left w:w="57" w:type="dxa"/>
            <w:bottom w:w="57" w:type="dxa"/>
            <w:right w:w="85" w:type="dxa"/>
          </w:tblCellMar>
        </w:tblPrEx>
        <w:trPr>
          <w:cantSplit/>
        </w:trPr>
        <w:tc>
          <w:tcPr>
            <w:tcW w:w="3565" w:type="dxa"/>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BFBFBF" w:themeFill="background1" w:themeFillShade="BF"/>
          </w:tcPr>
          <w:p w14:paraId="41D43418" w14:textId="77777777" w:rsidR="003548C1" w:rsidRPr="003548C1" w:rsidRDefault="003548C1" w:rsidP="003548C1">
            <w:pPr>
              <w:keepNext/>
              <w:rPr>
                <w:b/>
                <w:bCs/>
                <w:sz w:val="18"/>
                <w:szCs w:val="22"/>
              </w:rPr>
            </w:pPr>
            <w:r w:rsidRPr="003548C1">
              <w:rPr>
                <w:b/>
                <w:bCs/>
                <w:sz w:val="18"/>
                <w:szCs w:val="22"/>
              </w:rPr>
              <w:t>A1</w:t>
            </w:r>
          </w:p>
        </w:tc>
        <w:tc>
          <w:tcPr>
            <w:tcW w:w="20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C80"/>
          </w:tcPr>
          <w:p w14:paraId="04DF44F4" w14:textId="77777777" w:rsidR="003548C1" w:rsidRPr="003548C1" w:rsidRDefault="003548C1" w:rsidP="003548C1">
            <w:pPr>
              <w:keepNext/>
              <w:rPr>
                <w:sz w:val="18"/>
                <w:szCs w:val="22"/>
              </w:rPr>
            </w:pPr>
            <w:r w:rsidRPr="003548C1">
              <w:rPr>
                <w:sz w:val="18"/>
                <w:szCs w:val="22"/>
              </w:rPr>
              <w:t>≥ 90%</w:t>
            </w:r>
          </w:p>
        </w:tc>
        <w:tc>
          <w:tcPr>
            <w:tcW w:w="198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933"/>
          </w:tcPr>
          <w:p w14:paraId="0464FC04" w14:textId="77777777" w:rsidR="003548C1" w:rsidRPr="003548C1" w:rsidRDefault="003548C1" w:rsidP="003548C1">
            <w:pPr>
              <w:keepNext/>
              <w:rPr>
                <w:sz w:val="18"/>
                <w:szCs w:val="22"/>
              </w:rPr>
            </w:pPr>
            <w:r w:rsidRPr="003548C1">
              <w:rPr>
                <w:sz w:val="18"/>
                <w:szCs w:val="22"/>
              </w:rPr>
              <w:t>≥ 70%</w:t>
            </w:r>
          </w:p>
        </w:tc>
        <w:tc>
          <w:tcPr>
            <w:tcW w:w="2331"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FFFF66"/>
          </w:tcPr>
          <w:p w14:paraId="3124E1D9" w14:textId="77777777" w:rsidR="003548C1" w:rsidRPr="003548C1" w:rsidRDefault="003548C1" w:rsidP="003548C1">
            <w:pPr>
              <w:keepNext/>
              <w:rPr>
                <w:sz w:val="18"/>
                <w:szCs w:val="22"/>
              </w:rPr>
            </w:pPr>
            <w:r w:rsidRPr="003548C1">
              <w:rPr>
                <w:sz w:val="18"/>
                <w:szCs w:val="22"/>
              </w:rPr>
              <w:t>≥ 50%</w:t>
            </w:r>
          </w:p>
        </w:tc>
      </w:tr>
      <w:tr w:rsidR="003548C1" w:rsidRPr="003548C1" w14:paraId="7AF8E9DD" w14:textId="77777777" w:rsidTr="007E5C85">
        <w:tblPrEx>
          <w:tblCellMar>
            <w:top w:w="57" w:type="dxa"/>
            <w:left w:w="57" w:type="dxa"/>
            <w:bottom w:w="57" w:type="dxa"/>
            <w:right w:w="85" w:type="dxa"/>
          </w:tblCellMar>
        </w:tblPrEx>
        <w:trPr>
          <w:cantSplit/>
        </w:trPr>
        <w:tc>
          <w:tcPr>
            <w:tcW w:w="3565" w:type="dxa"/>
            <w:tcBorders>
              <w:top w:val="single" w:sz="4" w:space="0" w:color="FFFFFF" w:themeColor="background1"/>
              <w:left w:val="single" w:sz="4" w:space="0" w:color="auto"/>
              <w:bottom w:val="nil"/>
              <w:right w:val="single" w:sz="4" w:space="0" w:color="FFFFFF" w:themeColor="background1"/>
            </w:tcBorders>
            <w:shd w:val="clear" w:color="auto" w:fill="BFBFBF" w:themeFill="background1" w:themeFillShade="BF"/>
          </w:tcPr>
          <w:p w14:paraId="6237CEBA" w14:textId="77777777" w:rsidR="003548C1" w:rsidRPr="003548C1" w:rsidRDefault="003548C1" w:rsidP="003548C1">
            <w:pPr>
              <w:keepNext/>
              <w:rPr>
                <w:b/>
                <w:bCs/>
                <w:sz w:val="18"/>
                <w:szCs w:val="22"/>
              </w:rPr>
            </w:pPr>
            <w:r w:rsidRPr="003548C1">
              <w:rPr>
                <w:b/>
                <w:bCs/>
                <w:sz w:val="18"/>
                <w:szCs w:val="22"/>
              </w:rPr>
              <w:t>A2, A3, A4</w:t>
            </w:r>
          </w:p>
        </w:tc>
        <w:tc>
          <w:tcPr>
            <w:tcW w:w="2099" w:type="dxa"/>
            <w:tcBorders>
              <w:top w:val="single" w:sz="4" w:space="0" w:color="FFFFFF" w:themeColor="background1"/>
              <w:left w:val="single" w:sz="4" w:space="0" w:color="FFFFFF" w:themeColor="background1"/>
              <w:bottom w:val="nil"/>
              <w:right w:val="single" w:sz="4" w:space="0" w:color="FFFFFF" w:themeColor="background1"/>
            </w:tcBorders>
            <w:shd w:val="clear" w:color="auto" w:fill="FF7C80"/>
          </w:tcPr>
          <w:p w14:paraId="1202B062" w14:textId="77777777" w:rsidR="003548C1" w:rsidRPr="003548C1" w:rsidRDefault="003548C1" w:rsidP="003548C1">
            <w:pPr>
              <w:keepNext/>
              <w:rPr>
                <w:sz w:val="18"/>
                <w:szCs w:val="22"/>
              </w:rPr>
            </w:pPr>
            <w:r w:rsidRPr="003548C1">
              <w:rPr>
                <w:sz w:val="18"/>
                <w:szCs w:val="22"/>
              </w:rPr>
              <w:t>≥ 80%</w:t>
            </w:r>
          </w:p>
        </w:tc>
        <w:tc>
          <w:tcPr>
            <w:tcW w:w="1980" w:type="dxa"/>
            <w:gridSpan w:val="3"/>
            <w:tcBorders>
              <w:top w:val="single" w:sz="4" w:space="0" w:color="FFFFFF" w:themeColor="background1"/>
              <w:left w:val="single" w:sz="4" w:space="0" w:color="FFFFFF" w:themeColor="background1"/>
              <w:bottom w:val="nil"/>
              <w:right w:val="single" w:sz="4" w:space="0" w:color="FFFFFF" w:themeColor="background1"/>
            </w:tcBorders>
            <w:shd w:val="clear" w:color="auto" w:fill="FF9933"/>
          </w:tcPr>
          <w:p w14:paraId="0C3547EB" w14:textId="77777777" w:rsidR="003548C1" w:rsidRPr="003548C1" w:rsidRDefault="003548C1" w:rsidP="003548C1">
            <w:pPr>
              <w:keepNext/>
              <w:rPr>
                <w:sz w:val="18"/>
                <w:szCs w:val="22"/>
              </w:rPr>
            </w:pPr>
            <w:r w:rsidRPr="003548C1">
              <w:rPr>
                <w:sz w:val="18"/>
                <w:szCs w:val="22"/>
              </w:rPr>
              <w:t>≥ 50%</w:t>
            </w:r>
          </w:p>
        </w:tc>
        <w:tc>
          <w:tcPr>
            <w:tcW w:w="2331" w:type="dxa"/>
            <w:tcBorders>
              <w:top w:val="single" w:sz="4" w:space="0" w:color="FFFFFF" w:themeColor="background1"/>
              <w:left w:val="single" w:sz="4" w:space="0" w:color="FFFFFF" w:themeColor="background1"/>
              <w:bottom w:val="nil"/>
              <w:right w:val="single" w:sz="4" w:space="0" w:color="auto"/>
            </w:tcBorders>
            <w:shd w:val="clear" w:color="auto" w:fill="FFFF66"/>
          </w:tcPr>
          <w:p w14:paraId="7314AB34" w14:textId="77777777" w:rsidR="003548C1" w:rsidRPr="003548C1" w:rsidRDefault="003548C1" w:rsidP="003548C1">
            <w:pPr>
              <w:keepNext/>
              <w:rPr>
                <w:sz w:val="18"/>
                <w:szCs w:val="22"/>
              </w:rPr>
            </w:pPr>
            <w:r w:rsidRPr="003548C1">
              <w:rPr>
                <w:sz w:val="18"/>
                <w:szCs w:val="22"/>
              </w:rPr>
              <w:t>≥ 30%</w:t>
            </w:r>
          </w:p>
        </w:tc>
      </w:tr>
      <w:tr w:rsidR="003548C1" w:rsidRPr="003548C1" w14:paraId="28456344" w14:textId="77777777" w:rsidTr="007E5C85">
        <w:tblPrEx>
          <w:tblCellMar>
            <w:top w:w="57" w:type="dxa"/>
            <w:left w:w="57" w:type="dxa"/>
            <w:bottom w:w="57" w:type="dxa"/>
            <w:right w:w="85" w:type="dxa"/>
          </w:tblCellMar>
        </w:tblPrEx>
        <w:trPr>
          <w:cantSplit/>
          <w:trHeight w:val="3706"/>
        </w:trPr>
        <w:tc>
          <w:tcPr>
            <w:tcW w:w="6177" w:type="dxa"/>
            <w:gridSpan w:val="3"/>
            <w:tcBorders>
              <w:top w:val="nil"/>
              <w:right w:val="nil"/>
            </w:tcBorders>
          </w:tcPr>
          <w:p w14:paraId="3A30CCC7" w14:textId="77777777" w:rsidR="003548C1" w:rsidRPr="003548C1" w:rsidRDefault="003548C1" w:rsidP="003548C1">
            <w:pPr>
              <w:keepNext/>
              <w:spacing w:after="200"/>
              <w:ind w:left="493" w:hanging="493"/>
              <w:rPr>
                <w:sz w:val="18"/>
                <w:szCs w:val="22"/>
              </w:rPr>
            </w:pPr>
            <w:r w:rsidRPr="003548C1">
              <w:rPr>
                <w:b/>
                <w:bCs/>
                <w:sz w:val="18"/>
                <w:szCs w:val="22"/>
              </w:rPr>
              <w:t>A1</w:t>
            </w:r>
            <w:r w:rsidRPr="003548C1">
              <w:rPr>
                <w:sz w:val="18"/>
                <w:szCs w:val="22"/>
              </w:rPr>
              <w:tab/>
              <w:t>Population reduction observed, estimated, inferred or suspected in the past and the causes of the reduction are clearly reversible AND understood AND ceased.</w:t>
            </w:r>
          </w:p>
          <w:p w14:paraId="7D2CD41E" w14:textId="77777777" w:rsidR="003548C1" w:rsidRPr="003548C1" w:rsidRDefault="003548C1" w:rsidP="003548C1">
            <w:pPr>
              <w:keepNext/>
              <w:spacing w:after="200"/>
              <w:ind w:left="493" w:hanging="493"/>
              <w:rPr>
                <w:sz w:val="18"/>
                <w:szCs w:val="22"/>
              </w:rPr>
            </w:pPr>
            <w:r w:rsidRPr="003548C1">
              <w:rPr>
                <w:b/>
                <w:bCs/>
                <w:sz w:val="18"/>
                <w:szCs w:val="22"/>
              </w:rPr>
              <w:t>A2</w:t>
            </w:r>
            <w:r w:rsidRPr="003548C1">
              <w:rPr>
                <w:sz w:val="18"/>
                <w:szCs w:val="22"/>
              </w:rPr>
              <w:tab/>
              <w:t>Population reduction observed, estimated, inferred or suspected in the past where the causes of the reduction may not have ceased OR may not be understood OR may not be reversible.</w:t>
            </w:r>
          </w:p>
          <w:p w14:paraId="3BD27D55" w14:textId="77777777" w:rsidR="003548C1" w:rsidRPr="003548C1" w:rsidRDefault="003548C1" w:rsidP="003548C1">
            <w:pPr>
              <w:keepNext/>
              <w:spacing w:after="200"/>
              <w:ind w:left="493" w:hanging="493"/>
              <w:rPr>
                <w:sz w:val="18"/>
                <w:szCs w:val="22"/>
              </w:rPr>
            </w:pPr>
            <w:r w:rsidRPr="003548C1">
              <w:rPr>
                <w:b/>
                <w:bCs/>
                <w:sz w:val="18"/>
                <w:szCs w:val="22"/>
              </w:rPr>
              <w:t>A3</w:t>
            </w:r>
            <w:r w:rsidRPr="003548C1">
              <w:rPr>
                <w:sz w:val="18"/>
                <w:szCs w:val="22"/>
              </w:rPr>
              <w:tab/>
              <w:t>Population reduction, projected or suspected to be met in the future (up to a maximum of 100 years) [(</w:t>
            </w:r>
            <w:r w:rsidRPr="003548C1">
              <w:rPr>
                <w:i/>
                <w:sz w:val="18"/>
                <w:szCs w:val="22"/>
              </w:rPr>
              <w:t>a) cannot be used for A3</w:t>
            </w:r>
            <w:r w:rsidRPr="003548C1">
              <w:rPr>
                <w:sz w:val="18"/>
                <w:szCs w:val="22"/>
              </w:rPr>
              <w:t>]</w:t>
            </w:r>
          </w:p>
          <w:p w14:paraId="151EF83A" w14:textId="77777777" w:rsidR="003548C1" w:rsidRPr="003548C1" w:rsidRDefault="003548C1" w:rsidP="003548C1">
            <w:pPr>
              <w:keepNext/>
              <w:spacing w:after="200"/>
              <w:ind w:left="493" w:hanging="493"/>
              <w:rPr>
                <w:sz w:val="18"/>
                <w:szCs w:val="22"/>
              </w:rPr>
            </w:pPr>
            <w:r w:rsidRPr="003548C1">
              <w:rPr>
                <w:b/>
                <w:bCs/>
                <w:sz w:val="18"/>
                <w:szCs w:val="22"/>
              </w:rPr>
              <w:t>A4</w:t>
            </w:r>
            <w:r w:rsidRPr="003548C1">
              <w:rPr>
                <w:sz w:val="18"/>
                <w:szCs w:val="22"/>
              </w:rPr>
              <w:tab/>
              <w:t>An observed, estimated, inferred, projected or suspected population reduction where the time period must include both the past and the future (up to a max. of 100 years in future), and where the causes of reduction may not have ceased OR may not be understood OR may not be reversible.</w:t>
            </w:r>
          </w:p>
        </w:tc>
        <w:tc>
          <w:tcPr>
            <w:tcW w:w="1134" w:type="dxa"/>
            <w:tcBorders>
              <w:top w:val="nil"/>
              <w:left w:val="nil"/>
              <w:right w:val="nil"/>
            </w:tcBorders>
            <w:vAlign w:val="center"/>
          </w:tcPr>
          <w:p w14:paraId="60259472" w14:textId="77777777" w:rsidR="003548C1" w:rsidRPr="003548C1" w:rsidRDefault="003548C1" w:rsidP="003548C1">
            <w:pPr>
              <w:spacing w:before="1800"/>
              <w:ind w:left="165"/>
              <w:rPr>
                <w:sz w:val="18"/>
                <w:szCs w:val="22"/>
              </w:rPr>
            </w:pPr>
            <w:r w:rsidRPr="003548C1">
              <w:rPr>
                <w:rFonts w:ascii="Arial" w:hAnsi="Arial" w:cs="Arial"/>
                <w:noProof/>
                <w:sz w:val="18"/>
                <w:szCs w:val="18"/>
              </w:rPr>
              <mc:AlternateContent>
                <mc:Choice Requires="wps">
                  <w:drawing>
                    <wp:anchor distT="0" distB="0" distL="114300" distR="114300" simplePos="0" relativeHeight="251662336" behindDoc="0" locked="0" layoutInCell="1" allowOverlap="1" wp14:anchorId="7E281B59" wp14:editId="63AE15CC">
                      <wp:simplePos x="0" y="0"/>
                      <wp:positionH relativeFrom="column">
                        <wp:posOffset>-207010</wp:posOffset>
                      </wp:positionH>
                      <wp:positionV relativeFrom="paragraph">
                        <wp:posOffset>19050</wp:posOffset>
                      </wp:positionV>
                      <wp:extent cx="295275" cy="2447925"/>
                      <wp:effectExtent l="0" t="0" r="28575"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275" cy="2447925"/>
                              </a:xfrm>
                              <a:prstGeom prst="righ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65F3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margin-left:-16.3pt;margin-top:1.5pt;width:23.25pt;height:19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iafFAIAACAEAAAOAAAAZHJzL2Uyb0RvYy54bWysU82OEzEMviPxDlHudNqhpXTU6Qp2WYS0&#10;/EgLD5AmmU4gEwcn7bQ8PU5mWgrcEDlEdux8tj/b65tjZ9lBYzDgaj6bTDnTToIyblfzL5/vn73k&#10;LEThlLDgdM1POvCbzdMn695XuoQWrNLICMSFqvc1b2P0VVEE2epOhAl47cjYAHYikoq7QqHoCb2z&#10;RTmdvih6QOURpA6BXu8GI99k/KbRMn5smqAjszWn3GK+Md/bdBebtah2KHxr5JiG+IcsOmEcBb1A&#10;3Yko2B7NX1CdkQgBmjiR0BXQNEbqXANVM5v+Uc1jK7zOtRA5wV9oCv8PVn44PPpPmFIP/gHkt0CM&#10;FL0P1cWSlEA+bNu/B0U9FPsIudhjg136SWWwY+b0dOFUHyOT9FiuFuVywZkkUzmfL1flIpFeiOr8&#10;22OIbzV0LAk1R7Nr42sUMlUuKnF4CDEzq5gTXQqvvs44azpLjToIy56nMzbyyqe89llM6YxxR0TK&#10;4Bw5wTu4N9bmcbCO9TWnvBc5gwDWqGRMbgF321uLjAJTqfmMsL+5IeydymCtFurNKEdh7CBTcOtG&#10;ohO3aV5DtQV1Ip4RhjGltSKhBfzBWU8jWvPwfS9Qc2bfOZqB1Ww+TzOdlfliWZKC15bttUU4SVA1&#10;j5wN4m0c9mDvM+W0vblcB6+ov42J50EYshqTpTHMzRtXJs35tZ69fi325icAAAD//wMAUEsDBBQA&#10;BgAIAAAAIQA7+rZY3gAAAAgBAAAPAAAAZHJzL2Rvd25yZXYueG1sTI/BTsMwEETvSPyDtUhcUOvQ&#10;NFUa4lQIBCcQou2hRyde4oh4HcVuG/6e7QmOoxm9mSk3k+vFCcfQeVJwP09AIDXedNQq2O9eZjmI&#10;EDUZ3XtCBT8YYFNdX5W6MP5Mn3jaxlYwhEKhFdgYh0LK0Fh0Osz9gMTelx+djizHVppRnxnuerlI&#10;kpV0uiNusHrAJ4vN9/boFASG2jo71B/Z8vD++rYbnu+WmVK3N9PjA4iIU/wLw2U+T4eKN9X+SCaI&#10;XsEsXaw4qiDlSxc/XYOoWeZ5BrIq5f8D1S8AAAD//wMAUEsBAi0AFAAGAAgAAAAhALaDOJL+AAAA&#10;4QEAABMAAAAAAAAAAAAAAAAAAAAAAFtDb250ZW50X1R5cGVzXS54bWxQSwECLQAUAAYACAAAACEA&#10;OP0h/9YAAACUAQAACwAAAAAAAAAAAAAAAAAvAQAAX3JlbHMvLnJlbHNQSwECLQAUAAYACAAAACEA&#10;xTImnxQCAAAgBAAADgAAAAAAAAAAAAAAAAAuAgAAZHJzL2Uyb0RvYy54bWxQSwECLQAUAAYACAAA&#10;ACEAO/q2WN4AAAAIAQAADwAAAAAAAAAAAAAAAABuBAAAZHJzL2Rvd25yZXYueG1sUEsFBgAAAAAE&#10;AAQA8wAAAHkFAAAAAA==&#10;" adj="868"/>
                  </w:pict>
                </mc:Fallback>
              </mc:AlternateContent>
            </w:r>
            <w:r w:rsidRPr="003548C1">
              <w:rPr>
                <w:sz w:val="18"/>
                <w:szCs w:val="22"/>
              </w:rPr>
              <w:t>Based on any of the following</w:t>
            </w:r>
          </w:p>
        </w:tc>
        <w:tc>
          <w:tcPr>
            <w:tcW w:w="2664" w:type="dxa"/>
            <w:gridSpan w:val="2"/>
            <w:tcBorders>
              <w:top w:val="nil"/>
              <w:left w:val="nil"/>
            </w:tcBorders>
          </w:tcPr>
          <w:p w14:paraId="1CBCCF47" w14:textId="77777777" w:rsidR="003548C1" w:rsidRPr="003548C1" w:rsidRDefault="003548C1" w:rsidP="003548C1">
            <w:pPr>
              <w:ind w:left="312" w:hanging="312"/>
              <w:rPr>
                <w:sz w:val="18"/>
                <w:szCs w:val="22"/>
              </w:rPr>
            </w:pPr>
            <w:r w:rsidRPr="003548C1">
              <w:rPr>
                <w:sz w:val="18"/>
                <w:szCs w:val="22"/>
              </w:rPr>
              <w:t>(a)</w:t>
            </w:r>
            <w:r w:rsidRPr="003548C1">
              <w:rPr>
                <w:sz w:val="18"/>
                <w:szCs w:val="22"/>
              </w:rPr>
              <w:tab/>
              <w:t>direct observation [except A3]</w:t>
            </w:r>
          </w:p>
          <w:p w14:paraId="1268A5EC" w14:textId="77777777" w:rsidR="003548C1" w:rsidRPr="003548C1" w:rsidRDefault="003548C1" w:rsidP="003548C1">
            <w:pPr>
              <w:ind w:left="312" w:hanging="312"/>
              <w:rPr>
                <w:sz w:val="18"/>
                <w:szCs w:val="22"/>
              </w:rPr>
            </w:pPr>
            <w:r w:rsidRPr="003548C1">
              <w:rPr>
                <w:sz w:val="18"/>
                <w:szCs w:val="22"/>
              </w:rPr>
              <w:t>(b)</w:t>
            </w:r>
            <w:r w:rsidRPr="003548C1">
              <w:rPr>
                <w:sz w:val="18"/>
                <w:szCs w:val="22"/>
              </w:rPr>
              <w:tab/>
              <w:t>an index of abundance appropriate to the taxon</w:t>
            </w:r>
          </w:p>
          <w:p w14:paraId="53B1FB04" w14:textId="77777777" w:rsidR="003548C1" w:rsidRPr="003548C1" w:rsidRDefault="003548C1" w:rsidP="003548C1">
            <w:pPr>
              <w:ind w:left="312" w:hanging="312"/>
              <w:rPr>
                <w:sz w:val="18"/>
                <w:szCs w:val="22"/>
              </w:rPr>
            </w:pPr>
            <w:r w:rsidRPr="003548C1">
              <w:rPr>
                <w:sz w:val="18"/>
                <w:szCs w:val="22"/>
              </w:rPr>
              <w:t>(c)</w:t>
            </w:r>
            <w:r w:rsidRPr="003548C1">
              <w:rPr>
                <w:sz w:val="18"/>
                <w:szCs w:val="22"/>
              </w:rPr>
              <w:tab/>
              <w:t>a decline in area of occupancy, extent of occurrence and/or quality of habitat</w:t>
            </w:r>
          </w:p>
          <w:p w14:paraId="6DF7AFB4" w14:textId="77777777" w:rsidR="003548C1" w:rsidRPr="003548C1" w:rsidRDefault="003548C1" w:rsidP="003548C1">
            <w:pPr>
              <w:ind w:left="312" w:hanging="312"/>
              <w:rPr>
                <w:sz w:val="18"/>
                <w:szCs w:val="22"/>
              </w:rPr>
            </w:pPr>
            <w:r w:rsidRPr="003548C1">
              <w:rPr>
                <w:sz w:val="18"/>
                <w:szCs w:val="22"/>
              </w:rPr>
              <w:t>(d)</w:t>
            </w:r>
            <w:r w:rsidRPr="003548C1">
              <w:rPr>
                <w:sz w:val="18"/>
                <w:szCs w:val="22"/>
              </w:rPr>
              <w:tab/>
              <w:t>actual or potential levels of exploitation</w:t>
            </w:r>
          </w:p>
          <w:p w14:paraId="521C71C5" w14:textId="77777777" w:rsidR="003548C1" w:rsidRPr="003548C1" w:rsidRDefault="003548C1" w:rsidP="003548C1">
            <w:pPr>
              <w:ind w:left="312" w:hanging="312"/>
              <w:rPr>
                <w:sz w:val="18"/>
                <w:szCs w:val="22"/>
              </w:rPr>
            </w:pPr>
            <w:r w:rsidRPr="003548C1">
              <w:rPr>
                <w:sz w:val="18"/>
                <w:szCs w:val="22"/>
              </w:rPr>
              <w:t>(e)</w:t>
            </w:r>
            <w:r w:rsidRPr="003548C1">
              <w:rPr>
                <w:sz w:val="18"/>
                <w:szCs w:val="22"/>
              </w:rPr>
              <w:tab/>
              <w:t>the effects of introduced taxa, hybridization, pathogens, pollutants, competitors or parasites</w:t>
            </w:r>
          </w:p>
        </w:tc>
      </w:tr>
    </w:tbl>
    <w:p w14:paraId="08FDF33C" w14:textId="77777777" w:rsidR="003548C1" w:rsidRPr="00A610A8" w:rsidRDefault="003548C1" w:rsidP="003548C1">
      <w:pPr>
        <w:keepNext/>
        <w:keepLines/>
        <w:spacing w:before="120" w:after="120"/>
        <w:outlineLvl w:val="2"/>
        <w:rPr>
          <w:rFonts w:ascii="Calibri" w:eastAsia="Times New Roman" w:hAnsi="Calibri" w:cs="Cambria"/>
          <w:b/>
          <w:bCs/>
          <w:sz w:val="26"/>
          <w:szCs w:val="26"/>
          <w:lang w:eastAsia="ja-JP"/>
        </w:rPr>
      </w:pPr>
      <w:r w:rsidRPr="00A610A8">
        <w:rPr>
          <w:rFonts w:ascii="Calibri" w:eastAsia="Times New Roman" w:hAnsi="Calibri" w:cs="Cambria"/>
          <w:b/>
          <w:bCs/>
          <w:sz w:val="26"/>
          <w:szCs w:val="26"/>
          <w:lang w:eastAsia="ja-JP"/>
        </w:rPr>
        <w:t>Criterion 1 evidence</w:t>
      </w:r>
    </w:p>
    <w:p w14:paraId="1168FBDF" w14:textId="77777777" w:rsidR="003548C1" w:rsidRPr="003548C1" w:rsidRDefault="003548C1" w:rsidP="003548C1">
      <w:pPr>
        <w:spacing w:after="120"/>
        <w:rPr>
          <w:rFonts w:ascii="Cambria" w:hAnsi="Cambria"/>
          <w:sz w:val="22"/>
          <w:szCs w:val="22"/>
          <w:lang w:eastAsia="ja-JP"/>
        </w:rPr>
      </w:pPr>
      <w:r w:rsidRPr="003548C1">
        <w:rPr>
          <w:rFonts w:ascii="Cambria" w:hAnsi="Cambria"/>
          <w:b/>
          <w:bCs/>
          <w:sz w:val="22"/>
          <w:szCs w:val="22"/>
          <w:lang w:eastAsia="ja-JP"/>
        </w:rPr>
        <w:t>Insufficient data to determine eligibility</w:t>
      </w:r>
    </w:p>
    <w:p w14:paraId="039360E6" w14:textId="1E66092C" w:rsidR="003548C1" w:rsidRPr="003548C1" w:rsidRDefault="003548C1" w:rsidP="003548C1">
      <w:pPr>
        <w:spacing w:after="120"/>
        <w:rPr>
          <w:rFonts w:ascii="Cambria" w:hAnsi="Cambria"/>
          <w:sz w:val="22"/>
          <w:szCs w:val="22"/>
          <w:lang w:eastAsia="ja-JP"/>
        </w:rPr>
      </w:pPr>
      <w:r w:rsidRPr="003548C1">
        <w:rPr>
          <w:rFonts w:ascii="Cambria" w:hAnsi="Cambria"/>
          <w:sz w:val="22"/>
          <w:szCs w:val="22"/>
          <w:lang w:eastAsia="ja-JP"/>
        </w:rPr>
        <w:t xml:space="preserve">The generation length of </w:t>
      </w:r>
      <w:r w:rsidR="00CA3380" w:rsidRPr="00CA3380">
        <w:rPr>
          <w:rFonts w:ascii="Cambria" w:hAnsi="Cambria"/>
          <w:sz w:val="22"/>
          <w:szCs w:val="22"/>
          <w:lang w:eastAsia="ja-JP"/>
        </w:rPr>
        <w:t>Murunung Naruwi</w:t>
      </w:r>
      <w:r w:rsidRPr="003548C1">
        <w:rPr>
          <w:rFonts w:ascii="Cambria" w:hAnsi="Cambria"/>
          <w:sz w:val="22"/>
          <w:szCs w:val="22"/>
          <w:lang w:eastAsia="ja-JP"/>
        </w:rPr>
        <w:t xml:space="preserve"> is unknown and there are insufficient data to determine eligibility for listing under Criterion 1. However, it is projected that there will be a future reduction in population size of </w:t>
      </w:r>
      <w:r w:rsidR="00CA3380" w:rsidRPr="00CA3380">
        <w:rPr>
          <w:rFonts w:ascii="Cambria" w:hAnsi="Cambria"/>
          <w:sz w:val="22"/>
          <w:szCs w:val="22"/>
          <w:lang w:eastAsia="ja-JP"/>
        </w:rPr>
        <w:t>Murunung Naruwi</w:t>
      </w:r>
      <w:r w:rsidRPr="00CA3380">
        <w:rPr>
          <w:rFonts w:ascii="Cambria" w:hAnsi="Cambria"/>
          <w:sz w:val="22"/>
          <w:szCs w:val="22"/>
          <w:lang w:eastAsia="ja-JP"/>
        </w:rPr>
        <w:t xml:space="preserve"> </w:t>
      </w:r>
      <w:r w:rsidRPr="003548C1">
        <w:rPr>
          <w:rFonts w:ascii="Cambria" w:hAnsi="Cambria"/>
          <w:sz w:val="22"/>
          <w:szCs w:val="22"/>
          <w:lang w:eastAsia="ja-JP"/>
        </w:rPr>
        <w:t xml:space="preserve">due to the impacts of climate change. This species, and other likely cool-adapted species of crayfish, do not have the capacity to adapt to the current or projected rates of warming (see Threats Table 1 above). A decline in Area of Occupancy (AOO), Extent of Occupancy (EOO) and quality of habitat is anticipated due to climate change, as increasing temperatures and reduced moisture availability displaces flora and fauna upslope, including the alpine habitat of this species. </w:t>
      </w:r>
    </w:p>
    <w:p w14:paraId="47F90496" w14:textId="77777777" w:rsidR="003548C1" w:rsidRPr="003548C1" w:rsidRDefault="003548C1" w:rsidP="003548C1">
      <w:pPr>
        <w:spacing w:after="120"/>
        <w:rPr>
          <w:rFonts w:ascii="Cambria" w:hAnsi="Cambria"/>
          <w:sz w:val="22"/>
          <w:szCs w:val="22"/>
          <w:lang w:eastAsia="ja-JP"/>
        </w:rPr>
      </w:pPr>
      <w:r w:rsidRPr="003548C1">
        <w:rPr>
          <w:rFonts w:ascii="Cambria" w:hAnsi="Cambria"/>
          <w:sz w:val="22"/>
          <w:szCs w:val="22"/>
          <w:lang w:eastAsia="ja-JP"/>
        </w:rPr>
        <w:lastRenderedPageBreak/>
        <w:t>The Committee considers that there is insufficient information to determine the eligibility of the species for listing in any category under this criterion.</w:t>
      </w:r>
    </w:p>
    <w:p w14:paraId="3731CEB3" w14:textId="77777777" w:rsidR="003548C1" w:rsidRPr="00A610A8" w:rsidRDefault="003548C1" w:rsidP="003548C1">
      <w:pPr>
        <w:keepNext/>
        <w:spacing w:after="120" w:line="240" w:lineRule="auto"/>
        <w:rPr>
          <w:rFonts w:ascii="Calibri" w:hAnsi="Calibri"/>
          <w:b/>
          <w:bCs/>
          <w:sz w:val="28"/>
          <w:szCs w:val="28"/>
          <w:lang w:eastAsia="ja-JP"/>
        </w:rPr>
      </w:pPr>
      <w:r w:rsidRPr="00A610A8">
        <w:rPr>
          <w:rFonts w:ascii="Calibri" w:hAnsi="Calibri"/>
          <w:b/>
          <w:bCs/>
          <w:sz w:val="28"/>
          <w:szCs w:val="28"/>
          <w:lang w:eastAsia="ja-JP"/>
        </w:rPr>
        <w:t>Criterion 2 Geographic distribution as indicators for either extent of occurrence AND/OR</w:t>
      </w:r>
      <w:r w:rsidRPr="00A610A8">
        <w:rPr>
          <w:rFonts w:ascii="Calibri" w:hAnsi="Calibri"/>
          <w:b/>
          <w:bCs/>
          <w:sz w:val="24"/>
          <w:szCs w:val="18"/>
          <w:lang w:eastAsia="ja-JP"/>
        </w:rPr>
        <w:t xml:space="preserve"> </w:t>
      </w:r>
      <w:r w:rsidRPr="00A610A8">
        <w:rPr>
          <w:rFonts w:ascii="Calibri" w:hAnsi="Calibri"/>
          <w:b/>
          <w:bCs/>
          <w:sz w:val="28"/>
          <w:szCs w:val="28"/>
          <w:lang w:eastAsia="ja-JP"/>
        </w:rPr>
        <w:t>area of occupancy</w:t>
      </w:r>
    </w:p>
    <w:tbl>
      <w:tblPr>
        <w:tblStyle w:val="TableGrid1"/>
        <w:tblW w:w="0" w:type="auto"/>
        <w:tblInd w:w="-34" w:type="dxa"/>
        <w:tblCellMar>
          <w:top w:w="57" w:type="dxa"/>
          <w:bottom w:w="57" w:type="dxa"/>
        </w:tblCellMar>
        <w:tblLook w:val="04A0" w:firstRow="1" w:lastRow="0" w:firstColumn="1" w:lastColumn="0" w:noHBand="0" w:noVBand="1"/>
      </w:tblPr>
      <w:tblGrid>
        <w:gridCol w:w="3354"/>
        <w:gridCol w:w="1948"/>
        <w:gridCol w:w="1850"/>
        <w:gridCol w:w="1898"/>
      </w:tblGrid>
      <w:tr w:rsidR="003548C1" w:rsidRPr="003548C1" w14:paraId="2A9DC152" w14:textId="77777777" w:rsidTr="007E5C85">
        <w:trPr>
          <w:trHeight w:val="350"/>
        </w:trPr>
        <w:tc>
          <w:tcPr>
            <w:tcW w:w="10738" w:type="dxa"/>
            <w:gridSpan w:val="4"/>
            <w:tcBorders>
              <w:bottom w:val="nil"/>
            </w:tcBorders>
            <w:shd w:val="clear" w:color="auto" w:fill="595959" w:themeFill="text1" w:themeFillTint="A6"/>
            <w:vAlign w:val="center"/>
          </w:tcPr>
          <w:p w14:paraId="0CD38B90" w14:textId="77777777" w:rsidR="003548C1" w:rsidRPr="003548C1" w:rsidRDefault="003548C1" w:rsidP="003548C1">
            <w:pPr>
              <w:keepNext/>
              <w:tabs>
                <w:tab w:val="left" w:pos="284"/>
              </w:tabs>
              <w:ind w:left="1452" w:hanging="1452"/>
              <w:rPr>
                <w:rFonts w:ascii="Arial" w:hAnsi="Arial" w:cs="Arial"/>
                <w:b/>
                <w:color w:val="FFFFFF" w:themeColor="background1"/>
                <w:sz w:val="18"/>
                <w:szCs w:val="22"/>
              </w:rPr>
            </w:pPr>
          </w:p>
        </w:tc>
      </w:tr>
      <w:tr w:rsidR="003548C1" w:rsidRPr="003548C1" w14:paraId="32898D22" w14:textId="77777777" w:rsidTr="007E5C85">
        <w:tc>
          <w:tcPr>
            <w:tcW w:w="4111" w:type="dxa"/>
            <w:tcBorders>
              <w:top w:val="nil"/>
              <w:bottom w:val="nil"/>
              <w:right w:val="nil"/>
            </w:tcBorders>
          </w:tcPr>
          <w:p w14:paraId="010E2E80" w14:textId="77777777" w:rsidR="003548C1" w:rsidRPr="003548C1" w:rsidRDefault="003548C1" w:rsidP="003548C1">
            <w:pPr>
              <w:keepNext/>
              <w:rPr>
                <w:sz w:val="18"/>
                <w:szCs w:val="22"/>
              </w:rPr>
            </w:pPr>
            <w:r w:rsidRPr="003548C1">
              <w:rPr>
                <w:color w:val="FFFFFF" w:themeColor="background1"/>
                <w:sz w:val="18"/>
                <w:szCs w:val="22"/>
              </w:rPr>
              <w:t>–</w:t>
            </w:r>
          </w:p>
        </w:tc>
        <w:tc>
          <w:tcPr>
            <w:tcW w:w="2268" w:type="dxa"/>
            <w:tcBorders>
              <w:top w:val="single" w:sz="4" w:space="0" w:color="FFFFFF" w:themeColor="background1"/>
              <w:left w:val="nil"/>
              <w:bottom w:val="nil"/>
              <w:right w:val="single" w:sz="4" w:space="0" w:color="FFFFFF" w:themeColor="background1"/>
            </w:tcBorders>
            <w:shd w:val="clear" w:color="auto" w:fill="FF0000"/>
          </w:tcPr>
          <w:p w14:paraId="181A9176" w14:textId="77777777" w:rsidR="003548C1" w:rsidRPr="003548C1" w:rsidRDefault="003548C1" w:rsidP="003548C1">
            <w:pPr>
              <w:keepNext/>
              <w:rPr>
                <w:b/>
                <w:bCs/>
                <w:sz w:val="18"/>
                <w:szCs w:val="22"/>
              </w:rPr>
            </w:pPr>
            <w:r w:rsidRPr="003548C1">
              <w:rPr>
                <w:b/>
                <w:bCs/>
                <w:sz w:val="18"/>
                <w:szCs w:val="22"/>
              </w:rPr>
              <w:t>Critically Endangered</w:t>
            </w:r>
          </w:p>
          <w:p w14:paraId="4E4B0EBE" w14:textId="77777777" w:rsidR="003548C1" w:rsidRPr="003548C1" w:rsidRDefault="003548C1" w:rsidP="003548C1">
            <w:pPr>
              <w:keepNext/>
              <w:rPr>
                <w:b/>
                <w:sz w:val="18"/>
                <w:szCs w:val="22"/>
              </w:rPr>
            </w:pPr>
            <w:r w:rsidRPr="003548C1">
              <w:rPr>
                <w:b/>
                <w:bCs/>
                <w:sz w:val="18"/>
                <w:szCs w:val="22"/>
              </w:rPr>
              <w:t>Very restricted</w:t>
            </w:r>
          </w:p>
        </w:tc>
        <w:tc>
          <w:tcPr>
            <w:tcW w:w="2127" w:type="dxa"/>
            <w:tcBorders>
              <w:top w:val="single" w:sz="4" w:space="0" w:color="FFFFFF" w:themeColor="background1"/>
              <w:left w:val="single" w:sz="4" w:space="0" w:color="FFFFFF" w:themeColor="background1"/>
              <w:bottom w:val="nil"/>
              <w:right w:val="single" w:sz="4" w:space="0" w:color="FFFFFF" w:themeColor="background1"/>
            </w:tcBorders>
            <w:shd w:val="clear" w:color="auto" w:fill="FF6600"/>
          </w:tcPr>
          <w:p w14:paraId="3081812E" w14:textId="77777777" w:rsidR="003548C1" w:rsidRPr="003548C1" w:rsidRDefault="003548C1" w:rsidP="003548C1">
            <w:pPr>
              <w:keepNext/>
              <w:rPr>
                <w:b/>
                <w:sz w:val="18"/>
                <w:szCs w:val="22"/>
              </w:rPr>
            </w:pPr>
            <w:r w:rsidRPr="003548C1">
              <w:rPr>
                <w:b/>
                <w:sz w:val="18"/>
                <w:szCs w:val="22"/>
              </w:rPr>
              <w:t>Endangered</w:t>
            </w:r>
          </w:p>
          <w:p w14:paraId="73457DF3" w14:textId="77777777" w:rsidR="003548C1" w:rsidRPr="003548C1" w:rsidRDefault="003548C1" w:rsidP="003548C1">
            <w:pPr>
              <w:keepNext/>
              <w:rPr>
                <w:b/>
                <w:sz w:val="18"/>
                <w:szCs w:val="22"/>
              </w:rPr>
            </w:pPr>
            <w:r w:rsidRPr="003548C1">
              <w:rPr>
                <w:b/>
                <w:sz w:val="18"/>
                <w:szCs w:val="22"/>
              </w:rPr>
              <w:t>Restricted</w:t>
            </w:r>
          </w:p>
        </w:tc>
        <w:tc>
          <w:tcPr>
            <w:tcW w:w="2232" w:type="dxa"/>
            <w:tcBorders>
              <w:top w:val="single" w:sz="4" w:space="0" w:color="FFFFFF" w:themeColor="background1"/>
              <w:left w:val="single" w:sz="4" w:space="0" w:color="FFFFFF" w:themeColor="background1"/>
              <w:bottom w:val="nil"/>
            </w:tcBorders>
            <w:shd w:val="clear" w:color="auto" w:fill="FFFF00"/>
          </w:tcPr>
          <w:p w14:paraId="4BFDD4FA" w14:textId="77777777" w:rsidR="003548C1" w:rsidRPr="003548C1" w:rsidRDefault="003548C1" w:rsidP="003548C1">
            <w:pPr>
              <w:keepNext/>
              <w:rPr>
                <w:b/>
                <w:sz w:val="18"/>
                <w:szCs w:val="22"/>
              </w:rPr>
            </w:pPr>
            <w:r w:rsidRPr="003548C1">
              <w:rPr>
                <w:b/>
                <w:sz w:val="18"/>
                <w:szCs w:val="22"/>
              </w:rPr>
              <w:t>Vulnerable</w:t>
            </w:r>
          </w:p>
          <w:p w14:paraId="63E064D8" w14:textId="77777777" w:rsidR="003548C1" w:rsidRPr="003548C1" w:rsidRDefault="003548C1" w:rsidP="003548C1">
            <w:pPr>
              <w:keepNext/>
              <w:rPr>
                <w:b/>
                <w:sz w:val="18"/>
                <w:szCs w:val="22"/>
              </w:rPr>
            </w:pPr>
            <w:r w:rsidRPr="003548C1">
              <w:rPr>
                <w:b/>
                <w:sz w:val="18"/>
                <w:szCs w:val="22"/>
              </w:rPr>
              <w:t>Limited</w:t>
            </w:r>
          </w:p>
        </w:tc>
      </w:tr>
      <w:tr w:rsidR="003548C1" w:rsidRPr="003548C1" w14:paraId="32D3BE1D" w14:textId="77777777" w:rsidTr="007E5C85">
        <w:tc>
          <w:tcPr>
            <w:tcW w:w="4111" w:type="dxa"/>
            <w:tcBorders>
              <w:top w:val="nil"/>
              <w:left w:val="single" w:sz="4" w:space="0" w:color="auto"/>
              <w:bottom w:val="single" w:sz="4" w:space="0" w:color="FFFFFF" w:themeColor="background1"/>
              <w:right w:val="nil"/>
            </w:tcBorders>
            <w:shd w:val="clear" w:color="auto" w:fill="BFBFBF" w:themeFill="background1" w:themeFillShade="BF"/>
          </w:tcPr>
          <w:p w14:paraId="61F822F2" w14:textId="77777777" w:rsidR="003548C1" w:rsidRPr="003548C1" w:rsidRDefault="003548C1" w:rsidP="003548C1">
            <w:pPr>
              <w:keepNext/>
              <w:ind w:left="492" w:hanging="492"/>
              <w:rPr>
                <w:sz w:val="18"/>
                <w:szCs w:val="22"/>
              </w:rPr>
            </w:pPr>
            <w:r w:rsidRPr="003548C1">
              <w:rPr>
                <w:b/>
                <w:bCs/>
                <w:sz w:val="18"/>
                <w:szCs w:val="22"/>
              </w:rPr>
              <w:t>B1.</w:t>
            </w:r>
            <w:r w:rsidRPr="003548C1">
              <w:rPr>
                <w:sz w:val="18"/>
                <w:szCs w:val="22"/>
              </w:rPr>
              <w:tab/>
              <w:t>Extent of occurrence (EOO)</w:t>
            </w:r>
          </w:p>
        </w:tc>
        <w:tc>
          <w:tcPr>
            <w:tcW w:w="2268" w:type="dxa"/>
            <w:tcBorders>
              <w:top w:val="nil"/>
              <w:left w:val="nil"/>
              <w:bottom w:val="single" w:sz="4" w:space="0" w:color="FFFFFF" w:themeColor="background1"/>
              <w:right w:val="single" w:sz="4" w:space="0" w:color="FFFFFF" w:themeColor="background1"/>
            </w:tcBorders>
            <w:shd w:val="clear" w:color="auto" w:fill="FF7C80"/>
          </w:tcPr>
          <w:p w14:paraId="076196B4" w14:textId="77777777" w:rsidR="003548C1" w:rsidRPr="003548C1" w:rsidRDefault="003548C1" w:rsidP="003548C1">
            <w:pPr>
              <w:keepNext/>
              <w:rPr>
                <w:b/>
                <w:sz w:val="18"/>
                <w:szCs w:val="22"/>
              </w:rPr>
            </w:pPr>
            <w:r w:rsidRPr="003548C1">
              <w:rPr>
                <w:b/>
                <w:sz w:val="18"/>
                <w:szCs w:val="22"/>
              </w:rPr>
              <w:t>&lt; 100 km</w:t>
            </w:r>
            <w:r w:rsidRPr="003548C1">
              <w:rPr>
                <w:b/>
                <w:sz w:val="18"/>
                <w:szCs w:val="22"/>
                <w:vertAlign w:val="superscript"/>
              </w:rPr>
              <w:t>2</w:t>
            </w:r>
          </w:p>
        </w:tc>
        <w:tc>
          <w:tcPr>
            <w:tcW w:w="2127" w:type="dxa"/>
            <w:tcBorders>
              <w:top w:val="nil"/>
              <w:left w:val="single" w:sz="4" w:space="0" w:color="FFFFFF" w:themeColor="background1"/>
              <w:bottom w:val="single" w:sz="4" w:space="0" w:color="FFFFFF" w:themeColor="background1"/>
              <w:right w:val="single" w:sz="4" w:space="0" w:color="FFFFFF" w:themeColor="background1"/>
            </w:tcBorders>
            <w:shd w:val="clear" w:color="auto" w:fill="FF9933"/>
          </w:tcPr>
          <w:p w14:paraId="45DF2360" w14:textId="77777777" w:rsidR="003548C1" w:rsidRPr="003548C1" w:rsidRDefault="003548C1" w:rsidP="003548C1">
            <w:pPr>
              <w:keepNext/>
              <w:rPr>
                <w:sz w:val="18"/>
                <w:szCs w:val="22"/>
              </w:rPr>
            </w:pPr>
            <w:r w:rsidRPr="003548C1">
              <w:rPr>
                <w:b/>
                <w:sz w:val="18"/>
                <w:szCs w:val="22"/>
              </w:rPr>
              <w:t>&lt; 5,000 km</w:t>
            </w:r>
            <w:r w:rsidRPr="003548C1">
              <w:rPr>
                <w:b/>
                <w:sz w:val="18"/>
                <w:szCs w:val="22"/>
                <w:vertAlign w:val="superscript"/>
              </w:rPr>
              <w:t>2</w:t>
            </w:r>
          </w:p>
        </w:tc>
        <w:tc>
          <w:tcPr>
            <w:tcW w:w="2232" w:type="dxa"/>
            <w:tcBorders>
              <w:top w:val="nil"/>
              <w:left w:val="single" w:sz="4" w:space="0" w:color="FFFFFF" w:themeColor="background1"/>
              <w:bottom w:val="single" w:sz="4" w:space="0" w:color="FFFFFF" w:themeColor="background1"/>
            </w:tcBorders>
            <w:shd w:val="clear" w:color="auto" w:fill="FFFF66"/>
          </w:tcPr>
          <w:p w14:paraId="1C5CE541" w14:textId="77777777" w:rsidR="003548C1" w:rsidRPr="003548C1" w:rsidRDefault="003548C1" w:rsidP="003548C1">
            <w:pPr>
              <w:keepNext/>
              <w:rPr>
                <w:sz w:val="18"/>
                <w:szCs w:val="22"/>
              </w:rPr>
            </w:pPr>
            <w:r w:rsidRPr="003548C1">
              <w:rPr>
                <w:b/>
                <w:sz w:val="18"/>
                <w:szCs w:val="22"/>
              </w:rPr>
              <w:t>&lt; 20,000 km</w:t>
            </w:r>
            <w:r w:rsidRPr="003548C1">
              <w:rPr>
                <w:b/>
                <w:sz w:val="18"/>
                <w:szCs w:val="22"/>
                <w:vertAlign w:val="superscript"/>
              </w:rPr>
              <w:t>2</w:t>
            </w:r>
          </w:p>
        </w:tc>
      </w:tr>
      <w:tr w:rsidR="003548C1" w:rsidRPr="003548C1" w14:paraId="20818E7A" w14:textId="77777777" w:rsidTr="007E5C85">
        <w:tc>
          <w:tcPr>
            <w:tcW w:w="4111" w:type="dxa"/>
            <w:tcBorders>
              <w:top w:val="single" w:sz="4" w:space="0" w:color="FFFFFF" w:themeColor="background1"/>
              <w:left w:val="single" w:sz="4" w:space="0" w:color="auto"/>
              <w:bottom w:val="nil"/>
              <w:right w:val="nil"/>
            </w:tcBorders>
            <w:shd w:val="clear" w:color="auto" w:fill="BFBFBF" w:themeFill="background1" w:themeFillShade="BF"/>
          </w:tcPr>
          <w:p w14:paraId="00312DAA" w14:textId="77777777" w:rsidR="003548C1" w:rsidRPr="003548C1" w:rsidRDefault="003548C1" w:rsidP="003548C1">
            <w:pPr>
              <w:keepNext/>
              <w:ind w:left="492" w:hanging="492"/>
              <w:rPr>
                <w:sz w:val="18"/>
                <w:szCs w:val="22"/>
              </w:rPr>
            </w:pPr>
            <w:r w:rsidRPr="003548C1">
              <w:rPr>
                <w:b/>
                <w:bCs/>
                <w:sz w:val="18"/>
                <w:szCs w:val="22"/>
              </w:rPr>
              <w:t>B2.</w:t>
            </w:r>
            <w:r w:rsidRPr="003548C1">
              <w:rPr>
                <w:sz w:val="18"/>
                <w:szCs w:val="22"/>
              </w:rPr>
              <w:tab/>
              <w:t>Area of occupancy (AOO)</w:t>
            </w:r>
          </w:p>
        </w:tc>
        <w:tc>
          <w:tcPr>
            <w:tcW w:w="2268" w:type="dxa"/>
            <w:tcBorders>
              <w:top w:val="single" w:sz="4" w:space="0" w:color="FFFFFF" w:themeColor="background1"/>
              <w:left w:val="nil"/>
              <w:bottom w:val="nil"/>
              <w:right w:val="single" w:sz="4" w:space="0" w:color="FFFFFF" w:themeColor="background1"/>
            </w:tcBorders>
            <w:shd w:val="clear" w:color="auto" w:fill="FF7C80"/>
          </w:tcPr>
          <w:p w14:paraId="79B17F0A" w14:textId="77777777" w:rsidR="003548C1" w:rsidRPr="003548C1" w:rsidRDefault="003548C1" w:rsidP="003548C1">
            <w:pPr>
              <w:keepNext/>
              <w:rPr>
                <w:b/>
                <w:sz w:val="18"/>
                <w:szCs w:val="22"/>
              </w:rPr>
            </w:pPr>
            <w:r w:rsidRPr="003548C1">
              <w:rPr>
                <w:b/>
                <w:sz w:val="18"/>
                <w:szCs w:val="22"/>
              </w:rPr>
              <w:t>&lt; 10 km</w:t>
            </w:r>
            <w:r w:rsidRPr="003548C1">
              <w:rPr>
                <w:b/>
                <w:sz w:val="18"/>
                <w:szCs w:val="22"/>
                <w:vertAlign w:val="superscript"/>
              </w:rPr>
              <w:t>2</w:t>
            </w:r>
          </w:p>
        </w:tc>
        <w:tc>
          <w:tcPr>
            <w:tcW w:w="2127" w:type="dxa"/>
            <w:tcBorders>
              <w:top w:val="single" w:sz="4" w:space="0" w:color="FFFFFF" w:themeColor="background1"/>
              <w:left w:val="single" w:sz="4" w:space="0" w:color="FFFFFF" w:themeColor="background1"/>
              <w:bottom w:val="nil"/>
              <w:right w:val="single" w:sz="4" w:space="0" w:color="FFFFFF" w:themeColor="background1"/>
            </w:tcBorders>
            <w:shd w:val="clear" w:color="auto" w:fill="FF9933"/>
          </w:tcPr>
          <w:p w14:paraId="296389E3" w14:textId="77777777" w:rsidR="003548C1" w:rsidRPr="003548C1" w:rsidRDefault="003548C1" w:rsidP="003548C1">
            <w:pPr>
              <w:keepNext/>
              <w:rPr>
                <w:sz w:val="18"/>
                <w:szCs w:val="22"/>
              </w:rPr>
            </w:pPr>
            <w:r w:rsidRPr="003548C1">
              <w:rPr>
                <w:b/>
                <w:sz w:val="18"/>
                <w:szCs w:val="22"/>
              </w:rPr>
              <w:t>&lt; 500 km</w:t>
            </w:r>
            <w:r w:rsidRPr="003548C1">
              <w:rPr>
                <w:b/>
                <w:sz w:val="18"/>
                <w:szCs w:val="22"/>
                <w:vertAlign w:val="superscript"/>
              </w:rPr>
              <w:t>2</w:t>
            </w:r>
          </w:p>
        </w:tc>
        <w:tc>
          <w:tcPr>
            <w:tcW w:w="2232" w:type="dxa"/>
            <w:tcBorders>
              <w:top w:val="single" w:sz="4" w:space="0" w:color="FFFFFF" w:themeColor="background1"/>
              <w:left w:val="single" w:sz="4" w:space="0" w:color="FFFFFF" w:themeColor="background1"/>
              <w:bottom w:val="nil"/>
            </w:tcBorders>
            <w:shd w:val="clear" w:color="auto" w:fill="FFFF66"/>
          </w:tcPr>
          <w:p w14:paraId="6AAD96DD" w14:textId="77777777" w:rsidR="003548C1" w:rsidRPr="003548C1" w:rsidRDefault="003548C1" w:rsidP="003548C1">
            <w:pPr>
              <w:keepNext/>
              <w:rPr>
                <w:sz w:val="18"/>
                <w:szCs w:val="22"/>
              </w:rPr>
            </w:pPr>
            <w:r w:rsidRPr="003548C1">
              <w:rPr>
                <w:b/>
                <w:sz w:val="18"/>
                <w:szCs w:val="22"/>
              </w:rPr>
              <w:t>&lt; 2,000 km</w:t>
            </w:r>
            <w:r w:rsidRPr="003548C1">
              <w:rPr>
                <w:b/>
                <w:sz w:val="18"/>
                <w:szCs w:val="22"/>
                <w:vertAlign w:val="superscript"/>
              </w:rPr>
              <w:t>2</w:t>
            </w:r>
          </w:p>
        </w:tc>
      </w:tr>
      <w:tr w:rsidR="003548C1" w:rsidRPr="003548C1" w14:paraId="30F45A77" w14:textId="77777777" w:rsidTr="007E5C85">
        <w:tc>
          <w:tcPr>
            <w:tcW w:w="10738" w:type="dxa"/>
            <w:gridSpan w:val="4"/>
            <w:tcBorders>
              <w:top w:val="nil"/>
              <w:bottom w:val="nil"/>
            </w:tcBorders>
          </w:tcPr>
          <w:p w14:paraId="2543B145" w14:textId="77777777" w:rsidR="003548C1" w:rsidRPr="003548C1" w:rsidRDefault="003548C1" w:rsidP="003548C1">
            <w:pPr>
              <w:keepNext/>
              <w:rPr>
                <w:b/>
                <w:bCs/>
                <w:sz w:val="18"/>
                <w:szCs w:val="22"/>
              </w:rPr>
            </w:pPr>
            <w:r w:rsidRPr="003548C1">
              <w:rPr>
                <w:b/>
                <w:bCs/>
                <w:sz w:val="18"/>
                <w:szCs w:val="22"/>
              </w:rPr>
              <w:t>AND at least 2 of the following 3 conditions:</w:t>
            </w:r>
          </w:p>
        </w:tc>
      </w:tr>
      <w:tr w:rsidR="003548C1" w:rsidRPr="003548C1" w14:paraId="72EC25E8" w14:textId="77777777" w:rsidTr="007E5C85">
        <w:tc>
          <w:tcPr>
            <w:tcW w:w="4111" w:type="dxa"/>
            <w:tcBorders>
              <w:top w:val="nil"/>
              <w:bottom w:val="single" w:sz="4" w:space="0" w:color="FFFFFF" w:themeColor="background1"/>
              <w:right w:val="single" w:sz="4" w:space="0" w:color="FFFFFF" w:themeColor="background1"/>
            </w:tcBorders>
            <w:shd w:val="clear" w:color="auto" w:fill="BFBFBF" w:themeFill="background1" w:themeFillShade="BF"/>
          </w:tcPr>
          <w:p w14:paraId="293F5C20" w14:textId="77777777" w:rsidR="003548C1" w:rsidRPr="003548C1" w:rsidRDefault="003548C1" w:rsidP="003548C1">
            <w:pPr>
              <w:keepNext/>
              <w:ind w:left="492" w:hanging="492"/>
              <w:rPr>
                <w:sz w:val="18"/>
                <w:szCs w:val="22"/>
              </w:rPr>
            </w:pPr>
            <w:r w:rsidRPr="003548C1">
              <w:rPr>
                <w:sz w:val="18"/>
                <w:szCs w:val="22"/>
              </w:rPr>
              <w:t>(a)</w:t>
            </w:r>
            <w:r w:rsidRPr="003548C1">
              <w:rPr>
                <w:sz w:val="18"/>
                <w:szCs w:val="22"/>
              </w:rPr>
              <w:tab/>
              <w:t>Severely fragmented OR Number of locations</w:t>
            </w:r>
          </w:p>
        </w:tc>
        <w:tc>
          <w:tcPr>
            <w:tcW w:w="226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7C80"/>
            <w:vAlign w:val="center"/>
          </w:tcPr>
          <w:p w14:paraId="7EBE09BE" w14:textId="77777777" w:rsidR="003548C1" w:rsidRPr="003548C1" w:rsidRDefault="003548C1" w:rsidP="003548C1">
            <w:pPr>
              <w:keepNext/>
              <w:rPr>
                <w:b/>
                <w:sz w:val="18"/>
                <w:szCs w:val="22"/>
              </w:rPr>
            </w:pPr>
            <w:r w:rsidRPr="003548C1">
              <w:rPr>
                <w:b/>
                <w:sz w:val="18"/>
                <w:szCs w:val="22"/>
              </w:rPr>
              <w:t>= 1</w:t>
            </w:r>
          </w:p>
        </w:tc>
        <w:tc>
          <w:tcPr>
            <w:tcW w:w="2127" w:type="dxa"/>
            <w:tcBorders>
              <w:top w:val="nil"/>
              <w:left w:val="single" w:sz="4" w:space="0" w:color="FFFFFF" w:themeColor="background1"/>
              <w:bottom w:val="single" w:sz="4" w:space="0" w:color="FFFFFF" w:themeColor="background1"/>
              <w:right w:val="single" w:sz="4" w:space="0" w:color="FFFFFF" w:themeColor="background1"/>
            </w:tcBorders>
            <w:shd w:val="clear" w:color="auto" w:fill="FF9933"/>
            <w:vAlign w:val="center"/>
          </w:tcPr>
          <w:p w14:paraId="5B88C139" w14:textId="77777777" w:rsidR="003548C1" w:rsidRPr="003548C1" w:rsidRDefault="003548C1" w:rsidP="003548C1">
            <w:pPr>
              <w:keepNext/>
              <w:rPr>
                <w:b/>
                <w:sz w:val="18"/>
                <w:szCs w:val="22"/>
              </w:rPr>
            </w:pPr>
            <w:r w:rsidRPr="003548C1">
              <w:rPr>
                <w:b/>
                <w:sz w:val="18"/>
                <w:szCs w:val="22"/>
              </w:rPr>
              <w:t>≤ 5</w:t>
            </w:r>
          </w:p>
        </w:tc>
        <w:tc>
          <w:tcPr>
            <w:tcW w:w="2232" w:type="dxa"/>
            <w:tcBorders>
              <w:top w:val="nil"/>
              <w:left w:val="single" w:sz="4" w:space="0" w:color="FFFFFF" w:themeColor="background1"/>
              <w:bottom w:val="single" w:sz="4" w:space="0" w:color="FFFFFF" w:themeColor="background1"/>
            </w:tcBorders>
            <w:shd w:val="clear" w:color="auto" w:fill="FFFF66"/>
            <w:vAlign w:val="center"/>
          </w:tcPr>
          <w:p w14:paraId="286983A5" w14:textId="77777777" w:rsidR="003548C1" w:rsidRPr="003548C1" w:rsidRDefault="003548C1" w:rsidP="003548C1">
            <w:pPr>
              <w:keepNext/>
              <w:rPr>
                <w:b/>
                <w:sz w:val="18"/>
                <w:szCs w:val="22"/>
              </w:rPr>
            </w:pPr>
            <w:r w:rsidRPr="003548C1">
              <w:rPr>
                <w:b/>
                <w:sz w:val="18"/>
                <w:szCs w:val="22"/>
              </w:rPr>
              <w:t>≤ 10</w:t>
            </w:r>
          </w:p>
        </w:tc>
      </w:tr>
      <w:tr w:rsidR="003548C1" w:rsidRPr="003548C1" w14:paraId="402EE916" w14:textId="77777777" w:rsidTr="007E5C85">
        <w:tc>
          <w:tcPr>
            <w:tcW w:w="10738" w:type="dxa"/>
            <w:gridSpan w:val="4"/>
            <w:tcBorders>
              <w:top w:val="single" w:sz="4" w:space="0" w:color="FFFFFF" w:themeColor="background1"/>
              <w:bottom w:val="single" w:sz="4" w:space="0" w:color="FFFFFF" w:themeColor="background1"/>
            </w:tcBorders>
            <w:shd w:val="clear" w:color="auto" w:fill="BFBFBF" w:themeFill="background1" w:themeFillShade="BF"/>
          </w:tcPr>
          <w:p w14:paraId="687734BB" w14:textId="77777777" w:rsidR="003548C1" w:rsidRPr="003548C1" w:rsidRDefault="003548C1" w:rsidP="003548C1">
            <w:pPr>
              <w:keepNext/>
              <w:ind w:left="492" w:hanging="492"/>
              <w:rPr>
                <w:sz w:val="18"/>
                <w:szCs w:val="22"/>
              </w:rPr>
            </w:pPr>
            <w:r w:rsidRPr="003548C1">
              <w:rPr>
                <w:sz w:val="18"/>
                <w:szCs w:val="22"/>
              </w:rPr>
              <w:t>(b)</w:t>
            </w:r>
            <w:r w:rsidRPr="003548C1">
              <w:rPr>
                <w:sz w:val="18"/>
                <w:szCs w:val="22"/>
              </w:rPr>
              <w:tab/>
              <w:t>Continuing decline observed, estimated, inferred or projected in any of: (i) extent of occurrence; (ii) area of occupancy; (iii) area, extent and/or quality of habitat; (iv) number of locations or subpopulations; (v) number of mature individuals</w:t>
            </w:r>
          </w:p>
        </w:tc>
      </w:tr>
      <w:tr w:rsidR="003548C1" w:rsidRPr="003548C1" w14:paraId="34C96EE3" w14:textId="77777777" w:rsidTr="007E5C85">
        <w:tc>
          <w:tcPr>
            <w:tcW w:w="10738" w:type="dxa"/>
            <w:gridSpan w:val="4"/>
            <w:tcBorders>
              <w:top w:val="single" w:sz="4" w:space="0" w:color="FFFFFF" w:themeColor="background1"/>
            </w:tcBorders>
            <w:shd w:val="clear" w:color="auto" w:fill="BFBFBF" w:themeFill="background1" w:themeFillShade="BF"/>
          </w:tcPr>
          <w:p w14:paraId="62B0D432" w14:textId="77777777" w:rsidR="003548C1" w:rsidRPr="003548C1" w:rsidRDefault="003548C1" w:rsidP="003548C1">
            <w:pPr>
              <w:ind w:left="492" w:hanging="492"/>
              <w:rPr>
                <w:sz w:val="18"/>
                <w:szCs w:val="22"/>
              </w:rPr>
            </w:pPr>
            <w:r w:rsidRPr="003548C1">
              <w:rPr>
                <w:sz w:val="18"/>
                <w:szCs w:val="22"/>
              </w:rPr>
              <w:t>(c)</w:t>
            </w:r>
            <w:r w:rsidRPr="003548C1">
              <w:rPr>
                <w:sz w:val="18"/>
                <w:szCs w:val="22"/>
              </w:rPr>
              <w:tab/>
              <w:t>Extreme fluctuations in any of: (i) extent of occurrence; (ii) area of occupancy; (iii) number of locations or subpopulations; (iv) number of mature individuals</w:t>
            </w:r>
          </w:p>
        </w:tc>
      </w:tr>
    </w:tbl>
    <w:p w14:paraId="2EAFC372" w14:textId="77777777" w:rsidR="003548C1" w:rsidRPr="00A610A8" w:rsidRDefault="003548C1" w:rsidP="003548C1">
      <w:pPr>
        <w:keepNext/>
        <w:keepLines/>
        <w:spacing w:before="240" w:after="120"/>
        <w:outlineLvl w:val="2"/>
        <w:rPr>
          <w:rFonts w:ascii="Calibri" w:eastAsia="Times New Roman" w:hAnsi="Calibri" w:cs="Cambria"/>
          <w:b/>
          <w:bCs/>
          <w:sz w:val="26"/>
          <w:szCs w:val="26"/>
          <w:lang w:eastAsia="ja-JP"/>
        </w:rPr>
      </w:pPr>
      <w:r w:rsidRPr="00A610A8">
        <w:rPr>
          <w:rFonts w:ascii="Calibri" w:eastAsia="Times New Roman" w:hAnsi="Calibri" w:cs="Cambria"/>
          <w:b/>
          <w:bCs/>
          <w:sz w:val="26"/>
          <w:szCs w:val="26"/>
          <w:lang w:eastAsia="ja-JP"/>
        </w:rPr>
        <w:t>Criterion 2 evidence</w:t>
      </w:r>
    </w:p>
    <w:p w14:paraId="4026FE73" w14:textId="77777777" w:rsidR="00A610A8" w:rsidRDefault="00A610A8" w:rsidP="00A610A8">
      <w:pPr>
        <w:rPr>
          <w:b/>
          <w:bCs/>
          <w:lang w:eastAsia="ja-JP"/>
        </w:rPr>
      </w:pPr>
      <w:r w:rsidRPr="00B27160">
        <w:rPr>
          <w:rStyle w:val="Strong"/>
        </w:rPr>
        <w:t>Eligible under Criterion 2</w:t>
      </w:r>
      <w:r w:rsidRPr="00B27160">
        <w:rPr>
          <w:bCs/>
          <w:lang w:eastAsia="ja-JP"/>
        </w:rPr>
        <w:t xml:space="preserve"> </w:t>
      </w:r>
      <w:r w:rsidRPr="00B27160">
        <w:rPr>
          <w:b/>
          <w:lang w:eastAsia="ja-JP"/>
        </w:rPr>
        <w:t>B1ab(</w:t>
      </w:r>
      <w:proofErr w:type="spellStart"/>
      <w:r>
        <w:rPr>
          <w:b/>
          <w:lang w:eastAsia="ja-JP"/>
        </w:rPr>
        <w:t>i</w:t>
      </w:r>
      <w:r w:rsidRPr="00B27160">
        <w:rPr>
          <w:b/>
          <w:lang w:eastAsia="ja-JP"/>
        </w:rPr>
        <w:t>ii,v</w:t>
      </w:r>
      <w:proofErr w:type="spellEnd"/>
      <w:r w:rsidRPr="00B27160">
        <w:rPr>
          <w:b/>
          <w:lang w:eastAsia="ja-JP"/>
        </w:rPr>
        <w:t>)+2ab(</w:t>
      </w:r>
      <w:proofErr w:type="spellStart"/>
      <w:r w:rsidRPr="00B27160">
        <w:rPr>
          <w:b/>
          <w:lang w:eastAsia="ja-JP"/>
        </w:rPr>
        <w:t>i</w:t>
      </w:r>
      <w:r>
        <w:rPr>
          <w:b/>
          <w:lang w:eastAsia="ja-JP"/>
        </w:rPr>
        <w:t>i</w:t>
      </w:r>
      <w:r w:rsidRPr="00B27160">
        <w:rPr>
          <w:b/>
          <w:lang w:eastAsia="ja-JP"/>
        </w:rPr>
        <w:t>i,v</w:t>
      </w:r>
      <w:proofErr w:type="spellEnd"/>
      <w:r w:rsidRPr="00B27160">
        <w:rPr>
          <w:b/>
          <w:lang w:eastAsia="ja-JP"/>
        </w:rPr>
        <w:t>)</w:t>
      </w:r>
      <w:r w:rsidRPr="00B27160">
        <w:rPr>
          <w:bCs/>
          <w:lang w:eastAsia="ja-JP"/>
        </w:rPr>
        <w:t xml:space="preserve"> </w:t>
      </w:r>
      <w:r w:rsidRPr="00B27160">
        <w:rPr>
          <w:rStyle w:val="Strong"/>
        </w:rPr>
        <w:t>for listing as</w:t>
      </w:r>
      <w:r w:rsidRPr="00B27160">
        <w:rPr>
          <w:b/>
          <w:bCs/>
          <w:lang w:eastAsia="ja-JP"/>
        </w:rPr>
        <w:t xml:space="preserve"> </w:t>
      </w:r>
      <w:sdt>
        <w:sdtPr>
          <w:rPr>
            <w:b/>
            <w:bCs/>
          </w:rPr>
          <w:id w:val="1779288282"/>
          <w:placeholder>
            <w:docPart w:val="D18535C1E5D147659FEEE18234977DE7"/>
          </w:placeholder>
          <w:dropDownList>
            <w:listItem w:displayText="Critically Endangered" w:value="Critically Endangered"/>
            <w:listItem w:displayText="Endangered" w:value="Endangered"/>
            <w:listItem w:displayText="Vulnerable" w:value="Vulnerable"/>
            <w:listItem w:displayText="Insufficient data" w:value="Insufficient data"/>
            <w:listItem w:displayText="Extinct" w:value="Extinct"/>
            <w:listItem w:displayText="Extinct in the Wild" w:value="Extinct in the Wild"/>
          </w:dropDownList>
        </w:sdtPr>
        <w:sdtEndPr/>
        <w:sdtContent>
          <w:r w:rsidRPr="00B27160">
            <w:rPr>
              <w:b/>
              <w:bCs/>
            </w:rPr>
            <w:t>Endangered</w:t>
          </w:r>
        </w:sdtContent>
      </w:sdt>
    </w:p>
    <w:p w14:paraId="32FC539A" w14:textId="27D68456" w:rsidR="00A610A8" w:rsidRDefault="00A610A8" w:rsidP="00A610A8">
      <w:r w:rsidRPr="00147096">
        <w:t xml:space="preserve">The distribution of </w:t>
      </w:r>
      <w:r w:rsidR="00CA3380" w:rsidRPr="00CA3380">
        <w:rPr>
          <w:rStyle w:val="Emphasis"/>
          <w:i w:val="0"/>
          <w:iCs w:val="0"/>
        </w:rPr>
        <w:t>Murunung Naruwi</w:t>
      </w:r>
      <w:r>
        <w:rPr>
          <w:rStyle w:val="Emphasis"/>
        </w:rPr>
        <w:t xml:space="preserve"> </w:t>
      </w:r>
      <w:r w:rsidRPr="00147096">
        <w:t xml:space="preserve">is restricted to the high country of the western </w:t>
      </w:r>
      <w:r>
        <w:t xml:space="preserve">extent of the </w:t>
      </w:r>
      <w:r>
        <w:rPr>
          <w:caps/>
        </w:rPr>
        <w:t>A</w:t>
      </w:r>
      <w:r w:rsidRPr="00147096">
        <w:t xml:space="preserve">CT </w:t>
      </w:r>
      <w:r>
        <w:t xml:space="preserve">and nearby highland areas of southern NSW </w:t>
      </w:r>
      <w:r w:rsidRPr="00324CF8">
        <w:t>(Morgan 1997; Coughran &amp; Furse 2010; Hammer &amp; Beitzel 2019; Austin et al. 2022)</w:t>
      </w:r>
      <w:r w:rsidRPr="00147096">
        <w:t>. Whilst the species can occur as low as ~600 m elevation, it is generally found in sub-alpine and alpine environments above 1000 m above sea level (Morgan 1997). Historical records and recent survey (</w:t>
      </w:r>
      <w:r>
        <w:t>Hammer and Beitzel 2019; ACT Government 2021)</w:t>
      </w:r>
      <w:r w:rsidRPr="00147096">
        <w:t xml:space="preserve"> along with molecular analysis (Austin et al. 2022) helped to resolve the range of the species. The species has a restricted distribution: EOO of </w:t>
      </w:r>
      <w:r w:rsidR="00C42D33">
        <w:t>17</w:t>
      </w:r>
      <w:r>
        <w:t>7</w:t>
      </w:r>
      <w:r w:rsidRPr="00147096">
        <w:t xml:space="preserve"> km</w:t>
      </w:r>
      <w:r w:rsidRPr="00147096">
        <w:rPr>
          <w:vertAlign w:val="superscript"/>
        </w:rPr>
        <w:t>2</w:t>
      </w:r>
      <w:r w:rsidRPr="00147096">
        <w:t xml:space="preserve"> and AOO of </w:t>
      </w:r>
      <w:r w:rsidR="00C42D33">
        <w:t>48</w:t>
      </w:r>
      <w:r w:rsidRPr="00147096">
        <w:t xml:space="preserve"> km</w:t>
      </w:r>
      <w:r w:rsidRPr="00147096">
        <w:rPr>
          <w:vertAlign w:val="superscript"/>
        </w:rPr>
        <w:t>2</w:t>
      </w:r>
      <w:r w:rsidRPr="00147096">
        <w:t>. Both the EOO and AOO are below the threshold (EOO: &lt;5000 km</w:t>
      </w:r>
      <w:r w:rsidRPr="00147096">
        <w:rPr>
          <w:vertAlign w:val="superscript"/>
        </w:rPr>
        <w:t>2</w:t>
      </w:r>
      <w:r w:rsidRPr="00147096">
        <w:t>; AOO &lt;500</w:t>
      </w:r>
      <w:r>
        <w:t> </w:t>
      </w:r>
      <w:r w:rsidRPr="00147096">
        <w:t>km</w:t>
      </w:r>
      <w:r w:rsidRPr="00147096">
        <w:rPr>
          <w:vertAlign w:val="superscript"/>
        </w:rPr>
        <w:t>2</w:t>
      </w:r>
      <w:r w:rsidRPr="00147096">
        <w:t>) for listing as Endangered</w:t>
      </w:r>
      <w:r>
        <w:t xml:space="preserve"> under B1 and B2</w:t>
      </w:r>
      <w:r w:rsidRPr="00147096">
        <w:t>.</w:t>
      </w:r>
    </w:p>
    <w:p w14:paraId="151FFBE9" w14:textId="6A2CB353" w:rsidR="00A610A8" w:rsidRDefault="00A610A8" w:rsidP="00A610A8">
      <w:pPr>
        <w:rPr>
          <w:lang w:eastAsia="ja-JP"/>
        </w:rPr>
      </w:pPr>
      <w:r>
        <w:rPr>
          <w:lang w:eastAsia="ja-JP"/>
        </w:rPr>
        <w:t xml:space="preserve">While </w:t>
      </w:r>
      <w:r w:rsidR="00CA3380" w:rsidRPr="00CA3380">
        <w:rPr>
          <w:rStyle w:val="Emphasis"/>
          <w:i w:val="0"/>
          <w:iCs w:val="0"/>
        </w:rPr>
        <w:t>Murunung Naruwi</w:t>
      </w:r>
      <w:r w:rsidRPr="00CA3380">
        <w:rPr>
          <w:rStyle w:val="Emphasis"/>
          <w:i w:val="0"/>
          <w:iCs w:val="0"/>
        </w:rPr>
        <w:t xml:space="preserve"> </w:t>
      </w:r>
      <w:r w:rsidRPr="00CA3380">
        <w:rPr>
          <w:i/>
          <w:iCs/>
          <w:lang w:eastAsia="ja-JP"/>
        </w:rPr>
        <w:t>i</w:t>
      </w:r>
      <w:r>
        <w:rPr>
          <w:lang w:eastAsia="ja-JP"/>
        </w:rPr>
        <w:t>s known from numerous sites, it is assessed to be restricted to one threat-defined location (</w:t>
      </w:r>
      <w:r w:rsidRPr="00E779C2">
        <w:rPr>
          <w:lang w:eastAsia="ja-JP"/>
        </w:rPr>
        <w:t>IUCN Standards and Petitions Committee 20</w:t>
      </w:r>
      <w:r>
        <w:rPr>
          <w:lang w:eastAsia="ja-JP"/>
        </w:rPr>
        <w:t>22</w:t>
      </w:r>
      <w:r w:rsidRPr="00E779C2">
        <w:rPr>
          <w:lang w:eastAsia="ja-JP"/>
        </w:rPr>
        <w:t xml:space="preserve">), meeting the threshold for listing as </w:t>
      </w:r>
      <w:r>
        <w:rPr>
          <w:lang w:eastAsia="ja-JP"/>
        </w:rPr>
        <w:t xml:space="preserve">Critically </w:t>
      </w:r>
      <w:r w:rsidRPr="00E779C2">
        <w:rPr>
          <w:lang w:eastAsia="ja-JP"/>
        </w:rPr>
        <w:t xml:space="preserve">Endangered under </w:t>
      </w:r>
      <w:proofErr w:type="spellStart"/>
      <w:r w:rsidRPr="00E779C2">
        <w:rPr>
          <w:lang w:eastAsia="ja-JP"/>
        </w:rPr>
        <w:t>subcriterion</w:t>
      </w:r>
      <w:proofErr w:type="spellEnd"/>
      <w:r w:rsidRPr="00E779C2">
        <w:rPr>
          <w:lang w:eastAsia="ja-JP"/>
        </w:rPr>
        <w:t xml:space="preserve"> (a).</w:t>
      </w:r>
      <w:r>
        <w:rPr>
          <w:lang w:eastAsia="ja-JP"/>
        </w:rPr>
        <w:t xml:space="preserve"> The small range of this species </w:t>
      </w:r>
      <w:r w:rsidRPr="00E779C2">
        <w:rPr>
          <w:lang w:eastAsia="ja-JP"/>
        </w:rPr>
        <w:t>is an important consideration</w:t>
      </w:r>
      <w:r>
        <w:rPr>
          <w:lang w:eastAsia="ja-JP"/>
        </w:rPr>
        <w:t xml:space="preserve"> as s</w:t>
      </w:r>
      <w:r w:rsidRPr="00E779C2">
        <w:rPr>
          <w:lang w:eastAsia="ja-JP"/>
        </w:rPr>
        <w:t>ites that are close</w:t>
      </w:r>
      <w:r>
        <w:rPr>
          <w:lang w:eastAsia="ja-JP"/>
        </w:rPr>
        <w:t xml:space="preserve"> </w:t>
      </w:r>
      <w:r w:rsidRPr="00E779C2">
        <w:rPr>
          <w:lang w:eastAsia="ja-JP"/>
        </w:rPr>
        <w:t>experience similar conditions over time (e.g.</w:t>
      </w:r>
      <w:r>
        <w:rPr>
          <w:lang w:eastAsia="ja-JP"/>
        </w:rPr>
        <w:t>,</w:t>
      </w:r>
      <w:r w:rsidRPr="00E779C2">
        <w:rPr>
          <w:lang w:eastAsia="ja-JP"/>
        </w:rPr>
        <w:t xml:space="preserve"> weather, temperature</w:t>
      </w:r>
      <w:r>
        <w:rPr>
          <w:lang w:eastAsia="ja-JP"/>
        </w:rPr>
        <w:t>, fire</w:t>
      </w:r>
      <w:r w:rsidRPr="00E779C2">
        <w:rPr>
          <w:lang w:eastAsia="ja-JP"/>
        </w:rPr>
        <w:t>) compared to sites that are at greater distance from each other. Therefore,</w:t>
      </w:r>
      <w:r>
        <w:rPr>
          <w:lang w:eastAsia="ja-JP"/>
        </w:rPr>
        <w:t xml:space="preserve"> major</w:t>
      </w:r>
      <w:r w:rsidRPr="00E779C2">
        <w:rPr>
          <w:lang w:eastAsia="ja-JP"/>
        </w:rPr>
        <w:t xml:space="preserve"> threats </w:t>
      </w:r>
      <w:r>
        <w:rPr>
          <w:lang w:eastAsia="ja-JP"/>
        </w:rPr>
        <w:t xml:space="preserve">associated with climate change and fire </w:t>
      </w:r>
      <w:r w:rsidRPr="00E779C2">
        <w:rPr>
          <w:lang w:eastAsia="ja-JP"/>
        </w:rPr>
        <w:t>are likely to be experienced in a relatively uniform fashion across all</w:t>
      </w:r>
      <w:r>
        <w:rPr>
          <w:lang w:eastAsia="ja-JP"/>
        </w:rPr>
        <w:t xml:space="preserve"> </w:t>
      </w:r>
      <w:r w:rsidRPr="00E779C2">
        <w:rPr>
          <w:lang w:eastAsia="ja-JP"/>
        </w:rPr>
        <w:t>sites</w:t>
      </w:r>
      <w:r>
        <w:rPr>
          <w:lang w:eastAsia="ja-JP"/>
        </w:rPr>
        <w:t>.</w:t>
      </w:r>
    </w:p>
    <w:p w14:paraId="070FDFA2" w14:textId="20609BF6" w:rsidR="00A610A8" w:rsidRDefault="00A610A8" w:rsidP="00A610A8">
      <w:pPr>
        <w:rPr>
          <w:lang w:eastAsia="ja-JP"/>
        </w:rPr>
      </w:pPr>
      <w:r w:rsidRPr="1C17B0FB">
        <w:rPr>
          <w:lang w:eastAsia="ja-JP"/>
        </w:rPr>
        <w:t xml:space="preserve">It is </w:t>
      </w:r>
      <w:r>
        <w:rPr>
          <w:lang w:eastAsia="ja-JP"/>
        </w:rPr>
        <w:t>projected</w:t>
      </w:r>
      <w:r w:rsidRPr="1C17B0FB">
        <w:rPr>
          <w:lang w:eastAsia="ja-JP"/>
        </w:rPr>
        <w:t xml:space="preserve"> that there will be a decline in area, extent and/or quality of habitat</w:t>
      </w:r>
      <w:r>
        <w:rPr>
          <w:lang w:eastAsia="ja-JP"/>
        </w:rPr>
        <w:t xml:space="preserve"> </w:t>
      </w:r>
      <w:r w:rsidRPr="1C17B0FB">
        <w:rPr>
          <w:lang w:eastAsia="ja-JP"/>
        </w:rPr>
        <w:t xml:space="preserve">due to impacts of climate change (principally increasing temperature, reduced moisture availability and extreme weather events) and </w:t>
      </w:r>
      <w:r>
        <w:rPr>
          <w:lang w:eastAsia="ja-JP"/>
        </w:rPr>
        <w:t>bush</w:t>
      </w:r>
      <w:r w:rsidRPr="1C17B0FB">
        <w:rPr>
          <w:lang w:eastAsia="ja-JP"/>
        </w:rPr>
        <w:t>fire</w:t>
      </w:r>
      <w:r>
        <w:rPr>
          <w:lang w:eastAsia="ja-JP"/>
        </w:rPr>
        <w:t>s (and post-fire impacts of invasive ungulates)</w:t>
      </w:r>
      <w:r w:rsidRPr="1C17B0FB">
        <w:rPr>
          <w:lang w:eastAsia="ja-JP"/>
        </w:rPr>
        <w:t xml:space="preserve"> satisfying </w:t>
      </w:r>
      <w:proofErr w:type="spellStart"/>
      <w:r w:rsidRPr="1C17B0FB">
        <w:rPr>
          <w:lang w:eastAsia="ja-JP"/>
        </w:rPr>
        <w:t>subcriterion</w:t>
      </w:r>
      <w:proofErr w:type="spellEnd"/>
      <w:r w:rsidRPr="1C17B0FB">
        <w:rPr>
          <w:lang w:eastAsia="ja-JP"/>
        </w:rPr>
        <w:t xml:space="preserve"> (b)(iii).</w:t>
      </w:r>
      <w:r>
        <w:rPr>
          <w:lang w:eastAsia="ja-JP"/>
        </w:rPr>
        <w:t xml:space="preserve"> </w:t>
      </w:r>
      <w:r w:rsidRPr="00664E6F">
        <w:rPr>
          <w:lang w:eastAsia="ja-JP"/>
        </w:rPr>
        <w:t>The mean annual temperature is expected to increase in the ACT by 0.7°C in the near future (2020</w:t>
      </w:r>
      <w:r>
        <w:rPr>
          <w:lang w:eastAsia="ja-JP"/>
        </w:rPr>
        <w:t>–</w:t>
      </w:r>
      <w:r w:rsidRPr="00664E6F">
        <w:rPr>
          <w:lang w:eastAsia="ja-JP"/>
        </w:rPr>
        <w:t xml:space="preserve">39) and </w:t>
      </w:r>
      <w:r w:rsidRPr="00664E6F">
        <w:rPr>
          <w:lang w:eastAsia="ja-JP"/>
        </w:rPr>
        <w:lastRenderedPageBreak/>
        <w:t>2°C longer term (2060</w:t>
      </w:r>
      <w:r>
        <w:rPr>
          <w:lang w:eastAsia="ja-JP"/>
        </w:rPr>
        <w:t>–</w:t>
      </w:r>
      <w:r w:rsidRPr="00664E6F">
        <w:rPr>
          <w:lang w:eastAsia="ja-JP"/>
        </w:rPr>
        <w:t xml:space="preserve">79) (OEH 2014). </w:t>
      </w:r>
      <w:r w:rsidR="00CA3380" w:rsidRPr="00CA3380">
        <w:rPr>
          <w:rStyle w:val="Emphasis"/>
          <w:i w:val="0"/>
          <w:iCs w:val="0"/>
        </w:rPr>
        <w:t>Murunung Naruwi</w:t>
      </w:r>
      <w:r>
        <w:rPr>
          <w:rStyle w:val="Emphasis"/>
        </w:rPr>
        <w:t xml:space="preserve"> </w:t>
      </w:r>
      <w:r w:rsidRPr="00664E6F">
        <w:rPr>
          <w:lang w:eastAsia="ja-JP"/>
        </w:rPr>
        <w:t xml:space="preserve">likely </w:t>
      </w:r>
      <w:r>
        <w:rPr>
          <w:lang w:eastAsia="ja-JP"/>
        </w:rPr>
        <w:t>lack</w:t>
      </w:r>
      <w:r w:rsidRPr="00664E6F">
        <w:rPr>
          <w:lang w:eastAsia="ja-JP"/>
        </w:rPr>
        <w:t xml:space="preserve"> the capacity to physiologically adapt or relocate to cooler areas as temperatures increase (Lowe et al. 2010; Bone et al. 2015, 2017). This will probably lead to altitudinal compression of habitat as there is limited scope for up-slope migration of this species and overland dispersal to other suitably cool environments is blocked by the warm lowlands (Ponniah &amp; Hughes 2004; Furse et al. 201</w:t>
      </w:r>
      <w:r w:rsidR="005F2ED5">
        <w:rPr>
          <w:lang w:eastAsia="ja-JP"/>
        </w:rPr>
        <w:t>1</w:t>
      </w:r>
      <w:r w:rsidRPr="00664E6F">
        <w:rPr>
          <w:lang w:eastAsia="ja-JP"/>
        </w:rPr>
        <w:t>a; Bone et al. 2014).</w:t>
      </w:r>
    </w:p>
    <w:p w14:paraId="0702EFFE" w14:textId="3A0A3943" w:rsidR="00A610A8" w:rsidRPr="007843F6" w:rsidRDefault="00A610A8" w:rsidP="00A610A8">
      <w:r w:rsidRPr="007843F6">
        <w:t xml:space="preserve">The above data indicate </w:t>
      </w:r>
      <w:r w:rsidR="00CA3380" w:rsidRPr="00CA3380">
        <w:rPr>
          <w:rStyle w:val="Emphasis"/>
          <w:i w:val="0"/>
          <w:iCs w:val="0"/>
          <w:sz w:val="22"/>
          <w:szCs w:val="22"/>
        </w:rPr>
        <w:t>Murunung Naruwi</w:t>
      </w:r>
      <w:r w:rsidRPr="00CA3380">
        <w:rPr>
          <w:rStyle w:val="Emphasis"/>
          <w:i w:val="0"/>
          <w:iCs w:val="0"/>
          <w:sz w:val="22"/>
          <w:szCs w:val="22"/>
        </w:rPr>
        <w:t xml:space="preserve"> </w:t>
      </w:r>
      <w:r w:rsidRPr="007843F6">
        <w:t>is eligible for listing as Endangered B1ab(</w:t>
      </w:r>
      <w:proofErr w:type="spellStart"/>
      <w:r w:rsidRPr="007843F6">
        <w:t>iii,v</w:t>
      </w:r>
      <w:proofErr w:type="spellEnd"/>
      <w:r w:rsidRPr="007843F6">
        <w:t>)+2ab(</w:t>
      </w:r>
      <w:proofErr w:type="spellStart"/>
      <w:r w:rsidRPr="007843F6">
        <w:t>iii,v</w:t>
      </w:r>
      <w:proofErr w:type="spellEnd"/>
      <w:r w:rsidRPr="007843F6">
        <w:t xml:space="preserve">) under this criterion. </w:t>
      </w:r>
    </w:p>
    <w:p w14:paraId="1D19AE1C" w14:textId="77777777" w:rsidR="003548C1" w:rsidRPr="00A610A8" w:rsidRDefault="003548C1" w:rsidP="003548C1">
      <w:pPr>
        <w:keepNext/>
        <w:spacing w:after="120" w:line="240" w:lineRule="auto"/>
        <w:rPr>
          <w:rFonts w:ascii="Calibri" w:hAnsi="Calibri"/>
          <w:b/>
          <w:bCs/>
          <w:sz w:val="28"/>
          <w:szCs w:val="28"/>
          <w:lang w:eastAsia="ja-JP"/>
        </w:rPr>
      </w:pPr>
      <w:r w:rsidRPr="00A610A8">
        <w:rPr>
          <w:rFonts w:ascii="Calibri" w:hAnsi="Calibri"/>
          <w:b/>
          <w:bCs/>
          <w:sz w:val="28"/>
          <w:szCs w:val="28"/>
          <w:lang w:eastAsia="ja-JP"/>
        </w:rPr>
        <w:t>Criterion 3 Population size and decline</w:t>
      </w:r>
    </w:p>
    <w:tbl>
      <w:tblPr>
        <w:tblStyle w:val="TableGrid1"/>
        <w:tblW w:w="0" w:type="auto"/>
        <w:tblCellMar>
          <w:top w:w="57" w:type="dxa"/>
          <w:left w:w="85" w:type="dxa"/>
          <w:bottom w:w="57" w:type="dxa"/>
        </w:tblCellMar>
        <w:tblLook w:val="04A0" w:firstRow="1" w:lastRow="0" w:firstColumn="1" w:lastColumn="0" w:noHBand="0" w:noVBand="1"/>
      </w:tblPr>
      <w:tblGrid>
        <w:gridCol w:w="419"/>
        <w:gridCol w:w="2958"/>
        <w:gridCol w:w="1921"/>
        <w:gridCol w:w="1825"/>
        <w:gridCol w:w="1893"/>
      </w:tblGrid>
      <w:tr w:rsidR="003548C1" w:rsidRPr="003548C1" w14:paraId="13B297CC" w14:textId="77777777" w:rsidTr="007E5C85">
        <w:trPr>
          <w:trHeight w:val="350"/>
        </w:trPr>
        <w:tc>
          <w:tcPr>
            <w:tcW w:w="9060" w:type="dxa"/>
            <w:gridSpan w:val="5"/>
            <w:tcBorders>
              <w:left w:val="single" w:sz="4" w:space="0" w:color="auto"/>
              <w:bottom w:val="nil"/>
              <w:right w:val="single" w:sz="4" w:space="0" w:color="auto"/>
            </w:tcBorders>
            <w:shd w:val="clear" w:color="auto" w:fill="595959" w:themeFill="text1" w:themeFillTint="A6"/>
            <w:vAlign w:val="center"/>
          </w:tcPr>
          <w:p w14:paraId="7D3920F7" w14:textId="77777777" w:rsidR="003548C1" w:rsidRPr="003548C1" w:rsidRDefault="003548C1" w:rsidP="003548C1">
            <w:pPr>
              <w:keepNext/>
              <w:tabs>
                <w:tab w:val="left" w:pos="284"/>
              </w:tabs>
              <w:rPr>
                <w:rFonts w:ascii="Arial" w:hAnsi="Arial" w:cs="Arial"/>
                <w:b/>
                <w:color w:val="FFFFFF" w:themeColor="background1"/>
                <w:sz w:val="18"/>
                <w:szCs w:val="22"/>
              </w:rPr>
            </w:pPr>
          </w:p>
        </w:tc>
      </w:tr>
      <w:tr w:rsidR="003548C1" w:rsidRPr="003548C1" w14:paraId="61AB67D0" w14:textId="77777777" w:rsidTr="007E5C85">
        <w:tc>
          <w:tcPr>
            <w:tcW w:w="3395" w:type="dxa"/>
            <w:gridSpan w:val="2"/>
            <w:tcBorders>
              <w:top w:val="nil"/>
              <w:left w:val="single" w:sz="4" w:space="0" w:color="auto"/>
              <w:bottom w:val="nil"/>
              <w:right w:val="nil"/>
            </w:tcBorders>
          </w:tcPr>
          <w:p w14:paraId="45762E86" w14:textId="77777777" w:rsidR="003548C1" w:rsidRPr="003548C1" w:rsidRDefault="003548C1" w:rsidP="003548C1">
            <w:pPr>
              <w:keepNext/>
              <w:rPr>
                <w:sz w:val="18"/>
                <w:szCs w:val="22"/>
              </w:rPr>
            </w:pPr>
            <w:r w:rsidRPr="003548C1">
              <w:rPr>
                <w:color w:val="FFFFFF" w:themeColor="background1"/>
                <w:sz w:val="18"/>
                <w:szCs w:val="22"/>
              </w:rPr>
              <w:t>–</w:t>
            </w:r>
          </w:p>
        </w:tc>
        <w:tc>
          <w:tcPr>
            <w:tcW w:w="1930" w:type="dxa"/>
            <w:tcBorders>
              <w:top w:val="single" w:sz="4" w:space="0" w:color="FFFFFF" w:themeColor="background1"/>
              <w:left w:val="nil"/>
              <w:bottom w:val="nil"/>
              <w:right w:val="single" w:sz="4" w:space="0" w:color="FFFFFF" w:themeColor="background1"/>
            </w:tcBorders>
            <w:shd w:val="clear" w:color="auto" w:fill="FF0000"/>
          </w:tcPr>
          <w:p w14:paraId="61E3941C" w14:textId="77777777" w:rsidR="003548C1" w:rsidRPr="003548C1" w:rsidRDefault="003548C1" w:rsidP="003548C1">
            <w:pPr>
              <w:keepNext/>
              <w:rPr>
                <w:b/>
                <w:sz w:val="18"/>
                <w:szCs w:val="22"/>
              </w:rPr>
            </w:pPr>
            <w:r w:rsidRPr="003548C1">
              <w:rPr>
                <w:b/>
                <w:sz w:val="18"/>
                <w:szCs w:val="22"/>
              </w:rPr>
              <w:t>Critically Endangered</w:t>
            </w:r>
          </w:p>
          <w:p w14:paraId="72B5D04F" w14:textId="77777777" w:rsidR="003548C1" w:rsidRPr="003548C1" w:rsidRDefault="003548C1" w:rsidP="003548C1">
            <w:pPr>
              <w:keepNext/>
              <w:rPr>
                <w:b/>
                <w:sz w:val="18"/>
                <w:szCs w:val="22"/>
              </w:rPr>
            </w:pPr>
            <w:r w:rsidRPr="003548C1">
              <w:rPr>
                <w:b/>
                <w:sz w:val="18"/>
                <w:szCs w:val="22"/>
              </w:rPr>
              <w:t>Very low</w:t>
            </w:r>
          </w:p>
        </w:tc>
        <w:tc>
          <w:tcPr>
            <w:tcW w:w="1833" w:type="dxa"/>
            <w:tcBorders>
              <w:top w:val="single" w:sz="4" w:space="0" w:color="FFFFFF" w:themeColor="background1"/>
              <w:left w:val="single" w:sz="4" w:space="0" w:color="FFFFFF" w:themeColor="background1"/>
              <w:bottom w:val="nil"/>
              <w:right w:val="single" w:sz="4" w:space="0" w:color="FFFFFF" w:themeColor="background1"/>
            </w:tcBorders>
            <w:shd w:val="clear" w:color="auto" w:fill="FF6600"/>
          </w:tcPr>
          <w:p w14:paraId="4405543F" w14:textId="77777777" w:rsidR="003548C1" w:rsidRPr="003548C1" w:rsidRDefault="003548C1" w:rsidP="003548C1">
            <w:pPr>
              <w:keepNext/>
              <w:rPr>
                <w:b/>
                <w:sz w:val="18"/>
                <w:szCs w:val="22"/>
              </w:rPr>
            </w:pPr>
            <w:r w:rsidRPr="003548C1">
              <w:rPr>
                <w:b/>
                <w:sz w:val="18"/>
                <w:szCs w:val="22"/>
              </w:rPr>
              <w:t>Endangered</w:t>
            </w:r>
          </w:p>
          <w:p w14:paraId="1B7DBDF2" w14:textId="77777777" w:rsidR="003548C1" w:rsidRPr="003548C1" w:rsidRDefault="003548C1" w:rsidP="003548C1">
            <w:pPr>
              <w:keepNext/>
              <w:rPr>
                <w:b/>
                <w:sz w:val="18"/>
                <w:szCs w:val="22"/>
              </w:rPr>
            </w:pPr>
            <w:r w:rsidRPr="003548C1">
              <w:rPr>
                <w:b/>
                <w:sz w:val="18"/>
                <w:szCs w:val="22"/>
              </w:rPr>
              <w:t>Low</w:t>
            </w:r>
          </w:p>
        </w:tc>
        <w:tc>
          <w:tcPr>
            <w:tcW w:w="1902" w:type="dxa"/>
            <w:tcBorders>
              <w:top w:val="single" w:sz="4" w:space="0" w:color="FFFFFF" w:themeColor="background1"/>
              <w:left w:val="single" w:sz="4" w:space="0" w:color="FFFFFF" w:themeColor="background1"/>
              <w:bottom w:val="nil"/>
              <w:right w:val="single" w:sz="4" w:space="0" w:color="auto"/>
            </w:tcBorders>
            <w:shd w:val="clear" w:color="auto" w:fill="FFFF00"/>
          </w:tcPr>
          <w:p w14:paraId="41ECA436" w14:textId="77777777" w:rsidR="003548C1" w:rsidRPr="003548C1" w:rsidRDefault="003548C1" w:rsidP="003548C1">
            <w:pPr>
              <w:keepNext/>
              <w:rPr>
                <w:b/>
                <w:sz w:val="18"/>
                <w:szCs w:val="22"/>
              </w:rPr>
            </w:pPr>
            <w:r w:rsidRPr="003548C1">
              <w:rPr>
                <w:b/>
                <w:sz w:val="18"/>
                <w:szCs w:val="22"/>
              </w:rPr>
              <w:t>Vulnerable</w:t>
            </w:r>
          </w:p>
          <w:p w14:paraId="2E648768" w14:textId="77777777" w:rsidR="003548C1" w:rsidRPr="003548C1" w:rsidRDefault="003548C1" w:rsidP="003548C1">
            <w:pPr>
              <w:keepNext/>
              <w:rPr>
                <w:b/>
                <w:sz w:val="18"/>
                <w:szCs w:val="22"/>
              </w:rPr>
            </w:pPr>
            <w:r w:rsidRPr="003548C1">
              <w:rPr>
                <w:b/>
                <w:sz w:val="18"/>
                <w:szCs w:val="22"/>
              </w:rPr>
              <w:t>Limited</w:t>
            </w:r>
          </w:p>
        </w:tc>
      </w:tr>
      <w:tr w:rsidR="003548C1" w:rsidRPr="003548C1" w14:paraId="71F7A4AF" w14:textId="77777777" w:rsidTr="007E5C85">
        <w:tc>
          <w:tcPr>
            <w:tcW w:w="3395" w:type="dxa"/>
            <w:gridSpan w:val="2"/>
            <w:tcBorders>
              <w:top w:val="nil"/>
              <w:left w:val="single" w:sz="4" w:space="0" w:color="auto"/>
              <w:bottom w:val="single" w:sz="4" w:space="0" w:color="FFFFFF" w:themeColor="background1"/>
              <w:right w:val="nil"/>
            </w:tcBorders>
            <w:shd w:val="clear" w:color="auto" w:fill="BFBFBF" w:themeFill="background1" w:themeFillShade="BF"/>
          </w:tcPr>
          <w:p w14:paraId="07BA77E6" w14:textId="77777777" w:rsidR="003548C1" w:rsidRPr="003548C1" w:rsidRDefault="003548C1" w:rsidP="003548C1">
            <w:pPr>
              <w:keepNext/>
              <w:rPr>
                <w:sz w:val="18"/>
                <w:szCs w:val="22"/>
              </w:rPr>
            </w:pPr>
            <w:r w:rsidRPr="003548C1">
              <w:rPr>
                <w:sz w:val="18"/>
                <w:szCs w:val="22"/>
              </w:rPr>
              <w:t>Estimated number of mature individuals</w:t>
            </w:r>
          </w:p>
        </w:tc>
        <w:tc>
          <w:tcPr>
            <w:tcW w:w="1930" w:type="dxa"/>
            <w:tcBorders>
              <w:top w:val="nil"/>
              <w:left w:val="nil"/>
              <w:bottom w:val="single" w:sz="4" w:space="0" w:color="FFFFFF" w:themeColor="background1"/>
              <w:right w:val="single" w:sz="4" w:space="0" w:color="FFFFFF" w:themeColor="background1"/>
            </w:tcBorders>
            <w:shd w:val="clear" w:color="auto" w:fill="FF7C80"/>
          </w:tcPr>
          <w:p w14:paraId="17966429" w14:textId="77777777" w:rsidR="003548C1" w:rsidRPr="003548C1" w:rsidRDefault="003548C1" w:rsidP="003548C1">
            <w:pPr>
              <w:keepNext/>
              <w:rPr>
                <w:b/>
                <w:sz w:val="18"/>
                <w:szCs w:val="22"/>
              </w:rPr>
            </w:pPr>
            <w:r w:rsidRPr="003548C1">
              <w:rPr>
                <w:b/>
                <w:sz w:val="18"/>
                <w:szCs w:val="22"/>
              </w:rPr>
              <w:t>&lt; 250</w:t>
            </w:r>
          </w:p>
        </w:tc>
        <w:tc>
          <w:tcPr>
            <w:tcW w:w="1833" w:type="dxa"/>
            <w:tcBorders>
              <w:top w:val="nil"/>
              <w:left w:val="single" w:sz="4" w:space="0" w:color="FFFFFF" w:themeColor="background1"/>
              <w:bottom w:val="single" w:sz="4" w:space="0" w:color="FFFFFF" w:themeColor="background1"/>
              <w:right w:val="single" w:sz="4" w:space="0" w:color="FFFFFF" w:themeColor="background1"/>
            </w:tcBorders>
            <w:shd w:val="clear" w:color="auto" w:fill="FF9933"/>
          </w:tcPr>
          <w:p w14:paraId="7F8D35CF" w14:textId="77777777" w:rsidR="003548C1" w:rsidRPr="003548C1" w:rsidRDefault="003548C1" w:rsidP="003548C1">
            <w:pPr>
              <w:keepNext/>
              <w:rPr>
                <w:sz w:val="18"/>
                <w:szCs w:val="22"/>
              </w:rPr>
            </w:pPr>
            <w:r w:rsidRPr="003548C1">
              <w:rPr>
                <w:b/>
                <w:sz w:val="18"/>
                <w:szCs w:val="22"/>
              </w:rPr>
              <w:t xml:space="preserve">&lt; 2,500 </w:t>
            </w:r>
          </w:p>
        </w:tc>
        <w:tc>
          <w:tcPr>
            <w:tcW w:w="1902" w:type="dxa"/>
            <w:tcBorders>
              <w:top w:val="nil"/>
              <w:left w:val="single" w:sz="4" w:space="0" w:color="FFFFFF" w:themeColor="background1"/>
              <w:bottom w:val="single" w:sz="4" w:space="0" w:color="FFFFFF" w:themeColor="background1"/>
              <w:right w:val="single" w:sz="4" w:space="0" w:color="auto"/>
            </w:tcBorders>
            <w:shd w:val="clear" w:color="auto" w:fill="FFFF66"/>
          </w:tcPr>
          <w:p w14:paraId="675639E3" w14:textId="77777777" w:rsidR="003548C1" w:rsidRPr="003548C1" w:rsidRDefault="003548C1" w:rsidP="003548C1">
            <w:pPr>
              <w:keepNext/>
              <w:rPr>
                <w:sz w:val="18"/>
                <w:szCs w:val="22"/>
              </w:rPr>
            </w:pPr>
            <w:r w:rsidRPr="003548C1">
              <w:rPr>
                <w:b/>
                <w:sz w:val="18"/>
                <w:szCs w:val="22"/>
              </w:rPr>
              <w:t xml:space="preserve">&lt; 10,000 </w:t>
            </w:r>
          </w:p>
        </w:tc>
      </w:tr>
      <w:tr w:rsidR="003548C1" w:rsidRPr="003548C1" w14:paraId="400B9EA8" w14:textId="77777777" w:rsidTr="007E5C85">
        <w:tc>
          <w:tcPr>
            <w:tcW w:w="3395" w:type="dxa"/>
            <w:gridSpan w:val="2"/>
            <w:tcBorders>
              <w:top w:val="nil"/>
              <w:left w:val="single" w:sz="4" w:space="0" w:color="auto"/>
              <w:bottom w:val="single" w:sz="4" w:space="0" w:color="FFFFFF" w:themeColor="background1"/>
              <w:right w:val="nil"/>
            </w:tcBorders>
          </w:tcPr>
          <w:p w14:paraId="4475CB01" w14:textId="77777777" w:rsidR="003548C1" w:rsidRPr="003548C1" w:rsidRDefault="003548C1" w:rsidP="003548C1">
            <w:pPr>
              <w:keepNext/>
              <w:rPr>
                <w:sz w:val="18"/>
                <w:szCs w:val="22"/>
              </w:rPr>
            </w:pPr>
            <w:r w:rsidRPr="003548C1">
              <w:rPr>
                <w:sz w:val="18"/>
                <w:szCs w:val="22"/>
              </w:rPr>
              <w:t>AND either (C1) or (C2) is true</w:t>
            </w:r>
          </w:p>
        </w:tc>
        <w:tc>
          <w:tcPr>
            <w:tcW w:w="1930" w:type="dxa"/>
            <w:tcBorders>
              <w:top w:val="nil"/>
              <w:left w:val="nil"/>
              <w:bottom w:val="single" w:sz="4" w:space="0" w:color="FFFFFF" w:themeColor="background1"/>
              <w:right w:val="single" w:sz="4" w:space="0" w:color="FFFFFF" w:themeColor="background1"/>
            </w:tcBorders>
          </w:tcPr>
          <w:p w14:paraId="75F9C1E6" w14:textId="77777777" w:rsidR="003548C1" w:rsidRPr="003548C1" w:rsidRDefault="003548C1" w:rsidP="003548C1">
            <w:pPr>
              <w:keepNext/>
              <w:rPr>
                <w:b/>
                <w:sz w:val="18"/>
                <w:szCs w:val="22"/>
              </w:rPr>
            </w:pPr>
          </w:p>
        </w:tc>
        <w:tc>
          <w:tcPr>
            <w:tcW w:w="1833" w:type="dxa"/>
            <w:tcBorders>
              <w:top w:val="nil"/>
              <w:left w:val="single" w:sz="4" w:space="0" w:color="FFFFFF" w:themeColor="background1"/>
              <w:bottom w:val="single" w:sz="4" w:space="0" w:color="FFFFFF" w:themeColor="background1"/>
              <w:right w:val="single" w:sz="4" w:space="0" w:color="FFFFFF" w:themeColor="background1"/>
            </w:tcBorders>
          </w:tcPr>
          <w:p w14:paraId="09907AE9" w14:textId="77777777" w:rsidR="003548C1" w:rsidRPr="003548C1" w:rsidRDefault="003548C1" w:rsidP="003548C1">
            <w:pPr>
              <w:keepNext/>
              <w:rPr>
                <w:b/>
                <w:sz w:val="18"/>
                <w:szCs w:val="22"/>
              </w:rPr>
            </w:pPr>
          </w:p>
        </w:tc>
        <w:tc>
          <w:tcPr>
            <w:tcW w:w="1902" w:type="dxa"/>
            <w:tcBorders>
              <w:top w:val="nil"/>
              <w:left w:val="single" w:sz="4" w:space="0" w:color="FFFFFF" w:themeColor="background1"/>
              <w:bottom w:val="single" w:sz="4" w:space="0" w:color="FFFFFF" w:themeColor="background1"/>
              <w:right w:val="single" w:sz="4" w:space="0" w:color="auto"/>
            </w:tcBorders>
          </w:tcPr>
          <w:p w14:paraId="06C7F4EB" w14:textId="77777777" w:rsidR="003548C1" w:rsidRPr="003548C1" w:rsidRDefault="003548C1" w:rsidP="003548C1">
            <w:pPr>
              <w:keepNext/>
              <w:rPr>
                <w:b/>
                <w:sz w:val="18"/>
                <w:szCs w:val="22"/>
              </w:rPr>
            </w:pPr>
          </w:p>
        </w:tc>
      </w:tr>
      <w:tr w:rsidR="003548C1" w:rsidRPr="003548C1" w14:paraId="2BD7F7FC" w14:textId="77777777" w:rsidTr="007E5C85">
        <w:tc>
          <w:tcPr>
            <w:tcW w:w="3395" w:type="dxa"/>
            <w:gridSpan w:val="2"/>
            <w:tcBorders>
              <w:top w:val="single" w:sz="4" w:space="0" w:color="FFFFFF" w:themeColor="background1"/>
              <w:left w:val="single" w:sz="4" w:space="0" w:color="auto"/>
              <w:bottom w:val="nil"/>
              <w:right w:val="nil"/>
            </w:tcBorders>
            <w:shd w:val="clear" w:color="auto" w:fill="BFBFBF" w:themeFill="background1" w:themeFillShade="BF"/>
          </w:tcPr>
          <w:p w14:paraId="18D27138" w14:textId="77777777" w:rsidR="003548C1" w:rsidRPr="003548C1" w:rsidRDefault="003548C1" w:rsidP="003548C1">
            <w:pPr>
              <w:keepNext/>
              <w:ind w:left="334" w:hanging="334"/>
              <w:rPr>
                <w:sz w:val="18"/>
                <w:szCs w:val="22"/>
              </w:rPr>
            </w:pPr>
            <w:r w:rsidRPr="003548C1">
              <w:rPr>
                <w:b/>
                <w:bCs/>
                <w:sz w:val="18"/>
                <w:szCs w:val="22"/>
              </w:rPr>
              <w:t>C1.</w:t>
            </w:r>
            <w:r w:rsidRPr="003548C1">
              <w:rPr>
                <w:sz w:val="18"/>
                <w:szCs w:val="22"/>
              </w:rPr>
              <w:tab/>
              <w:t>An observed, estimated or projected continuing decline of at least (up to a max. of 100 years in future)</w:t>
            </w:r>
          </w:p>
        </w:tc>
        <w:tc>
          <w:tcPr>
            <w:tcW w:w="1930" w:type="dxa"/>
            <w:tcBorders>
              <w:top w:val="single" w:sz="4" w:space="0" w:color="FFFFFF" w:themeColor="background1"/>
              <w:left w:val="nil"/>
              <w:bottom w:val="nil"/>
              <w:right w:val="single" w:sz="4" w:space="0" w:color="FFFFFF" w:themeColor="background1"/>
            </w:tcBorders>
            <w:shd w:val="clear" w:color="auto" w:fill="FF7C80"/>
          </w:tcPr>
          <w:p w14:paraId="5C4E312E" w14:textId="77777777" w:rsidR="003548C1" w:rsidRPr="003548C1" w:rsidRDefault="003548C1" w:rsidP="003548C1">
            <w:pPr>
              <w:keepNext/>
              <w:rPr>
                <w:b/>
                <w:sz w:val="18"/>
                <w:szCs w:val="22"/>
              </w:rPr>
            </w:pPr>
            <w:r w:rsidRPr="003548C1">
              <w:rPr>
                <w:b/>
                <w:sz w:val="18"/>
                <w:szCs w:val="22"/>
              </w:rPr>
              <w:t>Very high rate</w:t>
            </w:r>
          </w:p>
          <w:p w14:paraId="3EC1A89F" w14:textId="77777777" w:rsidR="003548C1" w:rsidRPr="003548C1" w:rsidRDefault="003548C1" w:rsidP="003548C1">
            <w:pPr>
              <w:keepNext/>
              <w:rPr>
                <w:b/>
                <w:sz w:val="18"/>
                <w:szCs w:val="22"/>
              </w:rPr>
            </w:pPr>
            <w:r w:rsidRPr="003548C1">
              <w:rPr>
                <w:b/>
                <w:sz w:val="18"/>
                <w:szCs w:val="22"/>
              </w:rPr>
              <w:t>25% in 3 years or 1 generation</w:t>
            </w:r>
          </w:p>
          <w:p w14:paraId="266EBFB8" w14:textId="77777777" w:rsidR="003548C1" w:rsidRPr="003548C1" w:rsidRDefault="003548C1" w:rsidP="003548C1">
            <w:pPr>
              <w:keepNext/>
              <w:rPr>
                <w:b/>
                <w:sz w:val="18"/>
                <w:szCs w:val="22"/>
              </w:rPr>
            </w:pPr>
            <w:r w:rsidRPr="003548C1">
              <w:rPr>
                <w:b/>
                <w:sz w:val="18"/>
                <w:szCs w:val="22"/>
              </w:rPr>
              <w:t>(whichever is longer)</w:t>
            </w:r>
          </w:p>
        </w:tc>
        <w:tc>
          <w:tcPr>
            <w:tcW w:w="1833" w:type="dxa"/>
            <w:tcBorders>
              <w:top w:val="single" w:sz="4" w:space="0" w:color="FFFFFF" w:themeColor="background1"/>
              <w:left w:val="single" w:sz="4" w:space="0" w:color="FFFFFF" w:themeColor="background1"/>
              <w:bottom w:val="nil"/>
              <w:right w:val="single" w:sz="4" w:space="0" w:color="FFFFFF" w:themeColor="background1"/>
            </w:tcBorders>
            <w:shd w:val="clear" w:color="auto" w:fill="FF9933"/>
          </w:tcPr>
          <w:p w14:paraId="01BDB52A" w14:textId="77777777" w:rsidR="003548C1" w:rsidRPr="003548C1" w:rsidRDefault="003548C1" w:rsidP="003548C1">
            <w:pPr>
              <w:keepNext/>
              <w:rPr>
                <w:b/>
                <w:sz w:val="18"/>
                <w:szCs w:val="22"/>
              </w:rPr>
            </w:pPr>
            <w:r w:rsidRPr="003548C1">
              <w:rPr>
                <w:b/>
                <w:sz w:val="18"/>
                <w:szCs w:val="22"/>
              </w:rPr>
              <w:t>High rate</w:t>
            </w:r>
          </w:p>
          <w:p w14:paraId="65DBAC07" w14:textId="77777777" w:rsidR="003548C1" w:rsidRPr="003548C1" w:rsidRDefault="003548C1" w:rsidP="003548C1">
            <w:pPr>
              <w:keepNext/>
              <w:rPr>
                <w:b/>
                <w:sz w:val="18"/>
                <w:szCs w:val="22"/>
              </w:rPr>
            </w:pPr>
            <w:r w:rsidRPr="003548C1">
              <w:rPr>
                <w:b/>
                <w:sz w:val="18"/>
                <w:szCs w:val="22"/>
              </w:rPr>
              <w:t>20% in 5 years or 2 generation</w:t>
            </w:r>
          </w:p>
          <w:p w14:paraId="376362FC" w14:textId="77777777" w:rsidR="003548C1" w:rsidRPr="003548C1" w:rsidRDefault="003548C1" w:rsidP="003548C1">
            <w:pPr>
              <w:keepNext/>
              <w:rPr>
                <w:b/>
                <w:sz w:val="18"/>
                <w:szCs w:val="22"/>
              </w:rPr>
            </w:pPr>
            <w:r w:rsidRPr="003548C1">
              <w:rPr>
                <w:b/>
                <w:sz w:val="18"/>
                <w:szCs w:val="22"/>
              </w:rPr>
              <w:t>(whichever is longer)</w:t>
            </w:r>
          </w:p>
        </w:tc>
        <w:tc>
          <w:tcPr>
            <w:tcW w:w="1902" w:type="dxa"/>
            <w:tcBorders>
              <w:top w:val="single" w:sz="4" w:space="0" w:color="FFFFFF" w:themeColor="background1"/>
              <w:left w:val="single" w:sz="4" w:space="0" w:color="FFFFFF" w:themeColor="background1"/>
              <w:bottom w:val="nil"/>
              <w:right w:val="single" w:sz="4" w:space="0" w:color="auto"/>
            </w:tcBorders>
            <w:shd w:val="clear" w:color="auto" w:fill="FFFF66"/>
          </w:tcPr>
          <w:p w14:paraId="7AD9313D" w14:textId="77777777" w:rsidR="003548C1" w:rsidRPr="003548C1" w:rsidRDefault="003548C1" w:rsidP="003548C1">
            <w:pPr>
              <w:keepNext/>
              <w:rPr>
                <w:b/>
                <w:sz w:val="18"/>
                <w:szCs w:val="22"/>
              </w:rPr>
            </w:pPr>
            <w:r w:rsidRPr="003548C1">
              <w:rPr>
                <w:b/>
                <w:sz w:val="18"/>
                <w:szCs w:val="22"/>
              </w:rPr>
              <w:t>Substantial rate</w:t>
            </w:r>
          </w:p>
          <w:p w14:paraId="7942ED3D" w14:textId="77777777" w:rsidR="003548C1" w:rsidRPr="003548C1" w:rsidRDefault="003548C1" w:rsidP="003548C1">
            <w:pPr>
              <w:keepNext/>
              <w:rPr>
                <w:b/>
                <w:sz w:val="18"/>
                <w:szCs w:val="22"/>
              </w:rPr>
            </w:pPr>
            <w:r w:rsidRPr="003548C1">
              <w:rPr>
                <w:b/>
                <w:sz w:val="18"/>
                <w:szCs w:val="22"/>
              </w:rPr>
              <w:t>10% in 10 years or 3 generations</w:t>
            </w:r>
          </w:p>
          <w:p w14:paraId="17943593" w14:textId="77777777" w:rsidR="003548C1" w:rsidRPr="003548C1" w:rsidRDefault="003548C1" w:rsidP="003548C1">
            <w:pPr>
              <w:keepNext/>
              <w:rPr>
                <w:b/>
                <w:sz w:val="18"/>
                <w:szCs w:val="22"/>
              </w:rPr>
            </w:pPr>
            <w:r w:rsidRPr="003548C1">
              <w:rPr>
                <w:b/>
                <w:sz w:val="18"/>
                <w:szCs w:val="22"/>
              </w:rPr>
              <w:t>(whichever is longer)</w:t>
            </w:r>
          </w:p>
        </w:tc>
      </w:tr>
      <w:tr w:rsidR="003548C1" w:rsidRPr="003548C1" w14:paraId="3071C92C" w14:textId="77777777" w:rsidTr="007E5C85">
        <w:tc>
          <w:tcPr>
            <w:tcW w:w="3395" w:type="dxa"/>
            <w:gridSpan w:val="2"/>
            <w:tcBorders>
              <w:top w:val="nil"/>
              <w:left w:val="single" w:sz="4" w:space="0" w:color="auto"/>
              <w:bottom w:val="nil"/>
              <w:right w:val="nil"/>
            </w:tcBorders>
            <w:shd w:val="clear" w:color="auto" w:fill="BFBFBF" w:themeFill="background1" w:themeFillShade="BF"/>
          </w:tcPr>
          <w:p w14:paraId="17513F23" w14:textId="77777777" w:rsidR="003548C1" w:rsidRPr="003548C1" w:rsidRDefault="003548C1" w:rsidP="003548C1">
            <w:pPr>
              <w:keepNext/>
              <w:ind w:left="336" w:hanging="336"/>
              <w:rPr>
                <w:sz w:val="18"/>
                <w:szCs w:val="22"/>
              </w:rPr>
            </w:pPr>
            <w:r w:rsidRPr="003548C1">
              <w:rPr>
                <w:b/>
                <w:bCs/>
                <w:sz w:val="18"/>
                <w:szCs w:val="22"/>
              </w:rPr>
              <w:t>C2.</w:t>
            </w:r>
            <w:r w:rsidRPr="003548C1">
              <w:rPr>
                <w:sz w:val="18"/>
                <w:szCs w:val="22"/>
              </w:rPr>
              <w:tab/>
              <w:t>An observed, estimated, projected or inferred continuing decline AND its geographic distribution is precarious for its survival based on at least 1 of the following 3 conditions:</w:t>
            </w:r>
          </w:p>
        </w:tc>
        <w:tc>
          <w:tcPr>
            <w:tcW w:w="1930" w:type="dxa"/>
            <w:tcBorders>
              <w:top w:val="nil"/>
              <w:left w:val="nil"/>
              <w:bottom w:val="nil"/>
              <w:right w:val="nil"/>
            </w:tcBorders>
          </w:tcPr>
          <w:p w14:paraId="22EFEB39" w14:textId="77777777" w:rsidR="003548C1" w:rsidRPr="003548C1" w:rsidRDefault="003548C1" w:rsidP="003548C1">
            <w:pPr>
              <w:keepNext/>
              <w:rPr>
                <w:sz w:val="18"/>
                <w:szCs w:val="22"/>
              </w:rPr>
            </w:pPr>
          </w:p>
        </w:tc>
        <w:tc>
          <w:tcPr>
            <w:tcW w:w="1833" w:type="dxa"/>
            <w:tcBorders>
              <w:top w:val="nil"/>
              <w:left w:val="nil"/>
              <w:bottom w:val="nil"/>
              <w:right w:val="nil"/>
            </w:tcBorders>
          </w:tcPr>
          <w:p w14:paraId="691FA473" w14:textId="77777777" w:rsidR="003548C1" w:rsidRPr="003548C1" w:rsidRDefault="003548C1" w:rsidP="003548C1">
            <w:pPr>
              <w:keepNext/>
              <w:rPr>
                <w:sz w:val="18"/>
                <w:szCs w:val="22"/>
              </w:rPr>
            </w:pPr>
          </w:p>
        </w:tc>
        <w:tc>
          <w:tcPr>
            <w:tcW w:w="1902" w:type="dxa"/>
            <w:tcBorders>
              <w:top w:val="nil"/>
              <w:left w:val="nil"/>
              <w:bottom w:val="nil"/>
              <w:right w:val="single" w:sz="4" w:space="0" w:color="auto"/>
            </w:tcBorders>
          </w:tcPr>
          <w:p w14:paraId="7DF4B933" w14:textId="77777777" w:rsidR="003548C1" w:rsidRPr="003548C1" w:rsidRDefault="003548C1" w:rsidP="003548C1">
            <w:pPr>
              <w:keepNext/>
              <w:rPr>
                <w:sz w:val="18"/>
                <w:szCs w:val="22"/>
              </w:rPr>
            </w:pPr>
          </w:p>
        </w:tc>
      </w:tr>
      <w:tr w:rsidR="003548C1" w:rsidRPr="003548C1" w14:paraId="59E2DF2F" w14:textId="77777777" w:rsidTr="007E5C85">
        <w:tc>
          <w:tcPr>
            <w:tcW w:w="419" w:type="dxa"/>
            <w:vMerge w:val="restart"/>
            <w:tcBorders>
              <w:top w:val="nil"/>
              <w:left w:val="single" w:sz="4" w:space="0" w:color="auto"/>
              <w:right w:val="nil"/>
            </w:tcBorders>
            <w:shd w:val="clear" w:color="auto" w:fill="D9D9D9" w:themeFill="background1" w:themeFillShade="D9"/>
            <w:vAlign w:val="center"/>
          </w:tcPr>
          <w:p w14:paraId="183F6957" w14:textId="77777777" w:rsidR="003548C1" w:rsidRPr="003548C1" w:rsidRDefault="003548C1" w:rsidP="003548C1">
            <w:pPr>
              <w:keepNext/>
              <w:rPr>
                <w:sz w:val="18"/>
                <w:szCs w:val="22"/>
              </w:rPr>
            </w:pPr>
            <w:r w:rsidRPr="003548C1">
              <w:rPr>
                <w:sz w:val="18"/>
                <w:szCs w:val="22"/>
              </w:rPr>
              <w:t>(a)</w:t>
            </w:r>
          </w:p>
        </w:tc>
        <w:tc>
          <w:tcPr>
            <w:tcW w:w="2976" w:type="dxa"/>
            <w:tcBorders>
              <w:top w:val="single" w:sz="4" w:space="0" w:color="FFFFFF" w:themeColor="background1"/>
              <w:left w:val="nil"/>
              <w:bottom w:val="single" w:sz="4" w:space="0" w:color="FFFFFF" w:themeColor="background1"/>
              <w:right w:val="single" w:sz="4" w:space="0" w:color="FFFFFF" w:themeColor="background1"/>
            </w:tcBorders>
            <w:shd w:val="clear" w:color="auto" w:fill="D9D9D9" w:themeFill="background1" w:themeFillShade="D9"/>
          </w:tcPr>
          <w:p w14:paraId="53B8E59A" w14:textId="77777777" w:rsidR="003548C1" w:rsidRPr="003548C1" w:rsidRDefault="003548C1" w:rsidP="003548C1">
            <w:pPr>
              <w:keepNext/>
              <w:ind w:left="340" w:hanging="340"/>
              <w:rPr>
                <w:sz w:val="18"/>
                <w:szCs w:val="22"/>
              </w:rPr>
            </w:pPr>
            <w:r w:rsidRPr="003548C1">
              <w:rPr>
                <w:sz w:val="18"/>
                <w:szCs w:val="22"/>
              </w:rPr>
              <w:t>(i)</w:t>
            </w:r>
            <w:r w:rsidRPr="003548C1">
              <w:rPr>
                <w:sz w:val="18"/>
                <w:szCs w:val="22"/>
              </w:rPr>
              <w:tab/>
              <w:t xml:space="preserve">Number of mature individuals in each subpopulation </w:t>
            </w:r>
          </w:p>
        </w:tc>
        <w:tc>
          <w:tcPr>
            <w:tcW w:w="1930" w:type="dxa"/>
            <w:tcBorders>
              <w:top w:val="nil"/>
              <w:left w:val="single" w:sz="4" w:space="0" w:color="FFFFFF" w:themeColor="background1"/>
              <w:bottom w:val="single" w:sz="4" w:space="0" w:color="FFFFFF" w:themeColor="background1"/>
              <w:right w:val="single" w:sz="4" w:space="0" w:color="FFFFFF" w:themeColor="background1"/>
            </w:tcBorders>
            <w:shd w:val="clear" w:color="auto" w:fill="FF7C80"/>
            <w:vAlign w:val="center"/>
          </w:tcPr>
          <w:p w14:paraId="774D2B38" w14:textId="77777777" w:rsidR="003548C1" w:rsidRPr="003548C1" w:rsidRDefault="003548C1" w:rsidP="003548C1">
            <w:pPr>
              <w:keepNext/>
              <w:rPr>
                <w:b/>
                <w:sz w:val="18"/>
                <w:szCs w:val="22"/>
              </w:rPr>
            </w:pPr>
            <w:r w:rsidRPr="003548C1">
              <w:rPr>
                <w:b/>
                <w:sz w:val="18"/>
                <w:szCs w:val="22"/>
              </w:rPr>
              <w:t>≤ 50</w:t>
            </w:r>
          </w:p>
        </w:tc>
        <w:tc>
          <w:tcPr>
            <w:tcW w:w="1833" w:type="dxa"/>
            <w:tcBorders>
              <w:top w:val="nil"/>
              <w:left w:val="single" w:sz="4" w:space="0" w:color="FFFFFF" w:themeColor="background1"/>
              <w:bottom w:val="single" w:sz="4" w:space="0" w:color="FFFFFF" w:themeColor="background1"/>
              <w:right w:val="single" w:sz="4" w:space="0" w:color="FFFFFF" w:themeColor="background1"/>
            </w:tcBorders>
            <w:shd w:val="clear" w:color="auto" w:fill="FF9933"/>
            <w:vAlign w:val="center"/>
          </w:tcPr>
          <w:p w14:paraId="66800139" w14:textId="77777777" w:rsidR="003548C1" w:rsidRPr="003548C1" w:rsidRDefault="003548C1" w:rsidP="003548C1">
            <w:pPr>
              <w:keepNext/>
              <w:rPr>
                <w:b/>
                <w:sz w:val="18"/>
                <w:szCs w:val="22"/>
              </w:rPr>
            </w:pPr>
            <w:r w:rsidRPr="003548C1">
              <w:rPr>
                <w:b/>
                <w:sz w:val="18"/>
                <w:szCs w:val="22"/>
              </w:rPr>
              <w:t>≤ 250</w:t>
            </w:r>
          </w:p>
        </w:tc>
        <w:tc>
          <w:tcPr>
            <w:tcW w:w="1902" w:type="dxa"/>
            <w:tcBorders>
              <w:top w:val="nil"/>
              <w:left w:val="single" w:sz="4" w:space="0" w:color="FFFFFF" w:themeColor="background1"/>
              <w:bottom w:val="single" w:sz="4" w:space="0" w:color="FFFFFF" w:themeColor="background1"/>
              <w:right w:val="single" w:sz="4" w:space="0" w:color="auto"/>
            </w:tcBorders>
            <w:shd w:val="clear" w:color="auto" w:fill="FFFF66"/>
            <w:vAlign w:val="center"/>
          </w:tcPr>
          <w:p w14:paraId="57BBC78A" w14:textId="77777777" w:rsidR="003548C1" w:rsidRPr="003548C1" w:rsidRDefault="003548C1" w:rsidP="003548C1">
            <w:pPr>
              <w:keepNext/>
              <w:rPr>
                <w:b/>
                <w:sz w:val="18"/>
                <w:szCs w:val="22"/>
              </w:rPr>
            </w:pPr>
            <w:r w:rsidRPr="003548C1">
              <w:rPr>
                <w:b/>
                <w:sz w:val="18"/>
                <w:szCs w:val="22"/>
              </w:rPr>
              <w:t>≤ 1,000</w:t>
            </w:r>
          </w:p>
        </w:tc>
      </w:tr>
      <w:tr w:rsidR="003548C1" w:rsidRPr="003548C1" w14:paraId="23FD0B7B" w14:textId="77777777" w:rsidTr="007E5C85">
        <w:tc>
          <w:tcPr>
            <w:tcW w:w="419" w:type="dxa"/>
            <w:vMerge/>
            <w:tcBorders>
              <w:left w:val="single" w:sz="4" w:space="0" w:color="auto"/>
              <w:bottom w:val="single" w:sz="4" w:space="0" w:color="FFFFFF" w:themeColor="background1"/>
              <w:right w:val="single" w:sz="4" w:space="0" w:color="FFFFFF" w:themeColor="background1"/>
            </w:tcBorders>
            <w:shd w:val="clear" w:color="auto" w:fill="D9D9D9" w:themeFill="background1" w:themeFillShade="D9"/>
          </w:tcPr>
          <w:p w14:paraId="6F98F70C" w14:textId="77777777" w:rsidR="003548C1" w:rsidRPr="003548C1" w:rsidRDefault="003548C1" w:rsidP="003548C1">
            <w:pPr>
              <w:keepNext/>
              <w:rPr>
                <w:sz w:val="18"/>
                <w:szCs w:val="22"/>
              </w:rPr>
            </w:pPr>
          </w:p>
        </w:tc>
        <w:tc>
          <w:tcPr>
            <w:tcW w:w="2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A4A738E" w14:textId="77777777" w:rsidR="003548C1" w:rsidRPr="003548C1" w:rsidRDefault="003548C1" w:rsidP="003548C1">
            <w:pPr>
              <w:keepNext/>
              <w:ind w:left="340" w:hanging="340"/>
              <w:rPr>
                <w:sz w:val="18"/>
                <w:szCs w:val="22"/>
              </w:rPr>
            </w:pPr>
            <w:r w:rsidRPr="003548C1">
              <w:rPr>
                <w:sz w:val="18"/>
                <w:szCs w:val="22"/>
              </w:rPr>
              <w:t xml:space="preserve">(ii) </w:t>
            </w:r>
            <w:r w:rsidRPr="003548C1">
              <w:rPr>
                <w:sz w:val="18"/>
                <w:szCs w:val="22"/>
              </w:rPr>
              <w:tab/>
              <w:t>% of mature individuals in one subpopulation =</w:t>
            </w:r>
          </w:p>
        </w:tc>
        <w:tc>
          <w:tcPr>
            <w:tcW w:w="1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7C80"/>
            <w:vAlign w:val="center"/>
          </w:tcPr>
          <w:p w14:paraId="753FF383" w14:textId="77777777" w:rsidR="003548C1" w:rsidRPr="003548C1" w:rsidRDefault="003548C1" w:rsidP="003548C1">
            <w:pPr>
              <w:keepNext/>
              <w:rPr>
                <w:b/>
                <w:sz w:val="18"/>
                <w:szCs w:val="22"/>
              </w:rPr>
            </w:pPr>
            <w:r w:rsidRPr="003548C1">
              <w:rPr>
                <w:b/>
                <w:sz w:val="18"/>
                <w:szCs w:val="22"/>
              </w:rPr>
              <w:t>90 – 100%</w:t>
            </w:r>
          </w:p>
        </w:tc>
        <w:tc>
          <w:tcPr>
            <w:tcW w:w="1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933"/>
            <w:vAlign w:val="center"/>
          </w:tcPr>
          <w:p w14:paraId="316DDC21" w14:textId="77777777" w:rsidR="003548C1" w:rsidRPr="003548C1" w:rsidRDefault="003548C1" w:rsidP="003548C1">
            <w:pPr>
              <w:keepNext/>
              <w:rPr>
                <w:b/>
                <w:sz w:val="18"/>
                <w:szCs w:val="22"/>
              </w:rPr>
            </w:pPr>
            <w:r w:rsidRPr="003548C1">
              <w:rPr>
                <w:b/>
                <w:sz w:val="18"/>
                <w:szCs w:val="22"/>
              </w:rPr>
              <w:t>95 – 100%</w:t>
            </w:r>
          </w:p>
        </w:tc>
        <w:tc>
          <w:tcPr>
            <w:tcW w:w="19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FFFF66"/>
            <w:vAlign w:val="center"/>
          </w:tcPr>
          <w:p w14:paraId="5EA2BB6C" w14:textId="77777777" w:rsidR="003548C1" w:rsidRPr="003548C1" w:rsidRDefault="003548C1" w:rsidP="003548C1">
            <w:pPr>
              <w:keepNext/>
              <w:rPr>
                <w:b/>
                <w:sz w:val="18"/>
                <w:szCs w:val="22"/>
              </w:rPr>
            </w:pPr>
            <w:r w:rsidRPr="003548C1">
              <w:rPr>
                <w:b/>
                <w:sz w:val="18"/>
                <w:szCs w:val="22"/>
              </w:rPr>
              <w:t>100%</w:t>
            </w:r>
          </w:p>
        </w:tc>
      </w:tr>
      <w:tr w:rsidR="003548C1" w:rsidRPr="003548C1" w14:paraId="241B435D" w14:textId="77777777" w:rsidTr="007E5C85">
        <w:tc>
          <w:tcPr>
            <w:tcW w:w="3395" w:type="dxa"/>
            <w:gridSpan w:val="2"/>
            <w:tcBorders>
              <w:top w:val="single" w:sz="4" w:space="0" w:color="FFFFFF" w:themeColor="background1"/>
              <w:left w:val="single" w:sz="4" w:space="0" w:color="auto"/>
              <w:right w:val="single" w:sz="4" w:space="0" w:color="FFFFFF" w:themeColor="background1"/>
            </w:tcBorders>
            <w:shd w:val="clear" w:color="auto" w:fill="D9D9D9" w:themeFill="background1" w:themeFillShade="D9"/>
          </w:tcPr>
          <w:p w14:paraId="3DAE4114" w14:textId="77777777" w:rsidR="003548C1" w:rsidRPr="003548C1" w:rsidRDefault="003548C1" w:rsidP="003548C1">
            <w:pPr>
              <w:keepNext/>
              <w:ind w:left="334" w:hanging="334"/>
              <w:rPr>
                <w:sz w:val="18"/>
                <w:szCs w:val="22"/>
              </w:rPr>
            </w:pPr>
            <w:r w:rsidRPr="003548C1">
              <w:rPr>
                <w:sz w:val="18"/>
                <w:szCs w:val="22"/>
              </w:rPr>
              <w:t>(b)</w:t>
            </w:r>
            <w:r w:rsidRPr="003548C1">
              <w:rPr>
                <w:sz w:val="18"/>
                <w:szCs w:val="22"/>
              </w:rPr>
              <w:tab/>
              <w:t>Extreme fluctuations in the number of mature individuals</w:t>
            </w:r>
          </w:p>
        </w:tc>
        <w:tc>
          <w:tcPr>
            <w:tcW w:w="1930" w:type="dxa"/>
            <w:tcBorders>
              <w:top w:val="single" w:sz="4" w:space="0" w:color="FFFFFF" w:themeColor="background1"/>
              <w:left w:val="single" w:sz="4" w:space="0" w:color="FFFFFF" w:themeColor="background1"/>
              <w:right w:val="nil"/>
            </w:tcBorders>
          </w:tcPr>
          <w:p w14:paraId="61037C79" w14:textId="77777777" w:rsidR="003548C1" w:rsidRPr="003548C1" w:rsidRDefault="003548C1" w:rsidP="003548C1">
            <w:pPr>
              <w:keepNext/>
              <w:rPr>
                <w:sz w:val="18"/>
                <w:szCs w:val="22"/>
              </w:rPr>
            </w:pPr>
          </w:p>
        </w:tc>
        <w:tc>
          <w:tcPr>
            <w:tcW w:w="1833" w:type="dxa"/>
            <w:tcBorders>
              <w:top w:val="single" w:sz="4" w:space="0" w:color="FFFFFF" w:themeColor="background1"/>
              <w:left w:val="nil"/>
              <w:right w:val="nil"/>
            </w:tcBorders>
          </w:tcPr>
          <w:p w14:paraId="5DCB107C" w14:textId="77777777" w:rsidR="003548C1" w:rsidRPr="003548C1" w:rsidRDefault="003548C1" w:rsidP="003548C1">
            <w:pPr>
              <w:keepNext/>
              <w:rPr>
                <w:sz w:val="18"/>
                <w:szCs w:val="22"/>
              </w:rPr>
            </w:pPr>
          </w:p>
        </w:tc>
        <w:tc>
          <w:tcPr>
            <w:tcW w:w="1902" w:type="dxa"/>
            <w:tcBorders>
              <w:top w:val="single" w:sz="4" w:space="0" w:color="FFFFFF" w:themeColor="background1"/>
              <w:left w:val="nil"/>
              <w:right w:val="single" w:sz="4" w:space="0" w:color="auto"/>
            </w:tcBorders>
          </w:tcPr>
          <w:p w14:paraId="52445FC7" w14:textId="77777777" w:rsidR="003548C1" w:rsidRPr="003548C1" w:rsidRDefault="003548C1" w:rsidP="003548C1">
            <w:pPr>
              <w:keepNext/>
              <w:rPr>
                <w:sz w:val="18"/>
                <w:szCs w:val="22"/>
              </w:rPr>
            </w:pPr>
          </w:p>
        </w:tc>
      </w:tr>
    </w:tbl>
    <w:p w14:paraId="44F41A1B" w14:textId="77777777" w:rsidR="003548C1" w:rsidRPr="00A610A8" w:rsidRDefault="003548C1" w:rsidP="003548C1">
      <w:pPr>
        <w:keepNext/>
        <w:keepLines/>
        <w:spacing w:before="240" w:after="120"/>
        <w:outlineLvl w:val="2"/>
        <w:rPr>
          <w:rFonts w:ascii="Calibri" w:eastAsia="Times New Roman" w:hAnsi="Calibri" w:cs="Cambria"/>
          <w:b/>
          <w:bCs/>
          <w:sz w:val="26"/>
          <w:szCs w:val="26"/>
        </w:rPr>
      </w:pPr>
      <w:r w:rsidRPr="00A610A8">
        <w:rPr>
          <w:rFonts w:ascii="Calibri" w:eastAsia="Times New Roman" w:hAnsi="Calibri" w:cs="Cambria"/>
          <w:b/>
          <w:bCs/>
          <w:sz w:val="26"/>
          <w:szCs w:val="26"/>
        </w:rPr>
        <w:t>Criterion 3 evidence</w:t>
      </w:r>
    </w:p>
    <w:p w14:paraId="639A570C" w14:textId="77777777" w:rsidR="003548C1" w:rsidRPr="003548C1" w:rsidRDefault="003548C1" w:rsidP="003548C1">
      <w:pPr>
        <w:autoSpaceDE w:val="0"/>
        <w:autoSpaceDN w:val="0"/>
        <w:adjustRightInd w:val="0"/>
        <w:spacing w:after="0" w:line="240" w:lineRule="auto"/>
        <w:rPr>
          <w:rFonts w:ascii="Cambria" w:eastAsia="Cambria" w:hAnsi="Cambria" w:cs="Cambria"/>
          <w:b/>
          <w:bCs/>
          <w:color w:val="000000"/>
          <w:sz w:val="22"/>
          <w:szCs w:val="22"/>
          <w:lang w:eastAsia="en-AU"/>
        </w:rPr>
      </w:pPr>
      <w:r w:rsidRPr="003548C1">
        <w:rPr>
          <w:rFonts w:ascii="Cambria" w:eastAsia="Cambria" w:hAnsi="Cambria" w:cs="Cambria"/>
          <w:b/>
          <w:bCs/>
          <w:color w:val="000000"/>
          <w:sz w:val="22"/>
          <w:szCs w:val="22"/>
          <w:lang w:eastAsia="en-AU"/>
        </w:rPr>
        <w:t xml:space="preserve">Insufficient data to determine eligibility </w:t>
      </w:r>
    </w:p>
    <w:p w14:paraId="330A4E03" w14:textId="77777777" w:rsidR="003548C1" w:rsidRPr="003548C1" w:rsidRDefault="003548C1" w:rsidP="003548C1">
      <w:pPr>
        <w:autoSpaceDE w:val="0"/>
        <w:autoSpaceDN w:val="0"/>
        <w:adjustRightInd w:val="0"/>
        <w:spacing w:after="0" w:line="240" w:lineRule="auto"/>
        <w:rPr>
          <w:rFonts w:ascii="Cambria" w:eastAsia="Cambria" w:hAnsi="Cambria" w:cs="Cambria"/>
          <w:color w:val="000000"/>
          <w:sz w:val="22"/>
          <w:szCs w:val="22"/>
          <w:lang w:eastAsia="en-AU"/>
        </w:rPr>
      </w:pPr>
    </w:p>
    <w:p w14:paraId="2D5F9D16" w14:textId="77777777" w:rsidR="003548C1" w:rsidRPr="003548C1" w:rsidRDefault="003548C1" w:rsidP="003548C1">
      <w:pPr>
        <w:autoSpaceDE w:val="0"/>
        <w:autoSpaceDN w:val="0"/>
        <w:adjustRightInd w:val="0"/>
        <w:spacing w:after="0"/>
        <w:rPr>
          <w:rFonts w:asciiTheme="majorHAnsi" w:eastAsia="Cambria" w:hAnsiTheme="majorHAnsi" w:cs="Times New Roman"/>
          <w:b/>
          <w:bCs/>
          <w:color w:val="000000"/>
          <w:sz w:val="24"/>
          <w:szCs w:val="24"/>
          <w:lang w:eastAsia="en-AU"/>
        </w:rPr>
      </w:pPr>
      <w:r w:rsidRPr="003548C1">
        <w:rPr>
          <w:rFonts w:asciiTheme="majorHAnsi" w:eastAsia="Cambria" w:hAnsiTheme="majorHAnsi" w:cs="Times New Roman"/>
          <w:color w:val="000000"/>
          <w:sz w:val="24"/>
          <w:szCs w:val="24"/>
          <w:lang w:eastAsia="en-AU"/>
        </w:rPr>
        <w:t xml:space="preserve">The estimated total number of mature individuals of this species is unknown, and the number and proportion of individuals in each population or subpopulation is also unknown. The data presented suggest that there are insufficient data to demonstrate if the species is eligible for listing under this criterion. </w:t>
      </w:r>
    </w:p>
    <w:p w14:paraId="481A2038" w14:textId="77777777" w:rsidR="003548C1" w:rsidRPr="003548C1" w:rsidRDefault="003548C1" w:rsidP="003548C1">
      <w:pPr>
        <w:spacing w:after="120"/>
        <w:rPr>
          <w:rFonts w:ascii="Cambria" w:hAnsi="Cambria"/>
          <w:sz w:val="22"/>
          <w:szCs w:val="22"/>
        </w:rPr>
      </w:pPr>
    </w:p>
    <w:p w14:paraId="2D52EC45" w14:textId="77777777" w:rsidR="003548C1" w:rsidRPr="00A610A8" w:rsidRDefault="003548C1" w:rsidP="003548C1">
      <w:pPr>
        <w:keepNext/>
        <w:spacing w:after="120" w:line="240" w:lineRule="auto"/>
        <w:rPr>
          <w:rFonts w:ascii="Calibri" w:hAnsi="Calibri"/>
          <w:b/>
          <w:bCs/>
          <w:sz w:val="28"/>
          <w:szCs w:val="28"/>
        </w:rPr>
      </w:pPr>
      <w:r w:rsidRPr="00A610A8">
        <w:rPr>
          <w:rFonts w:ascii="Calibri" w:hAnsi="Calibri"/>
          <w:b/>
          <w:bCs/>
          <w:sz w:val="28"/>
          <w:szCs w:val="28"/>
        </w:rPr>
        <w:lastRenderedPageBreak/>
        <w:t>Criterion 4 Number of mature individuals</w:t>
      </w:r>
    </w:p>
    <w:tbl>
      <w:tblPr>
        <w:tblW w:w="9346" w:type="dxa"/>
        <w:tblCellMar>
          <w:left w:w="0" w:type="dxa"/>
          <w:right w:w="0" w:type="dxa"/>
        </w:tblCellMar>
        <w:tblLook w:val="04A0" w:firstRow="1" w:lastRow="0" w:firstColumn="1" w:lastColumn="0" w:noHBand="0" w:noVBand="1"/>
      </w:tblPr>
      <w:tblGrid>
        <w:gridCol w:w="3392"/>
        <w:gridCol w:w="2127"/>
        <w:gridCol w:w="1842"/>
        <w:gridCol w:w="1985"/>
      </w:tblGrid>
      <w:tr w:rsidR="003548C1" w:rsidRPr="003548C1" w14:paraId="45B47639" w14:textId="77777777" w:rsidTr="007E5C85">
        <w:trPr>
          <w:trHeight w:val="350"/>
        </w:trPr>
        <w:tc>
          <w:tcPr>
            <w:tcW w:w="9346" w:type="dxa"/>
            <w:gridSpan w:val="4"/>
            <w:tcBorders>
              <w:top w:val="single" w:sz="8" w:space="0" w:color="auto"/>
              <w:left w:val="single" w:sz="8" w:space="0" w:color="auto"/>
              <w:bottom w:val="nil"/>
              <w:right w:val="single" w:sz="4" w:space="0" w:color="auto"/>
            </w:tcBorders>
            <w:shd w:val="clear" w:color="auto" w:fill="595959"/>
            <w:tcMar>
              <w:top w:w="57" w:type="dxa"/>
              <w:left w:w="85" w:type="dxa"/>
              <w:bottom w:w="57" w:type="dxa"/>
              <w:right w:w="108" w:type="dxa"/>
            </w:tcMar>
            <w:vAlign w:val="center"/>
            <w:hideMark/>
          </w:tcPr>
          <w:p w14:paraId="613EEA6E" w14:textId="77777777" w:rsidR="003548C1" w:rsidRPr="003548C1" w:rsidRDefault="003548C1" w:rsidP="003548C1">
            <w:pPr>
              <w:keepNext/>
              <w:spacing w:before="60" w:after="60" w:line="240" w:lineRule="auto"/>
              <w:rPr>
                <w:rFonts w:ascii="Cambria" w:hAnsi="Cambria"/>
                <w:sz w:val="18"/>
                <w:szCs w:val="22"/>
              </w:rPr>
            </w:pPr>
          </w:p>
        </w:tc>
      </w:tr>
      <w:tr w:rsidR="003548C1" w:rsidRPr="003548C1" w14:paraId="6B246644" w14:textId="77777777" w:rsidTr="007E5C85">
        <w:trPr>
          <w:trHeight w:val="524"/>
        </w:trPr>
        <w:tc>
          <w:tcPr>
            <w:tcW w:w="3392" w:type="dxa"/>
            <w:tcBorders>
              <w:top w:val="nil"/>
              <w:left w:val="single" w:sz="8" w:space="0" w:color="auto"/>
              <w:bottom w:val="nil"/>
              <w:right w:val="nil"/>
            </w:tcBorders>
            <w:tcMar>
              <w:top w:w="57" w:type="dxa"/>
              <w:left w:w="85" w:type="dxa"/>
              <w:bottom w:w="57" w:type="dxa"/>
              <w:right w:w="108" w:type="dxa"/>
            </w:tcMar>
          </w:tcPr>
          <w:p w14:paraId="372830A4" w14:textId="77777777" w:rsidR="003548C1" w:rsidRPr="003548C1" w:rsidRDefault="003548C1" w:rsidP="003548C1">
            <w:pPr>
              <w:keepNext/>
              <w:spacing w:before="60" w:after="60" w:line="240" w:lineRule="auto"/>
              <w:rPr>
                <w:rFonts w:ascii="Cambria" w:hAnsi="Cambria"/>
                <w:sz w:val="18"/>
                <w:szCs w:val="18"/>
              </w:rPr>
            </w:pPr>
            <w:r w:rsidRPr="003548C1">
              <w:rPr>
                <w:rFonts w:ascii="Cambria" w:hAnsi="Cambria"/>
                <w:color w:val="FFFFFF" w:themeColor="background1"/>
                <w:sz w:val="18"/>
                <w:szCs w:val="18"/>
              </w:rPr>
              <w:t>–</w:t>
            </w:r>
          </w:p>
        </w:tc>
        <w:tc>
          <w:tcPr>
            <w:tcW w:w="2127" w:type="dxa"/>
            <w:tcBorders>
              <w:top w:val="single" w:sz="8" w:space="0" w:color="FFFFFF"/>
              <w:left w:val="nil"/>
              <w:bottom w:val="single" w:sz="8" w:space="0" w:color="FFFFFF"/>
              <w:right w:val="single" w:sz="8" w:space="0" w:color="FFFFFF"/>
            </w:tcBorders>
            <w:shd w:val="clear" w:color="auto" w:fill="FF0000"/>
            <w:tcMar>
              <w:top w:w="57" w:type="dxa"/>
              <w:left w:w="85" w:type="dxa"/>
              <w:bottom w:w="57" w:type="dxa"/>
              <w:right w:w="108" w:type="dxa"/>
            </w:tcMar>
            <w:hideMark/>
          </w:tcPr>
          <w:p w14:paraId="1BDEC571" w14:textId="77777777" w:rsidR="003548C1" w:rsidRPr="003548C1" w:rsidRDefault="003548C1" w:rsidP="003548C1">
            <w:pPr>
              <w:keepNext/>
              <w:spacing w:before="60" w:after="60" w:line="240" w:lineRule="auto"/>
              <w:rPr>
                <w:rFonts w:ascii="Cambria" w:hAnsi="Cambria"/>
                <w:b/>
                <w:bCs/>
                <w:sz w:val="18"/>
                <w:szCs w:val="22"/>
              </w:rPr>
            </w:pPr>
            <w:r w:rsidRPr="003548C1">
              <w:rPr>
                <w:rFonts w:ascii="Cambria" w:hAnsi="Cambria"/>
                <w:b/>
                <w:bCs/>
                <w:sz w:val="18"/>
                <w:szCs w:val="22"/>
              </w:rPr>
              <w:t>Critically Endangered</w:t>
            </w:r>
          </w:p>
          <w:p w14:paraId="4C494CED" w14:textId="77777777" w:rsidR="003548C1" w:rsidRPr="003548C1" w:rsidRDefault="003548C1" w:rsidP="003548C1">
            <w:pPr>
              <w:keepNext/>
              <w:spacing w:before="60" w:after="60" w:line="240" w:lineRule="auto"/>
              <w:rPr>
                <w:rFonts w:ascii="Cambria" w:hAnsi="Cambria"/>
                <w:b/>
                <w:bCs/>
                <w:sz w:val="18"/>
                <w:szCs w:val="22"/>
              </w:rPr>
            </w:pPr>
            <w:r w:rsidRPr="003548C1">
              <w:rPr>
                <w:rFonts w:ascii="Cambria" w:hAnsi="Cambria"/>
                <w:b/>
                <w:bCs/>
                <w:sz w:val="18"/>
                <w:szCs w:val="22"/>
              </w:rPr>
              <w:t>Extremely low</w:t>
            </w:r>
          </w:p>
        </w:tc>
        <w:tc>
          <w:tcPr>
            <w:tcW w:w="1842" w:type="dxa"/>
            <w:tcBorders>
              <w:top w:val="single" w:sz="8" w:space="0" w:color="FFFFFF"/>
              <w:left w:val="nil"/>
              <w:bottom w:val="single" w:sz="8" w:space="0" w:color="FFFFFF"/>
              <w:right w:val="single" w:sz="8" w:space="0" w:color="FFFFFF"/>
            </w:tcBorders>
            <w:shd w:val="clear" w:color="auto" w:fill="FF6600"/>
            <w:tcMar>
              <w:top w:w="57" w:type="dxa"/>
              <w:left w:w="85" w:type="dxa"/>
              <w:bottom w:w="57" w:type="dxa"/>
              <w:right w:w="108" w:type="dxa"/>
            </w:tcMar>
            <w:hideMark/>
          </w:tcPr>
          <w:p w14:paraId="331907E0" w14:textId="77777777" w:rsidR="003548C1" w:rsidRPr="003548C1" w:rsidRDefault="003548C1" w:rsidP="003548C1">
            <w:pPr>
              <w:keepNext/>
              <w:spacing w:before="60" w:after="60" w:line="240" w:lineRule="auto"/>
              <w:rPr>
                <w:rFonts w:ascii="Cambria" w:hAnsi="Cambria"/>
                <w:b/>
                <w:bCs/>
                <w:sz w:val="18"/>
                <w:szCs w:val="22"/>
              </w:rPr>
            </w:pPr>
            <w:r w:rsidRPr="003548C1">
              <w:rPr>
                <w:rFonts w:ascii="Cambria" w:hAnsi="Cambria"/>
                <w:b/>
                <w:bCs/>
                <w:sz w:val="18"/>
                <w:szCs w:val="22"/>
              </w:rPr>
              <w:t>Endangered</w:t>
            </w:r>
          </w:p>
          <w:p w14:paraId="624FE5CE" w14:textId="77777777" w:rsidR="003548C1" w:rsidRPr="003548C1" w:rsidRDefault="003548C1" w:rsidP="003548C1">
            <w:pPr>
              <w:keepNext/>
              <w:spacing w:before="60" w:after="60" w:line="240" w:lineRule="auto"/>
              <w:rPr>
                <w:rFonts w:ascii="Cambria" w:hAnsi="Cambria"/>
                <w:b/>
                <w:bCs/>
                <w:sz w:val="18"/>
                <w:szCs w:val="22"/>
              </w:rPr>
            </w:pPr>
            <w:r w:rsidRPr="003548C1">
              <w:rPr>
                <w:rFonts w:ascii="Cambria" w:hAnsi="Cambria"/>
                <w:b/>
                <w:bCs/>
                <w:sz w:val="18"/>
                <w:szCs w:val="22"/>
              </w:rPr>
              <w:t>Very Low</w:t>
            </w:r>
          </w:p>
        </w:tc>
        <w:tc>
          <w:tcPr>
            <w:tcW w:w="1985" w:type="dxa"/>
            <w:tcBorders>
              <w:top w:val="single" w:sz="8" w:space="0" w:color="FFFFFF"/>
              <w:left w:val="nil"/>
              <w:bottom w:val="single" w:sz="8" w:space="0" w:color="FFFFFF"/>
              <w:right w:val="single" w:sz="4" w:space="0" w:color="auto"/>
            </w:tcBorders>
            <w:shd w:val="clear" w:color="auto" w:fill="FFFF00"/>
            <w:tcMar>
              <w:top w:w="57" w:type="dxa"/>
              <w:left w:w="85" w:type="dxa"/>
              <w:bottom w:w="57" w:type="dxa"/>
              <w:right w:w="108" w:type="dxa"/>
            </w:tcMar>
            <w:hideMark/>
          </w:tcPr>
          <w:p w14:paraId="2E2FE9FA" w14:textId="77777777" w:rsidR="003548C1" w:rsidRPr="003548C1" w:rsidRDefault="003548C1" w:rsidP="003548C1">
            <w:pPr>
              <w:keepNext/>
              <w:spacing w:before="60" w:after="60" w:line="240" w:lineRule="auto"/>
              <w:rPr>
                <w:rFonts w:ascii="Cambria" w:hAnsi="Cambria"/>
                <w:b/>
                <w:bCs/>
                <w:sz w:val="18"/>
                <w:szCs w:val="22"/>
              </w:rPr>
            </w:pPr>
            <w:r w:rsidRPr="003548C1">
              <w:rPr>
                <w:rFonts w:ascii="Cambria" w:hAnsi="Cambria"/>
                <w:b/>
                <w:bCs/>
                <w:sz w:val="18"/>
                <w:szCs w:val="22"/>
              </w:rPr>
              <w:t>Vulnerable</w:t>
            </w:r>
          </w:p>
          <w:p w14:paraId="7F2FE300" w14:textId="77777777" w:rsidR="003548C1" w:rsidRPr="003548C1" w:rsidRDefault="003548C1" w:rsidP="003548C1">
            <w:pPr>
              <w:keepNext/>
              <w:spacing w:before="60" w:after="60" w:line="240" w:lineRule="auto"/>
              <w:rPr>
                <w:rFonts w:ascii="Cambria" w:hAnsi="Cambria"/>
                <w:b/>
                <w:bCs/>
                <w:sz w:val="18"/>
                <w:szCs w:val="22"/>
              </w:rPr>
            </w:pPr>
            <w:r w:rsidRPr="003548C1">
              <w:rPr>
                <w:rFonts w:ascii="Cambria" w:hAnsi="Cambria"/>
                <w:b/>
                <w:bCs/>
                <w:sz w:val="18"/>
                <w:szCs w:val="22"/>
              </w:rPr>
              <w:t>Low</w:t>
            </w:r>
          </w:p>
        </w:tc>
      </w:tr>
      <w:tr w:rsidR="003548C1" w:rsidRPr="003548C1" w14:paraId="1CEFE0A0" w14:textId="77777777" w:rsidTr="007E5C85">
        <w:trPr>
          <w:trHeight w:val="442"/>
        </w:trPr>
        <w:tc>
          <w:tcPr>
            <w:tcW w:w="3392" w:type="dxa"/>
            <w:tcBorders>
              <w:top w:val="nil"/>
              <w:left w:val="single" w:sz="8" w:space="0" w:color="auto"/>
              <w:bottom w:val="nil"/>
              <w:right w:val="single" w:sz="8" w:space="0" w:color="FFFFFF"/>
            </w:tcBorders>
            <w:shd w:val="clear" w:color="auto" w:fill="BFBFBF"/>
            <w:tcMar>
              <w:top w:w="57" w:type="dxa"/>
              <w:left w:w="85" w:type="dxa"/>
              <w:bottom w:w="57" w:type="dxa"/>
              <w:right w:w="108" w:type="dxa"/>
            </w:tcMar>
            <w:vAlign w:val="center"/>
            <w:hideMark/>
          </w:tcPr>
          <w:p w14:paraId="6E7434DD" w14:textId="77777777" w:rsidR="003548C1" w:rsidRPr="003548C1" w:rsidRDefault="003548C1" w:rsidP="003548C1">
            <w:pPr>
              <w:keepNext/>
              <w:spacing w:before="60" w:after="60" w:line="240" w:lineRule="auto"/>
              <w:rPr>
                <w:rFonts w:ascii="Cambria" w:hAnsi="Cambria"/>
                <w:sz w:val="18"/>
                <w:szCs w:val="18"/>
              </w:rPr>
            </w:pPr>
            <w:r w:rsidRPr="003548C1">
              <w:rPr>
                <w:rFonts w:ascii="Cambria" w:hAnsi="Cambria"/>
                <w:b/>
                <w:bCs/>
                <w:sz w:val="18"/>
                <w:szCs w:val="22"/>
              </w:rPr>
              <w:t xml:space="preserve">D. </w:t>
            </w:r>
            <w:r w:rsidRPr="003548C1">
              <w:rPr>
                <w:rFonts w:ascii="Cambria" w:hAnsi="Cambria"/>
                <w:sz w:val="18"/>
                <w:szCs w:val="18"/>
              </w:rPr>
              <w:t>Number of mature individuals</w:t>
            </w:r>
          </w:p>
        </w:tc>
        <w:tc>
          <w:tcPr>
            <w:tcW w:w="2127" w:type="dxa"/>
            <w:tcBorders>
              <w:top w:val="nil"/>
              <w:left w:val="nil"/>
              <w:bottom w:val="single" w:sz="8" w:space="0" w:color="FFFFFF"/>
              <w:right w:val="single" w:sz="8" w:space="0" w:color="FFFFFF"/>
            </w:tcBorders>
            <w:shd w:val="clear" w:color="auto" w:fill="FF7C80"/>
            <w:tcMar>
              <w:top w:w="57" w:type="dxa"/>
              <w:left w:w="85" w:type="dxa"/>
              <w:bottom w:w="57" w:type="dxa"/>
              <w:right w:w="108" w:type="dxa"/>
            </w:tcMar>
            <w:vAlign w:val="center"/>
            <w:hideMark/>
          </w:tcPr>
          <w:p w14:paraId="7B1CED5B" w14:textId="77777777" w:rsidR="003548C1" w:rsidRPr="003548C1" w:rsidRDefault="003548C1" w:rsidP="003548C1">
            <w:pPr>
              <w:keepNext/>
              <w:spacing w:before="60" w:after="60" w:line="240" w:lineRule="auto"/>
              <w:rPr>
                <w:rFonts w:ascii="Cambria" w:hAnsi="Cambria"/>
                <w:sz w:val="18"/>
                <w:szCs w:val="18"/>
              </w:rPr>
            </w:pPr>
            <w:r w:rsidRPr="003548C1">
              <w:rPr>
                <w:rFonts w:ascii="Cambria" w:hAnsi="Cambria"/>
                <w:sz w:val="18"/>
                <w:szCs w:val="18"/>
              </w:rPr>
              <w:t>&lt; 50</w:t>
            </w:r>
          </w:p>
        </w:tc>
        <w:tc>
          <w:tcPr>
            <w:tcW w:w="1842" w:type="dxa"/>
            <w:tcBorders>
              <w:top w:val="nil"/>
              <w:left w:val="nil"/>
              <w:bottom w:val="single" w:sz="8" w:space="0" w:color="FFFFFF"/>
              <w:right w:val="single" w:sz="8" w:space="0" w:color="FFFFFF"/>
            </w:tcBorders>
            <w:shd w:val="clear" w:color="auto" w:fill="FF9933"/>
            <w:tcMar>
              <w:top w:w="57" w:type="dxa"/>
              <w:left w:w="85" w:type="dxa"/>
              <w:bottom w:w="57" w:type="dxa"/>
              <w:right w:w="108" w:type="dxa"/>
            </w:tcMar>
            <w:vAlign w:val="center"/>
            <w:hideMark/>
          </w:tcPr>
          <w:p w14:paraId="1FCAABA1" w14:textId="77777777" w:rsidR="003548C1" w:rsidRPr="003548C1" w:rsidRDefault="003548C1" w:rsidP="003548C1">
            <w:pPr>
              <w:keepNext/>
              <w:spacing w:before="60" w:after="60" w:line="240" w:lineRule="auto"/>
              <w:rPr>
                <w:rFonts w:ascii="Times New Roman" w:hAnsi="Times New Roman" w:cs="Times New Roman"/>
                <w:sz w:val="18"/>
                <w:szCs w:val="18"/>
              </w:rPr>
            </w:pPr>
            <w:r w:rsidRPr="003548C1">
              <w:rPr>
                <w:rFonts w:ascii="Cambria" w:hAnsi="Cambria"/>
                <w:sz w:val="18"/>
                <w:szCs w:val="18"/>
              </w:rPr>
              <w:t>&lt; 250</w:t>
            </w:r>
          </w:p>
        </w:tc>
        <w:tc>
          <w:tcPr>
            <w:tcW w:w="1985" w:type="dxa"/>
            <w:tcBorders>
              <w:top w:val="single" w:sz="8" w:space="0" w:color="FFFFFF"/>
              <w:left w:val="nil"/>
              <w:bottom w:val="single" w:sz="8" w:space="0" w:color="FFFFFF"/>
              <w:right w:val="single" w:sz="4" w:space="0" w:color="auto"/>
            </w:tcBorders>
            <w:shd w:val="clear" w:color="auto" w:fill="FFFF66"/>
            <w:tcMar>
              <w:top w:w="57" w:type="dxa"/>
              <w:left w:w="85" w:type="dxa"/>
              <w:bottom w:w="57" w:type="dxa"/>
              <w:right w:w="108" w:type="dxa"/>
            </w:tcMar>
            <w:vAlign w:val="center"/>
            <w:hideMark/>
          </w:tcPr>
          <w:p w14:paraId="3D2704CC" w14:textId="77777777" w:rsidR="003548C1" w:rsidRPr="003548C1" w:rsidRDefault="003548C1" w:rsidP="003548C1">
            <w:pPr>
              <w:keepNext/>
              <w:spacing w:before="60" w:after="60" w:line="240" w:lineRule="auto"/>
              <w:rPr>
                <w:rFonts w:ascii="Times New Roman" w:hAnsi="Times New Roman" w:cs="Times New Roman"/>
                <w:sz w:val="18"/>
                <w:szCs w:val="18"/>
              </w:rPr>
            </w:pPr>
            <w:r w:rsidRPr="003548C1">
              <w:rPr>
                <w:rFonts w:ascii="Cambria" w:hAnsi="Cambria"/>
                <w:sz w:val="18"/>
                <w:szCs w:val="18"/>
              </w:rPr>
              <w:t>&lt; 1,000</w:t>
            </w:r>
          </w:p>
        </w:tc>
      </w:tr>
      <w:tr w:rsidR="003548C1" w:rsidRPr="003548C1" w14:paraId="362F185E" w14:textId="77777777" w:rsidTr="007E5C85">
        <w:trPr>
          <w:trHeight w:val="442"/>
        </w:trPr>
        <w:tc>
          <w:tcPr>
            <w:tcW w:w="3392" w:type="dxa"/>
            <w:tcBorders>
              <w:top w:val="nil"/>
              <w:left w:val="single" w:sz="8" w:space="0" w:color="auto"/>
              <w:bottom w:val="single" w:sz="8" w:space="0" w:color="auto"/>
              <w:right w:val="single" w:sz="8" w:space="0" w:color="FFFFFF"/>
            </w:tcBorders>
            <w:shd w:val="clear" w:color="auto" w:fill="BFBFBF"/>
            <w:tcMar>
              <w:top w:w="57" w:type="dxa"/>
              <w:left w:w="85" w:type="dxa"/>
              <w:bottom w:w="57" w:type="dxa"/>
              <w:right w:w="108" w:type="dxa"/>
            </w:tcMar>
            <w:vAlign w:val="center"/>
            <w:hideMark/>
          </w:tcPr>
          <w:p w14:paraId="39891DC9" w14:textId="77777777" w:rsidR="003548C1" w:rsidRPr="003548C1" w:rsidRDefault="003548C1" w:rsidP="003548C1">
            <w:pPr>
              <w:keepNext/>
              <w:spacing w:before="60" w:after="60" w:line="240" w:lineRule="auto"/>
              <w:rPr>
                <w:rFonts w:ascii="Cambria" w:hAnsi="Cambria"/>
                <w:sz w:val="18"/>
                <w:szCs w:val="18"/>
              </w:rPr>
            </w:pPr>
            <w:r w:rsidRPr="003548C1">
              <w:rPr>
                <w:rFonts w:ascii="Cambria" w:hAnsi="Cambria"/>
                <w:b/>
                <w:bCs/>
                <w:sz w:val="18"/>
                <w:szCs w:val="22"/>
              </w:rPr>
              <w:t>D2.</w:t>
            </w:r>
            <w:r w:rsidRPr="003548C1">
              <w:rPr>
                <w:rFonts w:ascii="Cambria" w:hAnsi="Cambria"/>
                <w:sz w:val="18"/>
                <w:szCs w:val="18"/>
                <w:vertAlign w:val="superscript"/>
              </w:rPr>
              <w:t>1</w:t>
            </w:r>
            <w:r w:rsidRPr="003548C1">
              <w:rPr>
                <w:rFonts w:ascii="Cambria" w:hAnsi="Cambria"/>
                <w:sz w:val="18"/>
                <w:szCs w:val="18"/>
              </w:rPr>
              <w:t xml:space="preserve"> </w:t>
            </w:r>
            <w:r w:rsidRPr="003548C1">
              <w:rPr>
                <w:rFonts w:ascii="Cambria" w:hAnsi="Cambria"/>
                <w:i/>
                <w:sz w:val="18"/>
                <w:szCs w:val="18"/>
              </w:rPr>
              <w:t>Only applies to the Vulnerable category</w:t>
            </w:r>
          </w:p>
          <w:p w14:paraId="5C4882AE" w14:textId="77777777" w:rsidR="003548C1" w:rsidRPr="003548C1" w:rsidRDefault="003548C1" w:rsidP="003548C1">
            <w:pPr>
              <w:keepNext/>
              <w:spacing w:before="60" w:after="60" w:line="240" w:lineRule="auto"/>
              <w:rPr>
                <w:rFonts w:ascii="Cambria" w:hAnsi="Cambria"/>
                <w:sz w:val="18"/>
                <w:szCs w:val="18"/>
              </w:rPr>
            </w:pPr>
            <w:r w:rsidRPr="003548C1">
              <w:rPr>
                <w:rFonts w:ascii="Cambria" w:hAnsi="Cambria"/>
                <w:sz w:val="18"/>
                <w:szCs w:val="18"/>
              </w:rPr>
              <w:t>Restricted area of occupancy or number of locations with a plausible future threat that could drive the species to Critically Endangered or Extinct in a very short time</w:t>
            </w:r>
          </w:p>
        </w:tc>
        <w:tc>
          <w:tcPr>
            <w:tcW w:w="2127" w:type="dxa"/>
            <w:tcBorders>
              <w:top w:val="single" w:sz="8" w:space="0" w:color="FFFFFF"/>
              <w:left w:val="nil"/>
              <w:bottom w:val="single" w:sz="4" w:space="0" w:color="auto"/>
              <w:right w:val="single" w:sz="8" w:space="0" w:color="FFFFFF"/>
            </w:tcBorders>
            <w:tcMar>
              <w:top w:w="57" w:type="dxa"/>
              <w:left w:w="85" w:type="dxa"/>
              <w:bottom w:w="57" w:type="dxa"/>
              <w:right w:w="108" w:type="dxa"/>
            </w:tcMar>
            <w:vAlign w:val="center"/>
            <w:hideMark/>
          </w:tcPr>
          <w:p w14:paraId="64CA452B" w14:textId="77777777" w:rsidR="003548C1" w:rsidRPr="003548C1" w:rsidRDefault="003548C1" w:rsidP="003548C1">
            <w:pPr>
              <w:keepNext/>
              <w:spacing w:before="60" w:after="60" w:line="240" w:lineRule="auto"/>
              <w:rPr>
                <w:rFonts w:ascii="Cambria" w:hAnsi="Cambria"/>
                <w:color w:val="FFFFFF" w:themeColor="background1"/>
                <w:sz w:val="18"/>
                <w:szCs w:val="18"/>
              </w:rPr>
            </w:pPr>
            <w:r w:rsidRPr="003548C1">
              <w:rPr>
                <w:rFonts w:ascii="Cambria" w:hAnsi="Cambria"/>
                <w:color w:val="FFFFFF" w:themeColor="background1"/>
                <w:sz w:val="18"/>
                <w:szCs w:val="18"/>
              </w:rPr>
              <w:t>-</w:t>
            </w:r>
          </w:p>
        </w:tc>
        <w:tc>
          <w:tcPr>
            <w:tcW w:w="1842" w:type="dxa"/>
            <w:tcBorders>
              <w:top w:val="single" w:sz="8" w:space="0" w:color="FFFFFF"/>
              <w:left w:val="nil"/>
              <w:bottom w:val="single" w:sz="4" w:space="0" w:color="auto"/>
              <w:right w:val="single" w:sz="8" w:space="0" w:color="FFFFFF"/>
            </w:tcBorders>
            <w:tcMar>
              <w:top w:w="57" w:type="dxa"/>
              <w:left w:w="85" w:type="dxa"/>
              <w:bottom w:w="57" w:type="dxa"/>
              <w:right w:w="108" w:type="dxa"/>
            </w:tcMar>
            <w:vAlign w:val="center"/>
            <w:hideMark/>
          </w:tcPr>
          <w:p w14:paraId="3ECC7B68" w14:textId="77777777" w:rsidR="003548C1" w:rsidRPr="003548C1" w:rsidRDefault="003548C1" w:rsidP="003548C1">
            <w:pPr>
              <w:keepNext/>
              <w:spacing w:before="60" w:after="60" w:line="240" w:lineRule="auto"/>
              <w:rPr>
                <w:rFonts w:ascii="Cambria" w:hAnsi="Cambria"/>
                <w:color w:val="FFFFFF" w:themeColor="background1"/>
                <w:sz w:val="18"/>
                <w:szCs w:val="18"/>
              </w:rPr>
            </w:pPr>
            <w:r w:rsidRPr="003548C1">
              <w:rPr>
                <w:rFonts w:ascii="Cambria" w:hAnsi="Cambria"/>
                <w:color w:val="FFFFFF" w:themeColor="background1"/>
                <w:sz w:val="18"/>
                <w:szCs w:val="18"/>
              </w:rPr>
              <w:t>-</w:t>
            </w:r>
          </w:p>
        </w:tc>
        <w:tc>
          <w:tcPr>
            <w:tcW w:w="1985" w:type="dxa"/>
            <w:tcBorders>
              <w:top w:val="single" w:sz="8" w:space="0" w:color="FFFFFF"/>
              <w:left w:val="nil"/>
              <w:bottom w:val="single" w:sz="8" w:space="0" w:color="auto"/>
              <w:right w:val="single" w:sz="4" w:space="0" w:color="auto"/>
            </w:tcBorders>
            <w:shd w:val="clear" w:color="auto" w:fill="FFFF66"/>
            <w:tcMar>
              <w:top w:w="57" w:type="dxa"/>
              <w:left w:w="85" w:type="dxa"/>
              <w:bottom w:w="57" w:type="dxa"/>
              <w:right w:w="108" w:type="dxa"/>
            </w:tcMar>
            <w:vAlign w:val="center"/>
            <w:hideMark/>
          </w:tcPr>
          <w:p w14:paraId="45A71721" w14:textId="77777777" w:rsidR="003548C1" w:rsidRPr="003548C1" w:rsidRDefault="003548C1" w:rsidP="003548C1">
            <w:pPr>
              <w:keepNext/>
              <w:spacing w:before="60" w:after="60" w:line="240" w:lineRule="auto"/>
              <w:rPr>
                <w:rFonts w:ascii="Cambria" w:hAnsi="Cambria"/>
                <w:sz w:val="18"/>
                <w:szCs w:val="18"/>
              </w:rPr>
            </w:pPr>
            <w:r w:rsidRPr="003548C1">
              <w:rPr>
                <w:rFonts w:ascii="Cambria" w:hAnsi="Cambria"/>
                <w:sz w:val="18"/>
                <w:szCs w:val="18"/>
              </w:rPr>
              <w:t>D2. Typically: area of occupancy &lt; 20 km</w:t>
            </w:r>
            <w:r w:rsidRPr="003548C1">
              <w:rPr>
                <w:rFonts w:ascii="Cambria" w:hAnsi="Cambria"/>
                <w:sz w:val="18"/>
                <w:szCs w:val="18"/>
                <w:vertAlign w:val="superscript"/>
              </w:rPr>
              <w:t>2</w:t>
            </w:r>
            <w:r w:rsidRPr="003548C1">
              <w:rPr>
                <w:rFonts w:ascii="Cambria" w:hAnsi="Cambria"/>
                <w:sz w:val="18"/>
                <w:szCs w:val="18"/>
              </w:rPr>
              <w:t xml:space="preserve"> or number of locations ≤ 5</w:t>
            </w:r>
          </w:p>
        </w:tc>
      </w:tr>
    </w:tbl>
    <w:p w14:paraId="47C69DA6" w14:textId="77777777" w:rsidR="003548C1" w:rsidRPr="003548C1" w:rsidRDefault="003548C1" w:rsidP="003548C1">
      <w:pPr>
        <w:spacing w:before="120" w:after="120" w:line="264" w:lineRule="auto"/>
        <w:contextualSpacing/>
        <w:rPr>
          <w:rFonts w:ascii="Calibri" w:hAnsi="Calibri"/>
          <w:sz w:val="18"/>
          <w:szCs w:val="22"/>
        </w:rPr>
      </w:pPr>
      <w:r w:rsidRPr="003548C1">
        <w:rPr>
          <w:rFonts w:ascii="Calibri" w:hAnsi="Calibri"/>
          <w:sz w:val="18"/>
          <w:szCs w:val="22"/>
          <w:vertAlign w:val="superscript"/>
        </w:rPr>
        <w:t>1</w:t>
      </w:r>
      <w:r w:rsidRPr="003548C1">
        <w:rPr>
          <w:rFonts w:ascii="Calibri" w:hAnsi="Calibri"/>
          <w:sz w:val="18"/>
          <w:szCs w:val="22"/>
        </w:rPr>
        <w:t xml:space="preserve"> The IUCN Red List Criterion D allows for species to be listed as Vulnerable under Criterion D2. The corresponding Criterion 4 in the EPBC Regulations does not currently include the provision for listing a species under D2. As such, a species cannot currently be listed under the EPBC Act under Criterion D2 only. However, assessments may include information relevant to D2. This information will not be considered by the Committee in making its recommendation of the species’ eligibility for listing under the EPBC Act, but may assist other jurisdictions to adopt the assessment outcome under the </w:t>
      </w:r>
      <w:hyperlink r:id="rId33" w:history="1">
        <w:r w:rsidRPr="003548C1">
          <w:rPr>
            <w:rFonts w:ascii="Calibri" w:hAnsi="Calibri"/>
            <w:bCs/>
            <w:i/>
            <w:iCs/>
            <w:color w:val="165788"/>
            <w:sz w:val="18"/>
            <w:szCs w:val="22"/>
            <w:u w:val="single"/>
          </w:rPr>
          <w:t>common assessment method</w:t>
        </w:r>
      </w:hyperlink>
      <w:r w:rsidRPr="003548C1">
        <w:rPr>
          <w:rFonts w:ascii="Calibri" w:hAnsi="Calibri"/>
          <w:sz w:val="18"/>
          <w:szCs w:val="22"/>
        </w:rPr>
        <w:t>.</w:t>
      </w:r>
    </w:p>
    <w:p w14:paraId="299AB86E" w14:textId="77777777" w:rsidR="003548C1" w:rsidRPr="00A610A8" w:rsidRDefault="003548C1" w:rsidP="003548C1">
      <w:pPr>
        <w:keepNext/>
        <w:keepLines/>
        <w:spacing w:before="120" w:after="120"/>
        <w:outlineLvl w:val="2"/>
        <w:rPr>
          <w:rFonts w:ascii="Calibri" w:eastAsia="Times New Roman" w:hAnsi="Calibri" w:cs="Cambria"/>
          <w:b/>
          <w:bCs/>
          <w:sz w:val="26"/>
          <w:szCs w:val="26"/>
        </w:rPr>
      </w:pPr>
      <w:r w:rsidRPr="00A610A8">
        <w:rPr>
          <w:rFonts w:ascii="Calibri" w:eastAsia="Times New Roman" w:hAnsi="Calibri" w:cs="Cambria"/>
          <w:b/>
          <w:bCs/>
          <w:sz w:val="26"/>
          <w:szCs w:val="26"/>
        </w:rPr>
        <w:t>Criterion 4 evidence</w:t>
      </w:r>
    </w:p>
    <w:p w14:paraId="4BFC033A" w14:textId="77777777" w:rsidR="00173892" w:rsidRDefault="00173892" w:rsidP="003548C1">
      <w:pPr>
        <w:spacing w:after="120"/>
        <w:rPr>
          <w:rFonts w:ascii="Cambria" w:hAnsi="Cambria"/>
          <w:b/>
          <w:bCs/>
          <w:sz w:val="22"/>
          <w:szCs w:val="22"/>
        </w:rPr>
      </w:pPr>
      <w:r w:rsidRPr="00173892">
        <w:rPr>
          <w:rFonts w:ascii="Cambria" w:hAnsi="Cambria"/>
          <w:b/>
          <w:bCs/>
          <w:sz w:val="22"/>
          <w:szCs w:val="22"/>
        </w:rPr>
        <w:t>Eligible under Criterion D2</w:t>
      </w:r>
    </w:p>
    <w:p w14:paraId="7AAFEF8E" w14:textId="7B58A266" w:rsidR="003548C1" w:rsidRPr="003548C1" w:rsidRDefault="003548C1" w:rsidP="003548C1">
      <w:pPr>
        <w:spacing w:after="120"/>
        <w:rPr>
          <w:rFonts w:ascii="Cambria" w:hAnsi="Cambria"/>
          <w:bCs/>
          <w:sz w:val="22"/>
          <w:szCs w:val="22"/>
        </w:rPr>
      </w:pPr>
      <w:r w:rsidRPr="003548C1">
        <w:rPr>
          <w:rFonts w:ascii="Cambria" w:hAnsi="Cambria"/>
          <w:bCs/>
          <w:sz w:val="22"/>
          <w:szCs w:val="22"/>
        </w:rPr>
        <w:t xml:space="preserve">The estimated total number of mature individuals of </w:t>
      </w:r>
      <w:r w:rsidR="00CA3380" w:rsidRPr="00CA3380">
        <w:rPr>
          <w:rFonts w:ascii="Cambria" w:hAnsi="Cambria"/>
          <w:bCs/>
          <w:sz w:val="22"/>
          <w:szCs w:val="22"/>
        </w:rPr>
        <w:t>Murunung Naruwi</w:t>
      </w:r>
      <w:r w:rsidRPr="00CA3380">
        <w:rPr>
          <w:rFonts w:ascii="Cambria" w:hAnsi="Cambria"/>
          <w:bCs/>
          <w:sz w:val="22"/>
          <w:szCs w:val="22"/>
        </w:rPr>
        <w:t xml:space="preserve"> i</w:t>
      </w:r>
      <w:r w:rsidRPr="003548C1">
        <w:rPr>
          <w:rFonts w:ascii="Cambria" w:hAnsi="Cambria"/>
          <w:bCs/>
          <w:sz w:val="22"/>
          <w:szCs w:val="22"/>
        </w:rPr>
        <w:t xml:space="preserve">s unknown. However, ≤ 5 locations are identified (see Criterion 2), and plausible threats exist </w:t>
      </w:r>
      <w:r w:rsidRPr="003548C1">
        <w:rPr>
          <w:rFonts w:ascii="Cambria" w:hAnsi="Cambria"/>
          <w:sz w:val="22"/>
          <w:szCs w:val="22"/>
          <w:lang w:eastAsia="ja-JP"/>
        </w:rPr>
        <w:t xml:space="preserve">(see Threats Table 1 above) </w:t>
      </w:r>
      <w:r w:rsidRPr="003548C1">
        <w:rPr>
          <w:rFonts w:ascii="Cambria" w:hAnsi="Cambria"/>
          <w:bCs/>
          <w:sz w:val="22"/>
          <w:szCs w:val="22"/>
        </w:rPr>
        <w:t>that could drive the species to Critically Endangered or Extinct in a very short time, demonstrating that the species is eligible for listing as Vulnerable under sub-criterion D2.</w:t>
      </w:r>
    </w:p>
    <w:p w14:paraId="4A862654" w14:textId="77777777" w:rsidR="003548C1" w:rsidRPr="00A610A8" w:rsidRDefault="003548C1" w:rsidP="003548C1">
      <w:pPr>
        <w:keepNext/>
        <w:spacing w:after="120" w:line="240" w:lineRule="auto"/>
        <w:rPr>
          <w:rFonts w:ascii="Calibri" w:hAnsi="Calibri"/>
          <w:b/>
          <w:bCs/>
          <w:sz w:val="28"/>
          <w:szCs w:val="28"/>
        </w:rPr>
      </w:pPr>
      <w:r w:rsidRPr="00A610A8">
        <w:rPr>
          <w:rFonts w:ascii="Calibri" w:hAnsi="Calibri"/>
          <w:b/>
          <w:bCs/>
          <w:sz w:val="28"/>
          <w:szCs w:val="28"/>
        </w:rPr>
        <w:t>Criterion 5 Quantitative analysis</w:t>
      </w:r>
    </w:p>
    <w:tbl>
      <w:tblPr>
        <w:tblStyle w:val="TableGrid1"/>
        <w:tblW w:w="0" w:type="auto"/>
        <w:tblCellMar>
          <w:top w:w="57" w:type="dxa"/>
          <w:left w:w="85" w:type="dxa"/>
          <w:bottom w:w="57" w:type="dxa"/>
        </w:tblCellMar>
        <w:tblLook w:val="04A0" w:firstRow="1" w:lastRow="0" w:firstColumn="1" w:lastColumn="0" w:noHBand="0" w:noVBand="1"/>
      </w:tblPr>
      <w:tblGrid>
        <w:gridCol w:w="3252"/>
        <w:gridCol w:w="1974"/>
        <w:gridCol w:w="1872"/>
        <w:gridCol w:w="1918"/>
      </w:tblGrid>
      <w:tr w:rsidR="003548C1" w:rsidRPr="003548C1" w14:paraId="1FFB4A83" w14:textId="77777777" w:rsidTr="007E5C85">
        <w:trPr>
          <w:trHeight w:val="350"/>
        </w:trPr>
        <w:tc>
          <w:tcPr>
            <w:tcW w:w="10624" w:type="dxa"/>
            <w:gridSpan w:val="4"/>
            <w:tcBorders>
              <w:left w:val="single" w:sz="4" w:space="0" w:color="auto"/>
              <w:bottom w:val="nil"/>
              <w:right w:val="single" w:sz="4" w:space="0" w:color="auto"/>
            </w:tcBorders>
            <w:shd w:val="clear" w:color="auto" w:fill="595959" w:themeFill="text1" w:themeFillTint="A6"/>
            <w:vAlign w:val="center"/>
          </w:tcPr>
          <w:p w14:paraId="17793537" w14:textId="77777777" w:rsidR="003548C1" w:rsidRPr="003548C1" w:rsidRDefault="003548C1" w:rsidP="003548C1">
            <w:pPr>
              <w:keepNext/>
              <w:tabs>
                <w:tab w:val="left" w:pos="284"/>
              </w:tabs>
              <w:rPr>
                <w:rFonts w:ascii="Arial" w:hAnsi="Arial" w:cs="Arial"/>
                <w:b/>
                <w:color w:val="FFFFFF" w:themeColor="background1"/>
                <w:sz w:val="18"/>
                <w:szCs w:val="22"/>
              </w:rPr>
            </w:pPr>
          </w:p>
        </w:tc>
      </w:tr>
      <w:tr w:rsidR="003548C1" w:rsidRPr="003548C1" w14:paraId="3FC15D1C" w14:textId="77777777" w:rsidTr="007E5C85">
        <w:trPr>
          <w:trHeight w:val="439"/>
        </w:trPr>
        <w:tc>
          <w:tcPr>
            <w:tcW w:w="4042" w:type="dxa"/>
            <w:tcBorders>
              <w:top w:val="nil"/>
              <w:left w:val="single" w:sz="4" w:space="0" w:color="auto"/>
              <w:bottom w:val="nil"/>
              <w:right w:val="nil"/>
            </w:tcBorders>
          </w:tcPr>
          <w:p w14:paraId="06663AAA" w14:textId="77777777" w:rsidR="003548C1" w:rsidRPr="003548C1" w:rsidRDefault="003548C1" w:rsidP="003548C1">
            <w:pPr>
              <w:keepNext/>
              <w:rPr>
                <w:sz w:val="18"/>
                <w:szCs w:val="22"/>
              </w:rPr>
            </w:pPr>
            <w:r w:rsidRPr="003548C1">
              <w:rPr>
                <w:color w:val="FFFFFF" w:themeColor="background1"/>
                <w:sz w:val="18"/>
                <w:szCs w:val="22"/>
              </w:rPr>
              <w:t>–</w:t>
            </w:r>
          </w:p>
        </w:tc>
        <w:tc>
          <w:tcPr>
            <w:tcW w:w="2252" w:type="dxa"/>
            <w:tcBorders>
              <w:top w:val="single" w:sz="4" w:space="0" w:color="FFFFFF" w:themeColor="background1"/>
              <w:left w:val="nil"/>
              <w:bottom w:val="single" w:sz="4" w:space="0" w:color="FFFFFF" w:themeColor="background1"/>
              <w:right w:val="single" w:sz="4" w:space="0" w:color="FFFFFF" w:themeColor="background1"/>
            </w:tcBorders>
            <w:shd w:val="clear" w:color="auto" w:fill="FF0000"/>
          </w:tcPr>
          <w:p w14:paraId="1AE552A4" w14:textId="77777777" w:rsidR="003548C1" w:rsidRPr="003548C1" w:rsidRDefault="003548C1" w:rsidP="003548C1">
            <w:pPr>
              <w:keepNext/>
              <w:rPr>
                <w:b/>
                <w:bCs/>
                <w:sz w:val="18"/>
                <w:szCs w:val="22"/>
              </w:rPr>
            </w:pPr>
            <w:r w:rsidRPr="003548C1">
              <w:rPr>
                <w:b/>
                <w:bCs/>
                <w:sz w:val="18"/>
                <w:szCs w:val="22"/>
              </w:rPr>
              <w:t>Critically Endangered</w:t>
            </w:r>
          </w:p>
          <w:p w14:paraId="6AA030F9" w14:textId="77777777" w:rsidR="003548C1" w:rsidRPr="003548C1" w:rsidRDefault="003548C1" w:rsidP="003548C1">
            <w:pPr>
              <w:keepNext/>
              <w:rPr>
                <w:b/>
                <w:sz w:val="18"/>
                <w:szCs w:val="22"/>
              </w:rPr>
            </w:pPr>
            <w:r w:rsidRPr="003548C1">
              <w:rPr>
                <w:b/>
                <w:bCs/>
                <w:sz w:val="18"/>
                <w:szCs w:val="22"/>
              </w:rPr>
              <w:t>Immediate future</w:t>
            </w:r>
          </w:p>
        </w:tc>
        <w:tc>
          <w:tcPr>
            <w:tcW w:w="2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6600"/>
          </w:tcPr>
          <w:p w14:paraId="1E83A0AB" w14:textId="77777777" w:rsidR="003548C1" w:rsidRPr="003548C1" w:rsidRDefault="003548C1" w:rsidP="003548C1">
            <w:pPr>
              <w:keepNext/>
              <w:rPr>
                <w:b/>
                <w:bCs/>
                <w:sz w:val="18"/>
                <w:szCs w:val="22"/>
              </w:rPr>
            </w:pPr>
            <w:r w:rsidRPr="003548C1">
              <w:rPr>
                <w:b/>
                <w:bCs/>
                <w:sz w:val="18"/>
                <w:szCs w:val="22"/>
              </w:rPr>
              <w:t>Endangered</w:t>
            </w:r>
          </w:p>
          <w:p w14:paraId="3AB77C4A" w14:textId="77777777" w:rsidR="003548C1" w:rsidRPr="003548C1" w:rsidRDefault="003548C1" w:rsidP="003548C1">
            <w:pPr>
              <w:keepNext/>
              <w:rPr>
                <w:b/>
                <w:bCs/>
                <w:sz w:val="18"/>
                <w:szCs w:val="22"/>
              </w:rPr>
            </w:pPr>
            <w:r w:rsidRPr="003548C1">
              <w:rPr>
                <w:b/>
                <w:bCs/>
                <w:sz w:val="18"/>
                <w:szCs w:val="22"/>
              </w:rPr>
              <w:t>Near future</w:t>
            </w:r>
          </w:p>
        </w:tc>
        <w:tc>
          <w:tcPr>
            <w:tcW w:w="2217"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FFFF00"/>
          </w:tcPr>
          <w:p w14:paraId="2C27F741" w14:textId="77777777" w:rsidR="003548C1" w:rsidRPr="003548C1" w:rsidRDefault="003548C1" w:rsidP="003548C1">
            <w:pPr>
              <w:keepNext/>
              <w:rPr>
                <w:b/>
                <w:bCs/>
                <w:sz w:val="18"/>
                <w:szCs w:val="22"/>
              </w:rPr>
            </w:pPr>
            <w:r w:rsidRPr="003548C1">
              <w:rPr>
                <w:b/>
                <w:bCs/>
                <w:sz w:val="18"/>
                <w:szCs w:val="22"/>
              </w:rPr>
              <w:t>Vulnerable</w:t>
            </w:r>
          </w:p>
          <w:p w14:paraId="14454053" w14:textId="77777777" w:rsidR="003548C1" w:rsidRPr="003548C1" w:rsidRDefault="003548C1" w:rsidP="003548C1">
            <w:pPr>
              <w:keepNext/>
              <w:rPr>
                <w:b/>
                <w:bCs/>
                <w:sz w:val="18"/>
                <w:szCs w:val="22"/>
              </w:rPr>
            </w:pPr>
            <w:r w:rsidRPr="003548C1">
              <w:rPr>
                <w:b/>
                <w:bCs/>
                <w:sz w:val="18"/>
                <w:szCs w:val="22"/>
              </w:rPr>
              <w:t>Medium-term future</w:t>
            </w:r>
          </w:p>
        </w:tc>
      </w:tr>
      <w:tr w:rsidR="003548C1" w:rsidRPr="003548C1" w14:paraId="42C983FA" w14:textId="77777777" w:rsidTr="007E5C85">
        <w:trPr>
          <w:trHeight w:val="442"/>
        </w:trPr>
        <w:tc>
          <w:tcPr>
            <w:tcW w:w="4042" w:type="dxa"/>
            <w:tcBorders>
              <w:top w:val="nil"/>
              <w:left w:val="single" w:sz="4" w:space="0" w:color="auto"/>
              <w:bottom w:val="single" w:sz="4" w:space="0" w:color="auto"/>
              <w:right w:val="nil"/>
            </w:tcBorders>
            <w:shd w:val="clear" w:color="auto" w:fill="BFBFBF" w:themeFill="background1" w:themeFillShade="BF"/>
            <w:vAlign w:val="center"/>
          </w:tcPr>
          <w:p w14:paraId="781DD469" w14:textId="77777777" w:rsidR="003548C1" w:rsidRPr="003548C1" w:rsidRDefault="003548C1" w:rsidP="003548C1">
            <w:pPr>
              <w:rPr>
                <w:b/>
                <w:bCs/>
                <w:sz w:val="18"/>
                <w:szCs w:val="22"/>
              </w:rPr>
            </w:pPr>
            <w:r w:rsidRPr="003548C1">
              <w:rPr>
                <w:b/>
                <w:bCs/>
                <w:sz w:val="18"/>
                <w:szCs w:val="22"/>
              </w:rPr>
              <w:t xml:space="preserve">Indicating the probability of extinction in the wild to be: </w:t>
            </w:r>
          </w:p>
        </w:tc>
        <w:tc>
          <w:tcPr>
            <w:tcW w:w="2252" w:type="dxa"/>
            <w:tcBorders>
              <w:top w:val="single" w:sz="4" w:space="0" w:color="FFFFFF" w:themeColor="background1"/>
              <w:left w:val="nil"/>
              <w:bottom w:val="single" w:sz="4" w:space="0" w:color="auto"/>
              <w:right w:val="single" w:sz="4" w:space="0" w:color="FFFFFF" w:themeColor="background1"/>
            </w:tcBorders>
            <w:shd w:val="clear" w:color="auto" w:fill="FF7C80"/>
            <w:vAlign w:val="center"/>
          </w:tcPr>
          <w:p w14:paraId="2B6AA6CC" w14:textId="77777777" w:rsidR="003548C1" w:rsidRPr="003548C1" w:rsidRDefault="003548C1" w:rsidP="003548C1">
            <w:pPr>
              <w:rPr>
                <w:sz w:val="18"/>
                <w:szCs w:val="22"/>
              </w:rPr>
            </w:pPr>
            <w:r w:rsidRPr="003548C1">
              <w:rPr>
                <w:b/>
                <w:bCs/>
                <w:sz w:val="18"/>
                <w:szCs w:val="22"/>
              </w:rPr>
              <w:t>≥ 50% in 10 years or 3 generations, whichever is longer (100 years max.)</w:t>
            </w:r>
          </w:p>
        </w:tc>
        <w:tc>
          <w:tcPr>
            <w:tcW w:w="211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FF9933"/>
            <w:vAlign w:val="center"/>
          </w:tcPr>
          <w:p w14:paraId="358DB441" w14:textId="77777777" w:rsidR="003548C1" w:rsidRPr="003548C1" w:rsidRDefault="003548C1" w:rsidP="003548C1">
            <w:pPr>
              <w:rPr>
                <w:sz w:val="18"/>
                <w:szCs w:val="22"/>
              </w:rPr>
            </w:pPr>
            <w:r w:rsidRPr="003548C1">
              <w:rPr>
                <w:b/>
                <w:bCs/>
                <w:sz w:val="18"/>
                <w:szCs w:val="22"/>
              </w:rPr>
              <w:t>≥ 20% in 20 years or 5 generations, whichever is longer (100 years max.)</w:t>
            </w:r>
          </w:p>
        </w:tc>
        <w:tc>
          <w:tcPr>
            <w:tcW w:w="2217" w:type="dxa"/>
            <w:tcBorders>
              <w:top w:val="single" w:sz="4" w:space="0" w:color="FFFFFF" w:themeColor="background1"/>
              <w:left w:val="single" w:sz="4" w:space="0" w:color="FFFFFF" w:themeColor="background1"/>
              <w:bottom w:val="single" w:sz="4" w:space="0" w:color="auto"/>
              <w:right w:val="single" w:sz="4" w:space="0" w:color="auto"/>
            </w:tcBorders>
            <w:shd w:val="clear" w:color="auto" w:fill="FFFF66"/>
            <w:vAlign w:val="center"/>
          </w:tcPr>
          <w:p w14:paraId="1848FAC8" w14:textId="77777777" w:rsidR="003548C1" w:rsidRPr="003548C1" w:rsidRDefault="003548C1" w:rsidP="003548C1">
            <w:pPr>
              <w:rPr>
                <w:sz w:val="18"/>
                <w:szCs w:val="22"/>
              </w:rPr>
            </w:pPr>
            <w:r w:rsidRPr="003548C1">
              <w:rPr>
                <w:b/>
                <w:bCs/>
                <w:sz w:val="18"/>
                <w:szCs w:val="22"/>
              </w:rPr>
              <w:t xml:space="preserve">≥ 10% in 100 years </w:t>
            </w:r>
          </w:p>
        </w:tc>
      </w:tr>
    </w:tbl>
    <w:p w14:paraId="47D8E5F0" w14:textId="77777777" w:rsidR="003548C1" w:rsidRPr="00A610A8" w:rsidRDefault="003548C1" w:rsidP="003548C1">
      <w:pPr>
        <w:keepNext/>
        <w:keepLines/>
        <w:spacing w:before="240" w:after="120"/>
        <w:outlineLvl w:val="2"/>
        <w:rPr>
          <w:rFonts w:ascii="Calibri" w:eastAsia="Times New Roman" w:hAnsi="Calibri" w:cs="Cambria"/>
          <w:b/>
          <w:bCs/>
          <w:sz w:val="26"/>
          <w:szCs w:val="26"/>
        </w:rPr>
      </w:pPr>
      <w:r w:rsidRPr="00A610A8">
        <w:rPr>
          <w:rFonts w:ascii="Calibri" w:eastAsia="Times New Roman" w:hAnsi="Calibri" w:cs="Cambria"/>
          <w:b/>
          <w:bCs/>
          <w:sz w:val="26"/>
          <w:szCs w:val="26"/>
        </w:rPr>
        <w:t>Criterion 5 evidence</w:t>
      </w:r>
    </w:p>
    <w:p w14:paraId="66F9F30A" w14:textId="77777777" w:rsidR="003548C1" w:rsidRPr="003548C1" w:rsidRDefault="003548C1" w:rsidP="003548C1">
      <w:pPr>
        <w:spacing w:after="120"/>
        <w:rPr>
          <w:rFonts w:ascii="Cambria" w:hAnsi="Cambria"/>
          <w:b/>
          <w:bCs/>
          <w:sz w:val="22"/>
          <w:szCs w:val="22"/>
        </w:rPr>
      </w:pPr>
      <w:r w:rsidRPr="003548C1">
        <w:rPr>
          <w:rFonts w:ascii="Cambria" w:hAnsi="Cambria"/>
          <w:b/>
          <w:bCs/>
          <w:sz w:val="22"/>
          <w:szCs w:val="22"/>
        </w:rPr>
        <w:t>Insufficient data to determine eligibility</w:t>
      </w:r>
    </w:p>
    <w:p w14:paraId="1DEDB215" w14:textId="4E05657B" w:rsidR="003548C1" w:rsidRPr="003548C1" w:rsidRDefault="003548C1" w:rsidP="003548C1">
      <w:pPr>
        <w:spacing w:after="120"/>
        <w:rPr>
          <w:rFonts w:ascii="Cambria" w:hAnsi="Cambria"/>
          <w:sz w:val="22"/>
          <w:szCs w:val="22"/>
        </w:rPr>
      </w:pPr>
      <w:r w:rsidRPr="003548C1">
        <w:rPr>
          <w:rFonts w:ascii="Cambria" w:hAnsi="Cambria"/>
          <w:sz w:val="22"/>
          <w:szCs w:val="22"/>
        </w:rPr>
        <w:t xml:space="preserve">Population viability analysis has not been undertaken for </w:t>
      </w:r>
      <w:r w:rsidR="00CA3380" w:rsidRPr="00CA3380">
        <w:rPr>
          <w:rFonts w:ascii="Cambria" w:hAnsi="Cambria"/>
          <w:sz w:val="22"/>
          <w:szCs w:val="22"/>
        </w:rPr>
        <w:t>Murunung Naruwi</w:t>
      </w:r>
      <w:r w:rsidRPr="00CA3380">
        <w:rPr>
          <w:rFonts w:ascii="Cambria" w:hAnsi="Cambria"/>
          <w:sz w:val="22"/>
          <w:szCs w:val="22"/>
        </w:rPr>
        <w:t>. T</w:t>
      </w:r>
      <w:r w:rsidRPr="003548C1">
        <w:rPr>
          <w:rFonts w:ascii="Cambria" w:hAnsi="Cambria"/>
          <w:sz w:val="22"/>
          <w:szCs w:val="22"/>
        </w:rPr>
        <w:t xml:space="preserve">herefore, there is insufficient information to determine the eligibility of the species for listing in any category under this criterion. </w:t>
      </w:r>
    </w:p>
    <w:p w14:paraId="42D5953D" w14:textId="77777777" w:rsidR="003548C1" w:rsidRPr="00A610A8" w:rsidRDefault="003548C1" w:rsidP="003548C1">
      <w:pPr>
        <w:keepNext/>
        <w:keepLines/>
        <w:spacing w:before="120" w:after="120"/>
        <w:outlineLvl w:val="2"/>
        <w:rPr>
          <w:rFonts w:ascii="Calibri" w:eastAsia="Times New Roman" w:hAnsi="Calibri" w:cs="Cambria"/>
          <w:b/>
          <w:bCs/>
          <w:sz w:val="28"/>
          <w:szCs w:val="28"/>
        </w:rPr>
      </w:pPr>
      <w:r w:rsidRPr="00A610A8">
        <w:rPr>
          <w:rFonts w:ascii="Calibri" w:eastAsia="Times New Roman" w:hAnsi="Calibri" w:cs="Cambria"/>
          <w:b/>
          <w:bCs/>
          <w:sz w:val="28"/>
          <w:szCs w:val="28"/>
        </w:rPr>
        <w:lastRenderedPageBreak/>
        <w:t>Adequacy of survey</w:t>
      </w:r>
    </w:p>
    <w:p w14:paraId="16CB1530" w14:textId="77777777" w:rsidR="003548C1" w:rsidRPr="003548C1" w:rsidRDefault="003548C1" w:rsidP="003548C1">
      <w:pPr>
        <w:spacing w:after="120"/>
        <w:rPr>
          <w:rFonts w:ascii="Cambria" w:hAnsi="Cambria"/>
          <w:sz w:val="22"/>
          <w:szCs w:val="22"/>
        </w:rPr>
      </w:pPr>
      <w:r w:rsidRPr="003548C1">
        <w:rPr>
          <w:rFonts w:ascii="Cambria" w:hAnsi="Cambria"/>
          <w:sz w:val="22"/>
          <w:szCs w:val="22"/>
        </w:rPr>
        <w:t>The survey effort has been considered adequate and there is sufficient scientific evidence to support the assessment.</w:t>
      </w:r>
    </w:p>
    <w:p w14:paraId="554FCC09" w14:textId="77777777" w:rsidR="003548C1" w:rsidRPr="00A610A8" w:rsidRDefault="003548C1" w:rsidP="003548C1">
      <w:pPr>
        <w:keepNext/>
        <w:keepLines/>
        <w:spacing w:before="120" w:after="120"/>
        <w:outlineLvl w:val="2"/>
        <w:rPr>
          <w:rFonts w:ascii="Calibri" w:eastAsia="Times New Roman" w:hAnsi="Calibri" w:cs="Cambria"/>
          <w:b/>
          <w:bCs/>
          <w:sz w:val="28"/>
          <w:szCs w:val="28"/>
        </w:rPr>
      </w:pPr>
      <w:r w:rsidRPr="00A610A8">
        <w:rPr>
          <w:rFonts w:ascii="Calibri" w:eastAsia="Times New Roman" w:hAnsi="Calibri" w:cs="Cambria"/>
          <w:b/>
          <w:bCs/>
          <w:sz w:val="28"/>
          <w:szCs w:val="28"/>
        </w:rPr>
        <w:t xml:space="preserve">Public consultation </w:t>
      </w:r>
    </w:p>
    <w:p w14:paraId="7153685B" w14:textId="1E149FD0" w:rsidR="003548C1" w:rsidRPr="003548C1" w:rsidRDefault="003548C1" w:rsidP="003548C1">
      <w:pPr>
        <w:spacing w:after="120"/>
        <w:rPr>
          <w:rFonts w:ascii="Cambria" w:hAnsi="Cambria"/>
          <w:sz w:val="22"/>
          <w:szCs w:val="22"/>
        </w:rPr>
      </w:pPr>
      <w:r w:rsidRPr="003548C1">
        <w:rPr>
          <w:rFonts w:ascii="Cambria" w:hAnsi="Cambria"/>
          <w:sz w:val="22"/>
          <w:szCs w:val="22"/>
        </w:rPr>
        <w:t xml:space="preserve">Under the </w:t>
      </w:r>
      <w:r w:rsidRPr="003548C1">
        <w:rPr>
          <w:rFonts w:ascii="Cambria" w:hAnsi="Cambria"/>
          <w:i/>
          <w:iCs/>
          <w:sz w:val="22"/>
          <w:szCs w:val="22"/>
        </w:rPr>
        <w:t>Nature Conservation Act 2014</w:t>
      </w:r>
      <w:r w:rsidRPr="003548C1">
        <w:rPr>
          <w:rFonts w:ascii="Cambria" w:hAnsi="Cambria"/>
          <w:sz w:val="22"/>
          <w:szCs w:val="22"/>
        </w:rPr>
        <w:t xml:space="preserve"> (ACT), notice of the nomination and consultation document was made available for public comment for at least six weeks between 14 January 2025 and 26 February 2025. Any comments received that were relevant to the survival of the species were considered by the Scientific Committee as part of the assessment process and informed the Scientific Committee’s advice to the Minister for the Environment (ACT)</w:t>
      </w:r>
      <w:r w:rsidR="00173892">
        <w:rPr>
          <w:rFonts w:ascii="Cambria" w:hAnsi="Cambria"/>
          <w:sz w:val="22"/>
          <w:szCs w:val="22"/>
        </w:rPr>
        <w:t>.</w:t>
      </w:r>
    </w:p>
    <w:p w14:paraId="27D76B43" w14:textId="77777777" w:rsidR="003548C1" w:rsidRPr="003548C1" w:rsidRDefault="003548C1" w:rsidP="003548C1">
      <w:pPr>
        <w:spacing w:after="120"/>
        <w:rPr>
          <w:rFonts w:ascii="Cambria" w:hAnsi="Cambria"/>
          <w:sz w:val="22"/>
          <w:szCs w:val="22"/>
        </w:rPr>
      </w:pPr>
    </w:p>
    <w:p w14:paraId="0E3ABB17" w14:textId="77777777" w:rsidR="003548C1" w:rsidRPr="003548C1" w:rsidRDefault="003548C1" w:rsidP="003548C1">
      <w:pPr>
        <w:spacing w:after="120"/>
        <w:jc w:val="both"/>
        <w:rPr>
          <w:rFonts w:ascii="Calibri" w:eastAsia="Calibri" w:hAnsi="Calibri" w:cs="Calibri"/>
          <w:sz w:val="22"/>
          <w:szCs w:val="22"/>
        </w:rPr>
      </w:pPr>
    </w:p>
    <w:p w14:paraId="6563A1B6" w14:textId="07008EE6" w:rsidR="00CB64F2" w:rsidRDefault="00CB64F2" w:rsidP="00E4102A">
      <w:pPr>
        <w:pStyle w:val="Heading2-notindexed"/>
      </w:pPr>
    </w:p>
    <w:sectPr w:rsidR="00CB64F2" w:rsidSect="001F28DD">
      <w:headerReference w:type="first" r:id="rId34"/>
      <w:footerReference w:type="first" r:id="rId35"/>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04A21" w14:textId="77777777" w:rsidR="00327C40" w:rsidRDefault="00327C40" w:rsidP="00DF4FEA">
      <w:pPr>
        <w:spacing w:after="0" w:line="240" w:lineRule="auto"/>
      </w:pPr>
      <w:r>
        <w:separator/>
      </w:r>
    </w:p>
    <w:p w14:paraId="3728BFBC" w14:textId="77777777" w:rsidR="00327C40" w:rsidRDefault="00327C40"/>
  </w:endnote>
  <w:endnote w:type="continuationSeparator" w:id="0">
    <w:p w14:paraId="76036831" w14:textId="77777777" w:rsidR="00327C40" w:rsidRDefault="00327C40" w:rsidP="00DF4FEA">
      <w:pPr>
        <w:spacing w:after="0" w:line="240" w:lineRule="auto"/>
      </w:pPr>
      <w:r>
        <w:continuationSeparator/>
      </w:r>
    </w:p>
    <w:p w14:paraId="7BC12133" w14:textId="77777777" w:rsidR="00327C40" w:rsidRDefault="00327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F4F1B" w14:textId="77777777" w:rsidR="000845C0" w:rsidRDefault="000845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2816"/>
      <w:docPartObj>
        <w:docPartGallery w:val="Page Numbers (Bottom of Page)"/>
        <w:docPartUnique/>
      </w:docPartObj>
    </w:sdtPr>
    <w:sdtEndPr/>
    <w:sdtContent>
      <w:p w14:paraId="06F02673" w14:textId="77777777" w:rsidR="008740E8" w:rsidRDefault="00677C43">
        <w:pPr>
          <w:pStyle w:val="Footer"/>
          <w:jc w:val="right"/>
        </w:pPr>
        <w:r>
          <w:fldChar w:fldCharType="begin"/>
        </w:r>
        <w:r>
          <w:instrText xml:space="preserve"> PAGE   \* MERGEFORMAT </w:instrText>
        </w:r>
        <w:r>
          <w:fldChar w:fldCharType="separate"/>
        </w:r>
        <w:r w:rsidR="003A65CB">
          <w:rPr>
            <w:noProof/>
          </w:rPr>
          <w:t>2</w:t>
        </w:r>
        <w:r>
          <w:rPr>
            <w:noProof/>
          </w:rPr>
          <w:fldChar w:fldCharType="end"/>
        </w:r>
      </w:p>
    </w:sdtContent>
  </w:sdt>
  <w:p w14:paraId="45FFC785" w14:textId="03F00695" w:rsidR="008740E8" w:rsidRPr="000845C0" w:rsidRDefault="000845C0" w:rsidP="000845C0">
    <w:pPr>
      <w:jc w:val="center"/>
      <w:rPr>
        <w:rFonts w:ascii="Arial" w:hAnsi="Arial" w:cs="Arial"/>
        <w:sz w:val="14"/>
      </w:rPr>
    </w:pPr>
    <w:r w:rsidRPr="000845C0">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49765" w14:textId="08B0DBE1" w:rsidR="000845C0" w:rsidRPr="000845C0" w:rsidRDefault="000845C0" w:rsidP="000845C0">
    <w:pPr>
      <w:pStyle w:val="Footer"/>
      <w:jc w:val="center"/>
      <w:rPr>
        <w:rFonts w:ascii="Arial" w:hAnsi="Arial" w:cs="Arial"/>
        <w:sz w:val="14"/>
      </w:rPr>
    </w:pPr>
    <w:r w:rsidRPr="000845C0">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E44B" w14:textId="12D0A0C6" w:rsidR="001F28DD" w:rsidRPr="000845C0" w:rsidRDefault="000845C0" w:rsidP="000845C0">
    <w:pPr>
      <w:pStyle w:val="Footer"/>
      <w:jc w:val="center"/>
      <w:rPr>
        <w:rFonts w:ascii="Arial" w:hAnsi="Arial" w:cs="Arial"/>
        <w:sz w:val="14"/>
      </w:rPr>
    </w:pPr>
    <w:r w:rsidRPr="000845C0">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151F" w14:textId="77777777" w:rsidR="00327C40" w:rsidRDefault="00327C40" w:rsidP="00DF4FEA">
      <w:pPr>
        <w:spacing w:after="0" w:line="240" w:lineRule="auto"/>
      </w:pPr>
      <w:r>
        <w:separator/>
      </w:r>
    </w:p>
    <w:p w14:paraId="5FE23860" w14:textId="77777777" w:rsidR="00327C40" w:rsidRDefault="00327C40"/>
  </w:footnote>
  <w:footnote w:type="continuationSeparator" w:id="0">
    <w:p w14:paraId="1699D7BC" w14:textId="77777777" w:rsidR="00327C40" w:rsidRDefault="00327C40" w:rsidP="00DF4FEA">
      <w:pPr>
        <w:spacing w:after="0" w:line="240" w:lineRule="auto"/>
      </w:pPr>
      <w:r>
        <w:continuationSeparator/>
      </w:r>
    </w:p>
    <w:p w14:paraId="26F617B2" w14:textId="77777777" w:rsidR="00327C40" w:rsidRDefault="00327C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A8FB" w14:textId="77777777" w:rsidR="000845C0" w:rsidRDefault="000845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FCF0" w14:textId="77777777" w:rsidR="000845C0" w:rsidRDefault="000845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483D" w14:textId="77777777" w:rsidR="000845C0" w:rsidRDefault="000845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526C" w14:textId="77777777" w:rsidR="001F28DD" w:rsidRDefault="001F28DD">
    <w:pPr>
      <w:pStyle w:val="Header"/>
    </w:pPr>
    <w:r>
      <w:rPr>
        <w:noProof/>
        <w:lang w:eastAsia="en-AU"/>
      </w:rPr>
      <w:drawing>
        <wp:anchor distT="0" distB="0" distL="114300" distR="114300" simplePos="0" relativeHeight="251659264" behindDoc="0" locked="0" layoutInCell="1" allowOverlap="1" wp14:anchorId="6087BB65" wp14:editId="522CFA71">
          <wp:simplePos x="0" y="0"/>
          <wp:positionH relativeFrom="column">
            <wp:posOffset>4599940</wp:posOffset>
          </wp:positionH>
          <wp:positionV relativeFrom="paragraph">
            <wp:posOffset>-28575</wp:posOffset>
          </wp:positionV>
          <wp:extent cx="1101090" cy="1102360"/>
          <wp:effectExtent l="19050" t="0" r="3810" b="0"/>
          <wp:wrapNone/>
          <wp:docPr id="1253524719" name="Picture 6" descr="ACT Scientific Committe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CT Scientific Committee logo "/>
                  <pic:cNvPicPr>
                    <a:picLocks noChangeAspect="1" noChangeArrowheads="1"/>
                  </pic:cNvPicPr>
                </pic:nvPicPr>
                <pic:blipFill>
                  <a:blip r:embed="rId1"/>
                  <a:srcRect/>
                  <a:stretch>
                    <a:fillRect/>
                  </a:stretch>
                </pic:blipFill>
                <pic:spPr bwMode="auto">
                  <a:xfrm>
                    <a:off x="0" y="0"/>
                    <a:ext cx="1101090" cy="1102360"/>
                  </a:xfrm>
                  <a:prstGeom prst="rect">
                    <a:avLst/>
                  </a:prstGeom>
                  <a:noFill/>
                  <a:ln w="9525">
                    <a:noFill/>
                    <a:miter lim="800000"/>
                    <a:headEnd/>
                    <a:tailEnd/>
                  </a:ln>
                </pic:spPr>
              </pic:pic>
            </a:graphicData>
          </a:graphic>
        </wp:anchor>
      </w:drawing>
    </w:r>
    <w:r w:rsidRPr="00511A29">
      <w:rPr>
        <w:noProof/>
        <w:lang w:eastAsia="en-AU"/>
      </w:rPr>
      <w:drawing>
        <wp:inline distT="0" distB="0" distL="0" distR="0" wp14:anchorId="22909858" wp14:editId="203132E6">
          <wp:extent cx="1905859" cy="752475"/>
          <wp:effectExtent l="0" t="0" r="0" b="0"/>
          <wp:docPr id="584242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05859" cy="7524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67F6E9A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BB67408"/>
    <w:multiLevelType w:val="hybridMultilevel"/>
    <w:tmpl w:val="EF74CD64"/>
    <w:lvl w:ilvl="0" w:tplc="7DC46A7E">
      <w:start w:val="1"/>
      <w:numFmt w:val="bullet"/>
      <w:pStyle w:val="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3B534F"/>
    <w:multiLevelType w:val="hybridMultilevel"/>
    <w:tmpl w:val="94F61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3653B9"/>
    <w:multiLevelType w:val="multilevel"/>
    <w:tmpl w:val="8FCC01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A6519A1"/>
    <w:multiLevelType w:val="hybridMultilevel"/>
    <w:tmpl w:val="EFBCBF48"/>
    <w:lvl w:ilvl="0" w:tplc="D1B6CF6A">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926836"/>
    <w:multiLevelType w:val="hybridMultilevel"/>
    <w:tmpl w:val="4B626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EC0CCC"/>
    <w:multiLevelType w:val="hybridMultilevel"/>
    <w:tmpl w:val="221A8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372C6A"/>
    <w:multiLevelType w:val="multilevel"/>
    <w:tmpl w:val="467C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AC0603"/>
    <w:multiLevelType w:val="hybridMultilevel"/>
    <w:tmpl w:val="A3CE9672"/>
    <w:lvl w:ilvl="0" w:tplc="0FDA6E3E">
      <w:start w:val="1"/>
      <w:numFmt w:val="bullet"/>
      <w:lvlText w:val=""/>
      <w:lvlJc w:val="left"/>
      <w:pPr>
        <w:ind w:left="720" w:hanging="360"/>
      </w:pPr>
      <w:rPr>
        <w:rFonts w:ascii="Symbol" w:hAnsi="Symbol"/>
      </w:rPr>
    </w:lvl>
    <w:lvl w:ilvl="1" w:tplc="CE54147E">
      <w:start w:val="1"/>
      <w:numFmt w:val="bullet"/>
      <w:lvlText w:val=""/>
      <w:lvlJc w:val="left"/>
      <w:pPr>
        <w:ind w:left="720" w:hanging="360"/>
      </w:pPr>
      <w:rPr>
        <w:rFonts w:ascii="Symbol" w:hAnsi="Symbol"/>
      </w:rPr>
    </w:lvl>
    <w:lvl w:ilvl="2" w:tplc="AAB6A64A">
      <w:start w:val="1"/>
      <w:numFmt w:val="bullet"/>
      <w:lvlText w:val=""/>
      <w:lvlJc w:val="left"/>
      <w:pPr>
        <w:ind w:left="720" w:hanging="360"/>
      </w:pPr>
      <w:rPr>
        <w:rFonts w:ascii="Symbol" w:hAnsi="Symbol"/>
      </w:rPr>
    </w:lvl>
    <w:lvl w:ilvl="3" w:tplc="E7ECE086">
      <w:start w:val="1"/>
      <w:numFmt w:val="bullet"/>
      <w:lvlText w:val=""/>
      <w:lvlJc w:val="left"/>
      <w:pPr>
        <w:ind w:left="720" w:hanging="360"/>
      </w:pPr>
      <w:rPr>
        <w:rFonts w:ascii="Symbol" w:hAnsi="Symbol"/>
      </w:rPr>
    </w:lvl>
    <w:lvl w:ilvl="4" w:tplc="0F8A8748">
      <w:start w:val="1"/>
      <w:numFmt w:val="bullet"/>
      <w:lvlText w:val=""/>
      <w:lvlJc w:val="left"/>
      <w:pPr>
        <w:ind w:left="720" w:hanging="360"/>
      </w:pPr>
      <w:rPr>
        <w:rFonts w:ascii="Symbol" w:hAnsi="Symbol"/>
      </w:rPr>
    </w:lvl>
    <w:lvl w:ilvl="5" w:tplc="7468331A">
      <w:start w:val="1"/>
      <w:numFmt w:val="bullet"/>
      <w:lvlText w:val=""/>
      <w:lvlJc w:val="left"/>
      <w:pPr>
        <w:ind w:left="720" w:hanging="360"/>
      </w:pPr>
      <w:rPr>
        <w:rFonts w:ascii="Symbol" w:hAnsi="Symbol"/>
      </w:rPr>
    </w:lvl>
    <w:lvl w:ilvl="6" w:tplc="F3745862">
      <w:start w:val="1"/>
      <w:numFmt w:val="bullet"/>
      <w:lvlText w:val=""/>
      <w:lvlJc w:val="left"/>
      <w:pPr>
        <w:ind w:left="720" w:hanging="360"/>
      </w:pPr>
      <w:rPr>
        <w:rFonts w:ascii="Symbol" w:hAnsi="Symbol"/>
      </w:rPr>
    </w:lvl>
    <w:lvl w:ilvl="7" w:tplc="F8F215BA">
      <w:start w:val="1"/>
      <w:numFmt w:val="bullet"/>
      <w:lvlText w:val=""/>
      <w:lvlJc w:val="left"/>
      <w:pPr>
        <w:ind w:left="720" w:hanging="360"/>
      </w:pPr>
      <w:rPr>
        <w:rFonts w:ascii="Symbol" w:hAnsi="Symbol"/>
      </w:rPr>
    </w:lvl>
    <w:lvl w:ilvl="8" w:tplc="E506A4C8">
      <w:start w:val="1"/>
      <w:numFmt w:val="bullet"/>
      <w:lvlText w:val=""/>
      <w:lvlJc w:val="left"/>
      <w:pPr>
        <w:ind w:left="720" w:hanging="360"/>
      </w:pPr>
      <w:rPr>
        <w:rFonts w:ascii="Symbol" w:hAnsi="Symbol"/>
      </w:rPr>
    </w:lvl>
  </w:abstractNum>
  <w:abstractNum w:abstractNumId="10" w15:restartNumberingAfterBreak="0">
    <w:nsid w:val="6C0A089B"/>
    <w:multiLevelType w:val="multilevel"/>
    <w:tmpl w:val="8294D4C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0140EC9"/>
    <w:multiLevelType w:val="hybridMultilevel"/>
    <w:tmpl w:val="BFEC75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0648554">
    <w:abstractNumId w:val="2"/>
  </w:num>
  <w:num w:numId="2" w16cid:durableId="1295673640">
    <w:abstractNumId w:val="4"/>
  </w:num>
  <w:num w:numId="3" w16cid:durableId="219244833">
    <w:abstractNumId w:val="3"/>
  </w:num>
  <w:num w:numId="4" w16cid:durableId="1519083332">
    <w:abstractNumId w:val="6"/>
  </w:num>
  <w:num w:numId="5" w16cid:durableId="237133654">
    <w:abstractNumId w:val="5"/>
  </w:num>
  <w:num w:numId="6" w16cid:durableId="230703829">
    <w:abstractNumId w:val="11"/>
  </w:num>
  <w:num w:numId="7" w16cid:durableId="438187456">
    <w:abstractNumId w:val="7"/>
  </w:num>
  <w:num w:numId="8" w16cid:durableId="332031742">
    <w:abstractNumId w:val="9"/>
  </w:num>
  <w:num w:numId="9" w16cid:durableId="869226474">
    <w:abstractNumId w:val="10"/>
  </w:num>
  <w:num w:numId="10" w16cid:durableId="1076392271">
    <w:abstractNumId w:val="1"/>
  </w:num>
  <w:num w:numId="11" w16cid:durableId="875772994">
    <w:abstractNumId w:val="8"/>
  </w:num>
  <w:num w:numId="12" w16cid:durableId="20837203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oNotTrackFormatting/>
  <w:defaultTabStop w:val="720"/>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77C43"/>
    <w:rsid w:val="000052EB"/>
    <w:rsid w:val="00025328"/>
    <w:rsid w:val="000329EA"/>
    <w:rsid w:val="00033E29"/>
    <w:rsid w:val="00034426"/>
    <w:rsid w:val="000346B0"/>
    <w:rsid w:val="00034C6C"/>
    <w:rsid w:val="00037275"/>
    <w:rsid w:val="00043CA9"/>
    <w:rsid w:val="00046C4E"/>
    <w:rsid w:val="00053BB3"/>
    <w:rsid w:val="00054A9C"/>
    <w:rsid w:val="00056795"/>
    <w:rsid w:val="00057C29"/>
    <w:rsid w:val="00064924"/>
    <w:rsid w:val="00070A59"/>
    <w:rsid w:val="00074724"/>
    <w:rsid w:val="00074B3F"/>
    <w:rsid w:val="000825BB"/>
    <w:rsid w:val="000845C0"/>
    <w:rsid w:val="00085D11"/>
    <w:rsid w:val="00090810"/>
    <w:rsid w:val="000910A8"/>
    <w:rsid w:val="00091991"/>
    <w:rsid w:val="00093B06"/>
    <w:rsid w:val="0009466F"/>
    <w:rsid w:val="00095165"/>
    <w:rsid w:val="00095F02"/>
    <w:rsid w:val="000A218C"/>
    <w:rsid w:val="000A7D16"/>
    <w:rsid w:val="000B1B27"/>
    <w:rsid w:val="000D19A3"/>
    <w:rsid w:val="000D39AE"/>
    <w:rsid w:val="000D4CE0"/>
    <w:rsid w:val="000D6DB7"/>
    <w:rsid w:val="000D76FE"/>
    <w:rsid w:val="000E0E58"/>
    <w:rsid w:val="000E1186"/>
    <w:rsid w:val="000E5436"/>
    <w:rsid w:val="000E5CCE"/>
    <w:rsid w:val="000E66C2"/>
    <w:rsid w:val="000E6708"/>
    <w:rsid w:val="000F0928"/>
    <w:rsid w:val="000F0A63"/>
    <w:rsid w:val="000F493D"/>
    <w:rsid w:val="000F76CC"/>
    <w:rsid w:val="000F7882"/>
    <w:rsid w:val="00104C42"/>
    <w:rsid w:val="001058DD"/>
    <w:rsid w:val="00107635"/>
    <w:rsid w:val="00107E87"/>
    <w:rsid w:val="001200A2"/>
    <w:rsid w:val="00124CD1"/>
    <w:rsid w:val="00130F0C"/>
    <w:rsid w:val="00134BBA"/>
    <w:rsid w:val="001351B4"/>
    <w:rsid w:val="001559CA"/>
    <w:rsid w:val="00157935"/>
    <w:rsid w:val="0016348C"/>
    <w:rsid w:val="00165156"/>
    <w:rsid w:val="00165E6F"/>
    <w:rsid w:val="0017084B"/>
    <w:rsid w:val="00170EEF"/>
    <w:rsid w:val="001723FA"/>
    <w:rsid w:val="00173892"/>
    <w:rsid w:val="00174BD7"/>
    <w:rsid w:val="0018463E"/>
    <w:rsid w:val="00185D5C"/>
    <w:rsid w:val="00191F1C"/>
    <w:rsid w:val="001A186A"/>
    <w:rsid w:val="001A466A"/>
    <w:rsid w:val="001A5955"/>
    <w:rsid w:val="001A7D86"/>
    <w:rsid w:val="001B4528"/>
    <w:rsid w:val="001B4687"/>
    <w:rsid w:val="001B5CDB"/>
    <w:rsid w:val="001B5FF8"/>
    <w:rsid w:val="001B6CF4"/>
    <w:rsid w:val="001B6E13"/>
    <w:rsid w:val="001C2DE7"/>
    <w:rsid w:val="001C2E7F"/>
    <w:rsid w:val="001C3038"/>
    <w:rsid w:val="001C334A"/>
    <w:rsid w:val="001C52BE"/>
    <w:rsid w:val="001C5C84"/>
    <w:rsid w:val="001C6247"/>
    <w:rsid w:val="001D57F4"/>
    <w:rsid w:val="001D770B"/>
    <w:rsid w:val="001E3049"/>
    <w:rsid w:val="001E558D"/>
    <w:rsid w:val="001E5714"/>
    <w:rsid w:val="001E57C5"/>
    <w:rsid w:val="001F159E"/>
    <w:rsid w:val="001F25B2"/>
    <w:rsid w:val="001F28DD"/>
    <w:rsid w:val="001F4E5F"/>
    <w:rsid w:val="001F67FD"/>
    <w:rsid w:val="002059B9"/>
    <w:rsid w:val="00206C58"/>
    <w:rsid w:val="00207B20"/>
    <w:rsid w:val="0021131C"/>
    <w:rsid w:val="00216BF3"/>
    <w:rsid w:val="00216CDA"/>
    <w:rsid w:val="00217D71"/>
    <w:rsid w:val="00221E0A"/>
    <w:rsid w:val="00222D50"/>
    <w:rsid w:val="00224C9D"/>
    <w:rsid w:val="00225814"/>
    <w:rsid w:val="002258B7"/>
    <w:rsid w:val="00225CA6"/>
    <w:rsid w:val="00230F33"/>
    <w:rsid w:val="002319A3"/>
    <w:rsid w:val="0023254F"/>
    <w:rsid w:val="00233696"/>
    <w:rsid w:val="00240B89"/>
    <w:rsid w:val="00242BA6"/>
    <w:rsid w:val="00242FD6"/>
    <w:rsid w:val="00243B8B"/>
    <w:rsid w:val="00243DA2"/>
    <w:rsid w:val="0024518F"/>
    <w:rsid w:val="00247581"/>
    <w:rsid w:val="0025061B"/>
    <w:rsid w:val="00252018"/>
    <w:rsid w:val="00253B3D"/>
    <w:rsid w:val="002601DF"/>
    <w:rsid w:val="00261D67"/>
    <w:rsid w:val="0026321A"/>
    <w:rsid w:val="00263247"/>
    <w:rsid w:val="0027163E"/>
    <w:rsid w:val="00272A24"/>
    <w:rsid w:val="00276DB5"/>
    <w:rsid w:val="00280A15"/>
    <w:rsid w:val="00281C73"/>
    <w:rsid w:val="00286953"/>
    <w:rsid w:val="00291730"/>
    <w:rsid w:val="00292A9A"/>
    <w:rsid w:val="00293315"/>
    <w:rsid w:val="002937C6"/>
    <w:rsid w:val="0029596D"/>
    <w:rsid w:val="00295F06"/>
    <w:rsid w:val="002A0112"/>
    <w:rsid w:val="002A11F8"/>
    <w:rsid w:val="002A5F06"/>
    <w:rsid w:val="002C5913"/>
    <w:rsid w:val="002C5951"/>
    <w:rsid w:val="002D1236"/>
    <w:rsid w:val="002D2286"/>
    <w:rsid w:val="002D518E"/>
    <w:rsid w:val="002D57D9"/>
    <w:rsid w:val="002D6301"/>
    <w:rsid w:val="002D7FC2"/>
    <w:rsid w:val="002E04C6"/>
    <w:rsid w:val="002E0742"/>
    <w:rsid w:val="002E13A8"/>
    <w:rsid w:val="002E173B"/>
    <w:rsid w:val="002E2409"/>
    <w:rsid w:val="002E24E7"/>
    <w:rsid w:val="002E3E8D"/>
    <w:rsid w:val="002E497D"/>
    <w:rsid w:val="002E6711"/>
    <w:rsid w:val="002E7C1B"/>
    <w:rsid w:val="002F3093"/>
    <w:rsid w:val="002F48AC"/>
    <w:rsid w:val="002F4E9E"/>
    <w:rsid w:val="002F7670"/>
    <w:rsid w:val="0030141A"/>
    <w:rsid w:val="00302259"/>
    <w:rsid w:val="003049ED"/>
    <w:rsid w:val="0030633E"/>
    <w:rsid w:val="00313142"/>
    <w:rsid w:val="003134D0"/>
    <w:rsid w:val="003170F4"/>
    <w:rsid w:val="00321696"/>
    <w:rsid w:val="00321CA9"/>
    <w:rsid w:val="00321D19"/>
    <w:rsid w:val="00324400"/>
    <w:rsid w:val="00325794"/>
    <w:rsid w:val="00327C40"/>
    <w:rsid w:val="00332642"/>
    <w:rsid w:val="00332E2E"/>
    <w:rsid w:val="00333776"/>
    <w:rsid w:val="0033532A"/>
    <w:rsid w:val="003413D8"/>
    <w:rsid w:val="00342B36"/>
    <w:rsid w:val="00346948"/>
    <w:rsid w:val="00347582"/>
    <w:rsid w:val="00347ABD"/>
    <w:rsid w:val="00347E48"/>
    <w:rsid w:val="00352496"/>
    <w:rsid w:val="003525B1"/>
    <w:rsid w:val="003548C1"/>
    <w:rsid w:val="00356849"/>
    <w:rsid w:val="003603C1"/>
    <w:rsid w:val="00360F0A"/>
    <w:rsid w:val="00362C8D"/>
    <w:rsid w:val="00365A46"/>
    <w:rsid w:val="0037584B"/>
    <w:rsid w:val="00375BD5"/>
    <w:rsid w:val="003816DC"/>
    <w:rsid w:val="00381FCC"/>
    <w:rsid w:val="0038261A"/>
    <w:rsid w:val="003841D7"/>
    <w:rsid w:val="00385B65"/>
    <w:rsid w:val="00390148"/>
    <w:rsid w:val="0039270C"/>
    <w:rsid w:val="00393431"/>
    <w:rsid w:val="00394DE2"/>
    <w:rsid w:val="0039640D"/>
    <w:rsid w:val="003A1D2D"/>
    <w:rsid w:val="003A2967"/>
    <w:rsid w:val="003A35F7"/>
    <w:rsid w:val="003A48D4"/>
    <w:rsid w:val="003A56A1"/>
    <w:rsid w:val="003A5D82"/>
    <w:rsid w:val="003A65CB"/>
    <w:rsid w:val="003A66C5"/>
    <w:rsid w:val="003B274F"/>
    <w:rsid w:val="003B2874"/>
    <w:rsid w:val="003B4286"/>
    <w:rsid w:val="003B6E0B"/>
    <w:rsid w:val="003C0374"/>
    <w:rsid w:val="003C15E3"/>
    <w:rsid w:val="003C2795"/>
    <w:rsid w:val="003C5F62"/>
    <w:rsid w:val="003D3BF3"/>
    <w:rsid w:val="003D4DDF"/>
    <w:rsid w:val="003D65CF"/>
    <w:rsid w:val="003E56CD"/>
    <w:rsid w:val="003F4424"/>
    <w:rsid w:val="003F4DA3"/>
    <w:rsid w:val="003F55C1"/>
    <w:rsid w:val="003F6B62"/>
    <w:rsid w:val="00400CD8"/>
    <w:rsid w:val="004047D8"/>
    <w:rsid w:val="00406159"/>
    <w:rsid w:val="0040620D"/>
    <w:rsid w:val="0040720E"/>
    <w:rsid w:val="00411272"/>
    <w:rsid w:val="00414295"/>
    <w:rsid w:val="004148F0"/>
    <w:rsid w:val="00414ABF"/>
    <w:rsid w:val="004225F4"/>
    <w:rsid w:val="00424731"/>
    <w:rsid w:val="004304A5"/>
    <w:rsid w:val="004326CD"/>
    <w:rsid w:val="00436496"/>
    <w:rsid w:val="0043696E"/>
    <w:rsid w:val="004373BD"/>
    <w:rsid w:val="00446C04"/>
    <w:rsid w:val="0045178B"/>
    <w:rsid w:val="00465EE4"/>
    <w:rsid w:val="00467BD7"/>
    <w:rsid w:val="004715CF"/>
    <w:rsid w:val="00473173"/>
    <w:rsid w:val="004737FA"/>
    <w:rsid w:val="00482B41"/>
    <w:rsid w:val="0049035A"/>
    <w:rsid w:val="00491E89"/>
    <w:rsid w:val="00493326"/>
    <w:rsid w:val="00495BD6"/>
    <w:rsid w:val="00496C5E"/>
    <w:rsid w:val="004A12D0"/>
    <w:rsid w:val="004A1911"/>
    <w:rsid w:val="004A1F64"/>
    <w:rsid w:val="004A3B6D"/>
    <w:rsid w:val="004C15E7"/>
    <w:rsid w:val="004C2000"/>
    <w:rsid w:val="004C2A0A"/>
    <w:rsid w:val="004C411E"/>
    <w:rsid w:val="004C70D7"/>
    <w:rsid w:val="004C7E2D"/>
    <w:rsid w:val="004D16B3"/>
    <w:rsid w:val="004D1EED"/>
    <w:rsid w:val="004D2029"/>
    <w:rsid w:val="004D71B5"/>
    <w:rsid w:val="004D79CE"/>
    <w:rsid w:val="004E7DEA"/>
    <w:rsid w:val="004F0C2F"/>
    <w:rsid w:val="004F118A"/>
    <w:rsid w:val="004F4878"/>
    <w:rsid w:val="004F76B9"/>
    <w:rsid w:val="00501400"/>
    <w:rsid w:val="00504066"/>
    <w:rsid w:val="00505621"/>
    <w:rsid w:val="0050759D"/>
    <w:rsid w:val="00507602"/>
    <w:rsid w:val="005106EC"/>
    <w:rsid w:val="00511A29"/>
    <w:rsid w:val="00511EEE"/>
    <w:rsid w:val="00512131"/>
    <w:rsid w:val="0051397F"/>
    <w:rsid w:val="00515453"/>
    <w:rsid w:val="00522462"/>
    <w:rsid w:val="00522E1C"/>
    <w:rsid w:val="00524CDA"/>
    <w:rsid w:val="00524F88"/>
    <w:rsid w:val="00531B69"/>
    <w:rsid w:val="005330E3"/>
    <w:rsid w:val="00544067"/>
    <w:rsid w:val="00544E3B"/>
    <w:rsid w:val="00546FB2"/>
    <w:rsid w:val="00547838"/>
    <w:rsid w:val="00550D63"/>
    <w:rsid w:val="00552053"/>
    <w:rsid w:val="005528EB"/>
    <w:rsid w:val="0055490C"/>
    <w:rsid w:val="00562B9A"/>
    <w:rsid w:val="005632E2"/>
    <w:rsid w:val="00563C7C"/>
    <w:rsid w:val="005643D1"/>
    <w:rsid w:val="00565763"/>
    <w:rsid w:val="00571038"/>
    <w:rsid w:val="00572CEF"/>
    <w:rsid w:val="005730DA"/>
    <w:rsid w:val="005769DE"/>
    <w:rsid w:val="00576BB5"/>
    <w:rsid w:val="0057782F"/>
    <w:rsid w:val="00580FF5"/>
    <w:rsid w:val="005822A7"/>
    <w:rsid w:val="005827A8"/>
    <w:rsid w:val="0058707F"/>
    <w:rsid w:val="00587A70"/>
    <w:rsid w:val="00587D13"/>
    <w:rsid w:val="005905A7"/>
    <w:rsid w:val="00590818"/>
    <w:rsid w:val="00591860"/>
    <w:rsid w:val="00595069"/>
    <w:rsid w:val="00597E65"/>
    <w:rsid w:val="005A204F"/>
    <w:rsid w:val="005A40E6"/>
    <w:rsid w:val="005A46E8"/>
    <w:rsid w:val="005A59EE"/>
    <w:rsid w:val="005A718B"/>
    <w:rsid w:val="005B041B"/>
    <w:rsid w:val="005B12EA"/>
    <w:rsid w:val="005B1742"/>
    <w:rsid w:val="005B418B"/>
    <w:rsid w:val="005B5E17"/>
    <w:rsid w:val="005B5EB2"/>
    <w:rsid w:val="005B6F58"/>
    <w:rsid w:val="005C691D"/>
    <w:rsid w:val="005C7AEF"/>
    <w:rsid w:val="005D1DE4"/>
    <w:rsid w:val="005D2F6A"/>
    <w:rsid w:val="005D3A1C"/>
    <w:rsid w:val="005D3EB6"/>
    <w:rsid w:val="005E2FE2"/>
    <w:rsid w:val="005E3EE9"/>
    <w:rsid w:val="005E47A6"/>
    <w:rsid w:val="005E49E2"/>
    <w:rsid w:val="005E5764"/>
    <w:rsid w:val="005E584E"/>
    <w:rsid w:val="005F2603"/>
    <w:rsid w:val="005F2ED5"/>
    <w:rsid w:val="005F667F"/>
    <w:rsid w:val="00600F76"/>
    <w:rsid w:val="006041AB"/>
    <w:rsid w:val="00604EFE"/>
    <w:rsid w:val="00605199"/>
    <w:rsid w:val="00607B28"/>
    <w:rsid w:val="00607D5B"/>
    <w:rsid w:val="006162E4"/>
    <w:rsid w:val="006233F9"/>
    <w:rsid w:val="00623FF5"/>
    <w:rsid w:val="00631D75"/>
    <w:rsid w:val="00632876"/>
    <w:rsid w:val="00633B74"/>
    <w:rsid w:val="00633DC6"/>
    <w:rsid w:val="00635CF4"/>
    <w:rsid w:val="00635D64"/>
    <w:rsid w:val="00640522"/>
    <w:rsid w:val="0064062E"/>
    <w:rsid w:val="00642190"/>
    <w:rsid w:val="00642208"/>
    <w:rsid w:val="00647D55"/>
    <w:rsid w:val="00650B5B"/>
    <w:rsid w:val="00651B08"/>
    <w:rsid w:val="00654292"/>
    <w:rsid w:val="00657315"/>
    <w:rsid w:val="00660236"/>
    <w:rsid w:val="006611AC"/>
    <w:rsid w:val="00663396"/>
    <w:rsid w:val="00663BA6"/>
    <w:rsid w:val="00664795"/>
    <w:rsid w:val="006662FB"/>
    <w:rsid w:val="00667DD8"/>
    <w:rsid w:val="00670F00"/>
    <w:rsid w:val="0067293A"/>
    <w:rsid w:val="0067350C"/>
    <w:rsid w:val="006751EC"/>
    <w:rsid w:val="00675F1F"/>
    <w:rsid w:val="00676DC6"/>
    <w:rsid w:val="00677C43"/>
    <w:rsid w:val="00677C80"/>
    <w:rsid w:val="00680A3F"/>
    <w:rsid w:val="00696562"/>
    <w:rsid w:val="006969D2"/>
    <w:rsid w:val="006A2F49"/>
    <w:rsid w:val="006A669F"/>
    <w:rsid w:val="006B1089"/>
    <w:rsid w:val="006B5E98"/>
    <w:rsid w:val="006C065D"/>
    <w:rsid w:val="006C2490"/>
    <w:rsid w:val="006D06B9"/>
    <w:rsid w:val="006D4276"/>
    <w:rsid w:val="006D4956"/>
    <w:rsid w:val="006D6B42"/>
    <w:rsid w:val="006E0FCA"/>
    <w:rsid w:val="006E119E"/>
    <w:rsid w:val="006E17D3"/>
    <w:rsid w:val="006E1C7A"/>
    <w:rsid w:val="006E5674"/>
    <w:rsid w:val="006F0796"/>
    <w:rsid w:val="006F37C3"/>
    <w:rsid w:val="006F5D3B"/>
    <w:rsid w:val="00700333"/>
    <w:rsid w:val="00700BC2"/>
    <w:rsid w:val="0070112D"/>
    <w:rsid w:val="00704A9D"/>
    <w:rsid w:val="007054CE"/>
    <w:rsid w:val="0071098F"/>
    <w:rsid w:val="0071151B"/>
    <w:rsid w:val="007118D0"/>
    <w:rsid w:val="00716778"/>
    <w:rsid w:val="007221B3"/>
    <w:rsid w:val="007238F0"/>
    <w:rsid w:val="00725161"/>
    <w:rsid w:val="007264B4"/>
    <w:rsid w:val="0073042E"/>
    <w:rsid w:val="00730CB4"/>
    <w:rsid w:val="00734C35"/>
    <w:rsid w:val="00735C85"/>
    <w:rsid w:val="007360D1"/>
    <w:rsid w:val="00744439"/>
    <w:rsid w:val="00745429"/>
    <w:rsid w:val="0074617F"/>
    <w:rsid w:val="00747D61"/>
    <w:rsid w:val="00750135"/>
    <w:rsid w:val="0075234E"/>
    <w:rsid w:val="00754260"/>
    <w:rsid w:val="00755684"/>
    <w:rsid w:val="00756E5B"/>
    <w:rsid w:val="00765BB9"/>
    <w:rsid w:val="00767A48"/>
    <w:rsid w:val="00774001"/>
    <w:rsid w:val="0077453B"/>
    <w:rsid w:val="007762DC"/>
    <w:rsid w:val="0077798E"/>
    <w:rsid w:val="00781148"/>
    <w:rsid w:val="00782D47"/>
    <w:rsid w:val="0078503A"/>
    <w:rsid w:val="007866E2"/>
    <w:rsid w:val="00787D51"/>
    <w:rsid w:val="00790292"/>
    <w:rsid w:val="00790C55"/>
    <w:rsid w:val="00793549"/>
    <w:rsid w:val="00796C46"/>
    <w:rsid w:val="007976A6"/>
    <w:rsid w:val="007A182B"/>
    <w:rsid w:val="007A3994"/>
    <w:rsid w:val="007A632C"/>
    <w:rsid w:val="007B097E"/>
    <w:rsid w:val="007B25D0"/>
    <w:rsid w:val="007B33A4"/>
    <w:rsid w:val="007B7404"/>
    <w:rsid w:val="007C2ED9"/>
    <w:rsid w:val="007C74EF"/>
    <w:rsid w:val="007D262C"/>
    <w:rsid w:val="007D3EF7"/>
    <w:rsid w:val="007D4EBB"/>
    <w:rsid w:val="007D5028"/>
    <w:rsid w:val="007D7388"/>
    <w:rsid w:val="007E3811"/>
    <w:rsid w:val="007E5245"/>
    <w:rsid w:val="007F1A49"/>
    <w:rsid w:val="007F1ACF"/>
    <w:rsid w:val="007F2C20"/>
    <w:rsid w:val="007F7910"/>
    <w:rsid w:val="00800408"/>
    <w:rsid w:val="00800487"/>
    <w:rsid w:val="00800685"/>
    <w:rsid w:val="00803EB4"/>
    <w:rsid w:val="00811219"/>
    <w:rsid w:val="008138AD"/>
    <w:rsid w:val="0081425B"/>
    <w:rsid w:val="0081464E"/>
    <w:rsid w:val="0081665B"/>
    <w:rsid w:val="00817F6A"/>
    <w:rsid w:val="0082049E"/>
    <w:rsid w:val="00820833"/>
    <w:rsid w:val="008267C6"/>
    <w:rsid w:val="008267D3"/>
    <w:rsid w:val="00826FA7"/>
    <w:rsid w:val="0083082B"/>
    <w:rsid w:val="00832AE4"/>
    <w:rsid w:val="00834288"/>
    <w:rsid w:val="00836CFC"/>
    <w:rsid w:val="008411C2"/>
    <w:rsid w:val="008412C2"/>
    <w:rsid w:val="00843246"/>
    <w:rsid w:val="008441C8"/>
    <w:rsid w:val="0085340F"/>
    <w:rsid w:val="00860CD1"/>
    <w:rsid w:val="00863155"/>
    <w:rsid w:val="00863822"/>
    <w:rsid w:val="00864B02"/>
    <w:rsid w:val="00864C44"/>
    <w:rsid w:val="00866CCC"/>
    <w:rsid w:val="00867F24"/>
    <w:rsid w:val="00871D12"/>
    <w:rsid w:val="008739F4"/>
    <w:rsid w:val="00873D89"/>
    <w:rsid w:val="008740E8"/>
    <w:rsid w:val="00875A80"/>
    <w:rsid w:val="00876DA1"/>
    <w:rsid w:val="0088153A"/>
    <w:rsid w:val="00884613"/>
    <w:rsid w:val="0088487D"/>
    <w:rsid w:val="00887520"/>
    <w:rsid w:val="00891DD7"/>
    <w:rsid w:val="00893380"/>
    <w:rsid w:val="00896CAD"/>
    <w:rsid w:val="00896DA7"/>
    <w:rsid w:val="008972B1"/>
    <w:rsid w:val="00897BC6"/>
    <w:rsid w:val="008A1029"/>
    <w:rsid w:val="008A6B41"/>
    <w:rsid w:val="008B232F"/>
    <w:rsid w:val="008B52A1"/>
    <w:rsid w:val="008C1C3E"/>
    <w:rsid w:val="008C3D7C"/>
    <w:rsid w:val="008C42EC"/>
    <w:rsid w:val="008C5CD0"/>
    <w:rsid w:val="008C6084"/>
    <w:rsid w:val="008C7A7C"/>
    <w:rsid w:val="008C7C79"/>
    <w:rsid w:val="008D1AA2"/>
    <w:rsid w:val="008D25B5"/>
    <w:rsid w:val="008D31FE"/>
    <w:rsid w:val="008D3AAC"/>
    <w:rsid w:val="008D5643"/>
    <w:rsid w:val="008D7024"/>
    <w:rsid w:val="008E125F"/>
    <w:rsid w:val="008E3186"/>
    <w:rsid w:val="008E4E9F"/>
    <w:rsid w:val="008F05FF"/>
    <w:rsid w:val="008F0E94"/>
    <w:rsid w:val="008F15FD"/>
    <w:rsid w:val="008F17CF"/>
    <w:rsid w:val="008F23CF"/>
    <w:rsid w:val="008F3C27"/>
    <w:rsid w:val="008F68E4"/>
    <w:rsid w:val="008F7339"/>
    <w:rsid w:val="00904DF9"/>
    <w:rsid w:val="00905577"/>
    <w:rsid w:val="00905E5A"/>
    <w:rsid w:val="00906E6D"/>
    <w:rsid w:val="00911BDB"/>
    <w:rsid w:val="00911E34"/>
    <w:rsid w:val="009150EC"/>
    <w:rsid w:val="009179E5"/>
    <w:rsid w:val="0092506B"/>
    <w:rsid w:val="00926DFB"/>
    <w:rsid w:val="0092733F"/>
    <w:rsid w:val="009273BC"/>
    <w:rsid w:val="00927548"/>
    <w:rsid w:val="00927874"/>
    <w:rsid w:val="00931A3B"/>
    <w:rsid w:val="00931BF0"/>
    <w:rsid w:val="00934BC0"/>
    <w:rsid w:val="009359D3"/>
    <w:rsid w:val="00935CA3"/>
    <w:rsid w:val="00937913"/>
    <w:rsid w:val="00937997"/>
    <w:rsid w:val="00944814"/>
    <w:rsid w:val="00944AA9"/>
    <w:rsid w:val="009461C5"/>
    <w:rsid w:val="00946C1B"/>
    <w:rsid w:val="009503B6"/>
    <w:rsid w:val="00950CAF"/>
    <w:rsid w:val="009528C3"/>
    <w:rsid w:val="00956854"/>
    <w:rsid w:val="009574DA"/>
    <w:rsid w:val="00962465"/>
    <w:rsid w:val="00963014"/>
    <w:rsid w:val="0097355B"/>
    <w:rsid w:val="00973D96"/>
    <w:rsid w:val="009764D9"/>
    <w:rsid w:val="009770AC"/>
    <w:rsid w:val="009774CD"/>
    <w:rsid w:val="00977F27"/>
    <w:rsid w:val="00985D18"/>
    <w:rsid w:val="0098694D"/>
    <w:rsid w:val="009871BC"/>
    <w:rsid w:val="00990B06"/>
    <w:rsid w:val="009921B8"/>
    <w:rsid w:val="0099270C"/>
    <w:rsid w:val="00996595"/>
    <w:rsid w:val="00997631"/>
    <w:rsid w:val="00997AF9"/>
    <w:rsid w:val="00997FC2"/>
    <w:rsid w:val="009A27E5"/>
    <w:rsid w:val="009A3AAB"/>
    <w:rsid w:val="009A4C5B"/>
    <w:rsid w:val="009B662C"/>
    <w:rsid w:val="009C0D54"/>
    <w:rsid w:val="009C373E"/>
    <w:rsid w:val="009C37B2"/>
    <w:rsid w:val="009C7A58"/>
    <w:rsid w:val="009D2D26"/>
    <w:rsid w:val="009D5257"/>
    <w:rsid w:val="009E0147"/>
    <w:rsid w:val="009E0AE1"/>
    <w:rsid w:val="009E1CAB"/>
    <w:rsid w:val="009E27BD"/>
    <w:rsid w:val="009E5635"/>
    <w:rsid w:val="009F0523"/>
    <w:rsid w:val="009F196C"/>
    <w:rsid w:val="009F3ADD"/>
    <w:rsid w:val="009F493E"/>
    <w:rsid w:val="00A034CA"/>
    <w:rsid w:val="00A03DAA"/>
    <w:rsid w:val="00A07914"/>
    <w:rsid w:val="00A11CD7"/>
    <w:rsid w:val="00A1419B"/>
    <w:rsid w:val="00A17E7C"/>
    <w:rsid w:val="00A203A6"/>
    <w:rsid w:val="00A203FF"/>
    <w:rsid w:val="00A27DC1"/>
    <w:rsid w:val="00A307AC"/>
    <w:rsid w:val="00A32DB5"/>
    <w:rsid w:val="00A34B9F"/>
    <w:rsid w:val="00A3500E"/>
    <w:rsid w:val="00A354F5"/>
    <w:rsid w:val="00A42B70"/>
    <w:rsid w:val="00A44921"/>
    <w:rsid w:val="00A450A2"/>
    <w:rsid w:val="00A47FEE"/>
    <w:rsid w:val="00A529E2"/>
    <w:rsid w:val="00A52F51"/>
    <w:rsid w:val="00A55771"/>
    <w:rsid w:val="00A571A7"/>
    <w:rsid w:val="00A60594"/>
    <w:rsid w:val="00A608B9"/>
    <w:rsid w:val="00A60AB9"/>
    <w:rsid w:val="00A610A8"/>
    <w:rsid w:val="00A6133C"/>
    <w:rsid w:val="00A6581F"/>
    <w:rsid w:val="00A66167"/>
    <w:rsid w:val="00A67AB6"/>
    <w:rsid w:val="00A70879"/>
    <w:rsid w:val="00A7267F"/>
    <w:rsid w:val="00A74071"/>
    <w:rsid w:val="00A74C5C"/>
    <w:rsid w:val="00A75062"/>
    <w:rsid w:val="00A77F33"/>
    <w:rsid w:val="00A84F6D"/>
    <w:rsid w:val="00A84F77"/>
    <w:rsid w:val="00A91333"/>
    <w:rsid w:val="00A92D0F"/>
    <w:rsid w:val="00A93F51"/>
    <w:rsid w:val="00A95081"/>
    <w:rsid w:val="00AA0683"/>
    <w:rsid w:val="00AA2B23"/>
    <w:rsid w:val="00AA522A"/>
    <w:rsid w:val="00AA5706"/>
    <w:rsid w:val="00AA5F24"/>
    <w:rsid w:val="00AA68E4"/>
    <w:rsid w:val="00AB0061"/>
    <w:rsid w:val="00AB0121"/>
    <w:rsid w:val="00AB07A2"/>
    <w:rsid w:val="00AB0F8E"/>
    <w:rsid w:val="00AB5478"/>
    <w:rsid w:val="00AC094C"/>
    <w:rsid w:val="00AC0AAD"/>
    <w:rsid w:val="00AC7D40"/>
    <w:rsid w:val="00AD0E5B"/>
    <w:rsid w:val="00AD26A5"/>
    <w:rsid w:val="00AD2CCB"/>
    <w:rsid w:val="00AD46AB"/>
    <w:rsid w:val="00AD4B9D"/>
    <w:rsid w:val="00AE17F1"/>
    <w:rsid w:val="00AE5F83"/>
    <w:rsid w:val="00AE61BB"/>
    <w:rsid w:val="00AE73A7"/>
    <w:rsid w:val="00AE78FC"/>
    <w:rsid w:val="00AF2B93"/>
    <w:rsid w:val="00AF790A"/>
    <w:rsid w:val="00B00CB5"/>
    <w:rsid w:val="00B01977"/>
    <w:rsid w:val="00B0335D"/>
    <w:rsid w:val="00B063C8"/>
    <w:rsid w:val="00B11414"/>
    <w:rsid w:val="00B14071"/>
    <w:rsid w:val="00B15067"/>
    <w:rsid w:val="00B15B74"/>
    <w:rsid w:val="00B16AFA"/>
    <w:rsid w:val="00B16E0C"/>
    <w:rsid w:val="00B1753C"/>
    <w:rsid w:val="00B201D9"/>
    <w:rsid w:val="00B212B4"/>
    <w:rsid w:val="00B23F5A"/>
    <w:rsid w:val="00B26891"/>
    <w:rsid w:val="00B30D87"/>
    <w:rsid w:val="00B3288C"/>
    <w:rsid w:val="00B426AA"/>
    <w:rsid w:val="00B432C2"/>
    <w:rsid w:val="00B4552C"/>
    <w:rsid w:val="00B47D79"/>
    <w:rsid w:val="00B50D41"/>
    <w:rsid w:val="00B51FE9"/>
    <w:rsid w:val="00B5345E"/>
    <w:rsid w:val="00B53782"/>
    <w:rsid w:val="00B649B0"/>
    <w:rsid w:val="00B718E4"/>
    <w:rsid w:val="00B71DD4"/>
    <w:rsid w:val="00B71DDD"/>
    <w:rsid w:val="00B724B8"/>
    <w:rsid w:val="00B731CA"/>
    <w:rsid w:val="00B764B9"/>
    <w:rsid w:val="00B86294"/>
    <w:rsid w:val="00B86B5F"/>
    <w:rsid w:val="00B87A86"/>
    <w:rsid w:val="00B90EA6"/>
    <w:rsid w:val="00B912D2"/>
    <w:rsid w:val="00B917FF"/>
    <w:rsid w:val="00B941A9"/>
    <w:rsid w:val="00B942A5"/>
    <w:rsid w:val="00B94A57"/>
    <w:rsid w:val="00B96A9A"/>
    <w:rsid w:val="00B97211"/>
    <w:rsid w:val="00BA1EBA"/>
    <w:rsid w:val="00BA732F"/>
    <w:rsid w:val="00BB1DCB"/>
    <w:rsid w:val="00BC7C57"/>
    <w:rsid w:val="00BD1C9C"/>
    <w:rsid w:val="00BD2225"/>
    <w:rsid w:val="00BD3936"/>
    <w:rsid w:val="00BD59E6"/>
    <w:rsid w:val="00BD5FD9"/>
    <w:rsid w:val="00BE20AA"/>
    <w:rsid w:val="00BE5934"/>
    <w:rsid w:val="00BE64A0"/>
    <w:rsid w:val="00BE7A5B"/>
    <w:rsid w:val="00BF0A16"/>
    <w:rsid w:val="00BF28F9"/>
    <w:rsid w:val="00C034D6"/>
    <w:rsid w:val="00C03C23"/>
    <w:rsid w:val="00C100A3"/>
    <w:rsid w:val="00C10451"/>
    <w:rsid w:val="00C128F4"/>
    <w:rsid w:val="00C13AA0"/>
    <w:rsid w:val="00C151AE"/>
    <w:rsid w:val="00C1581C"/>
    <w:rsid w:val="00C23711"/>
    <w:rsid w:val="00C24D62"/>
    <w:rsid w:val="00C27397"/>
    <w:rsid w:val="00C305E6"/>
    <w:rsid w:val="00C30645"/>
    <w:rsid w:val="00C314FE"/>
    <w:rsid w:val="00C3302C"/>
    <w:rsid w:val="00C33E2A"/>
    <w:rsid w:val="00C359A0"/>
    <w:rsid w:val="00C37C44"/>
    <w:rsid w:val="00C41EE3"/>
    <w:rsid w:val="00C42D33"/>
    <w:rsid w:val="00C45894"/>
    <w:rsid w:val="00C4676C"/>
    <w:rsid w:val="00C469C4"/>
    <w:rsid w:val="00C50AB4"/>
    <w:rsid w:val="00C515F8"/>
    <w:rsid w:val="00C51682"/>
    <w:rsid w:val="00C530AB"/>
    <w:rsid w:val="00C53524"/>
    <w:rsid w:val="00C538CC"/>
    <w:rsid w:val="00C5512B"/>
    <w:rsid w:val="00C5768C"/>
    <w:rsid w:val="00C60026"/>
    <w:rsid w:val="00C62678"/>
    <w:rsid w:val="00C679DC"/>
    <w:rsid w:val="00C7464E"/>
    <w:rsid w:val="00C7583A"/>
    <w:rsid w:val="00C77759"/>
    <w:rsid w:val="00C777C7"/>
    <w:rsid w:val="00C800DB"/>
    <w:rsid w:val="00C808AA"/>
    <w:rsid w:val="00C81231"/>
    <w:rsid w:val="00C8132E"/>
    <w:rsid w:val="00C82688"/>
    <w:rsid w:val="00C831E2"/>
    <w:rsid w:val="00C90851"/>
    <w:rsid w:val="00C90CDE"/>
    <w:rsid w:val="00C94D89"/>
    <w:rsid w:val="00C962B2"/>
    <w:rsid w:val="00CA1D13"/>
    <w:rsid w:val="00CA29CF"/>
    <w:rsid w:val="00CA3380"/>
    <w:rsid w:val="00CA58CD"/>
    <w:rsid w:val="00CA63EF"/>
    <w:rsid w:val="00CB1D7D"/>
    <w:rsid w:val="00CB29CD"/>
    <w:rsid w:val="00CB308C"/>
    <w:rsid w:val="00CB4665"/>
    <w:rsid w:val="00CB4E95"/>
    <w:rsid w:val="00CB64F2"/>
    <w:rsid w:val="00CB7ADD"/>
    <w:rsid w:val="00CC4555"/>
    <w:rsid w:val="00CE0B90"/>
    <w:rsid w:val="00CE177F"/>
    <w:rsid w:val="00CE1E92"/>
    <w:rsid w:val="00CE23D7"/>
    <w:rsid w:val="00CE24EF"/>
    <w:rsid w:val="00CE376B"/>
    <w:rsid w:val="00CE4D6E"/>
    <w:rsid w:val="00CF2FD1"/>
    <w:rsid w:val="00CF7AD0"/>
    <w:rsid w:val="00D01616"/>
    <w:rsid w:val="00D0285F"/>
    <w:rsid w:val="00D100F4"/>
    <w:rsid w:val="00D12001"/>
    <w:rsid w:val="00D14DE2"/>
    <w:rsid w:val="00D158F7"/>
    <w:rsid w:val="00D17ADA"/>
    <w:rsid w:val="00D206CE"/>
    <w:rsid w:val="00D2144E"/>
    <w:rsid w:val="00D276F4"/>
    <w:rsid w:val="00D27B98"/>
    <w:rsid w:val="00D301A1"/>
    <w:rsid w:val="00D36D6B"/>
    <w:rsid w:val="00D44A26"/>
    <w:rsid w:val="00D44B5D"/>
    <w:rsid w:val="00D471F4"/>
    <w:rsid w:val="00D47EC4"/>
    <w:rsid w:val="00D51D25"/>
    <w:rsid w:val="00D539AE"/>
    <w:rsid w:val="00D54FEF"/>
    <w:rsid w:val="00D60BCC"/>
    <w:rsid w:val="00D60C21"/>
    <w:rsid w:val="00D636A0"/>
    <w:rsid w:val="00D639CE"/>
    <w:rsid w:val="00D63D22"/>
    <w:rsid w:val="00D72843"/>
    <w:rsid w:val="00D742BE"/>
    <w:rsid w:val="00D802E1"/>
    <w:rsid w:val="00D858DC"/>
    <w:rsid w:val="00D909DF"/>
    <w:rsid w:val="00D91C6D"/>
    <w:rsid w:val="00D97499"/>
    <w:rsid w:val="00DA0120"/>
    <w:rsid w:val="00DA0575"/>
    <w:rsid w:val="00DA0B8B"/>
    <w:rsid w:val="00DA185B"/>
    <w:rsid w:val="00DA2B15"/>
    <w:rsid w:val="00DA36C1"/>
    <w:rsid w:val="00DA5B87"/>
    <w:rsid w:val="00DA7CA4"/>
    <w:rsid w:val="00DB1798"/>
    <w:rsid w:val="00DB40EE"/>
    <w:rsid w:val="00DB466D"/>
    <w:rsid w:val="00DB573B"/>
    <w:rsid w:val="00DB6F2F"/>
    <w:rsid w:val="00DC290E"/>
    <w:rsid w:val="00DC3C55"/>
    <w:rsid w:val="00DC3C72"/>
    <w:rsid w:val="00DC4FA1"/>
    <w:rsid w:val="00DC50B3"/>
    <w:rsid w:val="00DC79A9"/>
    <w:rsid w:val="00DD4AA8"/>
    <w:rsid w:val="00DD5EDB"/>
    <w:rsid w:val="00DD69AB"/>
    <w:rsid w:val="00DE0D44"/>
    <w:rsid w:val="00DE59D0"/>
    <w:rsid w:val="00DE7CC1"/>
    <w:rsid w:val="00DF0426"/>
    <w:rsid w:val="00DF08F8"/>
    <w:rsid w:val="00DF1956"/>
    <w:rsid w:val="00DF26C6"/>
    <w:rsid w:val="00DF2DFD"/>
    <w:rsid w:val="00DF3FF1"/>
    <w:rsid w:val="00DF4FEA"/>
    <w:rsid w:val="00E047E7"/>
    <w:rsid w:val="00E050D0"/>
    <w:rsid w:val="00E053D5"/>
    <w:rsid w:val="00E059DF"/>
    <w:rsid w:val="00E05F76"/>
    <w:rsid w:val="00E0749D"/>
    <w:rsid w:val="00E17E75"/>
    <w:rsid w:val="00E20E52"/>
    <w:rsid w:val="00E2137C"/>
    <w:rsid w:val="00E23373"/>
    <w:rsid w:val="00E2462E"/>
    <w:rsid w:val="00E27CF8"/>
    <w:rsid w:val="00E3203A"/>
    <w:rsid w:val="00E33778"/>
    <w:rsid w:val="00E33A17"/>
    <w:rsid w:val="00E40EC3"/>
    <w:rsid w:val="00E4102A"/>
    <w:rsid w:val="00E432FE"/>
    <w:rsid w:val="00E43475"/>
    <w:rsid w:val="00E46615"/>
    <w:rsid w:val="00E46A9F"/>
    <w:rsid w:val="00E4778B"/>
    <w:rsid w:val="00E52BBA"/>
    <w:rsid w:val="00E540FB"/>
    <w:rsid w:val="00E552CE"/>
    <w:rsid w:val="00E613A6"/>
    <w:rsid w:val="00E65E74"/>
    <w:rsid w:val="00E71ABF"/>
    <w:rsid w:val="00E72B54"/>
    <w:rsid w:val="00E73400"/>
    <w:rsid w:val="00E75645"/>
    <w:rsid w:val="00E76B9A"/>
    <w:rsid w:val="00E801CB"/>
    <w:rsid w:val="00E81060"/>
    <w:rsid w:val="00E915F4"/>
    <w:rsid w:val="00E91EC8"/>
    <w:rsid w:val="00E962F2"/>
    <w:rsid w:val="00E97DA4"/>
    <w:rsid w:val="00EA42B2"/>
    <w:rsid w:val="00EA42C0"/>
    <w:rsid w:val="00EB1921"/>
    <w:rsid w:val="00EC4619"/>
    <w:rsid w:val="00ED2793"/>
    <w:rsid w:val="00ED5A8C"/>
    <w:rsid w:val="00ED628F"/>
    <w:rsid w:val="00EE10F8"/>
    <w:rsid w:val="00EE42D6"/>
    <w:rsid w:val="00EE4308"/>
    <w:rsid w:val="00EE70B5"/>
    <w:rsid w:val="00EF1227"/>
    <w:rsid w:val="00EF596A"/>
    <w:rsid w:val="00EF69E1"/>
    <w:rsid w:val="00EF6BFA"/>
    <w:rsid w:val="00F02178"/>
    <w:rsid w:val="00F0319C"/>
    <w:rsid w:val="00F044BF"/>
    <w:rsid w:val="00F0701D"/>
    <w:rsid w:val="00F125AA"/>
    <w:rsid w:val="00F14014"/>
    <w:rsid w:val="00F1430E"/>
    <w:rsid w:val="00F167B7"/>
    <w:rsid w:val="00F17930"/>
    <w:rsid w:val="00F2128E"/>
    <w:rsid w:val="00F224CA"/>
    <w:rsid w:val="00F24C8B"/>
    <w:rsid w:val="00F27D41"/>
    <w:rsid w:val="00F27F55"/>
    <w:rsid w:val="00F30153"/>
    <w:rsid w:val="00F31AF3"/>
    <w:rsid w:val="00F44741"/>
    <w:rsid w:val="00F46FE1"/>
    <w:rsid w:val="00F50791"/>
    <w:rsid w:val="00F53987"/>
    <w:rsid w:val="00F55078"/>
    <w:rsid w:val="00F55440"/>
    <w:rsid w:val="00F60FAB"/>
    <w:rsid w:val="00F623DD"/>
    <w:rsid w:val="00F62A6F"/>
    <w:rsid w:val="00F66923"/>
    <w:rsid w:val="00F74A82"/>
    <w:rsid w:val="00F75C37"/>
    <w:rsid w:val="00F7774E"/>
    <w:rsid w:val="00F81996"/>
    <w:rsid w:val="00F8365D"/>
    <w:rsid w:val="00F90854"/>
    <w:rsid w:val="00F92976"/>
    <w:rsid w:val="00FA034E"/>
    <w:rsid w:val="00FA3495"/>
    <w:rsid w:val="00FA457B"/>
    <w:rsid w:val="00FA577A"/>
    <w:rsid w:val="00FA6216"/>
    <w:rsid w:val="00FA733C"/>
    <w:rsid w:val="00FB23BE"/>
    <w:rsid w:val="00FB313F"/>
    <w:rsid w:val="00FB48AB"/>
    <w:rsid w:val="00FB50AD"/>
    <w:rsid w:val="00FB6D0B"/>
    <w:rsid w:val="00FC52A7"/>
    <w:rsid w:val="00FC5F8F"/>
    <w:rsid w:val="00FC6D5D"/>
    <w:rsid w:val="00FD3A16"/>
    <w:rsid w:val="00FD69BC"/>
    <w:rsid w:val="00FD754B"/>
    <w:rsid w:val="00FE0CFE"/>
    <w:rsid w:val="00FE22C4"/>
    <w:rsid w:val="00FE38AF"/>
    <w:rsid w:val="00FE5DCE"/>
    <w:rsid w:val="00FF0E20"/>
    <w:rsid w:val="00FF1BD6"/>
    <w:rsid w:val="00FF79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3B1C4"/>
  <w15:docId w15:val="{5063F55A-7768-468C-BB93-7B91B51F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67F"/>
    <w:rPr>
      <w:sz w:val="21"/>
      <w:szCs w:val="21"/>
    </w:rPr>
  </w:style>
  <w:style w:type="paragraph" w:styleId="Heading1">
    <w:name w:val="heading 1"/>
    <w:basedOn w:val="Normal"/>
    <w:next w:val="Normal"/>
    <w:link w:val="Heading1Char"/>
    <w:uiPriority w:val="9"/>
    <w:qFormat/>
    <w:rsid w:val="00990B06"/>
    <w:pPr>
      <w:keepNext/>
      <w:keepLines/>
      <w:numPr>
        <w:numId w:val="2"/>
      </w:numPr>
      <w:spacing w:before="480" w:after="0"/>
      <w:outlineLvl w:val="0"/>
    </w:pPr>
    <w:rPr>
      <w:rFonts w:ascii="Arial" w:eastAsiaTheme="majorEastAsia" w:hAnsi="Arial" w:cstheme="majorBidi"/>
      <w:b/>
      <w:bCs/>
      <w:caps/>
      <w:color w:val="009999"/>
      <w:sz w:val="56"/>
      <w:szCs w:val="56"/>
    </w:rPr>
  </w:style>
  <w:style w:type="paragraph" w:styleId="Heading2">
    <w:name w:val="heading 2"/>
    <w:basedOn w:val="Normal"/>
    <w:next w:val="Normal"/>
    <w:link w:val="Heading2Char"/>
    <w:uiPriority w:val="9"/>
    <w:unhideWhenUsed/>
    <w:qFormat/>
    <w:rsid w:val="00A32DB5"/>
    <w:pPr>
      <w:keepNext/>
      <w:keepLines/>
      <w:numPr>
        <w:ilvl w:val="1"/>
        <w:numId w:val="2"/>
      </w:numPr>
      <w:spacing w:before="200" w:after="0"/>
      <w:outlineLvl w:val="1"/>
    </w:pPr>
    <w:rPr>
      <w:rFonts w:ascii="Arial" w:eastAsiaTheme="majorEastAsia" w:hAnsi="Arial" w:cstheme="majorBidi"/>
      <w:bCs/>
      <w:caps/>
      <w:color w:val="009999"/>
      <w:sz w:val="28"/>
      <w:szCs w:val="26"/>
    </w:rPr>
  </w:style>
  <w:style w:type="paragraph" w:styleId="Heading3">
    <w:name w:val="heading 3"/>
    <w:basedOn w:val="Normal"/>
    <w:next w:val="Normal"/>
    <w:link w:val="Heading3Char"/>
    <w:uiPriority w:val="9"/>
    <w:unhideWhenUsed/>
    <w:qFormat/>
    <w:rsid w:val="00A32DB5"/>
    <w:pPr>
      <w:keepNext/>
      <w:keepLines/>
      <w:numPr>
        <w:ilvl w:val="2"/>
        <w:numId w:val="2"/>
      </w:numPr>
      <w:spacing w:before="240" w:after="0" w:line="240" w:lineRule="auto"/>
      <w:ind w:left="709" w:hanging="709"/>
      <w:outlineLvl w:val="2"/>
    </w:pPr>
    <w:rPr>
      <w:rFonts w:ascii="Calibri" w:eastAsiaTheme="majorEastAsia" w:hAnsi="Calibri" w:cstheme="majorBidi"/>
      <w:b/>
      <w:bCs/>
      <w:color w:val="009999"/>
      <w:sz w:val="23"/>
      <w:szCs w:val="23"/>
    </w:rPr>
  </w:style>
  <w:style w:type="paragraph" w:styleId="Heading4">
    <w:name w:val="heading 4"/>
    <w:basedOn w:val="Normal"/>
    <w:next w:val="Normal"/>
    <w:link w:val="Heading4Char"/>
    <w:unhideWhenUsed/>
    <w:qFormat/>
    <w:rsid w:val="00A93F51"/>
    <w:pPr>
      <w:keepNext/>
      <w:keepLines/>
      <w:spacing w:before="200" w:after="0"/>
      <w:outlineLvl w:val="3"/>
    </w:pPr>
    <w:rPr>
      <w:rFonts w:eastAsiaTheme="majorEastAsia" w:cstheme="majorBidi"/>
      <w:bCs/>
      <w:i/>
      <w:iCs/>
      <w:color w:val="009999"/>
      <w:szCs w:val="20"/>
    </w:rPr>
  </w:style>
  <w:style w:type="paragraph" w:styleId="Heading5">
    <w:name w:val="heading 5"/>
    <w:aliases w:val="Heading 2 non TOC"/>
    <w:basedOn w:val="Heading2"/>
    <w:next w:val="Normal"/>
    <w:link w:val="Heading5Char"/>
    <w:uiPriority w:val="9"/>
    <w:unhideWhenUsed/>
    <w:qFormat/>
    <w:rsid w:val="00A7267F"/>
    <w:pPr>
      <w:numPr>
        <w:ilvl w:val="0"/>
        <w:numId w:val="0"/>
      </w:numPr>
      <w:outlineLvl w:val="4"/>
    </w:pPr>
  </w:style>
  <w:style w:type="paragraph" w:styleId="Heading6">
    <w:name w:val="heading 6"/>
    <w:basedOn w:val="Normal"/>
    <w:next w:val="Normal"/>
    <w:link w:val="Heading6Char"/>
    <w:uiPriority w:val="9"/>
    <w:unhideWhenUsed/>
    <w:qFormat/>
    <w:rsid w:val="00A7267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267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267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267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B06"/>
    <w:rPr>
      <w:rFonts w:ascii="Arial" w:eastAsiaTheme="majorEastAsia" w:hAnsi="Arial" w:cstheme="majorBidi"/>
      <w:b/>
      <w:bCs/>
      <w:caps/>
      <w:color w:val="009999"/>
      <w:sz w:val="56"/>
      <w:szCs w:val="56"/>
    </w:rPr>
  </w:style>
  <w:style w:type="character" w:customStyle="1" w:styleId="Heading2Char">
    <w:name w:val="Heading 2 Char"/>
    <w:basedOn w:val="DefaultParagraphFont"/>
    <w:link w:val="Heading2"/>
    <w:uiPriority w:val="9"/>
    <w:rsid w:val="00A32DB5"/>
    <w:rPr>
      <w:rFonts w:ascii="Arial" w:eastAsiaTheme="majorEastAsia" w:hAnsi="Arial" w:cstheme="majorBidi"/>
      <w:bCs/>
      <w:caps/>
      <w:color w:val="009999"/>
      <w:sz w:val="28"/>
      <w:szCs w:val="26"/>
    </w:rPr>
  </w:style>
  <w:style w:type="character" w:customStyle="1" w:styleId="Heading3Char">
    <w:name w:val="Heading 3 Char"/>
    <w:basedOn w:val="DefaultParagraphFont"/>
    <w:link w:val="Heading3"/>
    <w:uiPriority w:val="9"/>
    <w:rsid w:val="00A32DB5"/>
    <w:rPr>
      <w:rFonts w:ascii="Calibri" w:eastAsiaTheme="majorEastAsia" w:hAnsi="Calibri" w:cstheme="majorBidi"/>
      <w:b/>
      <w:bCs/>
      <w:color w:val="009999"/>
      <w:sz w:val="23"/>
      <w:szCs w:val="23"/>
    </w:rPr>
  </w:style>
  <w:style w:type="character" w:customStyle="1" w:styleId="Heading4Char">
    <w:name w:val="Heading 4 Char"/>
    <w:basedOn w:val="DefaultParagraphFont"/>
    <w:link w:val="Heading4"/>
    <w:rsid w:val="00A93F51"/>
    <w:rPr>
      <w:rFonts w:eastAsiaTheme="majorEastAsia" w:cstheme="majorBidi"/>
      <w:bCs/>
      <w:i/>
      <w:iCs/>
      <w:color w:val="009999"/>
      <w:sz w:val="21"/>
      <w:szCs w:val="20"/>
    </w:rPr>
  </w:style>
  <w:style w:type="character" w:customStyle="1" w:styleId="Heading5Char">
    <w:name w:val="Heading 5 Char"/>
    <w:aliases w:val="Heading 2 non TOC Char"/>
    <w:basedOn w:val="DefaultParagraphFont"/>
    <w:link w:val="Heading5"/>
    <w:uiPriority w:val="9"/>
    <w:rsid w:val="00A7267F"/>
    <w:rPr>
      <w:rFonts w:ascii="Arial" w:eastAsiaTheme="majorEastAsia" w:hAnsi="Arial" w:cstheme="majorBidi"/>
      <w:bCs/>
      <w:caps/>
      <w:color w:val="4F81BD" w:themeColor="accent1"/>
      <w:sz w:val="28"/>
      <w:szCs w:val="26"/>
    </w:rPr>
  </w:style>
  <w:style w:type="character" w:customStyle="1" w:styleId="Heading6Char">
    <w:name w:val="Heading 6 Char"/>
    <w:basedOn w:val="DefaultParagraphFont"/>
    <w:link w:val="Heading6"/>
    <w:uiPriority w:val="9"/>
    <w:rsid w:val="00A7267F"/>
    <w:rPr>
      <w:rFonts w:asciiTheme="majorHAnsi" w:eastAsiaTheme="majorEastAsia" w:hAnsiTheme="majorHAnsi" w:cstheme="majorBidi"/>
      <w:i/>
      <w:iCs/>
      <w:color w:val="243F60" w:themeColor="accent1" w:themeShade="7F"/>
      <w:sz w:val="21"/>
      <w:szCs w:val="21"/>
    </w:rPr>
  </w:style>
  <w:style w:type="character" w:customStyle="1" w:styleId="Heading7Char">
    <w:name w:val="Heading 7 Char"/>
    <w:basedOn w:val="DefaultParagraphFont"/>
    <w:link w:val="Heading7"/>
    <w:uiPriority w:val="9"/>
    <w:semiHidden/>
    <w:rsid w:val="00A7267F"/>
    <w:rPr>
      <w:rFonts w:asciiTheme="majorHAnsi" w:eastAsiaTheme="majorEastAsia" w:hAnsiTheme="majorHAnsi" w:cstheme="majorBidi"/>
      <w:i/>
      <w:iCs/>
      <w:color w:val="404040" w:themeColor="text1" w:themeTint="BF"/>
      <w:sz w:val="21"/>
      <w:szCs w:val="21"/>
    </w:rPr>
  </w:style>
  <w:style w:type="character" w:customStyle="1" w:styleId="Heading8Char">
    <w:name w:val="Heading 8 Char"/>
    <w:basedOn w:val="DefaultParagraphFont"/>
    <w:link w:val="Heading8"/>
    <w:uiPriority w:val="9"/>
    <w:semiHidden/>
    <w:rsid w:val="00A726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267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726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267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7267F"/>
    <w:pPr>
      <w:ind w:left="720"/>
      <w:contextualSpacing/>
    </w:pPr>
  </w:style>
  <w:style w:type="paragraph" w:styleId="Footer">
    <w:name w:val="footer"/>
    <w:basedOn w:val="Normal"/>
    <w:link w:val="FooterChar"/>
    <w:uiPriority w:val="99"/>
    <w:unhideWhenUsed/>
    <w:rsid w:val="00A7267F"/>
    <w:pPr>
      <w:tabs>
        <w:tab w:val="center" w:pos="4513"/>
        <w:tab w:val="right" w:pos="9026"/>
      </w:tabs>
      <w:spacing w:after="0" w:line="240" w:lineRule="auto"/>
    </w:pPr>
    <w:rPr>
      <w:sz w:val="22"/>
    </w:rPr>
  </w:style>
  <w:style w:type="character" w:customStyle="1" w:styleId="FooterChar">
    <w:name w:val="Footer Char"/>
    <w:basedOn w:val="DefaultParagraphFont"/>
    <w:link w:val="Footer"/>
    <w:uiPriority w:val="99"/>
    <w:rsid w:val="00A7267F"/>
    <w:rPr>
      <w:szCs w:val="21"/>
    </w:rPr>
  </w:style>
  <w:style w:type="paragraph" w:customStyle="1" w:styleId="BodyText1">
    <w:name w:val="Body Text1"/>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styleId="BodyText">
    <w:name w:val="Body Text"/>
    <w:basedOn w:val="Normal"/>
    <w:link w:val="BodyTextChar"/>
    <w:rsid w:val="00A7267F"/>
    <w:pPr>
      <w:spacing w:after="0" w:line="240" w:lineRule="auto"/>
    </w:pPr>
    <w:rPr>
      <w:rFonts w:ascii="Comic Sans MS" w:eastAsia="Times New Roman" w:hAnsi="Comic Sans MS" w:cs="Times New Roman"/>
      <w:sz w:val="20"/>
      <w:szCs w:val="20"/>
      <w:lang w:val="en-US"/>
    </w:rPr>
  </w:style>
  <w:style w:type="character" w:customStyle="1" w:styleId="BodyTextChar">
    <w:name w:val="Body Text Char"/>
    <w:basedOn w:val="DefaultParagraphFont"/>
    <w:link w:val="BodyText"/>
    <w:rsid w:val="00A7267F"/>
    <w:rPr>
      <w:rFonts w:ascii="Comic Sans MS" w:eastAsia="Times New Roman" w:hAnsi="Comic Sans MS" w:cs="Times New Roman"/>
      <w:sz w:val="20"/>
      <w:szCs w:val="20"/>
      <w:lang w:val="en-US"/>
    </w:rPr>
  </w:style>
  <w:style w:type="paragraph" w:styleId="Header">
    <w:name w:val="header"/>
    <w:basedOn w:val="Normal"/>
    <w:link w:val="HeaderChar"/>
    <w:uiPriority w:val="99"/>
    <w:rsid w:val="00A7267F"/>
    <w:pPr>
      <w:tabs>
        <w:tab w:val="center" w:pos="4153"/>
        <w:tab w:val="right" w:pos="8306"/>
      </w:tabs>
      <w:spacing w:after="0" w:line="240" w:lineRule="auto"/>
    </w:pPr>
    <w:rPr>
      <w:rFonts w:eastAsia="Times New Roman" w:cs="Times New Roman"/>
      <w:szCs w:val="20"/>
    </w:rPr>
  </w:style>
  <w:style w:type="character" w:customStyle="1" w:styleId="HeaderChar">
    <w:name w:val="Header Char"/>
    <w:basedOn w:val="DefaultParagraphFont"/>
    <w:link w:val="Header"/>
    <w:uiPriority w:val="99"/>
    <w:rsid w:val="00A7267F"/>
    <w:rPr>
      <w:rFonts w:eastAsia="Times New Roman" w:cs="Times New Roman"/>
      <w:sz w:val="21"/>
      <w:szCs w:val="20"/>
    </w:rPr>
  </w:style>
  <w:style w:type="paragraph" w:styleId="BodyText3">
    <w:name w:val="Body Text 3"/>
    <w:basedOn w:val="Normal"/>
    <w:link w:val="BodyText3Char"/>
    <w:semiHidden/>
    <w:rsid w:val="00A7267F"/>
    <w:pPr>
      <w:spacing w:after="0" w:line="240" w:lineRule="auto"/>
    </w:pPr>
    <w:rPr>
      <w:rFonts w:eastAsia="Times New Roman" w:cs="Times New Roman"/>
      <w:i/>
      <w:iCs/>
      <w:sz w:val="20"/>
      <w:szCs w:val="20"/>
    </w:rPr>
  </w:style>
  <w:style w:type="character" w:customStyle="1" w:styleId="BodyText3Char">
    <w:name w:val="Body Text 3 Char"/>
    <w:basedOn w:val="DefaultParagraphFont"/>
    <w:link w:val="BodyText3"/>
    <w:semiHidden/>
    <w:rsid w:val="00A7267F"/>
    <w:rPr>
      <w:rFonts w:eastAsia="Times New Roman" w:cs="Times New Roman"/>
      <w:i/>
      <w:iCs/>
      <w:sz w:val="20"/>
      <w:szCs w:val="20"/>
    </w:rPr>
  </w:style>
  <w:style w:type="paragraph" w:styleId="BodyTextIndent">
    <w:name w:val="Body Text Indent"/>
    <w:basedOn w:val="Normal"/>
    <w:link w:val="BodyTextIndentChar"/>
    <w:uiPriority w:val="99"/>
    <w:semiHidden/>
    <w:unhideWhenUsed/>
    <w:rsid w:val="00A7267F"/>
    <w:pPr>
      <w:spacing w:after="120"/>
      <w:ind w:left="283"/>
    </w:pPr>
  </w:style>
  <w:style w:type="character" w:customStyle="1" w:styleId="BodyTextIndentChar">
    <w:name w:val="Body Text Indent Char"/>
    <w:basedOn w:val="DefaultParagraphFont"/>
    <w:link w:val="BodyTextIndent"/>
    <w:uiPriority w:val="99"/>
    <w:semiHidden/>
    <w:rsid w:val="00A7267F"/>
    <w:rPr>
      <w:sz w:val="21"/>
      <w:szCs w:val="21"/>
    </w:rPr>
  </w:style>
  <w:style w:type="character" w:styleId="Hyperlink">
    <w:name w:val="Hyperlink"/>
    <w:basedOn w:val="DefaultParagraphFont"/>
    <w:uiPriority w:val="99"/>
    <w:rsid w:val="00A7267F"/>
    <w:rPr>
      <w:color w:val="0000FF"/>
      <w:u w:val="single"/>
    </w:rPr>
  </w:style>
  <w:style w:type="character" w:styleId="CommentReference">
    <w:name w:val="annotation reference"/>
    <w:basedOn w:val="DefaultParagraphFont"/>
    <w:uiPriority w:val="99"/>
    <w:semiHidden/>
    <w:unhideWhenUsed/>
    <w:rsid w:val="00A7267F"/>
    <w:rPr>
      <w:sz w:val="16"/>
      <w:szCs w:val="16"/>
    </w:rPr>
  </w:style>
  <w:style w:type="paragraph" w:styleId="CommentText">
    <w:name w:val="annotation text"/>
    <w:basedOn w:val="Normal"/>
    <w:link w:val="CommentTextChar"/>
    <w:uiPriority w:val="99"/>
    <w:unhideWhenUsed/>
    <w:rsid w:val="00A7267F"/>
    <w:pPr>
      <w:spacing w:line="240" w:lineRule="auto"/>
    </w:pPr>
    <w:rPr>
      <w:sz w:val="20"/>
      <w:szCs w:val="20"/>
    </w:rPr>
  </w:style>
  <w:style w:type="character" w:customStyle="1" w:styleId="CommentTextChar">
    <w:name w:val="Comment Text Char"/>
    <w:basedOn w:val="DefaultParagraphFont"/>
    <w:link w:val="CommentText"/>
    <w:uiPriority w:val="99"/>
    <w:rsid w:val="00A7267F"/>
    <w:rPr>
      <w:sz w:val="20"/>
      <w:szCs w:val="20"/>
    </w:rPr>
  </w:style>
  <w:style w:type="paragraph" w:styleId="CommentSubject">
    <w:name w:val="annotation subject"/>
    <w:basedOn w:val="CommentText"/>
    <w:next w:val="CommentText"/>
    <w:link w:val="CommentSubjectChar"/>
    <w:uiPriority w:val="99"/>
    <w:semiHidden/>
    <w:unhideWhenUsed/>
    <w:rsid w:val="00A7267F"/>
    <w:rPr>
      <w:b/>
      <w:bCs/>
    </w:rPr>
  </w:style>
  <w:style w:type="character" w:customStyle="1" w:styleId="CommentSubjectChar">
    <w:name w:val="Comment Subject Char"/>
    <w:basedOn w:val="CommentTextChar"/>
    <w:link w:val="CommentSubject"/>
    <w:uiPriority w:val="99"/>
    <w:semiHidden/>
    <w:rsid w:val="00A7267F"/>
    <w:rPr>
      <w:b/>
      <w:bCs/>
      <w:sz w:val="20"/>
      <w:szCs w:val="20"/>
    </w:rPr>
  </w:style>
  <w:style w:type="paragraph" w:styleId="BalloonText">
    <w:name w:val="Balloon Text"/>
    <w:basedOn w:val="Normal"/>
    <w:link w:val="BalloonTextChar"/>
    <w:uiPriority w:val="99"/>
    <w:semiHidden/>
    <w:unhideWhenUsed/>
    <w:rsid w:val="00A72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67F"/>
    <w:rPr>
      <w:rFonts w:ascii="Tahoma" w:hAnsi="Tahoma" w:cs="Tahoma"/>
      <w:sz w:val="16"/>
      <w:szCs w:val="16"/>
    </w:rPr>
  </w:style>
  <w:style w:type="table" w:styleId="TableGrid">
    <w:name w:val="Table Grid"/>
    <w:basedOn w:val="TableNormal"/>
    <w:uiPriority w:val="99"/>
    <w:rsid w:val="00A7267F"/>
    <w:pPr>
      <w:spacing w:after="0" w:line="240" w:lineRule="auto"/>
      <w:ind w:left="426"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Figure title"/>
    <w:basedOn w:val="Normal"/>
    <w:next w:val="Normal"/>
    <w:link w:val="SubtitleChar"/>
    <w:uiPriority w:val="11"/>
    <w:qFormat/>
    <w:rsid w:val="00A7267F"/>
    <w:pPr>
      <w:numPr>
        <w:ilvl w:val="1"/>
      </w:numPr>
    </w:pPr>
    <w:rPr>
      <w:rFonts w:eastAsiaTheme="majorEastAsia" w:cstheme="majorBidi"/>
      <w:iCs/>
      <w:color w:val="4F81BD" w:themeColor="accent1"/>
      <w:spacing w:val="15"/>
      <w:sz w:val="20"/>
    </w:rPr>
  </w:style>
  <w:style w:type="character" w:customStyle="1" w:styleId="SubtitleChar">
    <w:name w:val="Subtitle Char"/>
    <w:aliases w:val="Figure title Char"/>
    <w:basedOn w:val="DefaultParagraphFont"/>
    <w:link w:val="Subtitle"/>
    <w:uiPriority w:val="11"/>
    <w:rsid w:val="00A7267F"/>
    <w:rPr>
      <w:rFonts w:eastAsiaTheme="majorEastAsia" w:cstheme="majorBidi"/>
      <w:iCs/>
      <w:color w:val="4F81BD" w:themeColor="accent1"/>
      <w:spacing w:val="15"/>
      <w:sz w:val="20"/>
      <w:szCs w:val="21"/>
    </w:rPr>
  </w:style>
  <w:style w:type="character" w:styleId="SubtleEmphasis">
    <w:name w:val="Subtle Emphasis"/>
    <w:aliases w:val="Table heading"/>
    <w:basedOn w:val="TitleChar"/>
    <w:uiPriority w:val="19"/>
    <w:qFormat/>
    <w:rsid w:val="00A7267F"/>
    <w:rPr>
      <w:rFonts w:ascii="Times New Roman" w:eastAsiaTheme="majorEastAsia" w:hAnsi="Times New Roman" w:cstheme="majorBidi"/>
      <w:iCs/>
      <w:color w:val="4F81BD" w:themeColor="accent1"/>
      <w:spacing w:val="5"/>
      <w:kern w:val="28"/>
      <w:sz w:val="20"/>
      <w:szCs w:val="52"/>
    </w:rPr>
  </w:style>
  <w:style w:type="character" w:customStyle="1" w:styleId="hvr">
    <w:name w:val="hvr"/>
    <w:basedOn w:val="DefaultParagraphFont"/>
    <w:rsid w:val="00A7267F"/>
  </w:style>
  <w:style w:type="character" w:customStyle="1" w:styleId="illustration1">
    <w:name w:val="illustration1"/>
    <w:basedOn w:val="DefaultParagraphFont"/>
    <w:rsid w:val="00A7267F"/>
    <w:rPr>
      <w:i/>
      <w:iCs/>
      <w:color w:val="966A00"/>
    </w:rPr>
  </w:style>
  <w:style w:type="paragraph" w:styleId="NormalWeb">
    <w:name w:val="Normal (Web)"/>
    <w:basedOn w:val="Normal"/>
    <w:uiPriority w:val="99"/>
    <w:unhideWhenUsed/>
    <w:rsid w:val="00A7267F"/>
    <w:pPr>
      <w:spacing w:after="0" w:line="240" w:lineRule="auto"/>
    </w:pPr>
    <w:rPr>
      <w:rFonts w:eastAsia="Times New Roman" w:cs="Times New Roman"/>
      <w:sz w:val="20"/>
      <w:szCs w:val="20"/>
      <w:lang w:eastAsia="en-AU"/>
    </w:rPr>
  </w:style>
  <w:style w:type="paragraph" w:styleId="Revision">
    <w:name w:val="Revision"/>
    <w:hidden/>
    <w:uiPriority w:val="99"/>
    <w:semiHidden/>
    <w:rsid w:val="00A7267F"/>
    <w:pPr>
      <w:spacing w:after="0" w:line="240" w:lineRule="auto"/>
    </w:pPr>
    <w:rPr>
      <w:sz w:val="24"/>
    </w:rPr>
  </w:style>
  <w:style w:type="paragraph" w:customStyle="1" w:styleId="Pa4">
    <w:name w:val="Pa4"/>
    <w:basedOn w:val="Normal"/>
    <w:next w:val="Normal"/>
    <w:uiPriority w:val="99"/>
    <w:rsid w:val="00A7267F"/>
    <w:pPr>
      <w:autoSpaceDE w:val="0"/>
      <w:autoSpaceDN w:val="0"/>
      <w:adjustRightInd w:val="0"/>
      <w:spacing w:after="0" w:line="221" w:lineRule="atLeast"/>
    </w:pPr>
    <w:rPr>
      <w:rFonts w:ascii="Calibri Light" w:hAnsi="Calibri Light"/>
    </w:rPr>
  </w:style>
  <w:style w:type="paragraph" w:customStyle="1" w:styleId="Overviewtext">
    <w:name w:val="Overview_text"/>
    <w:basedOn w:val="Normal"/>
    <w:link w:val="OverviewtextChar"/>
    <w:qFormat/>
    <w:rsid w:val="0038261A"/>
    <w:pPr>
      <w:spacing w:before="120" w:after="0" w:line="240" w:lineRule="auto"/>
    </w:pPr>
    <w:rPr>
      <w:color w:val="009999"/>
      <w:sz w:val="24"/>
      <w:szCs w:val="24"/>
    </w:rPr>
  </w:style>
  <w:style w:type="character" w:customStyle="1" w:styleId="OverviewtextChar">
    <w:name w:val="Overview_text Char"/>
    <w:basedOn w:val="DefaultParagraphFont"/>
    <w:link w:val="Overviewtext"/>
    <w:rsid w:val="0038261A"/>
    <w:rPr>
      <w:color w:val="009999"/>
      <w:sz w:val="24"/>
      <w:szCs w:val="24"/>
    </w:rPr>
  </w:style>
  <w:style w:type="paragraph" w:customStyle="1" w:styleId="Dotpoint">
    <w:name w:val="Dot point"/>
    <w:basedOn w:val="ListParagraph"/>
    <w:link w:val="DotpointChar"/>
    <w:qFormat/>
    <w:rsid w:val="00A7267F"/>
    <w:pPr>
      <w:numPr>
        <w:numId w:val="1"/>
      </w:numPr>
      <w:spacing w:after="0" w:line="240" w:lineRule="auto"/>
      <w:contextualSpacing w:val="0"/>
    </w:pPr>
  </w:style>
  <w:style w:type="character" w:customStyle="1" w:styleId="DotpointChar">
    <w:name w:val="Dot point Char"/>
    <w:basedOn w:val="DefaultParagraphFont"/>
    <w:link w:val="Dotpoint"/>
    <w:rsid w:val="00A7267F"/>
    <w:rPr>
      <w:sz w:val="21"/>
      <w:szCs w:val="21"/>
    </w:rPr>
  </w:style>
  <w:style w:type="character" w:styleId="BookTitle">
    <w:name w:val="Book Title"/>
    <w:aliases w:val="Table title"/>
    <w:uiPriority w:val="33"/>
    <w:qFormat/>
    <w:rsid w:val="00D0285F"/>
    <w:rPr>
      <w:color w:val="auto"/>
      <w:sz w:val="21"/>
      <w:szCs w:val="21"/>
    </w:rPr>
  </w:style>
  <w:style w:type="character" w:styleId="Emphasis">
    <w:name w:val="Emphasis"/>
    <w:basedOn w:val="DefaultParagraphFont"/>
    <w:uiPriority w:val="20"/>
    <w:qFormat/>
    <w:rsid w:val="00A7267F"/>
    <w:rPr>
      <w:i/>
      <w:iCs/>
    </w:rPr>
  </w:style>
  <w:style w:type="character" w:customStyle="1" w:styleId="A5">
    <w:name w:val="A5"/>
    <w:uiPriority w:val="99"/>
    <w:rsid w:val="00A7267F"/>
    <w:rPr>
      <w:rFonts w:cs="Calibri Light"/>
      <w:color w:val="000000"/>
      <w:sz w:val="28"/>
      <w:szCs w:val="28"/>
    </w:rPr>
  </w:style>
  <w:style w:type="paragraph" w:customStyle="1" w:styleId="BodyText2">
    <w:name w:val="Body Text2"/>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masters">
    <w:name w:val="masters"/>
    <w:basedOn w:val="Normal"/>
    <w:rsid w:val="00A7267F"/>
    <w:pPr>
      <w:overflowPunct w:val="0"/>
      <w:autoSpaceDE w:val="0"/>
      <w:autoSpaceDN w:val="0"/>
      <w:adjustRightInd w:val="0"/>
      <w:spacing w:after="0" w:line="360" w:lineRule="atLeast"/>
      <w:textAlignment w:val="baseline"/>
    </w:pPr>
    <w:rPr>
      <w:rFonts w:eastAsia="Times New Roman" w:cs="Times New Roman"/>
      <w:szCs w:val="20"/>
      <w:lang w:val="en-GB"/>
    </w:rPr>
  </w:style>
  <w:style w:type="paragraph" w:styleId="BodyTextIndent3">
    <w:name w:val="Body Text Indent 3"/>
    <w:basedOn w:val="Normal"/>
    <w:link w:val="BodyTextIndent3Char"/>
    <w:uiPriority w:val="99"/>
    <w:semiHidden/>
    <w:unhideWhenUsed/>
    <w:rsid w:val="00A72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267F"/>
    <w:rPr>
      <w:sz w:val="16"/>
      <w:szCs w:val="16"/>
    </w:rPr>
  </w:style>
  <w:style w:type="paragraph" w:customStyle="1" w:styleId="Default">
    <w:name w:val="Default"/>
    <w:rsid w:val="00A7267F"/>
    <w:pPr>
      <w:autoSpaceDE w:val="0"/>
      <w:autoSpaceDN w:val="0"/>
      <w:adjustRightInd w:val="0"/>
      <w:spacing w:after="0" w:line="240" w:lineRule="auto"/>
    </w:pPr>
    <w:rPr>
      <w:rFonts w:ascii="HelveticaNeue LT 55 Roman" w:hAnsi="HelveticaNeue LT 55 Roman" w:cs="HelveticaNeue LT 55 Roman"/>
      <w:color w:val="000000"/>
      <w:sz w:val="24"/>
      <w:szCs w:val="24"/>
    </w:rPr>
  </w:style>
  <w:style w:type="character" w:customStyle="1" w:styleId="st1">
    <w:name w:val="st1"/>
    <w:basedOn w:val="DefaultParagraphFont"/>
    <w:rsid w:val="00A7267F"/>
  </w:style>
  <w:style w:type="paragraph" w:styleId="BodyTextIndent2">
    <w:name w:val="Body Text Indent 2"/>
    <w:basedOn w:val="Normal"/>
    <w:link w:val="BodyTextIndent2Char"/>
    <w:semiHidden/>
    <w:unhideWhenUsed/>
    <w:rsid w:val="00A7267F"/>
    <w:pPr>
      <w:spacing w:after="120" w:line="480" w:lineRule="auto"/>
      <w:ind w:left="283"/>
    </w:pPr>
    <w:rPr>
      <w:szCs w:val="22"/>
    </w:rPr>
  </w:style>
  <w:style w:type="character" w:customStyle="1" w:styleId="BodyTextIndent2Char">
    <w:name w:val="Body Text Indent 2 Char"/>
    <w:basedOn w:val="DefaultParagraphFont"/>
    <w:link w:val="BodyTextIndent2"/>
    <w:semiHidden/>
    <w:rsid w:val="00A7267F"/>
    <w:rPr>
      <w:sz w:val="21"/>
    </w:rPr>
  </w:style>
  <w:style w:type="paragraph" w:styleId="TOCHeading">
    <w:name w:val="TOC Heading"/>
    <w:basedOn w:val="Heading1"/>
    <w:next w:val="Normal"/>
    <w:uiPriority w:val="39"/>
    <w:unhideWhenUsed/>
    <w:qFormat/>
    <w:rsid w:val="00A7267F"/>
    <w:pPr>
      <w:numPr>
        <w:numId w:val="0"/>
      </w:numPr>
      <w:spacing w:before="0"/>
      <w:outlineLvl w:val="9"/>
    </w:pPr>
    <w:rPr>
      <w:rFonts w:asciiTheme="majorHAnsi" w:hAnsiTheme="majorHAnsi" w:cs="Arial"/>
      <w:caps w:val="0"/>
      <w:lang w:val="en-US"/>
    </w:rPr>
  </w:style>
  <w:style w:type="paragraph" w:styleId="TOC1">
    <w:name w:val="toc 1"/>
    <w:basedOn w:val="Normal"/>
    <w:next w:val="Normal"/>
    <w:autoRedefine/>
    <w:uiPriority w:val="39"/>
    <w:unhideWhenUsed/>
    <w:qFormat/>
    <w:rsid w:val="00E053D5"/>
    <w:pPr>
      <w:tabs>
        <w:tab w:val="left" w:pos="480"/>
        <w:tab w:val="right" w:leader="dot" w:pos="9016"/>
      </w:tabs>
      <w:spacing w:before="240" w:after="0" w:line="240" w:lineRule="auto"/>
    </w:pPr>
    <w:rPr>
      <w:b/>
      <w:caps/>
      <w:noProof/>
      <w:szCs w:val="22"/>
    </w:rPr>
  </w:style>
  <w:style w:type="paragraph" w:styleId="TOC3">
    <w:name w:val="toc 3"/>
    <w:basedOn w:val="Normal"/>
    <w:next w:val="Normal"/>
    <w:autoRedefine/>
    <w:uiPriority w:val="39"/>
    <w:unhideWhenUsed/>
    <w:qFormat/>
    <w:rsid w:val="00A7267F"/>
    <w:pPr>
      <w:spacing w:after="100"/>
      <w:ind w:left="480"/>
    </w:pPr>
    <w:rPr>
      <w:szCs w:val="22"/>
    </w:rPr>
  </w:style>
  <w:style w:type="paragraph" w:styleId="TOC2">
    <w:name w:val="toc 2"/>
    <w:basedOn w:val="Normal"/>
    <w:next w:val="Normal"/>
    <w:autoRedefine/>
    <w:uiPriority w:val="39"/>
    <w:unhideWhenUsed/>
    <w:qFormat/>
    <w:rsid w:val="00990B06"/>
    <w:pPr>
      <w:tabs>
        <w:tab w:val="left" w:pos="1134"/>
        <w:tab w:val="right" w:leader="dot" w:pos="9016"/>
      </w:tabs>
      <w:spacing w:after="0" w:line="240" w:lineRule="auto"/>
      <w:ind w:left="238"/>
    </w:pPr>
    <w:rPr>
      <w:caps/>
      <w:szCs w:val="22"/>
    </w:rPr>
  </w:style>
  <w:style w:type="character" w:customStyle="1" w:styleId="fieldbody">
    <w:name w:val="fieldbody"/>
    <w:basedOn w:val="DefaultParagraphFont"/>
    <w:rsid w:val="00A7267F"/>
  </w:style>
  <w:style w:type="paragraph" w:styleId="NoSpacing">
    <w:name w:val="No Spacing"/>
    <w:aliases w:val="Table_text"/>
    <w:basedOn w:val="Normal"/>
    <w:link w:val="NoSpacingChar"/>
    <w:uiPriority w:val="1"/>
    <w:qFormat/>
    <w:rsid w:val="00302259"/>
    <w:pPr>
      <w:spacing w:before="60" w:after="60" w:line="240" w:lineRule="auto"/>
    </w:pPr>
  </w:style>
  <w:style w:type="paragraph" w:styleId="Caption">
    <w:name w:val="caption"/>
    <w:basedOn w:val="Normal"/>
    <w:next w:val="Normal"/>
    <w:uiPriority w:val="35"/>
    <w:unhideWhenUsed/>
    <w:qFormat/>
    <w:rsid w:val="00A7267F"/>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A7267F"/>
    <w:pPr>
      <w:spacing w:after="0"/>
      <w:jc w:val="center"/>
    </w:pPr>
    <w:rPr>
      <w:rFonts w:ascii="Calibri" w:hAnsi="Calibri" w:cs="Arial"/>
      <w:noProof/>
      <w:sz w:val="20"/>
      <w:lang w:val="en-US"/>
    </w:rPr>
  </w:style>
  <w:style w:type="character" w:customStyle="1" w:styleId="EndNoteBibliographyTitleChar">
    <w:name w:val="EndNote Bibliography Title Char"/>
    <w:basedOn w:val="DefaultParagraphFont"/>
    <w:link w:val="EndNoteBibliographyTitle"/>
    <w:rsid w:val="00A7267F"/>
    <w:rPr>
      <w:rFonts w:ascii="Calibri" w:hAnsi="Calibri" w:cs="Arial"/>
      <w:noProof/>
      <w:sz w:val="20"/>
      <w:szCs w:val="21"/>
      <w:lang w:val="en-US"/>
    </w:rPr>
  </w:style>
  <w:style w:type="paragraph" w:customStyle="1" w:styleId="EndNoteBibliography">
    <w:name w:val="EndNote Bibliography"/>
    <w:basedOn w:val="Normal"/>
    <w:link w:val="EndNoteBibliographyChar"/>
    <w:rsid w:val="00A7267F"/>
    <w:pPr>
      <w:spacing w:line="240" w:lineRule="auto"/>
    </w:pPr>
    <w:rPr>
      <w:rFonts w:ascii="Calibri" w:hAnsi="Calibri" w:cs="Arial"/>
      <w:noProof/>
      <w:sz w:val="20"/>
      <w:lang w:val="en-US"/>
    </w:rPr>
  </w:style>
  <w:style w:type="character" w:customStyle="1" w:styleId="EndNoteBibliographyChar">
    <w:name w:val="EndNote Bibliography Char"/>
    <w:basedOn w:val="DefaultParagraphFont"/>
    <w:link w:val="EndNoteBibliography"/>
    <w:rsid w:val="00A7267F"/>
    <w:rPr>
      <w:rFonts w:ascii="Calibri" w:hAnsi="Calibri" w:cs="Arial"/>
      <w:noProof/>
      <w:sz w:val="20"/>
      <w:szCs w:val="21"/>
      <w:lang w:val="en-US"/>
    </w:rPr>
  </w:style>
  <w:style w:type="character" w:styleId="FollowedHyperlink">
    <w:name w:val="FollowedHyperlink"/>
    <w:basedOn w:val="DefaultParagraphFont"/>
    <w:uiPriority w:val="99"/>
    <w:semiHidden/>
    <w:unhideWhenUsed/>
    <w:rsid w:val="00A7267F"/>
    <w:rPr>
      <w:color w:val="800080" w:themeColor="followedHyperlink"/>
      <w:u w:val="single"/>
    </w:rPr>
  </w:style>
  <w:style w:type="paragraph" w:customStyle="1" w:styleId="StrategyBody">
    <w:name w:val="StrategyBody"/>
    <w:basedOn w:val="Normal"/>
    <w:link w:val="StrategyBodyChar"/>
    <w:qFormat/>
    <w:rsid w:val="00A17E7C"/>
    <w:pPr>
      <w:spacing w:before="120" w:after="0" w:line="240" w:lineRule="auto"/>
    </w:pPr>
    <w:rPr>
      <w:rFonts w:ascii="Calibri" w:eastAsia="Calibri" w:hAnsi="Calibri" w:cs="Times New Roman"/>
    </w:rPr>
  </w:style>
  <w:style w:type="character" w:customStyle="1" w:styleId="StrategyBodyChar">
    <w:name w:val="StrategyBody Char"/>
    <w:basedOn w:val="DefaultParagraphFont"/>
    <w:link w:val="StrategyBody"/>
    <w:rsid w:val="00A17E7C"/>
    <w:rPr>
      <w:rFonts w:ascii="Calibri" w:eastAsia="Calibri" w:hAnsi="Calibri" w:cs="Times New Roman"/>
      <w:sz w:val="21"/>
      <w:szCs w:val="21"/>
    </w:rPr>
  </w:style>
  <w:style w:type="character" w:customStyle="1" w:styleId="TableheadingChar">
    <w:name w:val="Table heading Char"/>
    <w:basedOn w:val="DefaultParagraphFont"/>
    <w:rsid w:val="00A17E7C"/>
    <w:rPr>
      <w:bCs/>
      <w:sz w:val="21"/>
      <w:szCs w:val="21"/>
    </w:rPr>
  </w:style>
  <w:style w:type="paragraph" w:styleId="DocumentMap">
    <w:name w:val="Document Map"/>
    <w:basedOn w:val="Normal"/>
    <w:link w:val="DocumentMapChar"/>
    <w:uiPriority w:val="99"/>
    <w:semiHidden/>
    <w:unhideWhenUsed/>
    <w:rsid w:val="0022581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25814"/>
    <w:rPr>
      <w:rFonts w:ascii="Tahoma" w:hAnsi="Tahoma" w:cs="Tahoma"/>
      <w:sz w:val="16"/>
      <w:szCs w:val="16"/>
    </w:rPr>
  </w:style>
  <w:style w:type="paragraph" w:customStyle="1" w:styleId="Heading1-notindexed">
    <w:name w:val="Heading 1 - not indexed"/>
    <w:basedOn w:val="Heading1"/>
    <w:link w:val="Heading1-notindexedChar"/>
    <w:qFormat/>
    <w:rsid w:val="006D6B42"/>
    <w:pPr>
      <w:numPr>
        <w:numId w:val="0"/>
      </w:numPr>
    </w:pPr>
  </w:style>
  <w:style w:type="character" w:customStyle="1" w:styleId="Heading1-notindexedChar">
    <w:name w:val="Heading 1 - not indexed Char"/>
    <w:basedOn w:val="Heading1Char"/>
    <w:link w:val="Heading1-notindexed"/>
    <w:rsid w:val="006D6B42"/>
    <w:rPr>
      <w:rFonts w:ascii="Arial" w:eastAsiaTheme="majorEastAsia" w:hAnsi="Arial" w:cstheme="majorBidi"/>
      <w:b/>
      <w:bCs/>
      <w:caps/>
      <w:color w:val="009999"/>
      <w:sz w:val="56"/>
      <w:szCs w:val="56"/>
    </w:rPr>
  </w:style>
  <w:style w:type="paragraph" w:customStyle="1" w:styleId="Heading2-notindexed">
    <w:name w:val="Heading 2 - not indexed"/>
    <w:basedOn w:val="Heading2"/>
    <w:link w:val="Heading2-notindexedChar"/>
    <w:qFormat/>
    <w:rsid w:val="00590818"/>
    <w:pPr>
      <w:numPr>
        <w:ilvl w:val="0"/>
        <w:numId w:val="0"/>
      </w:numPr>
    </w:pPr>
  </w:style>
  <w:style w:type="character" w:customStyle="1" w:styleId="Heading2-notindexedChar">
    <w:name w:val="Heading 2 - not indexed Char"/>
    <w:basedOn w:val="Heading2Char"/>
    <w:link w:val="Heading2-notindexed"/>
    <w:rsid w:val="00590818"/>
    <w:rPr>
      <w:rFonts w:ascii="Arial" w:eastAsiaTheme="majorEastAsia" w:hAnsi="Arial" w:cstheme="majorBidi"/>
      <w:bCs/>
      <w:caps/>
      <w:color w:val="009999"/>
      <w:sz w:val="28"/>
      <w:szCs w:val="26"/>
    </w:rPr>
  </w:style>
  <w:style w:type="paragraph" w:styleId="TOC6">
    <w:name w:val="toc 6"/>
    <w:basedOn w:val="Normal"/>
    <w:next w:val="Normal"/>
    <w:autoRedefine/>
    <w:uiPriority w:val="39"/>
    <w:unhideWhenUsed/>
    <w:rsid w:val="006D6B42"/>
    <w:pPr>
      <w:spacing w:after="100"/>
      <w:ind w:left="1050"/>
    </w:pPr>
  </w:style>
  <w:style w:type="paragraph" w:customStyle="1" w:styleId="CaptionARCS">
    <w:name w:val="Caption_ARCS"/>
    <w:basedOn w:val="NoSpacing"/>
    <w:link w:val="CaptionARCSChar"/>
    <w:qFormat/>
    <w:rsid w:val="00B764B9"/>
  </w:style>
  <w:style w:type="paragraph" w:customStyle="1" w:styleId="Tableheading">
    <w:name w:val="Table_heading"/>
    <w:basedOn w:val="Normal"/>
    <w:link w:val="TableheadingChar0"/>
    <w:qFormat/>
    <w:rsid w:val="00E552CE"/>
    <w:pPr>
      <w:spacing w:before="60" w:after="60" w:line="240" w:lineRule="auto"/>
    </w:pPr>
    <w:rPr>
      <w:b/>
      <w:color w:val="FFFFFF" w:themeColor="background1"/>
      <w:lang w:val="en-US"/>
    </w:rPr>
  </w:style>
  <w:style w:type="character" w:customStyle="1" w:styleId="NoSpacingChar">
    <w:name w:val="No Spacing Char"/>
    <w:aliases w:val="Table_text Char"/>
    <w:basedOn w:val="DefaultParagraphFont"/>
    <w:link w:val="NoSpacing"/>
    <w:uiPriority w:val="1"/>
    <w:rsid w:val="00302259"/>
    <w:rPr>
      <w:sz w:val="21"/>
      <w:szCs w:val="21"/>
    </w:rPr>
  </w:style>
  <w:style w:type="character" w:customStyle="1" w:styleId="CaptionARCSChar">
    <w:name w:val="Caption_ARCS Char"/>
    <w:basedOn w:val="NoSpacingChar"/>
    <w:link w:val="CaptionARCS"/>
    <w:rsid w:val="00B764B9"/>
    <w:rPr>
      <w:sz w:val="21"/>
      <w:szCs w:val="21"/>
    </w:rPr>
  </w:style>
  <w:style w:type="character" w:customStyle="1" w:styleId="TableheadingChar0">
    <w:name w:val="Table_heading Char"/>
    <w:basedOn w:val="DefaultParagraphFont"/>
    <w:link w:val="Tableheading"/>
    <w:rsid w:val="00E552CE"/>
    <w:rPr>
      <w:b/>
      <w:color w:val="FFFFFF" w:themeColor="background1"/>
      <w:sz w:val="21"/>
      <w:szCs w:val="21"/>
      <w:lang w:val="en-US"/>
    </w:rPr>
  </w:style>
  <w:style w:type="character" w:customStyle="1" w:styleId="bibarticle">
    <w:name w:val="bib_article"/>
    <w:basedOn w:val="DefaultParagraphFont"/>
    <w:rsid w:val="00FC52A7"/>
    <w:rPr>
      <w:sz w:val="20"/>
      <w:bdr w:val="none" w:sz="0" w:space="0" w:color="auto"/>
      <w:shd w:val="clear" w:color="auto" w:fill="00FFFF"/>
    </w:rPr>
  </w:style>
  <w:style w:type="character" w:customStyle="1" w:styleId="bibfname">
    <w:name w:val="bib_fname"/>
    <w:basedOn w:val="DefaultParagraphFont"/>
    <w:rsid w:val="00FC52A7"/>
    <w:rPr>
      <w:sz w:val="20"/>
      <w:bdr w:val="none" w:sz="0" w:space="0" w:color="auto"/>
      <w:shd w:val="clear" w:color="auto" w:fill="FFFF00"/>
    </w:rPr>
  </w:style>
  <w:style w:type="character" w:customStyle="1" w:styleId="bibfpage">
    <w:name w:val="bib_fpage"/>
    <w:basedOn w:val="DefaultParagraphFont"/>
    <w:rsid w:val="00FC52A7"/>
    <w:rPr>
      <w:sz w:val="20"/>
      <w:bdr w:val="none" w:sz="0" w:space="0" w:color="auto"/>
      <w:shd w:val="clear" w:color="auto" w:fill="808080"/>
    </w:rPr>
  </w:style>
  <w:style w:type="character" w:customStyle="1" w:styleId="bibjournal">
    <w:name w:val="bib_journal"/>
    <w:basedOn w:val="DefaultParagraphFont"/>
    <w:rsid w:val="00FC52A7"/>
    <w:rPr>
      <w:i/>
      <w:sz w:val="20"/>
      <w:bdr w:val="none" w:sz="0" w:space="0" w:color="auto"/>
      <w:shd w:val="clear" w:color="auto" w:fill="808000"/>
    </w:rPr>
  </w:style>
  <w:style w:type="character" w:customStyle="1" w:styleId="biblpage">
    <w:name w:val="bib_lpage"/>
    <w:basedOn w:val="DefaultParagraphFont"/>
    <w:rsid w:val="00FC52A7"/>
    <w:rPr>
      <w:sz w:val="20"/>
      <w:bdr w:val="none" w:sz="0" w:space="0" w:color="auto"/>
      <w:shd w:val="clear" w:color="auto" w:fill="808080"/>
    </w:rPr>
  </w:style>
  <w:style w:type="character" w:customStyle="1" w:styleId="bibsurname">
    <w:name w:val="bib_surname"/>
    <w:basedOn w:val="DefaultParagraphFont"/>
    <w:rsid w:val="00FC52A7"/>
    <w:rPr>
      <w:sz w:val="20"/>
      <w:bdr w:val="none" w:sz="0" w:space="0" w:color="auto"/>
      <w:shd w:val="clear" w:color="auto" w:fill="FFFF00"/>
    </w:rPr>
  </w:style>
  <w:style w:type="character" w:customStyle="1" w:styleId="bibvolume">
    <w:name w:val="bib_volume"/>
    <w:basedOn w:val="DefaultParagraphFont"/>
    <w:rsid w:val="00FC52A7"/>
    <w:rPr>
      <w:b/>
      <w:sz w:val="20"/>
      <w:bdr w:val="none" w:sz="0" w:space="0" w:color="auto"/>
      <w:shd w:val="clear" w:color="auto" w:fill="00FF00"/>
    </w:rPr>
  </w:style>
  <w:style w:type="character" w:customStyle="1" w:styleId="bibyear">
    <w:name w:val="bib_year"/>
    <w:basedOn w:val="DefaultParagraphFont"/>
    <w:rsid w:val="00FC52A7"/>
    <w:rPr>
      <w:sz w:val="20"/>
      <w:bdr w:val="none" w:sz="0" w:space="0" w:color="auto"/>
      <w:shd w:val="clear" w:color="auto" w:fill="FF00FF"/>
    </w:rPr>
  </w:style>
  <w:style w:type="paragraph" w:customStyle="1" w:styleId="Pa0">
    <w:name w:val="Pa0"/>
    <w:basedOn w:val="Default"/>
    <w:next w:val="Default"/>
    <w:uiPriority w:val="99"/>
    <w:rsid w:val="00FC52A7"/>
    <w:pPr>
      <w:spacing w:line="641" w:lineRule="atLeast"/>
    </w:pPr>
    <w:rPr>
      <w:rFonts w:cstheme="minorBidi"/>
      <w:color w:val="auto"/>
    </w:rPr>
  </w:style>
  <w:style w:type="character" w:customStyle="1" w:styleId="article-headermeta-info-label">
    <w:name w:val="article-header__meta-info-label"/>
    <w:basedOn w:val="DefaultParagraphFont"/>
    <w:rsid w:val="00FC52A7"/>
  </w:style>
  <w:style w:type="character" w:customStyle="1" w:styleId="ta">
    <w:name w:val="_ta"/>
    <w:basedOn w:val="DefaultParagraphFont"/>
    <w:rsid w:val="00FC52A7"/>
  </w:style>
  <w:style w:type="character" w:customStyle="1" w:styleId="apple-converted-space">
    <w:name w:val="apple-converted-space"/>
    <w:basedOn w:val="DefaultParagraphFont"/>
    <w:rsid w:val="00FC52A7"/>
  </w:style>
  <w:style w:type="character" w:styleId="Strong">
    <w:name w:val="Strong"/>
    <w:basedOn w:val="DefaultParagraphFont"/>
    <w:uiPriority w:val="99"/>
    <w:qFormat/>
    <w:rsid w:val="00FC52A7"/>
    <w:rPr>
      <w:b/>
      <w:bCs/>
    </w:rPr>
  </w:style>
  <w:style w:type="paragraph" w:customStyle="1" w:styleId="BodyText30">
    <w:name w:val="Body Text3"/>
    <w:rsid w:val="00FC52A7"/>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sub-headings">
    <w:name w:val="sub-headings"/>
    <w:basedOn w:val="Heading1"/>
    <w:link w:val="sub-headingsChar"/>
    <w:qFormat/>
    <w:rsid w:val="00FC52A7"/>
    <w:pPr>
      <w:numPr>
        <w:numId w:val="0"/>
      </w:numPr>
      <w:spacing w:before="0"/>
    </w:pPr>
    <w:rPr>
      <w:i/>
      <w:sz w:val="32"/>
      <w:szCs w:val="32"/>
    </w:rPr>
  </w:style>
  <w:style w:type="character" w:customStyle="1" w:styleId="sub-headingsChar">
    <w:name w:val="sub-headings Char"/>
    <w:basedOn w:val="Heading1Char"/>
    <w:link w:val="sub-headings"/>
    <w:rsid w:val="00FC52A7"/>
    <w:rPr>
      <w:rFonts w:ascii="Arial" w:eastAsiaTheme="majorEastAsia" w:hAnsi="Arial" w:cstheme="majorBidi"/>
      <w:b/>
      <w:bCs/>
      <w:i/>
      <w:caps/>
      <w:color w:val="009999"/>
      <w:sz w:val="32"/>
      <w:szCs w:val="32"/>
    </w:rPr>
  </w:style>
  <w:style w:type="paragraph" w:styleId="TOC4">
    <w:name w:val="toc 4"/>
    <w:basedOn w:val="Normal"/>
    <w:next w:val="Normal"/>
    <w:autoRedefine/>
    <w:uiPriority w:val="39"/>
    <w:unhideWhenUsed/>
    <w:rsid w:val="00FC52A7"/>
    <w:pPr>
      <w:spacing w:after="100"/>
      <w:ind w:left="660"/>
    </w:pPr>
    <w:rPr>
      <w:rFonts w:eastAsiaTheme="minorEastAsia"/>
      <w:sz w:val="22"/>
      <w:szCs w:val="22"/>
      <w:lang w:eastAsia="en-AU"/>
    </w:rPr>
  </w:style>
  <w:style w:type="paragraph" w:styleId="TOC5">
    <w:name w:val="toc 5"/>
    <w:basedOn w:val="Normal"/>
    <w:next w:val="Normal"/>
    <w:autoRedefine/>
    <w:uiPriority w:val="39"/>
    <w:unhideWhenUsed/>
    <w:rsid w:val="00FC52A7"/>
    <w:pPr>
      <w:spacing w:after="100"/>
      <w:ind w:left="880"/>
    </w:pPr>
    <w:rPr>
      <w:rFonts w:eastAsiaTheme="minorEastAsia"/>
      <w:sz w:val="22"/>
      <w:szCs w:val="22"/>
      <w:lang w:eastAsia="en-AU"/>
    </w:rPr>
  </w:style>
  <w:style w:type="paragraph" w:styleId="TOC7">
    <w:name w:val="toc 7"/>
    <w:basedOn w:val="Normal"/>
    <w:next w:val="Normal"/>
    <w:autoRedefine/>
    <w:uiPriority w:val="39"/>
    <w:unhideWhenUsed/>
    <w:rsid w:val="00FC52A7"/>
    <w:pPr>
      <w:spacing w:after="100"/>
      <w:ind w:left="1320"/>
    </w:pPr>
    <w:rPr>
      <w:rFonts w:eastAsiaTheme="minorEastAsia"/>
      <w:sz w:val="22"/>
      <w:szCs w:val="22"/>
      <w:lang w:eastAsia="en-AU"/>
    </w:rPr>
  </w:style>
  <w:style w:type="paragraph" w:styleId="TOC8">
    <w:name w:val="toc 8"/>
    <w:basedOn w:val="Normal"/>
    <w:next w:val="Normal"/>
    <w:autoRedefine/>
    <w:uiPriority w:val="39"/>
    <w:unhideWhenUsed/>
    <w:rsid w:val="00FC52A7"/>
    <w:pPr>
      <w:spacing w:after="100"/>
      <w:ind w:left="1540"/>
    </w:pPr>
    <w:rPr>
      <w:rFonts w:eastAsiaTheme="minorEastAsia"/>
      <w:sz w:val="22"/>
      <w:szCs w:val="22"/>
      <w:lang w:eastAsia="en-AU"/>
    </w:rPr>
  </w:style>
  <w:style w:type="paragraph" w:styleId="TOC9">
    <w:name w:val="toc 9"/>
    <w:basedOn w:val="Normal"/>
    <w:next w:val="Normal"/>
    <w:autoRedefine/>
    <w:uiPriority w:val="39"/>
    <w:unhideWhenUsed/>
    <w:rsid w:val="00FC52A7"/>
    <w:pPr>
      <w:spacing w:after="100"/>
      <w:ind w:left="1760"/>
    </w:pPr>
    <w:rPr>
      <w:rFonts w:eastAsiaTheme="minorEastAsia"/>
      <w:sz w:val="22"/>
      <w:szCs w:val="22"/>
      <w:lang w:eastAsia="en-AU"/>
    </w:rPr>
  </w:style>
  <w:style w:type="character" w:styleId="UnresolvedMention">
    <w:name w:val="Unresolved Mention"/>
    <w:basedOn w:val="DefaultParagraphFont"/>
    <w:uiPriority w:val="99"/>
    <w:semiHidden/>
    <w:unhideWhenUsed/>
    <w:rsid w:val="008D5643"/>
    <w:rPr>
      <w:color w:val="605E5C"/>
      <w:shd w:val="clear" w:color="auto" w:fill="E1DFDD"/>
    </w:rPr>
  </w:style>
  <w:style w:type="paragraph" w:customStyle="1" w:styleId="CAreference">
    <w:name w:val="CA reference"/>
    <w:basedOn w:val="ListBullet"/>
    <w:link w:val="CAreferenceChar"/>
    <w:qFormat/>
    <w:rsid w:val="00CF7AD0"/>
    <w:pPr>
      <w:numPr>
        <w:numId w:val="0"/>
      </w:numPr>
      <w:spacing w:before="120" w:after="40" w:line="360" w:lineRule="auto"/>
      <w:ind w:left="357" w:hanging="357"/>
      <w:contextualSpacing w:val="0"/>
    </w:pPr>
    <w:rPr>
      <w:rFonts w:ascii="Arial" w:eastAsia="Times New Roman" w:hAnsi="Arial" w:cs="Arial"/>
      <w:sz w:val="22"/>
      <w:szCs w:val="22"/>
    </w:rPr>
  </w:style>
  <w:style w:type="character" w:customStyle="1" w:styleId="CAreferenceChar">
    <w:name w:val="CA reference Char"/>
    <w:basedOn w:val="DefaultParagraphFont"/>
    <w:link w:val="CAreference"/>
    <w:rsid w:val="00CF7AD0"/>
    <w:rPr>
      <w:rFonts w:ascii="Arial" w:eastAsia="Times New Roman" w:hAnsi="Arial" w:cs="Arial"/>
    </w:rPr>
  </w:style>
  <w:style w:type="paragraph" w:styleId="ListBullet">
    <w:name w:val="List Bullet"/>
    <w:basedOn w:val="Normal"/>
    <w:uiPriority w:val="99"/>
    <w:semiHidden/>
    <w:unhideWhenUsed/>
    <w:rsid w:val="00CF7AD0"/>
    <w:pPr>
      <w:numPr>
        <w:numId w:val="9"/>
      </w:numPr>
      <w:ind w:left="360" w:hanging="360"/>
      <w:contextualSpacing/>
    </w:pPr>
  </w:style>
  <w:style w:type="character" w:customStyle="1" w:styleId="cf01">
    <w:name w:val="cf01"/>
    <w:basedOn w:val="DefaultParagraphFont"/>
    <w:rsid w:val="002319A3"/>
    <w:rPr>
      <w:rFonts w:ascii="Segoe UI" w:hAnsi="Segoe UI" w:cs="Segoe UI" w:hint="default"/>
      <w:sz w:val="18"/>
      <w:szCs w:val="18"/>
    </w:rPr>
  </w:style>
  <w:style w:type="paragraph" w:styleId="ListBullet2">
    <w:name w:val="List Bullet 2"/>
    <w:basedOn w:val="Normal"/>
    <w:uiPriority w:val="99"/>
    <w:semiHidden/>
    <w:unhideWhenUsed/>
    <w:rsid w:val="00D27B98"/>
    <w:pPr>
      <w:numPr>
        <w:numId w:val="10"/>
      </w:numPr>
      <w:contextualSpacing/>
    </w:pPr>
  </w:style>
  <w:style w:type="character" w:customStyle="1" w:styleId="Hyperlink1">
    <w:name w:val="Hyperlink1"/>
    <w:basedOn w:val="DefaultParagraphFont"/>
    <w:rsid w:val="002E13A8"/>
  </w:style>
  <w:style w:type="paragraph" w:customStyle="1" w:styleId="heading2-notindexed0">
    <w:name w:val="heading2-notindexed"/>
    <w:basedOn w:val="Normal"/>
    <w:rsid w:val="00C62678"/>
    <w:pPr>
      <w:spacing w:before="100" w:beforeAutospacing="1" w:after="100" w:afterAutospacing="1" w:line="240" w:lineRule="auto"/>
    </w:pPr>
    <w:rPr>
      <w:rFonts w:ascii="Times New Roman" w:eastAsia="Times New Roman" w:hAnsi="Times New Roman" w:cs="Times New Roman"/>
      <w:sz w:val="24"/>
      <w:szCs w:val="24"/>
      <w:lang w:eastAsia="en-AU"/>
    </w:rPr>
  </w:style>
  <w:style w:type="table" w:customStyle="1" w:styleId="TableGrid1">
    <w:name w:val="Table Grid1"/>
    <w:basedOn w:val="TableNormal"/>
    <w:next w:val="TableGrid"/>
    <w:uiPriority w:val="99"/>
    <w:rsid w:val="003548C1"/>
    <w:pPr>
      <w:spacing w:before="60" w:after="60"/>
    </w:pPr>
    <w:rPr>
      <w:rFonts w:ascii="Cambria" w:eastAsia="Times New Roman" w:hAnsi="Cambria" w:cs="Cambria"/>
      <w:sz w:val="18"/>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13"/>
    <w:qFormat/>
    <w:rsid w:val="000D4CE0"/>
    <w:pPr>
      <w:spacing w:before="60" w:after="60" w:line="240" w:lineRule="auto"/>
    </w:pPr>
    <w:rPr>
      <w:rFonts w:ascii="Cambria" w:hAnsi="Cambria"/>
      <w:sz w:val="18"/>
      <w:szCs w:val="22"/>
    </w:rPr>
  </w:style>
  <w:style w:type="paragraph" w:customStyle="1" w:styleId="TableHeading0">
    <w:name w:val="Table Heading"/>
    <w:basedOn w:val="TableText"/>
    <w:uiPriority w:val="14"/>
    <w:qFormat/>
    <w:rsid w:val="000D4CE0"/>
    <w:pPr>
      <w:keepNex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79">
      <w:bodyDiv w:val="1"/>
      <w:marLeft w:val="0"/>
      <w:marRight w:val="0"/>
      <w:marTop w:val="0"/>
      <w:marBottom w:val="0"/>
      <w:divBdr>
        <w:top w:val="none" w:sz="0" w:space="0" w:color="auto"/>
        <w:left w:val="none" w:sz="0" w:space="0" w:color="auto"/>
        <w:bottom w:val="none" w:sz="0" w:space="0" w:color="auto"/>
        <w:right w:val="none" w:sz="0" w:space="0" w:color="auto"/>
      </w:divBdr>
    </w:div>
    <w:div w:id="603417071">
      <w:bodyDiv w:val="1"/>
      <w:marLeft w:val="0"/>
      <w:marRight w:val="0"/>
      <w:marTop w:val="0"/>
      <w:marBottom w:val="0"/>
      <w:divBdr>
        <w:top w:val="none" w:sz="0" w:space="0" w:color="auto"/>
        <w:left w:val="none" w:sz="0" w:space="0" w:color="auto"/>
        <w:bottom w:val="none" w:sz="0" w:space="0" w:color="auto"/>
        <w:right w:val="none" w:sz="0" w:space="0" w:color="auto"/>
      </w:divBdr>
    </w:div>
    <w:div w:id="1046681832">
      <w:bodyDiv w:val="1"/>
      <w:marLeft w:val="0"/>
      <w:marRight w:val="0"/>
      <w:marTop w:val="0"/>
      <w:marBottom w:val="0"/>
      <w:divBdr>
        <w:top w:val="none" w:sz="0" w:space="0" w:color="auto"/>
        <w:left w:val="none" w:sz="0" w:space="0" w:color="auto"/>
        <w:bottom w:val="none" w:sz="0" w:space="0" w:color="auto"/>
        <w:right w:val="none" w:sz="0" w:space="0" w:color="auto"/>
      </w:divBdr>
    </w:div>
    <w:div w:id="1146318180">
      <w:bodyDiv w:val="1"/>
      <w:marLeft w:val="0"/>
      <w:marRight w:val="0"/>
      <w:marTop w:val="0"/>
      <w:marBottom w:val="0"/>
      <w:divBdr>
        <w:top w:val="none" w:sz="0" w:space="0" w:color="auto"/>
        <w:left w:val="none" w:sz="0" w:space="0" w:color="auto"/>
        <w:bottom w:val="none" w:sz="0" w:space="0" w:color="auto"/>
        <w:right w:val="none" w:sz="0" w:space="0" w:color="auto"/>
      </w:divBdr>
      <w:divsChild>
        <w:div w:id="1129126405">
          <w:marLeft w:val="0"/>
          <w:marRight w:val="0"/>
          <w:marTop w:val="0"/>
          <w:marBottom w:val="0"/>
          <w:divBdr>
            <w:top w:val="none" w:sz="0" w:space="0" w:color="auto"/>
            <w:left w:val="none" w:sz="0" w:space="0" w:color="auto"/>
            <w:bottom w:val="none" w:sz="0" w:space="0" w:color="auto"/>
            <w:right w:val="none" w:sz="0" w:space="0" w:color="auto"/>
          </w:divBdr>
          <w:divsChild>
            <w:div w:id="423578731">
              <w:marLeft w:val="0"/>
              <w:marRight w:val="0"/>
              <w:marTop w:val="0"/>
              <w:marBottom w:val="0"/>
              <w:divBdr>
                <w:top w:val="none" w:sz="0" w:space="0" w:color="auto"/>
                <w:left w:val="none" w:sz="0" w:space="0" w:color="auto"/>
                <w:bottom w:val="none" w:sz="0" w:space="0" w:color="auto"/>
                <w:right w:val="none" w:sz="0" w:space="0" w:color="auto"/>
              </w:divBdr>
              <w:divsChild>
                <w:div w:id="415785414">
                  <w:marLeft w:val="-225"/>
                  <w:marRight w:val="-225"/>
                  <w:marTop w:val="0"/>
                  <w:marBottom w:val="0"/>
                  <w:divBdr>
                    <w:top w:val="none" w:sz="0" w:space="0" w:color="auto"/>
                    <w:left w:val="none" w:sz="0" w:space="0" w:color="auto"/>
                    <w:bottom w:val="none" w:sz="0" w:space="0" w:color="auto"/>
                    <w:right w:val="none" w:sz="0" w:space="0" w:color="auto"/>
                  </w:divBdr>
                  <w:divsChild>
                    <w:div w:id="1561017212">
                      <w:marLeft w:val="0"/>
                      <w:marRight w:val="0"/>
                      <w:marTop w:val="0"/>
                      <w:marBottom w:val="0"/>
                      <w:divBdr>
                        <w:top w:val="none" w:sz="0" w:space="0" w:color="auto"/>
                        <w:left w:val="none" w:sz="0" w:space="0" w:color="auto"/>
                        <w:bottom w:val="none" w:sz="0" w:space="0" w:color="auto"/>
                        <w:right w:val="none" w:sz="0" w:space="0" w:color="auto"/>
                      </w:divBdr>
                      <w:divsChild>
                        <w:div w:id="39870156">
                          <w:marLeft w:val="0"/>
                          <w:marRight w:val="0"/>
                          <w:marTop w:val="0"/>
                          <w:marBottom w:val="0"/>
                          <w:divBdr>
                            <w:top w:val="none" w:sz="0" w:space="0" w:color="auto"/>
                            <w:left w:val="none" w:sz="0" w:space="0" w:color="auto"/>
                            <w:bottom w:val="none" w:sz="0" w:space="0" w:color="auto"/>
                            <w:right w:val="none" w:sz="0" w:space="0" w:color="auto"/>
                          </w:divBdr>
                          <w:divsChild>
                            <w:div w:id="13008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437820">
      <w:bodyDiv w:val="1"/>
      <w:marLeft w:val="0"/>
      <w:marRight w:val="0"/>
      <w:marTop w:val="0"/>
      <w:marBottom w:val="0"/>
      <w:divBdr>
        <w:top w:val="none" w:sz="0" w:space="0" w:color="auto"/>
        <w:left w:val="none" w:sz="0" w:space="0" w:color="auto"/>
        <w:bottom w:val="none" w:sz="0" w:space="0" w:color="auto"/>
        <w:right w:val="none" w:sz="0" w:space="0" w:color="auto"/>
      </w:divBdr>
    </w:div>
    <w:div w:id="1270745156">
      <w:bodyDiv w:val="1"/>
      <w:marLeft w:val="0"/>
      <w:marRight w:val="0"/>
      <w:marTop w:val="0"/>
      <w:marBottom w:val="0"/>
      <w:divBdr>
        <w:top w:val="none" w:sz="0" w:space="0" w:color="auto"/>
        <w:left w:val="none" w:sz="0" w:space="0" w:color="auto"/>
        <w:bottom w:val="none" w:sz="0" w:space="0" w:color="auto"/>
        <w:right w:val="none" w:sz="0" w:space="0" w:color="auto"/>
      </w:divBdr>
    </w:div>
    <w:div w:id="1595278998">
      <w:bodyDiv w:val="1"/>
      <w:marLeft w:val="0"/>
      <w:marRight w:val="0"/>
      <w:marTop w:val="0"/>
      <w:marBottom w:val="0"/>
      <w:divBdr>
        <w:top w:val="none" w:sz="0" w:space="0" w:color="auto"/>
        <w:left w:val="none" w:sz="0" w:space="0" w:color="auto"/>
        <w:bottom w:val="none" w:sz="0" w:space="0" w:color="auto"/>
        <w:right w:val="none" w:sz="0" w:space="0" w:color="auto"/>
      </w:divBdr>
    </w:div>
    <w:div w:id="1933928508">
      <w:bodyDiv w:val="1"/>
      <w:marLeft w:val="0"/>
      <w:marRight w:val="0"/>
      <w:marTop w:val="0"/>
      <w:marBottom w:val="0"/>
      <w:divBdr>
        <w:top w:val="none" w:sz="0" w:space="0" w:color="auto"/>
        <w:left w:val="none" w:sz="0" w:space="0" w:color="auto"/>
        <w:bottom w:val="none" w:sz="0" w:space="0" w:color="auto"/>
        <w:right w:val="none" w:sz="0" w:space="0" w:color="auto"/>
      </w:divBdr>
    </w:div>
    <w:div w:id="20354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legislation.act.gov.au/View/ni/2025-176/current/html/2025-176.html" TargetMode="External"/><Relationship Id="rId26" Type="http://schemas.openxmlformats.org/officeDocument/2006/relationships/hyperlink" Target="https://www.agriculture.gov.au/sites/default/files/documents/aquavetplan-crayfish-plague.pdf" TargetMode="External"/><Relationship Id="rId21" Type="http://schemas.openxmlformats.org/officeDocument/2006/relationships/hyperlink" Target="https://www.legislation.act.gov.au/di/2018-240/" TargetMode="Externa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dcceew.gov.au/environment/wildlife-trade/live-import-list" TargetMode="External"/><Relationship Id="rId25" Type="http://schemas.openxmlformats.org/officeDocument/2006/relationships/hyperlink" Target="https://www.act.gov.au/open/bushfire-management-plans" TargetMode="External"/><Relationship Id="rId33" Type="http://schemas.openxmlformats.org/officeDocument/2006/relationships/hyperlink" Target="http://www.environment.gov.au/biodiversity/threatened/ca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www.legislation.act.gov.au/di/2010-192/" TargetMode="External"/><Relationship Id="rId29" Type="http://schemas.openxmlformats.org/officeDocument/2006/relationships/hyperlink" Target="https://www.act.gov.au/environme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yoursayconversations.act.gov.au/draft-action-plan-high-country-bogs-and-fens" TargetMode="External"/><Relationship Id="rId32" Type="http://schemas.openxmlformats.org/officeDocument/2006/relationships/hyperlink" Target="https://www.iucnredlist.org/resources/redlistguidelines" TargetMode="External"/><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hyperlink" Target="https://storymaps.arcgis.com/collections/4849e685478d48d6a6b37e84d144b176?item=2" TargetMode="External"/><Relationship Id="rId28" Type="http://schemas.openxmlformats.org/officeDocument/2006/relationships/hyperlink" Target="http://www.aquaticinvasions.net/2017/AI_2017_Panteleit_etal.pdf"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legislation.act.gov.au/ni/2025-177/" TargetMode="External"/><Relationship Id="rId31" Type="http://schemas.openxmlformats.org/officeDocument/2006/relationships/hyperlink" Target="https://www.iucnredlist.org/resources/categories-and-criteria"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legislation.act.gov.au/View/ni/2019-66/current/html/2019-66.html" TargetMode="External"/><Relationship Id="rId27" Type="http://schemas.openxmlformats.org/officeDocument/2006/relationships/hyperlink" Target="https://dx.doi.org/10.2305/IUCN.UK.2010-3.RLTS.T8148A12892235.en" TargetMode="External"/><Relationship Id="rId30" Type="http://schemas.openxmlformats.org/officeDocument/2006/relationships/hyperlink" Target="https://www.legislation.act.gov.au/di/2016-254/" TargetMode="External"/><Relationship Id="rId35" Type="http://schemas.openxmlformats.org/officeDocument/2006/relationships/footer" Target="footer4.xml"/><Relationship Id="rId8" Type="http://schemas.openxmlformats.org/officeDocument/2006/relationships/endnotes" Target="endnotes.xml"/><Relationship Id="rId3" Type="http://schemas.openxmlformats.org/officeDocument/2006/relationships/numbering" Target="numbering.xml"/></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8535C1E5D147659FEEE18234977DE7"/>
        <w:category>
          <w:name w:val="General"/>
          <w:gallery w:val="placeholder"/>
        </w:category>
        <w:types>
          <w:type w:val="bbPlcHdr"/>
        </w:types>
        <w:behaviors>
          <w:behavior w:val="content"/>
        </w:behaviors>
        <w:guid w:val="{E2B4D1B0-322F-48D1-B017-81071842925A}"/>
      </w:docPartPr>
      <w:docPartBody>
        <w:p w:rsidR="00E81857" w:rsidRDefault="007F163A" w:rsidP="007F163A">
          <w:pPr>
            <w:pStyle w:val="D18535C1E5D147659FEEE18234977DE7"/>
          </w:pPr>
          <w:r w:rsidRPr="00F20180">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857"/>
    <w:rsid w:val="0018463E"/>
    <w:rsid w:val="001A27A0"/>
    <w:rsid w:val="001B6E13"/>
    <w:rsid w:val="00294CFE"/>
    <w:rsid w:val="00367AB2"/>
    <w:rsid w:val="00424731"/>
    <w:rsid w:val="004C5C5B"/>
    <w:rsid w:val="004F23D3"/>
    <w:rsid w:val="00505621"/>
    <w:rsid w:val="005330E3"/>
    <w:rsid w:val="00534031"/>
    <w:rsid w:val="0054235A"/>
    <w:rsid w:val="005A3B89"/>
    <w:rsid w:val="005F573F"/>
    <w:rsid w:val="00660236"/>
    <w:rsid w:val="006662FB"/>
    <w:rsid w:val="007F163A"/>
    <w:rsid w:val="008412C2"/>
    <w:rsid w:val="009871BC"/>
    <w:rsid w:val="009E4ED8"/>
    <w:rsid w:val="00A03D63"/>
    <w:rsid w:val="00A40A2F"/>
    <w:rsid w:val="00B226A6"/>
    <w:rsid w:val="00B426AA"/>
    <w:rsid w:val="00B72857"/>
    <w:rsid w:val="00C05820"/>
    <w:rsid w:val="00C94D89"/>
    <w:rsid w:val="00D0287C"/>
    <w:rsid w:val="00D60BCC"/>
    <w:rsid w:val="00D67858"/>
    <w:rsid w:val="00D84449"/>
    <w:rsid w:val="00D93443"/>
    <w:rsid w:val="00E050D0"/>
    <w:rsid w:val="00E81857"/>
    <w:rsid w:val="00ED71E2"/>
    <w:rsid w:val="00F17930"/>
    <w:rsid w:val="00F60FAB"/>
    <w:rsid w:val="00F81996"/>
    <w:rsid w:val="00FF1BD6"/>
    <w:rsid w:val="00FF49FC"/>
    <w:rsid w:val="00FF79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163A"/>
    <w:rPr>
      <w:color w:val="808080"/>
    </w:rPr>
  </w:style>
  <w:style w:type="paragraph" w:customStyle="1" w:styleId="D18535C1E5D147659FEEE18234977DE7">
    <w:name w:val="D18535C1E5D147659FEEE18234977DE7"/>
    <w:rsid w:val="007F16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4FEB93B0D38B3BDFE05400144FFB2061" version="1.0.0">
  <systemFields>
    <field name="Objective-Id">
      <value order="0">A68253116</value>
    </field>
    <field name="Objective-Title">
      <value order="0">NI2026-457 - Nature Conservation (Murunung Naruwi) Conservation Advice 2026</value>
    </field>
    <field name="Objective-Description">
      <value order="0"/>
    </field>
    <field name="Objective-CreationStamp">
      <value order="0">2026-10-08T00:54:30Z</value>
    </field>
    <field name="Objective-IsApproved">
      <value order="0">false</value>
    </field>
    <field name="Objective-IsPublished">
      <value order="0">false</value>
    </field>
    <field name="Objective-DatePublished">
      <value order="0"/>
    </field>
    <field name="Objective-ModificationStamp">
      <value order="0">2026-10-08T01:11:00Z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law:2026:02. Notifiable Instruments:NI2026-457 - Nature Conservation (Murunung Naruwi) Conservation Advice 2026</value>
    </field>
    <field name="Objective-Parent">
      <value order="0">NI2026-457 - Nature Conservation (Murunung Naruwi) Conservation Advice 2026</value>
    </field>
    <field name="Objective-State">
      <value order="0">Being Edited</value>
    </field>
    <field name="Objective-VersionId">
      <value order="0">vA85573226</value>
    </field>
    <field name="Objective-Version">
      <value order="0">2.1</value>
    </field>
    <field name="Objective-VersionNumber">
      <value order="0">3</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6D8CB488-4B98-40E1-AFEE-5F911E72E814}">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6178</Words>
  <Characters>35663</Characters>
  <Application>Microsoft Office Word</Application>
  <DocSecurity>0</DocSecurity>
  <Lines>759</Lines>
  <Paragraphs>321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41583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ACT Government</dc:creator>
  <cp:lastModifiedBy>PCODCS</cp:lastModifiedBy>
  <cp:revision>5</cp:revision>
  <cp:lastPrinted>2017-01-16T00:24:00Z</cp:lastPrinted>
  <dcterms:created xsi:type="dcterms:W3CDTF">2026-10-08T01:12:00Z</dcterms:created>
  <dcterms:modified xsi:type="dcterms:W3CDTF">2026-10-08T01:12:00Z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EPSDD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Linden Chalmers</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2024-04-18T05:29:05Z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8aa9c2a3-1cac-4ae6-aab0-c5d8d0646c75</vt:lpwstr>
  </property>
  <property fmtid="{D5CDD505-2E9C-101B-9397-08002B2CF9AE}" pid="21" name="MSIP_Label_69af8531-eb46-4968-8cb3-105d2f5ea87e_ContentBits">
    <vt:lpwstr>0</vt:lpwstr>
  </property>
  <property fmtid="{D5CDD505-2E9C-101B-9397-08002B2CF9AE}" pid="22" name="Customer-Id">
    <vt:lpwstr>4FEB93B0D38B3BDFE05400144FFB2061</vt:lpwstr>
  </property>
  <property fmtid="{D5CDD505-2E9C-101B-9397-08002B2CF9AE}" pid="23" name="Objective-Id">
    <vt:lpwstr>A68253116</vt:lpwstr>
  </property>
  <property fmtid="{D5CDD505-2E9C-101B-9397-08002B2CF9AE}" pid="24" name="Objective-Title">
    <vt:lpwstr>NI2026-457 - Nature Conservation (Murunung Naruwi) Conservation Advice 2026</vt:lpwstr>
  </property>
  <property fmtid="{D5CDD505-2E9C-101B-9397-08002B2CF9AE}" pid="25" name="Objective-Description">
    <vt:lpwstr/>
  </property>
  <property fmtid="{D5CDD505-2E9C-101B-9397-08002B2CF9AE}" pid="26" name="Objective-CreationStamp">
    <vt:filetime>2026-10-08T00:54:30Z</vt:filetime>
  </property>
  <property fmtid="{D5CDD505-2E9C-101B-9397-08002B2CF9AE}" pid="27" name="Objective-IsApproved">
    <vt:bool>false</vt:bool>
  </property>
  <property fmtid="{D5CDD505-2E9C-101B-9397-08002B2CF9AE}" pid="28" name="Objective-IsPublished">
    <vt:bool>false</vt:bool>
  </property>
  <property fmtid="{D5CDD505-2E9C-101B-9397-08002B2CF9AE}" pid="29" name="Objective-DatePublished">
    <vt:lpwstr/>
  </property>
  <property fmtid="{D5CDD505-2E9C-101B-9397-08002B2CF9AE}" pid="30" name="Objective-ModificationStamp">
    <vt:filetime>2026-10-08T01:11:00Z</vt:filetime>
  </property>
  <property fmtid="{D5CDD505-2E9C-101B-9397-08002B2CF9AE}" pid="31" name="Objective-Owner">
    <vt:lpwstr>Ashleigh McInnes</vt:lpwstr>
  </property>
  <property fmtid="{D5CDD505-2E9C-101B-9397-08002B2CF9AE}" pid="32" name="Objective-Path">
    <vt:lpwstr>Whole of ACT Government:TCCS STRUCTURE - Content Restriction Hierarchy:DIVISION: Chief Operating Officer:BRANCH: Governance and Ministerial Services:SECTION: Ministerial Services Unit:09. Instruments and subordinate law:2026:02. Notifiable Instruments:NI2026-457 - Nature Conservation (Murunung Naruwi) Conservation Advice 2026:</vt:lpwstr>
  </property>
  <property fmtid="{D5CDD505-2E9C-101B-9397-08002B2CF9AE}" pid="33" name="Objective-Parent">
    <vt:lpwstr>NI2026-457 - Nature Conservation (Murunung Naruwi) Conservation Advice 2026</vt:lpwstr>
  </property>
  <property fmtid="{D5CDD505-2E9C-101B-9397-08002B2CF9AE}" pid="34" name="Objective-State">
    <vt:lpwstr>Being Edited</vt:lpwstr>
  </property>
  <property fmtid="{D5CDD505-2E9C-101B-9397-08002B2CF9AE}" pid="35" name="Objective-VersionId">
    <vt:lpwstr>vA85573226</vt:lpwstr>
  </property>
  <property fmtid="{D5CDD505-2E9C-101B-9397-08002B2CF9AE}" pid="36" name="Objective-Version">
    <vt:lpwstr>2.1</vt:lpwstr>
  </property>
  <property fmtid="{D5CDD505-2E9C-101B-9397-08002B2CF9AE}" pid="37" name="Objective-VersionNumber">
    <vt:r8>3</vt:r8>
  </property>
  <property fmtid="{D5CDD505-2E9C-101B-9397-08002B2CF9AE}" pid="38" name="Objective-VersionComment">
    <vt:lpwstr/>
  </property>
  <property fmtid="{D5CDD505-2E9C-101B-9397-08002B2CF9AE}" pid="39" name="Objective-FileNumber">
    <vt:lpwstr/>
  </property>
  <property fmtid="{D5CDD505-2E9C-101B-9397-08002B2CF9AE}" pid="40" name="Objective-Classification">
    <vt:lpwstr>[Inherited - none]</vt:lpwstr>
  </property>
  <property fmtid="{D5CDD505-2E9C-101B-9397-08002B2CF9AE}" pid="41" name="Objective-Caveats">
    <vt:lpwstr/>
  </property>
  <property fmtid="{D5CDD505-2E9C-101B-9397-08002B2CF9AE}" pid="42" name="Objective-Owner Agency">
    <vt:lpwstr>CED - City and Environment Directorate</vt:lpwstr>
  </property>
  <property fmtid="{D5CDD505-2E9C-101B-9397-08002B2CF9AE}" pid="43" name="Objective-Document Type">
    <vt:lpwstr>0-Document</vt:lpwstr>
  </property>
  <property fmtid="{D5CDD505-2E9C-101B-9397-08002B2CF9AE}" pid="44" name="Objective-Language">
    <vt:lpwstr>English (en)</vt:lpwstr>
  </property>
  <property fmtid="{D5CDD505-2E9C-101B-9397-08002B2CF9AE}" pid="45" name="Objective-Jurisdiction">
    <vt:lpwstr>ACT</vt:lpwstr>
  </property>
  <property fmtid="{D5CDD505-2E9C-101B-9397-08002B2CF9AE}" pid="46" name="Objective-Customers">
    <vt:lpwstr/>
  </property>
  <property fmtid="{D5CDD505-2E9C-101B-9397-08002B2CF9AE}" pid="47" name="Objective-Places">
    <vt:lpwstr/>
  </property>
  <property fmtid="{D5CDD505-2E9C-101B-9397-08002B2CF9AE}" pid="48" name="Objective-Transaction Reference">
    <vt:lpwstr/>
  </property>
  <property fmtid="{D5CDD505-2E9C-101B-9397-08002B2CF9AE}" pid="49" name="Objective-Document Created By">
    <vt:lpwstr/>
  </property>
  <property fmtid="{D5CDD505-2E9C-101B-9397-08002B2CF9AE}" pid="50" name="Objective-Document Created On">
    <vt:lpwstr/>
  </property>
  <property fmtid="{D5CDD505-2E9C-101B-9397-08002B2CF9AE}" pid="51" name="Objective-Covers Period From">
    <vt:lpwstr/>
  </property>
  <property fmtid="{D5CDD505-2E9C-101B-9397-08002B2CF9AE}" pid="52" name="Objective-Covers Period To">
    <vt:lpwstr/>
  </property>
  <property fmtid="{D5CDD505-2E9C-101B-9397-08002B2CF9AE}" pid="53" name="Objective-Status">
    <vt:lpwstr/>
  </property>
  <property fmtid="{D5CDD505-2E9C-101B-9397-08002B2CF9AE}" pid="54" name="Objective-S28 Exemption Number">
    <vt:lpwstr/>
  </property>
  <property fmtid="{D5CDD505-2E9C-101B-9397-08002B2CF9AE}" pid="55" name="Objective-S28 Exemption">
    <vt:lpwstr/>
  </property>
  <property fmtid="{D5CDD505-2E9C-101B-9397-08002B2CF9AE}" pid="56" name="Objective-S28 Exemption Reason">
    <vt:lpwstr/>
  </property>
  <property fmtid="{D5CDD505-2E9C-101B-9397-08002B2CF9AE}" pid="57" name="Objective-S28 Comments if partial exemption">
    <vt:lpwstr/>
  </property>
  <property fmtid="{D5CDD505-2E9C-101B-9397-08002B2CF9AE}" pid="58" name="Objective-S28 Date Approved">
    <vt:lpwstr/>
  </property>
</Properties>
</file>