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6B" w:rsidRDefault="00486F6B" w:rsidP="0051648C">
      <w:pPr>
        <w:spacing w:before="120" w:after="120"/>
        <w:jc w:val="center"/>
        <w:rPr>
          <w:rFonts w:asciiTheme="majorHAnsi" w:hAnsiTheme="majorHAnsi" w:cs="Calibri"/>
          <w:b/>
          <w:i/>
          <w:sz w:val="56"/>
          <w:szCs w:val="56"/>
        </w:rPr>
      </w:pPr>
      <w:bookmarkStart w:id="0" w:name="_Toc302496249"/>
      <w:bookmarkStart w:id="1" w:name="_GoBack"/>
      <w:bookmarkEnd w:id="1"/>
    </w:p>
    <w:p w:rsidR="000A26B1" w:rsidRPr="0034068B" w:rsidRDefault="006D6234" w:rsidP="0051648C">
      <w:pPr>
        <w:spacing w:before="120" w:after="120"/>
        <w:jc w:val="center"/>
        <w:rPr>
          <w:rFonts w:asciiTheme="minorHAnsi" w:hAnsiTheme="minorHAnsi" w:cs="Calibri"/>
          <w:caps/>
          <w:sz w:val="56"/>
          <w:szCs w:val="56"/>
        </w:rPr>
      </w:pPr>
      <w:r w:rsidRPr="003A52A1">
        <w:rPr>
          <w:noProof/>
          <w:lang w:eastAsia="en-AU"/>
        </w:rPr>
        <w:drawing>
          <wp:inline distT="0" distB="0" distL="0" distR="0">
            <wp:extent cx="2619375" cy="971550"/>
            <wp:effectExtent l="0" t="0" r="0" b="0"/>
            <wp:docPr id="1" name="Picture 4" descr="http://esddintranet.act.gov.au/__data/assets/image/0019/39421/ESDDlogo_inlin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ddintranet.act.gov.au/__data/assets/image/0019/39421/ESDDlogo_inline_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971550"/>
                    </a:xfrm>
                    <a:prstGeom prst="rect">
                      <a:avLst/>
                    </a:prstGeom>
                    <a:noFill/>
                    <a:ln>
                      <a:noFill/>
                    </a:ln>
                  </pic:spPr>
                </pic:pic>
              </a:graphicData>
            </a:graphic>
          </wp:inline>
        </w:drawing>
      </w:r>
      <w:bookmarkEnd w:id="0"/>
    </w:p>
    <w:p w:rsidR="0051648C" w:rsidRDefault="0051648C" w:rsidP="0051648C">
      <w:pPr>
        <w:spacing w:before="60" w:after="60" w:line="240" w:lineRule="auto"/>
        <w:jc w:val="center"/>
        <w:rPr>
          <w:rFonts w:asciiTheme="majorHAnsi" w:hAnsiTheme="majorHAnsi" w:cs="Calibri"/>
          <w:color w:val="365F91" w:themeColor="accent1" w:themeShade="BF"/>
          <w:sz w:val="52"/>
          <w:szCs w:val="52"/>
        </w:rPr>
      </w:pPr>
    </w:p>
    <w:p w:rsidR="0051648C" w:rsidRPr="00F50C45" w:rsidRDefault="00E5522E" w:rsidP="0051648C">
      <w:pPr>
        <w:spacing w:before="60" w:after="60" w:line="240" w:lineRule="auto"/>
        <w:jc w:val="center"/>
        <w:rPr>
          <w:rFonts w:asciiTheme="majorHAnsi" w:hAnsiTheme="majorHAnsi" w:cs="Calibri"/>
          <w:b/>
          <w:sz w:val="48"/>
          <w:szCs w:val="48"/>
        </w:rPr>
      </w:pPr>
      <w:r w:rsidRPr="00E5522E">
        <w:rPr>
          <w:rFonts w:asciiTheme="majorHAnsi" w:hAnsiTheme="majorHAnsi" w:cs="Calibri"/>
          <w:b/>
          <w:sz w:val="48"/>
          <w:szCs w:val="48"/>
        </w:rPr>
        <w:t>Energy Efficiency Improvement Scheme</w:t>
      </w:r>
    </w:p>
    <w:p w:rsidR="00486F6B" w:rsidRPr="00F50C45" w:rsidRDefault="00486F6B">
      <w:pPr>
        <w:spacing w:before="60" w:after="60" w:line="240" w:lineRule="auto"/>
        <w:jc w:val="center"/>
        <w:rPr>
          <w:rFonts w:asciiTheme="majorHAnsi" w:hAnsiTheme="majorHAnsi" w:cs="Calibri"/>
          <w:sz w:val="40"/>
          <w:szCs w:val="40"/>
        </w:rPr>
      </w:pPr>
    </w:p>
    <w:p w:rsidR="0051648C" w:rsidRPr="00F50C45" w:rsidRDefault="00E5522E" w:rsidP="0051648C">
      <w:pPr>
        <w:spacing w:before="60" w:after="60" w:line="240" w:lineRule="auto"/>
        <w:jc w:val="center"/>
        <w:rPr>
          <w:rFonts w:asciiTheme="majorHAnsi" w:hAnsiTheme="majorHAnsi" w:cs="Calibri"/>
          <w:i/>
          <w:sz w:val="40"/>
          <w:szCs w:val="40"/>
        </w:rPr>
      </w:pPr>
      <w:r w:rsidRPr="00E5522E">
        <w:rPr>
          <w:rFonts w:asciiTheme="majorHAnsi" w:hAnsiTheme="majorHAnsi" w:cs="Calibri"/>
          <w:sz w:val="40"/>
          <w:szCs w:val="40"/>
        </w:rPr>
        <w:t>Energy Efficiency (Cost of Living) Improvement Bill</w:t>
      </w:r>
      <w:r w:rsidRPr="00E5522E">
        <w:rPr>
          <w:rFonts w:asciiTheme="majorHAnsi" w:hAnsiTheme="majorHAnsi" w:cs="Calibri"/>
          <w:i/>
          <w:sz w:val="40"/>
          <w:szCs w:val="40"/>
        </w:rPr>
        <w:t xml:space="preserve"> </w:t>
      </w:r>
    </w:p>
    <w:p w:rsidR="008D1DF2" w:rsidRDefault="008D1DF2">
      <w:pPr>
        <w:spacing w:before="60" w:after="60" w:line="240" w:lineRule="auto"/>
        <w:jc w:val="center"/>
        <w:rPr>
          <w:rFonts w:asciiTheme="minorHAnsi" w:hAnsiTheme="minorHAnsi" w:cs="Calibri"/>
          <w:caps/>
          <w:sz w:val="48"/>
          <w:szCs w:val="48"/>
        </w:rPr>
      </w:pPr>
    </w:p>
    <w:p w:rsidR="00E17E1C" w:rsidRPr="00F50C45" w:rsidRDefault="00E5522E" w:rsidP="0051648C">
      <w:pPr>
        <w:spacing w:before="60" w:after="60" w:line="240" w:lineRule="auto"/>
        <w:jc w:val="center"/>
        <w:rPr>
          <w:rFonts w:asciiTheme="majorHAnsi" w:hAnsiTheme="majorHAnsi" w:cs="Calibri"/>
          <w:caps/>
          <w:sz w:val="40"/>
          <w:szCs w:val="40"/>
        </w:rPr>
      </w:pPr>
      <w:bookmarkStart w:id="2" w:name="_Toc302496250"/>
      <w:r w:rsidRPr="00E5522E">
        <w:rPr>
          <w:rFonts w:asciiTheme="majorHAnsi" w:hAnsiTheme="majorHAnsi" w:cs="Calibri"/>
          <w:caps/>
          <w:sz w:val="40"/>
          <w:szCs w:val="40"/>
        </w:rPr>
        <w:t>Regulatory Impact Statement</w:t>
      </w:r>
      <w:bookmarkEnd w:id="2"/>
    </w:p>
    <w:p w:rsidR="00F50C45" w:rsidRPr="00F50C45" w:rsidRDefault="00F50C45">
      <w:pPr>
        <w:spacing w:before="60" w:after="60" w:line="240" w:lineRule="auto"/>
        <w:jc w:val="center"/>
        <w:rPr>
          <w:rFonts w:asciiTheme="majorHAnsi" w:hAnsiTheme="majorHAnsi" w:cs="Calibri"/>
          <w:sz w:val="40"/>
          <w:szCs w:val="40"/>
        </w:rPr>
      </w:pPr>
    </w:p>
    <w:p w:rsidR="008D1DF2" w:rsidRDefault="008D1DF2">
      <w:pPr>
        <w:spacing w:before="60" w:after="60" w:line="240" w:lineRule="auto"/>
        <w:jc w:val="center"/>
        <w:rPr>
          <w:rFonts w:asciiTheme="majorHAnsi" w:hAnsiTheme="majorHAnsi" w:cs="Calibri"/>
          <w:sz w:val="40"/>
          <w:szCs w:val="40"/>
        </w:rPr>
      </w:pPr>
    </w:p>
    <w:p w:rsidR="008D1DF2" w:rsidRDefault="00E5522E">
      <w:pPr>
        <w:spacing w:before="60" w:after="60" w:line="240" w:lineRule="auto"/>
        <w:jc w:val="center"/>
        <w:rPr>
          <w:rFonts w:asciiTheme="majorHAnsi" w:hAnsiTheme="majorHAnsi" w:cs="Calibri"/>
          <w:sz w:val="32"/>
          <w:szCs w:val="32"/>
        </w:rPr>
      </w:pPr>
      <w:r w:rsidRPr="00E5522E">
        <w:rPr>
          <w:rFonts w:asciiTheme="majorHAnsi" w:hAnsiTheme="majorHAnsi" w:cs="Calibri"/>
          <w:sz w:val="32"/>
          <w:szCs w:val="32"/>
        </w:rPr>
        <w:t>Environment and Sustainable Development Directorate</w:t>
      </w:r>
    </w:p>
    <w:p w:rsidR="008D1DF2" w:rsidRDefault="008D1DF2">
      <w:pPr>
        <w:spacing w:before="60" w:after="60" w:line="240" w:lineRule="auto"/>
        <w:jc w:val="center"/>
        <w:rPr>
          <w:rFonts w:asciiTheme="majorHAnsi" w:hAnsiTheme="majorHAnsi" w:cs="Calibri"/>
          <w:sz w:val="32"/>
          <w:szCs w:val="32"/>
        </w:rPr>
      </w:pPr>
    </w:p>
    <w:p w:rsidR="008D1DF2" w:rsidRDefault="00E5522E">
      <w:pPr>
        <w:spacing w:before="60" w:after="60" w:line="240" w:lineRule="auto"/>
        <w:jc w:val="center"/>
        <w:rPr>
          <w:rFonts w:asciiTheme="majorHAnsi" w:hAnsiTheme="majorHAnsi" w:cs="Calibri"/>
          <w:sz w:val="32"/>
          <w:szCs w:val="32"/>
        </w:rPr>
      </w:pPr>
      <w:r w:rsidRPr="00E5522E">
        <w:rPr>
          <w:rFonts w:asciiTheme="majorHAnsi" w:hAnsiTheme="majorHAnsi" w:cs="Calibri"/>
          <w:sz w:val="32"/>
          <w:szCs w:val="32"/>
        </w:rPr>
        <w:t>March 2012</w:t>
      </w:r>
    </w:p>
    <w:p w:rsidR="008D1DF2" w:rsidRDefault="008D1DF2">
      <w:pPr>
        <w:tabs>
          <w:tab w:val="left" w:pos="2646"/>
        </w:tabs>
        <w:spacing w:before="120" w:after="120"/>
        <w:jc w:val="center"/>
        <w:rPr>
          <w:rFonts w:asciiTheme="minorHAnsi" w:hAnsiTheme="minorHAnsi" w:cs="Calibri"/>
        </w:rPr>
      </w:pPr>
    </w:p>
    <w:p w:rsidR="008D1DF2" w:rsidRDefault="00E5522E" w:rsidP="00697436">
      <w:pPr>
        <w:spacing w:beforeLines="60" w:before="144" w:afterLines="60" w:after="144" w:line="240" w:lineRule="auto"/>
        <w:jc w:val="center"/>
        <w:rPr>
          <w:rFonts w:cs="Calibri"/>
          <w:sz w:val="20"/>
          <w:szCs w:val="20"/>
          <w:highlight w:val="green"/>
          <w:lang w:eastAsia="en-AU"/>
        </w:rPr>
      </w:pPr>
      <w:r>
        <w:rPr>
          <w:rFonts w:asciiTheme="minorHAnsi" w:hAnsiTheme="minorHAnsi" w:cs="Calibri"/>
        </w:rPr>
        <w:br w:type="page"/>
      </w:r>
    </w:p>
    <w:p w:rsidR="008D2D70" w:rsidRDefault="00A013B6" w:rsidP="00DE62DA">
      <w:pPr>
        <w:spacing w:before="60" w:after="60" w:line="240" w:lineRule="auto"/>
        <w:rPr>
          <w:noProof/>
        </w:rPr>
      </w:pPr>
      <w:r w:rsidRPr="00D404FA">
        <w:rPr>
          <w:rFonts w:asciiTheme="majorHAnsi" w:hAnsiTheme="majorHAnsi" w:cs="Calibri"/>
          <w:color w:val="365F91" w:themeColor="accent1" w:themeShade="BF"/>
          <w:sz w:val="40"/>
          <w:szCs w:val="40"/>
        </w:rPr>
        <w:lastRenderedPageBreak/>
        <w:t>Contents</w:t>
      </w:r>
      <w:r w:rsidRPr="00D404FA">
        <w:rPr>
          <w:rFonts w:asciiTheme="majorHAnsi" w:hAnsiTheme="majorHAnsi" w:cs="Calibri"/>
          <w:color w:val="365F91" w:themeColor="accent1" w:themeShade="BF"/>
        </w:rPr>
        <w:fldChar w:fldCharType="begin"/>
      </w:r>
      <w:r w:rsidRPr="00D404FA">
        <w:rPr>
          <w:rFonts w:asciiTheme="majorHAnsi" w:hAnsiTheme="majorHAnsi" w:cs="Calibri"/>
          <w:color w:val="365F91" w:themeColor="accent1" w:themeShade="BF"/>
        </w:rPr>
        <w:instrText xml:space="preserve"> TOC \o "1-2" \h \z \u </w:instrText>
      </w:r>
      <w:r w:rsidRPr="00D404FA">
        <w:rPr>
          <w:rFonts w:asciiTheme="majorHAnsi" w:hAnsiTheme="majorHAnsi" w:cs="Calibri"/>
          <w:color w:val="365F91" w:themeColor="accent1" w:themeShade="BF"/>
        </w:rPr>
        <w:fldChar w:fldCharType="separate"/>
      </w:r>
    </w:p>
    <w:p w:rsidR="008D2D70" w:rsidRPr="008D2D70" w:rsidRDefault="006F5BB0" w:rsidP="008D2D70">
      <w:pPr>
        <w:pStyle w:val="TOC1"/>
        <w:tabs>
          <w:tab w:val="right" w:leader="dot" w:pos="9016"/>
        </w:tabs>
        <w:spacing w:line="240" w:lineRule="auto"/>
        <w:rPr>
          <w:rFonts w:eastAsiaTheme="minorEastAsia" w:cs="Times New Roman"/>
          <w:b w:val="0"/>
          <w:bCs w:val="0"/>
          <w:i w:val="0"/>
          <w:iCs w:val="0"/>
          <w:noProof/>
          <w:sz w:val="20"/>
          <w:szCs w:val="20"/>
          <w:lang w:eastAsia="en-AU"/>
        </w:rPr>
      </w:pPr>
      <w:hyperlink w:anchor="_Toc306808215" w:history="1">
        <w:r w:rsidR="008D2D70" w:rsidRPr="008D2D70">
          <w:rPr>
            <w:rStyle w:val="Hyperlink"/>
            <w:rFonts w:cs="Calibri"/>
            <w:b w:val="0"/>
            <w:noProof/>
            <w:sz w:val="20"/>
            <w:szCs w:val="20"/>
          </w:rPr>
          <w:t>Executive Summary</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_Toc306808215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3</w:t>
        </w:r>
        <w:r w:rsidR="008D2D70" w:rsidRPr="008D2D70">
          <w:rPr>
            <w:b w:val="0"/>
            <w:noProof/>
            <w:webHidden/>
            <w:sz w:val="20"/>
            <w:szCs w:val="20"/>
          </w:rPr>
          <w:fldChar w:fldCharType="end"/>
        </w:r>
      </w:hyperlink>
    </w:p>
    <w:p w:rsidR="008D2D70" w:rsidRPr="008D2D70" w:rsidRDefault="006F5BB0" w:rsidP="008D2D70">
      <w:pPr>
        <w:pStyle w:val="TOC1"/>
        <w:tabs>
          <w:tab w:val="right" w:leader="dot" w:pos="9016"/>
        </w:tabs>
        <w:spacing w:line="240" w:lineRule="auto"/>
        <w:rPr>
          <w:rFonts w:eastAsiaTheme="minorEastAsia" w:cs="Times New Roman"/>
          <w:b w:val="0"/>
          <w:bCs w:val="0"/>
          <w:i w:val="0"/>
          <w:iCs w:val="0"/>
          <w:noProof/>
          <w:sz w:val="20"/>
          <w:szCs w:val="20"/>
          <w:lang w:eastAsia="en-AU"/>
        </w:rPr>
      </w:pPr>
      <w:hyperlink w:anchor="_Toc306808216" w:history="1">
        <w:r w:rsidR="008D2D70" w:rsidRPr="008D2D70">
          <w:rPr>
            <w:rStyle w:val="Hyperlink"/>
            <w:rFonts w:cs="Calibri"/>
            <w:b w:val="0"/>
            <w:noProof/>
            <w:sz w:val="20"/>
            <w:szCs w:val="20"/>
          </w:rPr>
          <w:t>The Problem</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_Toc306808216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7</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17" w:history="1">
        <w:r w:rsidR="008D2D70" w:rsidRPr="008D2D70">
          <w:rPr>
            <w:rStyle w:val="Hyperlink"/>
            <w:rFonts w:cs="Calibri"/>
            <w:b w:val="0"/>
            <w:noProof/>
            <w:sz w:val="20"/>
            <w:szCs w:val="20"/>
          </w:rPr>
          <w:t>The problem and its magnitude</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_Toc306808217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7</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18" w:history="1">
        <w:r w:rsidR="008D2D70" w:rsidRPr="008D2D70">
          <w:rPr>
            <w:rStyle w:val="Hyperlink"/>
            <w:rFonts w:cs="Calibri"/>
            <w:b w:val="0"/>
            <w:noProof/>
            <w:sz w:val="20"/>
            <w:szCs w:val="20"/>
          </w:rPr>
          <w:t>Nature of the market barriers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_Toc306808218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11</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19" w:history="1">
        <w:r w:rsidR="008D2D70" w:rsidRPr="008D2D70">
          <w:rPr>
            <w:rStyle w:val="Hyperlink"/>
            <w:rFonts w:cs="Calibri"/>
            <w:b w:val="0"/>
            <w:noProof/>
            <w:sz w:val="20"/>
            <w:szCs w:val="20"/>
          </w:rPr>
          <w:t>Consultation</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_Toc306808219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17</w:t>
        </w:r>
        <w:r w:rsidR="008D2D70" w:rsidRPr="008D2D70">
          <w:rPr>
            <w:b w:val="0"/>
            <w:noProof/>
            <w:webHidden/>
            <w:sz w:val="20"/>
            <w:szCs w:val="20"/>
          </w:rPr>
          <w:fldChar w:fldCharType="end"/>
        </w:r>
      </w:hyperlink>
    </w:p>
    <w:p w:rsidR="008D2D70" w:rsidRPr="008D2D70" w:rsidRDefault="006F5BB0" w:rsidP="008D2D70">
      <w:pPr>
        <w:pStyle w:val="TOC1"/>
        <w:tabs>
          <w:tab w:val="right" w:leader="dot" w:pos="9016"/>
        </w:tabs>
        <w:spacing w:line="240" w:lineRule="auto"/>
        <w:rPr>
          <w:rFonts w:eastAsiaTheme="minorEastAsia" w:cs="Times New Roman"/>
          <w:b w:val="0"/>
          <w:bCs w:val="0"/>
          <w:i w:val="0"/>
          <w:iCs w:val="0"/>
          <w:noProof/>
          <w:sz w:val="20"/>
          <w:szCs w:val="20"/>
          <w:lang w:eastAsia="en-AU"/>
        </w:rPr>
      </w:pPr>
      <w:hyperlink w:anchor="_Toc306808220" w:history="1">
        <w:r w:rsidR="008D2D70" w:rsidRPr="008D2D70">
          <w:rPr>
            <w:rStyle w:val="Hyperlink"/>
            <w:rFonts w:cs="Calibri"/>
            <w:b w:val="0"/>
            <w:noProof/>
            <w:sz w:val="20"/>
            <w:szCs w:val="20"/>
          </w:rPr>
          <w:t>Objective</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_Toc306808220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18</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21" w:history="1">
        <w:r w:rsidR="008D2D70" w:rsidRPr="008D2D70">
          <w:rPr>
            <w:rStyle w:val="Hyperlink"/>
            <w:rFonts w:cs="Calibri"/>
            <w:b w:val="0"/>
            <w:noProof/>
            <w:sz w:val="20"/>
            <w:szCs w:val="20"/>
          </w:rPr>
          <w:t>Relevant government policy</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_Toc306808221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18</w:t>
        </w:r>
        <w:r w:rsidR="008D2D70" w:rsidRPr="008D2D70">
          <w:rPr>
            <w:b w:val="0"/>
            <w:noProof/>
            <w:webHidden/>
            <w:sz w:val="20"/>
            <w:szCs w:val="20"/>
          </w:rPr>
          <w:fldChar w:fldCharType="end"/>
        </w:r>
      </w:hyperlink>
    </w:p>
    <w:p w:rsidR="008D2D70" w:rsidRPr="008D2D70" w:rsidRDefault="006F5BB0" w:rsidP="008D2D70">
      <w:pPr>
        <w:pStyle w:val="TOC1"/>
        <w:tabs>
          <w:tab w:val="right" w:leader="dot" w:pos="9016"/>
        </w:tabs>
        <w:spacing w:line="240" w:lineRule="auto"/>
        <w:rPr>
          <w:rFonts w:eastAsiaTheme="minorEastAsia" w:cs="Times New Roman"/>
          <w:b w:val="0"/>
          <w:bCs w:val="0"/>
          <w:i w:val="0"/>
          <w:iCs w:val="0"/>
          <w:noProof/>
          <w:sz w:val="20"/>
          <w:szCs w:val="20"/>
          <w:lang w:eastAsia="en-AU"/>
        </w:rPr>
      </w:pPr>
      <w:hyperlink w:anchor="_Toc306808222" w:history="1">
        <w:r w:rsidR="008D2D70" w:rsidRPr="008D2D70">
          <w:rPr>
            <w:rStyle w:val="Hyperlink"/>
            <w:rFonts w:cs="Calibri"/>
            <w:b w:val="0"/>
            <w:noProof/>
            <w:sz w:val="20"/>
            <w:szCs w:val="20"/>
          </w:rPr>
          <w:t>Options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_Toc306808222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20</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23" w:history="1">
        <w:r w:rsidR="008D2D70" w:rsidRPr="008D2D70">
          <w:rPr>
            <w:rStyle w:val="Hyperlink"/>
            <w:rFonts w:cs="Calibri"/>
            <w:b w:val="0"/>
            <w:noProof/>
            <w:sz w:val="20"/>
            <w:szCs w:val="20"/>
          </w:rPr>
          <w:t>Rebates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_Toc306808223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20</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24" w:history="1">
        <w:r w:rsidR="008D2D70" w:rsidRPr="008D2D70">
          <w:rPr>
            <w:rStyle w:val="Hyperlink"/>
            <w:rFonts w:cs="Calibri"/>
            <w:b w:val="0"/>
            <w:noProof/>
            <w:sz w:val="20"/>
            <w:szCs w:val="20"/>
          </w:rPr>
          <w:t>Energy performance standards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_Toc306808224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21</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25" w:history="1">
        <w:r w:rsidR="008D2D70" w:rsidRPr="008D2D70">
          <w:rPr>
            <w:rStyle w:val="Hyperlink"/>
            <w:rFonts w:cs="Calibri"/>
            <w:b w:val="0"/>
            <w:noProof/>
            <w:sz w:val="20"/>
            <w:szCs w:val="20"/>
          </w:rPr>
          <w:t>Education and information campaigns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_Toc306808225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22</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26" w:history="1">
        <w:r w:rsidR="008D2D70" w:rsidRPr="008D2D70">
          <w:rPr>
            <w:rStyle w:val="Hyperlink"/>
            <w:rFonts w:cs="Calibri"/>
            <w:b w:val="0"/>
            <w:noProof/>
            <w:sz w:val="20"/>
            <w:szCs w:val="20"/>
          </w:rPr>
          <w:t>Market based initiatives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_Toc306808226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24</w:t>
        </w:r>
        <w:r w:rsidR="008D2D70" w:rsidRPr="008D2D70">
          <w:rPr>
            <w:b w:val="0"/>
            <w:noProof/>
            <w:webHidden/>
            <w:sz w:val="20"/>
            <w:szCs w:val="20"/>
          </w:rPr>
          <w:fldChar w:fldCharType="end"/>
        </w:r>
      </w:hyperlink>
    </w:p>
    <w:p w:rsidR="008D2D70" w:rsidRPr="008D2D70" w:rsidRDefault="006F5BB0" w:rsidP="008D2D70">
      <w:pPr>
        <w:pStyle w:val="TOC1"/>
        <w:tabs>
          <w:tab w:val="right" w:leader="dot" w:pos="9016"/>
        </w:tabs>
        <w:spacing w:line="240" w:lineRule="auto"/>
        <w:rPr>
          <w:rFonts w:eastAsiaTheme="minorEastAsia" w:cs="Times New Roman"/>
          <w:b w:val="0"/>
          <w:bCs w:val="0"/>
          <w:i w:val="0"/>
          <w:iCs w:val="0"/>
          <w:noProof/>
          <w:sz w:val="20"/>
          <w:szCs w:val="20"/>
          <w:lang w:eastAsia="en-AU"/>
        </w:rPr>
      </w:pPr>
      <w:hyperlink w:anchor="_Toc306808227" w:history="1">
        <w:r w:rsidR="008D2D70" w:rsidRPr="008D2D70">
          <w:rPr>
            <w:rStyle w:val="Hyperlink"/>
            <w:rFonts w:cs="Calibri"/>
            <w:b w:val="0"/>
            <w:noProof/>
            <w:sz w:val="20"/>
            <w:szCs w:val="20"/>
          </w:rPr>
          <w:t>The use of market-based approaches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_Toc306808227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25</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28" w:history="1">
        <w:r w:rsidR="008D2D70" w:rsidRPr="008D2D70">
          <w:rPr>
            <w:rStyle w:val="Hyperlink"/>
            <w:rFonts w:cs="Calibri"/>
            <w:b w:val="0"/>
            <w:noProof/>
            <w:sz w:val="20"/>
            <w:szCs w:val="20"/>
          </w:rPr>
          <w:t>Mutual recognition</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_Toc306808228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25</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29" w:history="1">
        <w:r w:rsidR="008D2D70" w:rsidRPr="008D2D70">
          <w:rPr>
            <w:rStyle w:val="Hyperlink"/>
            <w:rFonts w:cs="Calibri"/>
            <w:b w:val="0"/>
            <w:noProof/>
            <w:sz w:val="20"/>
            <w:szCs w:val="20"/>
          </w:rPr>
          <w:t>An ACT certificate-based scheme</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_Toc306808229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26</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30" w:history="1">
        <w:r w:rsidR="008D2D70" w:rsidRPr="008D2D70">
          <w:rPr>
            <w:rStyle w:val="Hyperlink"/>
            <w:rFonts w:cs="Calibri"/>
            <w:b w:val="0"/>
            <w:noProof/>
            <w:sz w:val="20"/>
            <w:szCs w:val="20"/>
          </w:rPr>
          <w:t>An ACT supplier obligation energy savings scheme</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_Toc306808230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27</w:t>
        </w:r>
        <w:r w:rsidR="008D2D70" w:rsidRPr="008D2D70">
          <w:rPr>
            <w:b w:val="0"/>
            <w:noProof/>
            <w:webHidden/>
            <w:sz w:val="20"/>
            <w:szCs w:val="20"/>
          </w:rPr>
          <w:fldChar w:fldCharType="end"/>
        </w:r>
      </w:hyperlink>
    </w:p>
    <w:p w:rsidR="008D2D70" w:rsidRPr="008D2D70" w:rsidRDefault="006F5BB0" w:rsidP="008D2D70">
      <w:pPr>
        <w:pStyle w:val="TOC1"/>
        <w:tabs>
          <w:tab w:val="right" w:leader="dot" w:pos="9016"/>
        </w:tabs>
        <w:spacing w:line="240" w:lineRule="auto"/>
        <w:rPr>
          <w:rFonts w:eastAsiaTheme="minorEastAsia" w:cs="Times New Roman"/>
          <w:b w:val="0"/>
          <w:bCs w:val="0"/>
          <w:i w:val="0"/>
          <w:iCs w:val="0"/>
          <w:noProof/>
          <w:sz w:val="20"/>
          <w:szCs w:val="20"/>
          <w:lang w:eastAsia="en-AU"/>
        </w:rPr>
      </w:pPr>
      <w:hyperlink w:anchor="_Toc306808231" w:history="1">
        <w:r w:rsidR="008D2D70" w:rsidRPr="008D2D70">
          <w:rPr>
            <w:rStyle w:val="Hyperlink"/>
            <w:rFonts w:cs="Calibri"/>
            <w:b w:val="0"/>
            <w:noProof/>
            <w:sz w:val="20"/>
            <w:szCs w:val="20"/>
          </w:rPr>
          <w:t>Summary of the proposed ACT energy savings scheme</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_Toc306808231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29</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32" w:history="1">
        <w:r w:rsidR="008D2D70" w:rsidRPr="008D2D70">
          <w:rPr>
            <w:rStyle w:val="Hyperlink"/>
            <w:rFonts w:cs="Calibri"/>
            <w:b w:val="0"/>
            <w:noProof/>
            <w:sz w:val="20"/>
            <w:szCs w:val="20"/>
          </w:rPr>
          <w:t>Summary of ACT Scheme legislation</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_Toc306808232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31</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33" w:history="1">
        <w:r w:rsidR="008D2D70" w:rsidRPr="008D2D70">
          <w:rPr>
            <w:rStyle w:val="Hyperlink"/>
            <w:rFonts w:cs="Calibri"/>
            <w:b w:val="0"/>
            <w:noProof/>
            <w:sz w:val="20"/>
            <w:szCs w:val="20"/>
          </w:rPr>
          <w:t>Key Scheme concepts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_Toc306808233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32</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34" w:history="1">
        <w:r w:rsidR="008D2D70" w:rsidRPr="008D2D70">
          <w:rPr>
            <w:rStyle w:val="Hyperlink"/>
            <w:rFonts w:cs="Calibri"/>
            <w:b w:val="0"/>
            <w:noProof/>
            <w:sz w:val="20"/>
            <w:szCs w:val="20"/>
          </w:rPr>
          <w:t>Departures from REES model</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_Toc306808234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34</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35" w:history="1">
        <w:r w:rsidR="008D2D70" w:rsidRPr="008D2D70">
          <w:rPr>
            <w:rStyle w:val="Hyperlink"/>
            <w:rFonts w:cs="Calibri"/>
            <w:b w:val="0"/>
            <w:noProof/>
            <w:sz w:val="20"/>
            <w:szCs w:val="20"/>
          </w:rPr>
          <w:t>Achievement of social equity objectives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_Toc306808235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35</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36" w:history="1">
        <w:r w:rsidR="008D2D70" w:rsidRPr="008D2D70">
          <w:rPr>
            <w:rStyle w:val="Hyperlink"/>
            <w:rFonts w:cs="Calibri"/>
            <w:b w:val="0"/>
            <w:noProof/>
            <w:sz w:val="20"/>
            <w:szCs w:val="20"/>
          </w:rPr>
          <w:t>Minimising impacts on competition</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_Toc306808236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37</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37" w:history="1">
        <w:r w:rsidR="008D2D70" w:rsidRPr="008D2D70">
          <w:rPr>
            <w:rStyle w:val="Hyperlink"/>
            <w:rFonts w:cs="Calibri"/>
            <w:b w:val="0"/>
            <w:noProof/>
            <w:sz w:val="20"/>
            <w:szCs w:val="20"/>
          </w:rPr>
          <w:t>Supporting a broad range of energy saving activities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_Toc306808237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40</w:t>
        </w:r>
        <w:r w:rsidR="008D2D70" w:rsidRPr="008D2D70">
          <w:rPr>
            <w:b w:val="0"/>
            <w:noProof/>
            <w:webHidden/>
            <w:sz w:val="20"/>
            <w:szCs w:val="20"/>
          </w:rPr>
          <w:fldChar w:fldCharType="end"/>
        </w:r>
      </w:hyperlink>
    </w:p>
    <w:p w:rsidR="008D2D70" w:rsidRPr="008D2D70" w:rsidRDefault="006F5BB0" w:rsidP="008D2D70">
      <w:pPr>
        <w:pStyle w:val="TOC1"/>
        <w:tabs>
          <w:tab w:val="right" w:leader="dot" w:pos="9016"/>
        </w:tabs>
        <w:spacing w:line="240" w:lineRule="auto"/>
        <w:rPr>
          <w:rFonts w:eastAsiaTheme="minorEastAsia" w:cs="Times New Roman"/>
          <w:b w:val="0"/>
          <w:bCs w:val="0"/>
          <w:i w:val="0"/>
          <w:iCs w:val="0"/>
          <w:noProof/>
          <w:sz w:val="20"/>
          <w:szCs w:val="20"/>
          <w:lang w:eastAsia="en-AU"/>
        </w:rPr>
      </w:pPr>
      <w:hyperlink w:anchor="_Toc306808238" w:history="1">
        <w:r w:rsidR="008D2D70" w:rsidRPr="008D2D70">
          <w:rPr>
            <w:rStyle w:val="Hyperlink"/>
            <w:rFonts w:cs="Calibri"/>
            <w:b w:val="0"/>
            <w:noProof/>
            <w:sz w:val="20"/>
            <w:szCs w:val="20"/>
          </w:rPr>
          <w:t>Scheme targets and Impacts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_Toc306808238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44</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39" w:history="1">
        <w:r w:rsidR="008D2D70" w:rsidRPr="008D2D70">
          <w:rPr>
            <w:rStyle w:val="Hyperlink"/>
            <w:rFonts w:cs="Calibri"/>
            <w:b w:val="0"/>
            <w:noProof/>
            <w:sz w:val="20"/>
            <w:szCs w:val="20"/>
          </w:rPr>
          <w:t>Background to scheme impact modelling</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_Toc306808239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44</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40" w:history="1">
        <w:r w:rsidR="008D2D70" w:rsidRPr="008D2D70">
          <w:rPr>
            <w:rStyle w:val="Hyperlink"/>
            <w:rFonts w:cs="Calibri"/>
            <w:b w:val="0"/>
            <w:noProof/>
            <w:sz w:val="20"/>
            <w:szCs w:val="20"/>
          </w:rPr>
          <w:t>Modelling results – marginal costs and target scenarios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_Toc306808240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46</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41" w:history="1">
        <w:r w:rsidR="008D2D70" w:rsidRPr="008D2D70">
          <w:rPr>
            <w:rStyle w:val="Hyperlink"/>
            <w:rFonts w:cs="Calibri"/>
            <w:b w:val="0"/>
            <w:noProof/>
            <w:sz w:val="20"/>
            <w:szCs w:val="20"/>
          </w:rPr>
          <w:t>Proposed scheme targets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_Toc306808241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50</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42" w:history="1">
        <w:r w:rsidR="008D2D70" w:rsidRPr="008D2D70">
          <w:rPr>
            <w:rStyle w:val="Hyperlink"/>
            <w:rFonts w:cs="Calibri"/>
            <w:b w:val="0"/>
            <w:noProof/>
            <w:sz w:val="20"/>
            <w:szCs w:val="20"/>
          </w:rPr>
          <w:t>Modelling results – household costs and benefits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_Toc306808242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52</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43" w:history="1">
        <w:r w:rsidR="008D2D70" w:rsidRPr="008D2D70">
          <w:rPr>
            <w:rStyle w:val="Hyperlink"/>
            <w:rFonts w:cs="Calibri"/>
            <w:b w:val="0"/>
            <w:noProof/>
            <w:sz w:val="20"/>
            <w:szCs w:val="20"/>
          </w:rPr>
          <w:t>Business costs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_Toc306808243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54</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44" w:history="1">
        <w:r w:rsidR="008D2D70" w:rsidRPr="008D2D70">
          <w:rPr>
            <w:rStyle w:val="Hyperlink"/>
            <w:rFonts w:cs="Calibri"/>
            <w:b w:val="0"/>
            <w:noProof/>
            <w:sz w:val="20"/>
            <w:szCs w:val="20"/>
          </w:rPr>
          <w:t>Avoided infrastructure costs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_Toc306808244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55</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45" w:history="1">
        <w:r w:rsidR="008D2D70" w:rsidRPr="008D2D70">
          <w:rPr>
            <w:rStyle w:val="Hyperlink"/>
            <w:rFonts w:cs="Calibri"/>
            <w:b w:val="0"/>
            <w:noProof/>
            <w:sz w:val="20"/>
            <w:szCs w:val="20"/>
          </w:rPr>
          <w:t>Reductions in greenhouse gas emissions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_Toc306808245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55</w:t>
        </w:r>
        <w:r w:rsidR="008D2D70" w:rsidRPr="008D2D70">
          <w:rPr>
            <w:b w:val="0"/>
            <w:noProof/>
            <w:webHidden/>
            <w:sz w:val="20"/>
            <w:szCs w:val="20"/>
          </w:rPr>
          <w:fldChar w:fldCharType="end"/>
        </w:r>
      </w:hyperlink>
    </w:p>
    <w:p w:rsidR="008D2D70" w:rsidRPr="008D2D70" w:rsidRDefault="006F5BB0" w:rsidP="008D2D70">
      <w:pPr>
        <w:pStyle w:val="TOC1"/>
        <w:tabs>
          <w:tab w:val="right" w:leader="dot" w:pos="9016"/>
        </w:tabs>
        <w:spacing w:line="240" w:lineRule="auto"/>
        <w:rPr>
          <w:rFonts w:eastAsiaTheme="minorEastAsia" w:cs="Times New Roman"/>
          <w:b w:val="0"/>
          <w:bCs w:val="0"/>
          <w:i w:val="0"/>
          <w:iCs w:val="0"/>
          <w:noProof/>
          <w:sz w:val="20"/>
          <w:szCs w:val="20"/>
          <w:lang w:eastAsia="en-AU"/>
        </w:rPr>
      </w:pPr>
      <w:hyperlink w:anchor="_Toc306808246" w:history="1">
        <w:r w:rsidR="008D2D70" w:rsidRPr="008D2D70">
          <w:rPr>
            <w:rStyle w:val="Hyperlink"/>
            <w:rFonts w:cs="Calibri"/>
            <w:b w:val="0"/>
            <w:noProof/>
            <w:sz w:val="20"/>
            <w:szCs w:val="20"/>
          </w:rPr>
          <w:t>Scheme administration and review</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_Toc306808246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57</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47" w:history="1">
        <w:r w:rsidR="008D2D70" w:rsidRPr="008D2D70">
          <w:rPr>
            <w:rStyle w:val="Hyperlink"/>
            <w:rFonts w:cs="Calibri"/>
            <w:b w:val="0"/>
            <w:noProof/>
            <w:sz w:val="20"/>
            <w:szCs w:val="20"/>
          </w:rPr>
          <w:t>Role of the Minister</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_Toc306808247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57</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48" w:history="1">
        <w:r w:rsidR="008D2D70" w:rsidRPr="008D2D70">
          <w:rPr>
            <w:rStyle w:val="Hyperlink"/>
            <w:rFonts w:cs="Calibri"/>
            <w:b w:val="0"/>
            <w:noProof/>
            <w:sz w:val="20"/>
            <w:szCs w:val="20"/>
          </w:rPr>
          <w:t>Role of the Administrator</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_Toc306808248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57</w:t>
        </w:r>
        <w:r w:rsidR="008D2D70" w:rsidRPr="008D2D70">
          <w:rPr>
            <w:b w:val="0"/>
            <w:noProof/>
            <w:webHidden/>
            <w:sz w:val="20"/>
            <w:szCs w:val="20"/>
          </w:rPr>
          <w:fldChar w:fldCharType="end"/>
        </w:r>
      </w:hyperlink>
    </w:p>
    <w:p w:rsidR="008D2D70" w:rsidRPr="008D2D70" w:rsidRDefault="006F5BB0" w:rsidP="008D2D70">
      <w:pPr>
        <w:pStyle w:val="TOC2"/>
        <w:tabs>
          <w:tab w:val="right" w:leader="dot" w:pos="9016"/>
        </w:tabs>
        <w:spacing w:line="240" w:lineRule="auto"/>
        <w:rPr>
          <w:rFonts w:eastAsiaTheme="minorEastAsia" w:cs="Times New Roman"/>
          <w:b w:val="0"/>
          <w:bCs w:val="0"/>
          <w:noProof/>
          <w:sz w:val="20"/>
          <w:szCs w:val="20"/>
          <w:lang w:eastAsia="en-AU"/>
        </w:rPr>
      </w:pPr>
      <w:hyperlink w:anchor="_Toc306808249" w:history="1">
        <w:r w:rsidR="008D2D70" w:rsidRPr="008D2D70">
          <w:rPr>
            <w:rStyle w:val="Hyperlink"/>
            <w:rFonts w:cs="Calibri"/>
            <w:b w:val="0"/>
            <w:noProof/>
            <w:sz w:val="20"/>
            <w:szCs w:val="20"/>
          </w:rPr>
          <w:t>Scheme review</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_Toc306808249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60</w:t>
        </w:r>
        <w:r w:rsidR="008D2D70" w:rsidRPr="008D2D70">
          <w:rPr>
            <w:b w:val="0"/>
            <w:noProof/>
            <w:webHidden/>
            <w:sz w:val="20"/>
            <w:szCs w:val="20"/>
          </w:rPr>
          <w:fldChar w:fldCharType="end"/>
        </w:r>
      </w:hyperlink>
    </w:p>
    <w:p w:rsidR="008D2D70" w:rsidRPr="008D2D70" w:rsidRDefault="006F5BB0" w:rsidP="008D2D70">
      <w:pPr>
        <w:pStyle w:val="TOC1"/>
        <w:tabs>
          <w:tab w:val="right" w:leader="dot" w:pos="9016"/>
        </w:tabs>
        <w:spacing w:line="240" w:lineRule="auto"/>
        <w:rPr>
          <w:rFonts w:eastAsiaTheme="minorEastAsia" w:cs="Times New Roman"/>
          <w:b w:val="0"/>
          <w:bCs w:val="0"/>
          <w:i w:val="0"/>
          <w:iCs w:val="0"/>
          <w:noProof/>
          <w:sz w:val="20"/>
          <w:szCs w:val="20"/>
          <w:lang w:eastAsia="en-AU"/>
        </w:rPr>
      </w:pPr>
      <w:hyperlink w:anchor="_Toc306808250" w:history="1">
        <w:r w:rsidR="008D2D70" w:rsidRPr="008D2D70">
          <w:rPr>
            <w:rStyle w:val="Hyperlink"/>
            <w:rFonts w:cs="Calibri"/>
            <w:b w:val="0"/>
            <w:noProof/>
            <w:sz w:val="20"/>
            <w:szCs w:val="20"/>
          </w:rPr>
          <w:t>Appendix A – Summary of Eligible Activities</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_Toc306808250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61</w:t>
        </w:r>
        <w:r w:rsidR="008D2D70" w:rsidRPr="008D2D70">
          <w:rPr>
            <w:b w:val="0"/>
            <w:noProof/>
            <w:webHidden/>
            <w:sz w:val="20"/>
            <w:szCs w:val="20"/>
          </w:rPr>
          <w:fldChar w:fldCharType="end"/>
        </w:r>
      </w:hyperlink>
    </w:p>
    <w:p w:rsidR="008D2D70" w:rsidRPr="008D2D70" w:rsidRDefault="006F5BB0" w:rsidP="008D2D70">
      <w:pPr>
        <w:pStyle w:val="TOC1"/>
        <w:tabs>
          <w:tab w:val="right" w:leader="dot" w:pos="9016"/>
        </w:tabs>
        <w:spacing w:line="240" w:lineRule="auto"/>
        <w:rPr>
          <w:rFonts w:eastAsiaTheme="minorEastAsia" w:cs="Times New Roman"/>
          <w:b w:val="0"/>
          <w:bCs w:val="0"/>
          <w:i w:val="0"/>
          <w:iCs w:val="0"/>
          <w:noProof/>
          <w:sz w:val="20"/>
          <w:szCs w:val="20"/>
          <w:lang w:eastAsia="en-AU"/>
        </w:rPr>
      </w:pPr>
      <w:hyperlink w:anchor="_Toc306808251" w:history="1">
        <w:r w:rsidR="008D2D70" w:rsidRPr="008D2D70">
          <w:rPr>
            <w:rStyle w:val="Hyperlink"/>
            <w:rFonts w:cs="Calibri"/>
            <w:b w:val="0"/>
            <w:noProof/>
            <w:sz w:val="20"/>
            <w:szCs w:val="20"/>
          </w:rPr>
          <w:t>Appendix B – Summary of Modelling Approach</w:t>
        </w:r>
        <w:r w:rsidR="008D2D70" w:rsidRPr="008D2D70">
          <w:rPr>
            <w:b w:val="0"/>
            <w:noProof/>
            <w:webHidden/>
            <w:sz w:val="20"/>
            <w:szCs w:val="20"/>
          </w:rPr>
          <w:tab/>
        </w:r>
        <w:r w:rsidR="008D2D70" w:rsidRPr="008D2D70">
          <w:rPr>
            <w:b w:val="0"/>
            <w:noProof/>
            <w:webHidden/>
            <w:sz w:val="20"/>
            <w:szCs w:val="20"/>
          </w:rPr>
          <w:fldChar w:fldCharType="begin"/>
        </w:r>
        <w:r w:rsidR="008D2D70" w:rsidRPr="008D2D70">
          <w:rPr>
            <w:b w:val="0"/>
            <w:noProof/>
            <w:webHidden/>
            <w:sz w:val="20"/>
            <w:szCs w:val="20"/>
          </w:rPr>
          <w:instrText xml:space="preserve"> PAGEREF _Toc306808251 \h </w:instrText>
        </w:r>
        <w:r w:rsidR="008D2D70" w:rsidRPr="008D2D70">
          <w:rPr>
            <w:b w:val="0"/>
            <w:noProof/>
            <w:webHidden/>
            <w:sz w:val="20"/>
            <w:szCs w:val="20"/>
          </w:rPr>
        </w:r>
        <w:r w:rsidR="008D2D70" w:rsidRPr="008D2D70">
          <w:rPr>
            <w:b w:val="0"/>
            <w:noProof/>
            <w:webHidden/>
            <w:sz w:val="20"/>
            <w:szCs w:val="20"/>
          </w:rPr>
          <w:fldChar w:fldCharType="separate"/>
        </w:r>
        <w:r w:rsidR="00681D6A">
          <w:rPr>
            <w:b w:val="0"/>
            <w:noProof/>
            <w:webHidden/>
            <w:sz w:val="20"/>
            <w:szCs w:val="20"/>
          </w:rPr>
          <w:t>64</w:t>
        </w:r>
        <w:r w:rsidR="008D2D70" w:rsidRPr="008D2D70">
          <w:rPr>
            <w:b w:val="0"/>
            <w:noProof/>
            <w:webHidden/>
            <w:sz w:val="20"/>
            <w:szCs w:val="20"/>
          </w:rPr>
          <w:fldChar w:fldCharType="end"/>
        </w:r>
      </w:hyperlink>
    </w:p>
    <w:p w:rsidR="00E17E1C" w:rsidRDefault="00A013B6" w:rsidP="005E7B16">
      <w:pPr>
        <w:pStyle w:val="Heading1"/>
      </w:pPr>
      <w:r w:rsidRPr="00D404FA">
        <w:rPr>
          <w:rFonts w:cs="Calibri"/>
        </w:rPr>
        <w:lastRenderedPageBreak/>
        <w:fldChar w:fldCharType="end"/>
      </w:r>
      <w:bookmarkStart w:id="3" w:name="_Toc303670535"/>
      <w:bookmarkStart w:id="4" w:name="_Toc306808215"/>
      <w:r w:rsidR="00A658DB" w:rsidRPr="00C813E5">
        <w:t>Executive Summary</w:t>
      </w:r>
      <w:bookmarkEnd w:id="3"/>
      <w:bookmarkEnd w:id="4"/>
    </w:p>
    <w:p w:rsidR="00EA52FD" w:rsidRDefault="00EA52FD" w:rsidP="00EA52FD">
      <w:pPr>
        <w:pStyle w:val="Heading3"/>
      </w:pPr>
      <w:r>
        <w:t xml:space="preserve">Background </w:t>
      </w:r>
    </w:p>
    <w:p w:rsidR="00EA52FD" w:rsidRDefault="00EA52FD" w:rsidP="00EA52FD">
      <w:r>
        <w:t>D</w:t>
      </w:r>
      <w:r w:rsidRPr="00D44526">
        <w:t xml:space="preserve">espite ongoing improvements in energy efficiency, there remains a large potential for additional energy savings across all sectors of the economy. </w:t>
      </w:r>
      <w:r>
        <w:t>These opportunities will persist under a national carbon pricing scheme</w:t>
      </w:r>
      <w:r w:rsidR="0051648C">
        <w:t>,</w:t>
      </w:r>
      <w:r>
        <w:t xml:space="preserve"> due to a wide range</w:t>
      </w:r>
      <w:r w:rsidR="0034068B">
        <w:t xml:space="preserve"> of</w:t>
      </w:r>
      <w:r w:rsidR="001D1E16">
        <w:t xml:space="preserve"> inherent </w:t>
      </w:r>
      <w:r w:rsidR="0034068B">
        <w:t>market failures</w:t>
      </w:r>
      <w:r w:rsidR="0051648C">
        <w:t>,</w:t>
      </w:r>
      <w:r w:rsidR="0034068B">
        <w:t xml:space="preserve"> </w:t>
      </w:r>
      <w:r w:rsidR="005147F1">
        <w:t>and</w:t>
      </w:r>
      <w:r w:rsidR="0034068B">
        <w:t xml:space="preserve"> will not be realised without </w:t>
      </w:r>
      <w:r w:rsidR="001D1E16">
        <w:t xml:space="preserve">additional </w:t>
      </w:r>
      <w:r w:rsidR="0034068B">
        <w:t>Government intervention.</w:t>
      </w:r>
    </w:p>
    <w:p w:rsidR="00EA52FD" w:rsidRDefault="00EA52FD" w:rsidP="00EA52FD">
      <w:pPr>
        <w:rPr>
          <w:lang w:eastAsia="en-AU"/>
        </w:rPr>
      </w:pPr>
      <w:r>
        <w:rPr>
          <w:lang w:eastAsia="en-AU"/>
        </w:rPr>
        <w:t xml:space="preserve">The ACT Government, through the </w:t>
      </w:r>
      <w:r w:rsidRPr="0084600F">
        <w:rPr>
          <w:i/>
          <w:lang w:eastAsia="en-AU"/>
        </w:rPr>
        <w:t>National Partnership Agreement on Energy Efficiency</w:t>
      </w:r>
      <w:r>
        <w:rPr>
          <w:lang w:eastAsia="en-AU"/>
        </w:rPr>
        <w:t>, has committed to the development of a nationally consistent and coordinated package of measures to advance energy efficiency outcomes across the Territory economy. In addition to these measures, a number of jurisdictions (NSW, VIC and SA) have also developed retailer (supplier) obligation energy efficiency schemes. These have been demonstrated to be highly cost effective in reducing greenhouse gas emissions and consistently deliver net economic benefits.</w:t>
      </w:r>
    </w:p>
    <w:p w:rsidR="00EA52FD" w:rsidRDefault="00EA52FD" w:rsidP="00EA52FD">
      <w:pPr>
        <w:rPr>
          <w:lang w:eastAsia="en-AU"/>
        </w:rPr>
      </w:pPr>
      <w:r>
        <w:rPr>
          <w:lang w:eastAsia="en-AU"/>
        </w:rPr>
        <w:t>In 2010, the Prime Minister’s Task Group on Energy Efficiency recommended the development of a national energy savings initiative to replace existing state-based supplier obligation schemes. Whilst general support for the development of a national energy efficiency scheme was voiced in the Federal Government’s recently released Clean Energy Future package, no specific timelines for the development and implementation of such a scheme have been announced.  The ACT has a strong interest in the development of a more seamless national market for energy suppliers and will work closely with other jurisdictions on the development of a national framework for</w:t>
      </w:r>
      <w:r w:rsidR="005F7A04">
        <w:rPr>
          <w:lang w:eastAsia="en-AU"/>
        </w:rPr>
        <w:t xml:space="preserve"> a</w:t>
      </w:r>
      <w:r>
        <w:rPr>
          <w:lang w:eastAsia="en-AU"/>
        </w:rPr>
        <w:t xml:space="preserve"> supplier funded energy efficiency obligation scheme operation through the COAG Select Council on Climate Change.</w:t>
      </w:r>
    </w:p>
    <w:p w:rsidR="00EA52FD" w:rsidRDefault="00EA52FD" w:rsidP="00EA52FD">
      <w:pPr>
        <w:pStyle w:val="Heading3"/>
      </w:pPr>
      <w:r>
        <w:t>Preferred scheme model and scope</w:t>
      </w:r>
    </w:p>
    <w:p w:rsidR="00EA52FD" w:rsidRPr="00EA6D6B" w:rsidRDefault="00EA52FD" w:rsidP="00EA52FD">
      <w:r>
        <w:t>A</w:t>
      </w:r>
      <w:r w:rsidRPr="00D44526">
        <w:t xml:space="preserve"> non-certificate based </w:t>
      </w:r>
      <w:r>
        <w:t>supplier</w:t>
      </w:r>
      <w:r w:rsidRPr="00D44526">
        <w:t xml:space="preserve"> obligation </w:t>
      </w:r>
      <w:r w:rsidR="002D1321">
        <w:t xml:space="preserve">energy </w:t>
      </w:r>
      <w:r w:rsidR="002D1321" w:rsidRPr="00EA6D6B">
        <w:t>efficiency s</w:t>
      </w:r>
      <w:r w:rsidR="00E75D30" w:rsidRPr="00EA6D6B">
        <w:t>cheme</w:t>
      </w:r>
      <w:r w:rsidRPr="00EA6D6B">
        <w:t xml:space="preserve"> (the Scheme), based on South Australia’s Residential Energy Efficiency Scheme (REES) is proposed to commence in the ACT from 1 </w:t>
      </w:r>
      <w:r w:rsidR="00EA6D6B" w:rsidRPr="00EA6D6B">
        <w:t xml:space="preserve">January 2013 </w:t>
      </w:r>
      <w:r w:rsidRPr="00EA6D6B">
        <w:t xml:space="preserve">to 31 December 2015. </w:t>
      </w:r>
    </w:p>
    <w:p w:rsidR="00EA52FD" w:rsidRPr="00A42A4E" w:rsidRDefault="00EA52FD" w:rsidP="00EA52FD">
      <w:r w:rsidRPr="00EA6D6B">
        <w:t xml:space="preserve">The Scheme will commence with coverage of the ACT residential </w:t>
      </w:r>
      <w:r w:rsidR="00EA6D6B" w:rsidRPr="00EA6D6B">
        <w:t xml:space="preserve">and </w:t>
      </w:r>
      <w:r w:rsidR="00EA6D6B">
        <w:rPr>
          <w:lang w:eastAsia="en-AU"/>
        </w:rPr>
        <w:t xml:space="preserve">small and medium-sized enterprise (SME) </w:t>
      </w:r>
      <w:r w:rsidRPr="00EA6D6B">
        <w:t xml:space="preserve">sector. It will be established </w:t>
      </w:r>
      <w:r w:rsidR="00454F5F" w:rsidRPr="00EA6D6B">
        <w:t xml:space="preserve">through </w:t>
      </w:r>
      <w:r w:rsidRPr="00EA6D6B">
        <w:t xml:space="preserve">the </w:t>
      </w:r>
      <w:r w:rsidR="008338B7">
        <w:rPr>
          <w:i/>
        </w:rPr>
        <w:t xml:space="preserve">Energy Efficiency (Cost of Living) Bill </w:t>
      </w:r>
      <w:r w:rsidRPr="00EA6D6B">
        <w:rPr>
          <w:i/>
        </w:rPr>
        <w:t>201</w:t>
      </w:r>
      <w:r w:rsidR="00EA6D6B" w:rsidRPr="00EA6D6B">
        <w:rPr>
          <w:i/>
        </w:rPr>
        <w:t>2</w:t>
      </w:r>
      <w:r w:rsidRPr="00EA6D6B">
        <w:t>.</w:t>
      </w:r>
    </w:p>
    <w:p w:rsidR="00694EB1" w:rsidRDefault="00694EB1" w:rsidP="00EA52FD">
      <w:r w:rsidRPr="00A42A4E">
        <w:t>It is clear that, in the absence of any statutory requirement, industry</w:t>
      </w:r>
      <w:r>
        <w:t xml:space="preserve"> will not supply such a scheme </w:t>
      </w:r>
      <w:r w:rsidR="00B36A28">
        <w:t>and,</w:t>
      </w:r>
      <w:r>
        <w:t xml:space="preserve"> in particular, will not act to the benefit of low</w:t>
      </w:r>
      <w:r w:rsidR="00CD19D4">
        <w:t>-</w:t>
      </w:r>
      <w:r>
        <w:t>income households. Creation of a statutory obligation provides a basis on which reasonable costs can be incurred in the expectation that those costs may be equitably recovered by industry participants.</w:t>
      </w:r>
    </w:p>
    <w:p w:rsidR="00EA52FD" w:rsidRPr="00690FAA" w:rsidRDefault="00EA52FD" w:rsidP="00EA52FD">
      <w:pPr>
        <w:pStyle w:val="Heading3"/>
      </w:pPr>
      <w:r>
        <w:t>Scheme costs and benefits</w:t>
      </w:r>
    </w:p>
    <w:p w:rsidR="00EA52FD" w:rsidRPr="00655ED1" w:rsidRDefault="00EA52FD" w:rsidP="00EA52FD">
      <w:pPr>
        <w:rPr>
          <w:rFonts w:cs="Calibri"/>
          <w:highlight w:val="green"/>
          <w:lang w:eastAsia="en-AU"/>
        </w:rPr>
      </w:pPr>
      <w:r>
        <w:t xml:space="preserve">The Environment and Sustainable Development Directorate (ESDD) has undertaken comprehensive modelling of the scope of energy savings potential in the ACT </w:t>
      </w:r>
      <w:r w:rsidRPr="00A42A4E">
        <w:t xml:space="preserve">residential sector. This analysis concludes that an optimal balance of greenhouse gas abatement and cost-savings objectives results </w:t>
      </w:r>
      <w:r w:rsidRPr="00A42A4E">
        <w:rPr>
          <w:rFonts w:cs="Calibri"/>
          <w:lang w:eastAsia="en-AU"/>
        </w:rPr>
        <w:t xml:space="preserve">in total life-cycle greenhouse </w:t>
      </w:r>
      <w:r w:rsidRPr="00315479">
        <w:rPr>
          <w:rFonts w:cs="Calibri"/>
          <w:lang w:eastAsia="en-AU"/>
        </w:rPr>
        <w:t xml:space="preserve">gas savings of around </w:t>
      </w:r>
      <w:r w:rsidR="00315479" w:rsidRPr="00315479">
        <w:rPr>
          <w:rFonts w:cs="Calibri"/>
          <w:lang w:eastAsia="en-AU"/>
        </w:rPr>
        <w:t>742</w:t>
      </w:r>
      <w:r w:rsidR="004B22EA" w:rsidRPr="00315479">
        <w:rPr>
          <w:rFonts w:cs="Calibri"/>
          <w:lang w:eastAsia="en-AU"/>
        </w:rPr>
        <w:t xml:space="preserve"> </w:t>
      </w:r>
      <w:r w:rsidRPr="00315479">
        <w:rPr>
          <w:rFonts w:cs="Calibri"/>
          <w:lang w:eastAsia="en-AU"/>
        </w:rPr>
        <w:t>kt CO</w:t>
      </w:r>
      <w:r w:rsidRPr="00315479">
        <w:rPr>
          <w:rFonts w:cs="Calibri"/>
          <w:vertAlign w:val="subscript"/>
          <w:lang w:eastAsia="en-AU"/>
        </w:rPr>
        <w:t>2</w:t>
      </w:r>
      <w:r w:rsidRPr="00315479">
        <w:rPr>
          <w:rFonts w:cs="Calibri"/>
          <w:lang w:eastAsia="en-AU"/>
        </w:rPr>
        <w:t>. This constitutes a reduction on residential sector emissions of</w:t>
      </w:r>
      <w:r w:rsidR="00454F5F" w:rsidRPr="00315479">
        <w:rPr>
          <w:rFonts w:cs="Calibri"/>
          <w:lang w:eastAsia="en-AU"/>
        </w:rPr>
        <w:t xml:space="preserve"> about</w:t>
      </w:r>
      <w:r w:rsidRPr="00315479">
        <w:rPr>
          <w:rFonts w:cs="Calibri"/>
          <w:lang w:eastAsia="en-AU"/>
        </w:rPr>
        <w:t xml:space="preserve"> </w:t>
      </w:r>
      <w:r w:rsidR="004A4A47" w:rsidRPr="00315479">
        <w:rPr>
          <w:rFonts w:cs="Calibri"/>
          <w:lang w:eastAsia="en-AU"/>
        </w:rPr>
        <w:t>6.2</w:t>
      </w:r>
      <w:r w:rsidRPr="00315479">
        <w:rPr>
          <w:rFonts w:cs="Calibri"/>
          <w:lang w:eastAsia="en-AU"/>
        </w:rPr>
        <w:t xml:space="preserve"> per cent</w:t>
      </w:r>
      <w:r w:rsidR="00A42A4E" w:rsidRPr="00315479">
        <w:rPr>
          <w:rFonts w:cs="Calibri"/>
          <w:lang w:eastAsia="en-AU"/>
        </w:rPr>
        <w:t xml:space="preserve"> from business as usual in 2015 and </w:t>
      </w:r>
      <w:r w:rsidR="004A4A47" w:rsidRPr="00315479">
        <w:rPr>
          <w:rFonts w:cs="Calibri"/>
          <w:lang w:eastAsia="en-AU"/>
        </w:rPr>
        <w:t>4.7</w:t>
      </w:r>
      <w:r w:rsidR="00A42A4E" w:rsidRPr="00315479">
        <w:rPr>
          <w:rFonts w:cs="Calibri"/>
          <w:lang w:eastAsia="en-AU"/>
        </w:rPr>
        <w:t xml:space="preserve"> per cent in 2020</w:t>
      </w:r>
      <w:r w:rsidRPr="00315479">
        <w:rPr>
          <w:rFonts w:cs="Calibri"/>
          <w:lang w:eastAsia="en-AU"/>
        </w:rPr>
        <w:t>.</w:t>
      </w:r>
    </w:p>
    <w:p w:rsidR="00EA6D6B" w:rsidRDefault="00EA52FD" w:rsidP="00EA52FD">
      <w:pPr>
        <w:rPr>
          <w:rFonts w:cs="Calibri"/>
          <w:lang w:eastAsia="en-AU"/>
        </w:rPr>
      </w:pPr>
      <w:r>
        <w:rPr>
          <w:rFonts w:cs="Calibri"/>
          <w:lang w:eastAsia="en-AU"/>
        </w:rPr>
        <w:t xml:space="preserve">The Scheme will also have net present </w:t>
      </w:r>
      <w:r w:rsidRPr="00315479">
        <w:rPr>
          <w:rFonts w:cs="Calibri"/>
          <w:lang w:eastAsia="en-AU"/>
        </w:rPr>
        <w:t>value</w:t>
      </w:r>
      <w:r w:rsidR="004A2EB5" w:rsidRPr="00315479">
        <w:rPr>
          <w:rFonts w:cs="Calibri"/>
          <w:lang w:eastAsia="en-AU"/>
        </w:rPr>
        <w:t xml:space="preserve"> (NPV)</w:t>
      </w:r>
      <w:r w:rsidRPr="00315479">
        <w:rPr>
          <w:rFonts w:cs="Calibri"/>
          <w:lang w:eastAsia="en-AU"/>
        </w:rPr>
        <w:t xml:space="preserve"> of around $</w:t>
      </w:r>
      <w:r w:rsidR="00655ED1" w:rsidRPr="00315479">
        <w:rPr>
          <w:rFonts w:cs="Calibri"/>
          <w:lang w:eastAsia="en-AU"/>
        </w:rPr>
        <w:t>40</w:t>
      </w:r>
      <w:r w:rsidRPr="00315479">
        <w:rPr>
          <w:rFonts w:cs="Calibri"/>
          <w:lang w:eastAsia="en-AU"/>
        </w:rPr>
        <w:t xml:space="preserve"> million</w:t>
      </w:r>
      <w:r w:rsidR="00454F5F" w:rsidRPr="00315479">
        <w:rPr>
          <w:rFonts w:cs="Calibri"/>
          <w:lang w:eastAsia="en-AU"/>
        </w:rPr>
        <w:t>.  W</w:t>
      </w:r>
      <w:r w:rsidRPr="00315479">
        <w:rPr>
          <w:rFonts w:cs="Calibri"/>
          <w:lang w:eastAsia="en-AU"/>
        </w:rPr>
        <w:t>hile</w:t>
      </w:r>
      <w:r w:rsidRPr="00655ED1">
        <w:rPr>
          <w:rFonts w:cs="Calibri"/>
          <w:lang w:eastAsia="en-AU"/>
        </w:rPr>
        <w:t xml:space="preserve"> not a large amount</w:t>
      </w:r>
      <w:r w:rsidR="004A2EB5" w:rsidRPr="00655ED1">
        <w:rPr>
          <w:rFonts w:cs="Calibri"/>
          <w:lang w:eastAsia="en-AU"/>
        </w:rPr>
        <w:t xml:space="preserve"> in the context of the</w:t>
      </w:r>
      <w:r w:rsidR="005A7863">
        <w:rPr>
          <w:rFonts w:cs="Calibri"/>
          <w:lang w:eastAsia="en-AU"/>
        </w:rPr>
        <w:t xml:space="preserve"> overall</w:t>
      </w:r>
      <w:r w:rsidR="004A2EB5" w:rsidRPr="00655ED1">
        <w:rPr>
          <w:rFonts w:cs="Calibri"/>
          <w:lang w:eastAsia="en-AU"/>
        </w:rPr>
        <w:t xml:space="preserve"> Territory economy</w:t>
      </w:r>
      <w:r w:rsidRPr="00655ED1">
        <w:rPr>
          <w:rFonts w:cs="Calibri"/>
          <w:lang w:eastAsia="en-AU"/>
        </w:rPr>
        <w:t xml:space="preserve">, this demonstrates a clear net economic benefit. Financial costs and benefits are further detailed in the </w:t>
      </w:r>
      <w:r w:rsidRPr="00A22A08">
        <w:rPr>
          <w:rFonts w:cs="Calibri"/>
          <w:lang w:eastAsia="en-AU"/>
        </w:rPr>
        <w:t>tables below.</w:t>
      </w:r>
      <w:r w:rsidR="005A7863" w:rsidRPr="00A22A08">
        <w:rPr>
          <w:rFonts w:cs="Calibri"/>
          <w:lang w:eastAsia="en-AU"/>
        </w:rPr>
        <w:t xml:space="preserve"> Total lifetime bill savings generated by the Scheme are estimated at </w:t>
      </w:r>
      <w:r w:rsidR="00315479" w:rsidRPr="00A22A08">
        <w:rPr>
          <w:rFonts w:cs="Calibri"/>
          <w:lang w:eastAsia="en-AU"/>
        </w:rPr>
        <w:t>$358 million, or around $2,227</w:t>
      </w:r>
      <w:r w:rsidR="005A7863" w:rsidRPr="00A22A08">
        <w:rPr>
          <w:rFonts w:cs="Calibri"/>
          <w:lang w:eastAsia="en-AU"/>
        </w:rPr>
        <w:t xml:space="preserve"> per household.</w:t>
      </w:r>
      <w:r w:rsidR="001D0DAC" w:rsidRPr="00A22A08">
        <w:rPr>
          <w:rStyle w:val="FootnoteReference"/>
          <w:lang w:eastAsia="en-AU"/>
        </w:rPr>
        <w:footnoteReference w:id="1"/>
      </w:r>
    </w:p>
    <w:p w:rsidR="00EA6D6B" w:rsidRPr="00A22A08" w:rsidRDefault="00EA6D6B" w:rsidP="00EA52FD">
      <w:pPr>
        <w:rPr>
          <w:lang w:eastAsia="en-AU"/>
        </w:rPr>
      </w:pPr>
      <w:r>
        <w:rPr>
          <w:rFonts w:cs="Calibri"/>
          <w:lang w:eastAsia="en-AU"/>
        </w:rPr>
        <w:t xml:space="preserve">Further modelling will be undertaken in 2012 to assess the impact of including the </w:t>
      </w:r>
      <w:r>
        <w:rPr>
          <w:lang w:eastAsia="en-AU"/>
        </w:rPr>
        <w:t xml:space="preserve">small and medium-sized enterprise </w:t>
      </w:r>
      <w:r>
        <w:rPr>
          <w:rFonts w:cs="Calibri"/>
          <w:lang w:eastAsia="en-AU"/>
        </w:rPr>
        <w:t>sector under the Scheme, based on developments under the Victorian Energy Efficiency Target (VEET) Scheme.</w:t>
      </w:r>
    </w:p>
    <w:p w:rsidR="00EA52FD" w:rsidRPr="00A22A08" w:rsidRDefault="00EA52FD" w:rsidP="00EA52FD">
      <w:pPr>
        <w:pStyle w:val="Caption"/>
      </w:pPr>
      <w:r w:rsidRPr="00A22A08">
        <w:t xml:space="preserve">ES Table </w:t>
      </w:r>
      <w:r w:rsidR="006F5BB0">
        <w:rPr>
          <w:noProof/>
        </w:rPr>
        <w:fldChar w:fldCharType="begin"/>
      </w:r>
      <w:r w:rsidR="006F5BB0">
        <w:rPr>
          <w:noProof/>
        </w:rPr>
        <w:instrText xml:space="preserve"> SEQ ES_Table \* ARABIC </w:instrText>
      </w:r>
      <w:r w:rsidR="006F5BB0">
        <w:rPr>
          <w:noProof/>
        </w:rPr>
        <w:fldChar w:fldCharType="separate"/>
      </w:r>
      <w:r w:rsidR="00681D6A">
        <w:rPr>
          <w:noProof/>
        </w:rPr>
        <w:t>1</w:t>
      </w:r>
      <w:r w:rsidR="006F5BB0">
        <w:rPr>
          <w:noProof/>
        </w:rPr>
        <w:fldChar w:fldCharType="end"/>
      </w:r>
      <w:r w:rsidRPr="00A22A08">
        <w:t xml:space="preserve">: Nominal price impact on energy bills per ACT household </w:t>
      </w:r>
    </w:p>
    <w:tbl>
      <w:tblPr>
        <w:tblW w:w="9089" w:type="dxa"/>
        <w:tblInd w:w="91" w:type="dxa"/>
        <w:tblLayout w:type="fixed"/>
        <w:tblLook w:val="04A0" w:firstRow="1" w:lastRow="0" w:firstColumn="1" w:lastColumn="0" w:noHBand="0" w:noVBand="1"/>
      </w:tblPr>
      <w:tblGrid>
        <w:gridCol w:w="4270"/>
        <w:gridCol w:w="2409"/>
        <w:gridCol w:w="2410"/>
      </w:tblGrid>
      <w:tr w:rsidR="005A7863" w:rsidRPr="00A22A08" w:rsidTr="005A7863">
        <w:trPr>
          <w:trHeight w:val="285"/>
        </w:trPr>
        <w:tc>
          <w:tcPr>
            <w:tcW w:w="4270" w:type="dxa"/>
            <w:tcBorders>
              <w:top w:val="single" w:sz="4" w:space="0" w:color="auto"/>
              <w:left w:val="single" w:sz="4" w:space="0" w:color="auto"/>
              <w:bottom w:val="single" w:sz="4" w:space="0" w:color="auto"/>
              <w:right w:val="single" w:sz="4" w:space="0" w:color="auto"/>
            </w:tcBorders>
            <w:shd w:val="clear" w:color="000000" w:fill="DEDFE0"/>
            <w:vAlign w:val="center"/>
            <w:hideMark/>
          </w:tcPr>
          <w:p w:rsidR="005A7863" w:rsidRPr="00CD19D4" w:rsidRDefault="005A7863" w:rsidP="005A7863">
            <w:pPr>
              <w:pStyle w:val="NoSpacing"/>
            </w:pPr>
            <w:r w:rsidRPr="00CD19D4">
              <w:t>Scheme period</w:t>
            </w:r>
          </w:p>
        </w:tc>
        <w:tc>
          <w:tcPr>
            <w:tcW w:w="2409" w:type="dxa"/>
            <w:tcBorders>
              <w:top w:val="single" w:sz="4" w:space="0" w:color="auto"/>
              <w:left w:val="nil"/>
              <w:bottom w:val="single" w:sz="4" w:space="0" w:color="auto"/>
              <w:right w:val="single" w:sz="4" w:space="0" w:color="auto"/>
            </w:tcBorders>
            <w:shd w:val="clear" w:color="000000" w:fill="DEDFE0"/>
            <w:vAlign w:val="center"/>
            <w:hideMark/>
          </w:tcPr>
          <w:p w:rsidR="005A7863" w:rsidRPr="00CD19D4" w:rsidRDefault="001D0DAC" w:rsidP="001D0DAC">
            <w:pPr>
              <w:pStyle w:val="NoSpacing"/>
              <w:jc w:val="center"/>
            </w:pPr>
            <w:r w:rsidRPr="00CD19D4">
              <w:t>Pass-th</w:t>
            </w:r>
            <w:r w:rsidR="00DD6F60" w:rsidRPr="00CD19D4">
              <w:t>r</w:t>
            </w:r>
            <w:r w:rsidRPr="00CD19D4">
              <w:t>ough cost impacts</w:t>
            </w:r>
          </w:p>
        </w:tc>
        <w:tc>
          <w:tcPr>
            <w:tcW w:w="2410" w:type="dxa"/>
            <w:tcBorders>
              <w:top w:val="single" w:sz="4" w:space="0" w:color="auto"/>
              <w:left w:val="nil"/>
              <w:bottom w:val="single" w:sz="4" w:space="0" w:color="auto"/>
              <w:right w:val="single" w:sz="4" w:space="0" w:color="auto"/>
            </w:tcBorders>
            <w:shd w:val="clear" w:color="000000" w:fill="DEDFE0"/>
            <w:vAlign w:val="center"/>
            <w:hideMark/>
          </w:tcPr>
          <w:p w:rsidR="005A7863" w:rsidRPr="00CD19D4" w:rsidRDefault="005A7863" w:rsidP="001D0DAC">
            <w:pPr>
              <w:pStyle w:val="NoSpacing"/>
              <w:jc w:val="center"/>
            </w:pPr>
            <w:r w:rsidRPr="00CD19D4">
              <w:t>Average annual bill savings</w:t>
            </w:r>
            <w:r w:rsidRPr="00CD19D4">
              <w:rPr>
                <w:vertAlign w:val="superscript"/>
              </w:rPr>
              <w:t>1</w:t>
            </w:r>
          </w:p>
        </w:tc>
      </w:tr>
      <w:tr w:rsidR="00F454DB" w:rsidRPr="00A22A08" w:rsidTr="00F454DB">
        <w:trPr>
          <w:trHeight w:val="255"/>
        </w:trPr>
        <w:tc>
          <w:tcPr>
            <w:tcW w:w="4270" w:type="dxa"/>
            <w:tcBorders>
              <w:top w:val="nil"/>
              <w:left w:val="single" w:sz="4" w:space="0" w:color="auto"/>
              <w:bottom w:val="single" w:sz="4" w:space="0" w:color="auto"/>
              <w:right w:val="single" w:sz="4" w:space="0" w:color="auto"/>
            </w:tcBorders>
            <w:hideMark/>
          </w:tcPr>
          <w:p w:rsidR="00F454DB" w:rsidRPr="00CD19D4" w:rsidRDefault="00F454DB" w:rsidP="00CD19D4">
            <w:pPr>
              <w:pStyle w:val="NoSpacing"/>
            </w:pPr>
            <w:r w:rsidRPr="00CD19D4">
              <w:t xml:space="preserve">Period </w:t>
            </w:r>
            <w:r w:rsidR="00CD19D4" w:rsidRPr="00CD19D4">
              <w:t>1</w:t>
            </w:r>
            <w:r w:rsidRPr="00CD19D4">
              <w:t>: 1 January 2013 to 31 December 2013</w:t>
            </w:r>
          </w:p>
        </w:tc>
        <w:tc>
          <w:tcPr>
            <w:tcW w:w="2409" w:type="dxa"/>
            <w:tcBorders>
              <w:top w:val="nil"/>
              <w:left w:val="nil"/>
              <w:bottom w:val="single" w:sz="4" w:space="0" w:color="auto"/>
              <w:right w:val="single" w:sz="4" w:space="0" w:color="auto"/>
            </w:tcBorders>
            <w:noWrap/>
            <w:hideMark/>
          </w:tcPr>
          <w:p w:rsidR="00F454DB" w:rsidRPr="00CD19D4" w:rsidRDefault="00F454DB" w:rsidP="001D0DAC">
            <w:pPr>
              <w:pStyle w:val="NoSpacing"/>
              <w:jc w:val="center"/>
            </w:pPr>
            <w:r w:rsidRPr="00CD19D4">
              <w:t>$19</w:t>
            </w:r>
          </w:p>
        </w:tc>
        <w:tc>
          <w:tcPr>
            <w:tcW w:w="2410" w:type="dxa"/>
            <w:tcBorders>
              <w:top w:val="nil"/>
              <w:left w:val="nil"/>
              <w:bottom w:val="single" w:sz="4" w:space="0" w:color="auto"/>
              <w:right w:val="single" w:sz="4" w:space="0" w:color="auto"/>
            </w:tcBorders>
            <w:noWrap/>
            <w:hideMark/>
          </w:tcPr>
          <w:p w:rsidR="00F454DB" w:rsidRPr="00CD19D4" w:rsidRDefault="00F454DB" w:rsidP="00F454DB">
            <w:pPr>
              <w:pStyle w:val="NoSpacing"/>
              <w:jc w:val="center"/>
            </w:pPr>
            <w:r w:rsidRPr="00CD19D4">
              <w:t>$66</w:t>
            </w:r>
          </w:p>
        </w:tc>
      </w:tr>
      <w:tr w:rsidR="00F454DB" w:rsidRPr="00A22A08" w:rsidTr="005A7863">
        <w:trPr>
          <w:trHeight w:val="255"/>
        </w:trPr>
        <w:tc>
          <w:tcPr>
            <w:tcW w:w="4270" w:type="dxa"/>
            <w:tcBorders>
              <w:top w:val="nil"/>
              <w:left w:val="single" w:sz="4" w:space="0" w:color="auto"/>
              <w:bottom w:val="single" w:sz="4" w:space="0" w:color="auto"/>
              <w:right w:val="single" w:sz="4" w:space="0" w:color="auto"/>
            </w:tcBorders>
            <w:hideMark/>
          </w:tcPr>
          <w:p w:rsidR="00F454DB" w:rsidRPr="00CD19D4" w:rsidRDefault="00F454DB" w:rsidP="005A7863">
            <w:pPr>
              <w:pStyle w:val="NoSpacing"/>
            </w:pPr>
            <w:r w:rsidRPr="00CD19D4">
              <w:t xml:space="preserve">Period </w:t>
            </w:r>
            <w:r w:rsidR="00CD19D4" w:rsidRPr="00CD19D4">
              <w:t>2</w:t>
            </w:r>
            <w:r w:rsidRPr="00CD19D4">
              <w:t>: 1 January 2014 to 31 December 2014</w:t>
            </w:r>
          </w:p>
        </w:tc>
        <w:tc>
          <w:tcPr>
            <w:tcW w:w="2409" w:type="dxa"/>
            <w:tcBorders>
              <w:top w:val="nil"/>
              <w:left w:val="nil"/>
              <w:bottom w:val="single" w:sz="4" w:space="0" w:color="auto"/>
              <w:right w:val="single" w:sz="4" w:space="0" w:color="auto"/>
            </w:tcBorders>
            <w:noWrap/>
            <w:hideMark/>
          </w:tcPr>
          <w:p w:rsidR="00F454DB" w:rsidRPr="00CD19D4" w:rsidRDefault="00F454DB" w:rsidP="001D0DAC">
            <w:pPr>
              <w:pStyle w:val="NoSpacing"/>
              <w:jc w:val="center"/>
            </w:pPr>
            <w:r w:rsidRPr="00CD19D4">
              <w:t>$3</w:t>
            </w:r>
            <w:r w:rsidR="00CD19D4" w:rsidRPr="00CD19D4">
              <w:t>5</w:t>
            </w:r>
          </w:p>
        </w:tc>
        <w:tc>
          <w:tcPr>
            <w:tcW w:w="2410" w:type="dxa"/>
            <w:tcBorders>
              <w:top w:val="nil"/>
              <w:left w:val="nil"/>
              <w:bottom w:val="single" w:sz="4" w:space="0" w:color="auto"/>
              <w:right w:val="single" w:sz="4" w:space="0" w:color="auto"/>
            </w:tcBorders>
            <w:noWrap/>
            <w:hideMark/>
          </w:tcPr>
          <w:p w:rsidR="00F454DB" w:rsidRPr="00CD19D4" w:rsidRDefault="00F454DB" w:rsidP="00F454DB">
            <w:pPr>
              <w:pStyle w:val="NoSpacing"/>
              <w:jc w:val="center"/>
            </w:pPr>
            <w:r w:rsidRPr="00CD19D4">
              <w:t>$1</w:t>
            </w:r>
            <w:r w:rsidR="00CD19D4" w:rsidRPr="00CD19D4">
              <w:t>35</w:t>
            </w:r>
          </w:p>
        </w:tc>
      </w:tr>
      <w:tr w:rsidR="00F454DB" w:rsidRPr="00A22A08" w:rsidTr="005A7863">
        <w:trPr>
          <w:trHeight w:val="255"/>
        </w:trPr>
        <w:tc>
          <w:tcPr>
            <w:tcW w:w="4270" w:type="dxa"/>
            <w:tcBorders>
              <w:top w:val="nil"/>
              <w:left w:val="single" w:sz="4" w:space="0" w:color="auto"/>
              <w:bottom w:val="single" w:sz="4" w:space="0" w:color="auto"/>
              <w:right w:val="single" w:sz="4" w:space="0" w:color="auto"/>
            </w:tcBorders>
            <w:hideMark/>
          </w:tcPr>
          <w:p w:rsidR="00F454DB" w:rsidRPr="00CD19D4" w:rsidRDefault="00F454DB" w:rsidP="005A7863">
            <w:pPr>
              <w:pStyle w:val="NoSpacing"/>
            </w:pPr>
            <w:r w:rsidRPr="00CD19D4">
              <w:t xml:space="preserve">Period </w:t>
            </w:r>
            <w:r w:rsidR="00CD19D4" w:rsidRPr="00CD19D4">
              <w:t>3:</w:t>
            </w:r>
            <w:r w:rsidRPr="00CD19D4">
              <w:t xml:space="preserve"> 1 January 2015 to 31 December 2015</w:t>
            </w:r>
          </w:p>
        </w:tc>
        <w:tc>
          <w:tcPr>
            <w:tcW w:w="2409" w:type="dxa"/>
            <w:tcBorders>
              <w:top w:val="nil"/>
              <w:left w:val="nil"/>
              <w:bottom w:val="single" w:sz="4" w:space="0" w:color="auto"/>
              <w:right w:val="single" w:sz="4" w:space="0" w:color="auto"/>
            </w:tcBorders>
            <w:noWrap/>
            <w:hideMark/>
          </w:tcPr>
          <w:p w:rsidR="00F454DB" w:rsidRPr="00CD19D4" w:rsidRDefault="00F454DB" w:rsidP="001D0DAC">
            <w:pPr>
              <w:pStyle w:val="NoSpacing"/>
              <w:jc w:val="center"/>
            </w:pPr>
            <w:r w:rsidRPr="00CD19D4">
              <w:t>$2</w:t>
            </w:r>
            <w:r w:rsidR="00CD19D4" w:rsidRPr="00CD19D4">
              <w:t>33</w:t>
            </w:r>
          </w:p>
        </w:tc>
        <w:tc>
          <w:tcPr>
            <w:tcW w:w="2410" w:type="dxa"/>
            <w:tcBorders>
              <w:top w:val="nil"/>
              <w:left w:val="nil"/>
              <w:bottom w:val="single" w:sz="4" w:space="0" w:color="auto"/>
              <w:right w:val="single" w:sz="4" w:space="0" w:color="auto"/>
            </w:tcBorders>
            <w:noWrap/>
            <w:hideMark/>
          </w:tcPr>
          <w:p w:rsidR="00F454DB" w:rsidRPr="00CD19D4" w:rsidRDefault="00F454DB" w:rsidP="00F454DB">
            <w:pPr>
              <w:pStyle w:val="NoSpacing"/>
              <w:jc w:val="center"/>
            </w:pPr>
            <w:r w:rsidRPr="00CD19D4">
              <w:t>$1</w:t>
            </w:r>
            <w:r w:rsidR="00CD19D4" w:rsidRPr="00CD19D4">
              <w:t>91</w:t>
            </w:r>
          </w:p>
        </w:tc>
      </w:tr>
      <w:tr w:rsidR="00F454DB" w:rsidRPr="00315479" w:rsidTr="005A7863">
        <w:trPr>
          <w:trHeight w:val="255"/>
        </w:trPr>
        <w:tc>
          <w:tcPr>
            <w:tcW w:w="4270" w:type="dxa"/>
            <w:tcBorders>
              <w:top w:val="nil"/>
              <w:left w:val="single" w:sz="4" w:space="0" w:color="auto"/>
              <w:bottom w:val="single" w:sz="4" w:space="0" w:color="auto"/>
              <w:right w:val="single" w:sz="4" w:space="0" w:color="auto"/>
            </w:tcBorders>
            <w:hideMark/>
          </w:tcPr>
          <w:p w:rsidR="00F454DB" w:rsidRPr="00CD19D4" w:rsidRDefault="00F454DB" w:rsidP="005A7863">
            <w:pPr>
              <w:pStyle w:val="NoSpacing"/>
              <w:rPr>
                <w:b/>
                <w:bCs/>
              </w:rPr>
            </w:pPr>
            <w:r w:rsidRPr="00CD19D4">
              <w:rPr>
                <w:b/>
                <w:bCs/>
              </w:rPr>
              <w:t>Total*</w:t>
            </w:r>
          </w:p>
        </w:tc>
        <w:tc>
          <w:tcPr>
            <w:tcW w:w="2409" w:type="dxa"/>
            <w:tcBorders>
              <w:top w:val="nil"/>
              <w:left w:val="nil"/>
              <w:bottom w:val="single" w:sz="4" w:space="0" w:color="auto"/>
              <w:right w:val="single" w:sz="4" w:space="0" w:color="auto"/>
            </w:tcBorders>
            <w:noWrap/>
            <w:hideMark/>
          </w:tcPr>
          <w:p w:rsidR="00F454DB" w:rsidRPr="00CD19D4" w:rsidRDefault="00F454DB" w:rsidP="001D0DAC">
            <w:pPr>
              <w:pStyle w:val="NoSpacing"/>
              <w:jc w:val="center"/>
              <w:rPr>
                <w:b/>
                <w:bCs/>
              </w:rPr>
            </w:pPr>
            <w:r w:rsidRPr="00CD19D4">
              <w:rPr>
                <w:b/>
                <w:bCs/>
              </w:rPr>
              <w:t>$8</w:t>
            </w:r>
            <w:r w:rsidR="00CD19D4" w:rsidRPr="00CD19D4">
              <w:rPr>
                <w:b/>
                <w:bCs/>
              </w:rPr>
              <w:t>7</w:t>
            </w:r>
          </w:p>
        </w:tc>
        <w:tc>
          <w:tcPr>
            <w:tcW w:w="2410" w:type="dxa"/>
            <w:tcBorders>
              <w:top w:val="nil"/>
              <w:left w:val="nil"/>
              <w:bottom w:val="single" w:sz="4" w:space="0" w:color="auto"/>
              <w:right w:val="single" w:sz="4" w:space="0" w:color="auto"/>
            </w:tcBorders>
            <w:noWrap/>
            <w:hideMark/>
          </w:tcPr>
          <w:p w:rsidR="00F454DB" w:rsidRPr="00CD19D4" w:rsidRDefault="00F454DB" w:rsidP="00F454DB">
            <w:pPr>
              <w:pStyle w:val="NoSpacing"/>
              <w:jc w:val="center"/>
            </w:pPr>
            <w:r w:rsidRPr="00CD19D4">
              <w:t>$392</w:t>
            </w:r>
          </w:p>
        </w:tc>
      </w:tr>
    </w:tbl>
    <w:p w:rsidR="006C611A" w:rsidRPr="009602EB" w:rsidRDefault="00A42A4E" w:rsidP="00EA52FD">
      <w:pPr>
        <w:rPr>
          <w:rFonts w:cs="Calibri"/>
          <w:i/>
          <w:sz w:val="20"/>
          <w:szCs w:val="20"/>
          <w:lang w:eastAsia="en-AU"/>
        </w:rPr>
      </w:pPr>
      <w:r w:rsidRPr="00315479">
        <w:rPr>
          <w:rFonts w:cs="Calibri"/>
          <w:i/>
          <w:sz w:val="20"/>
          <w:szCs w:val="20"/>
          <w:lang w:eastAsia="en-AU"/>
        </w:rPr>
        <w:t xml:space="preserve">* </w:t>
      </w:r>
      <w:r w:rsidR="004B22EA" w:rsidRPr="00315479">
        <w:rPr>
          <w:rFonts w:cs="Calibri"/>
          <w:i/>
          <w:sz w:val="20"/>
          <w:szCs w:val="20"/>
          <w:lang w:eastAsia="en-AU"/>
        </w:rPr>
        <w:t>It is important to note that while costs to households will discontinue with the end of the Scheme</w:t>
      </w:r>
      <w:r w:rsidR="004B22EA" w:rsidRPr="009602EB">
        <w:rPr>
          <w:rFonts w:cs="Calibri"/>
          <w:i/>
          <w:sz w:val="20"/>
          <w:szCs w:val="20"/>
          <w:lang w:eastAsia="en-AU"/>
        </w:rPr>
        <w:t>, bill savings will continue beyond this period.</w:t>
      </w:r>
      <w:r w:rsidR="00A22A08">
        <w:rPr>
          <w:rFonts w:cs="Calibri"/>
          <w:i/>
          <w:sz w:val="20"/>
          <w:szCs w:val="20"/>
          <w:lang w:eastAsia="en-AU"/>
        </w:rPr>
        <w:t xml:space="preserve"> Total lifetime savings are estimated at $2,227 not discounted for inflation.</w:t>
      </w:r>
    </w:p>
    <w:p w:rsidR="00EA52FD" w:rsidRDefault="00EA52FD" w:rsidP="00EA52FD">
      <w:pPr>
        <w:rPr>
          <w:rFonts w:cs="Calibri"/>
          <w:lang w:eastAsia="en-AU"/>
        </w:rPr>
      </w:pPr>
      <w:r>
        <w:rPr>
          <w:rFonts w:cs="Calibri"/>
          <w:lang w:eastAsia="en-AU"/>
        </w:rPr>
        <w:t xml:space="preserve">The impact of the scheme on ACT greenhouse gas emissions is shown </w:t>
      </w:r>
      <w:r>
        <w:rPr>
          <w:rFonts w:cs="Calibri"/>
          <w:lang w:eastAsia="en-AU"/>
        </w:rPr>
        <w:fldChar w:fldCharType="begin"/>
      </w:r>
      <w:r>
        <w:rPr>
          <w:rFonts w:cs="Calibri"/>
          <w:lang w:eastAsia="en-AU"/>
        </w:rPr>
        <w:instrText xml:space="preserve"> REF _Ref303845751 \p \h </w:instrText>
      </w:r>
      <w:r>
        <w:rPr>
          <w:rFonts w:cs="Calibri"/>
          <w:lang w:eastAsia="en-AU"/>
        </w:rPr>
      </w:r>
      <w:r>
        <w:rPr>
          <w:rFonts w:cs="Calibri"/>
          <w:lang w:eastAsia="en-AU"/>
        </w:rPr>
        <w:fldChar w:fldCharType="separate"/>
      </w:r>
      <w:r w:rsidR="00681D6A">
        <w:rPr>
          <w:rFonts w:cs="Calibri"/>
          <w:lang w:eastAsia="en-AU"/>
        </w:rPr>
        <w:t>below</w:t>
      </w:r>
      <w:r>
        <w:rPr>
          <w:rFonts w:cs="Calibri"/>
          <w:lang w:eastAsia="en-AU"/>
        </w:rPr>
        <w:fldChar w:fldCharType="end"/>
      </w:r>
      <w:r>
        <w:rPr>
          <w:rFonts w:cs="Calibri"/>
          <w:lang w:eastAsia="en-AU"/>
        </w:rPr>
        <w:t>.</w:t>
      </w:r>
      <w:r w:rsidR="001D0DAC">
        <w:rPr>
          <w:rFonts w:cs="Calibri"/>
          <w:lang w:eastAsia="en-AU"/>
        </w:rPr>
        <w:t xml:space="preserve"> Continuation of the Scheme beyond 2015 would result in substantial further reductions.</w:t>
      </w:r>
    </w:p>
    <w:p w:rsidR="008D1DF2" w:rsidRDefault="00C10AE6">
      <w:pPr>
        <w:pStyle w:val="Caption"/>
        <w:keepNext/>
      </w:pPr>
      <w:r>
        <w:t xml:space="preserve">ES Figure </w:t>
      </w:r>
      <w:r w:rsidR="006F5BB0">
        <w:rPr>
          <w:noProof/>
        </w:rPr>
        <w:fldChar w:fldCharType="begin"/>
      </w:r>
      <w:r w:rsidR="006F5BB0">
        <w:rPr>
          <w:noProof/>
        </w:rPr>
        <w:instrText xml:space="preserve"> SEQ ES_Figure \* ARABIC </w:instrText>
      </w:r>
      <w:r w:rsidR="006F5BB0">
        <w:rPr>
          <w:noProof/>
        </w:rPr>
        <w:fldChar w:fldCharType="separate"/>
      </w:r>
      <w:r w:rsidR="00681D6A">
        <w:rPr>
          <w:noProof/>
        </w:rPr>
        <w:t>1</w:t>
      </w:r>
      <w:r w:rsidR="006F5BB0">
        <w:rPr>
          <w:noProof/>
        </w:rPr>
        <w:fldChar w:fldCharType="end"/>
      </w:r>
      <w:r>
        <w:t xml:space="preserve">: </w:t>
      </w:r>
      <w:r w:rsidRPr="00A85818">
        <w:t>Scheme impact on ACT greenhouse gas emissions</w:t>
      </w:r>
    </w:p>
    <w:p w:rsidR="00796113" w:rsidRDefault="006D6234" w:rsidP="00EA52FD">
      <w:pPr>
        <w:spacing w:before="120" w:after="120"/>
        <w:ind w:left="-142"/>
        <w:rPr>
          <w:rFonts w:cs="Calibri"/>
          <w:b/>
        </w:rPr>
      </w:pPr>
      <w:r w:rsidRPr="003A52A1">
        <w:rPr>
          <w:noProof/>
          <w:lang w:eastAsia="en-AU"/>
        </w:rPr>
        <w:drawing>
          <wp:inline distT="0" distB="0" distL="0" distR="0">
            <wp:extent cx="5705475" cy="3714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3714750"/>
                    </a:xfrm>
                    <a:prstGeom prst="rect">
                      <a:avLst/>
                    </a:prstGeom>
                    <a:noFill/>
                    <a:ln>
                      <a:noFill/>
                    </a:ln>
                  </pic:spPr>
                </pic:pic>
              </a:graphicData>
            </a:graphic>
          </wp:inline>
        </w:drawing>
      </w:r>
    </w:p>
    <w:p w:rsidR="00796113" w:rsidRDefault="00796113" w:rsidP="00EA52FD">
      <w:pPr>
        <w:spacing w:before="120" w:after="120"/>
        <w:ind w:left="-142"/>
        <w:rPr>
          <w:rFonts w:cs="Calibri"/>
          <w:b/>
        </w:rPr>
      </w:pPr>
    </w:p>
    <w:p w:rsidR="00EA52FD" w:rsidRDefault="00BE67DC" w:rsidP="00EA52FD">
      <w:pPr>
        <w:pStyle w:val="Heading3"/>
      </w:pPr>
      <w:r>
        <w:t>Electricity retail market competition</w:t>
      </w:r>
      <w:r w:rsidR="00EA52FD">
        <w:t xml:space="preserve"> and Energy Savings Contribution fees</w:t>
      </w:r>
    </w:p>
    <w:p w:rsidR="00EA52FD" w:rsidRDefault="00EA52FD" w:rsidP="00EA52FD">
      <w:pPr>
        <w:rPr>
          <w:rFonts w:cs="Calibri"/>
          <w:lang w:eastAsia="en-AU"/>
        </w:rPr>
      </w:pPr>
      <w:r w:rsidRPr="009836BD">
        <w:rPr>
          <w:rFonts w:cs="Calibri"/>
          <w:lang w:eastAsia="en-AU"/>
        </w:rPr>
        <w:t>The Scheme has been de</w:t>
      </w:r>
      <w:r>
        <w:rPr>
          <w:rFonts w:cs="Calibri"/>
          <w:lang w:eastAsia="en-AU"/>
        </w:rPr>
        <w:t xml:space="preserve">signed to minimise the impact on electricity </w:t>
      </w:r>
      <w:r w:rsidR="003D120E">
        <w:rPr>
          <w:rFonts w:cs="Calibri"/>
          <w:lang w:eastAsia="en-AU"/>
        </w:rPr>
        <w:t>supplier</w:t>
      </w:r>
      <w:r>
        <w:rPr>
          <w:rFonts w:cs="Calibri"/>
          <w:lang w:eastAsia="en-AU"/>
        </w:rPr>
        <w:t>s, especially smaller suppliers and new market entrants. This is consistent with the ACT Government’s objective of supporting enhanced retail competition in the Territory.</w:t>
      </w:r>
    </w:p>
    <w:p w:rsidR="00EA52FD" w:rsidRDefault="00EA52FD" w:rsidP="00EA52FD">
      <w:pPr>
        <w:rPr>
          <w:rFonts w:cs="Calibri"/>
          <w:lang w:eastAsia="en-AU"/>
        </w:rPr>
      </w:pPr>
      <w:r>
        <w:rPr>
          <w:rFonts w:cs="Calibri"/>
          <w:lang w:eastAsia="en-AU"/>
        </w:rPr>
        <w:t>Tier 2 suppliers (electricity suppliers with less than 500,000</w:t>
      </w:r>
      <w:r w:rsidR="000E6646">
        <w:rPr>
          <w:rFonts w:cs="Calibri"/>
          <w:lang w:eastAsia="en-AU"/>
        </w:rPr>
        <w:t>MWh</w:t>
      </w:r>
      <w:r>
        <w:rPr>
          <w:rFonts w:cs="Calibri"/>
          <w:lang w:eastAsia="en-AU"/>
        </w:rPr>
        <w:t xml:space="preserve"> sales per annum) will be allowed to either participate in the </w:t>
      </w:r>
      <w:r w:rsidR="0012265A">
        <w:rPr>
          <w:rFonts w:cs="Calibri"/>
          <w:lang w:eastAsia="en-AU"/>
        </w:rPr>
        <w:t>S</w:t>
      </w:r>
      <w:r>
        <w:rPr>
          <w:rFonts w:cs="Calibri"/>
          <w:lang w:eastAsia="en-AU"/>
        </w:rPr>
        <w:t>cheme, or discharge their obligations through the payment of an Energy Savings Contribution fee equal to the estimated marginal cost of participation of the Tier 1 supplier (ActewAGL Retail). Scheme legislation establishes a fund to collect contribution fees and require that all funds be spent in a manner consistent with the Objects of the legislation. This fund will also be used to pay for Scheme administration.</w:t>
      </w:r>
    </w:p>
    <w:p w:rsidR="009602EB" w:rsidRDefault="009602EB" w:rsidP="00EA52FD">
      <w:pPr>
        <w:rPr>
          <w:rFonts w:cs="Calibri"/>
          <w:lang w:eastAsia="en-AU"/>
        </w:rPr>
      </w:pPr>
      <w:r w:rsidRPr="00315479">
        <w:rPr>
          <w:rFonts w:cs="Calibri"/>
          <w:lang w:eastAsia="en-AU"/>
        </w:rPr>
        <w:t xml:space="preserve">An adjustment to the Transition Franchise Tariff rate will </w:t>
      </w:r>
      <w:r w:rsidRPr="00EA6D6B">
        <w:rPr>
          <w:rFonts w:cs="Calibri"/>
          <w:lang w:eastAsia="en-AU"/>
        </w:rPr>
        <w:t xml:space="preserve">be made from </w:t>
      </w:r>
      <w:r w:rsidR="00EA6D6B" w:rsidRPr="00EA6D6B">
        <w:rPr>
          <w:rFonts w:cs="Calibri"/>
          <w:lang w:eastAsia="en-AU"/>
        </w:rPr>
        <w:t>1 January 2013</w:t>
      </w:r>
      <w:r w:rsidR="004D0021" w:rsidRPr="00EA6D6B">
        <w:rPr>
          <w:rFonts w:cs="Calibri"/>
          <w:lang w:eastAsia="en-AU"/>
        </w:rPr>
        <w:t xml:space="preserve"> equal to the expected cost to the Tier 1 supplier </w:t>
      </w:r>
      <w:r w:rsidR="008338B7">
        <w:rPr>
          <w:rFonts w:cs="Calibri"/>
          <w:lang w:eastAsia="en-AU"/>
        </w:rPr>
        <w:t>of complying with the Scheme. It is expected</w:t>
      </w:r>
      <w:r w:rsidRPr="00315479">
        <w:rPr>
          <w:rFonts w:cs="Calibri"/>
          <w:lang w:eastAsia="en-AU"/>
        </w:rPr>
        <w:t xml:space="preserve"> that </w:t>
      </w:r>
      <w:r w:rsidR="00E1698D" w:rsidRPr="00315479">
        <w:rPr>
          <w:rFonts w:cs="Calibri"/>
          <w:lang w:eastAsia="en-AU"/>
        </w:rPr>
        <w:t xml:space="preserve">all </w:t>
      </w:r>
      <w:r w:rsidRPr="00315479">
        <w:rPr>
          <w:rFonts w:cs="Calibri"/>
          <w:lang w:eastAsia="en-AU"/>
        </w:rPr>
        <w:t>suppliers will adjust their market contract rates to an equal extent</w:t>
      </w:r>
      <w:r w:rsidR="004D0021" w:rsidRPr="00315479">
        <w:rPr>
          <w:rFonts w:cs="Calibri"/>
          <w:lang w:eastAsia="en-AU"/>
        </w:rPr>
        <w:t xml:space="preserve"> to recover their costs</w:t>
      </w:r>
      <w:r w:rsidRPr="00315479">
        <w:rPr>
          <w:rFonts w:cs="Calibri"/>
          <w:lang w:eastAsia="en-AU"/>
        </w:rPr>
        <w:t xml:space="preserve">. Future </w:t>
      </w:r>
      <w:r w:rsidR="004D0021" w:rsidRPr="00315479">
        <w:rPr>
          <w:rFonts w:cs="Calibri"/>
          <w:lang w:eastAsia="en-AU"/>
        </w:rPr>
        <w:t>reviews of regulated electricity pricing</w:t>
      </w:r>
      <w:r w:rsidRPr="00315479">
        <w:rPr>
          <w:rFonts w:cs="Calibri"/>
          <w:lang w:eastAsia="en-AU"/>
        </w:rPr>
        <w:t xml:space="preserve"> </w:t>
      </w:r>
      <w:r w:rsidR="004D0021" w:rsidRPr="00315479">
        <w:rPr>
          <w:rFonts w:cs="Calibri"/>
          <w:lang w:eastAsia="en-AU"/>
        </w:rPr>
        <w:t>will include an assessment of</w:t>
      </w:r>
      <w:r w:rsidRPr="00315479">
        <w:rPr>
          <w:rFonts w:cs="Calibri"/>
          <w:lang w:eastAsia="en-AU"/>
        </w:rPr>
        <w:t xml:space="preserve"> </w:t>
      </w:r>
      <w:r w:rsidRPr="00315479">
        <w:rPr>
          <w:rFonts w:cs="Calibri"/>
          <w:i/>
          <w:lang w:eastAsia="en-AU"/>
        </w:rPr>
        <w:t>ex</w:t>
      </w:r>
      <w:r w:rsidR="0012265A">
        <w:rPr>
          <w:rFonts w:cs="Calibri"/>
          <w:i/>
          <w:lang w:eastAsia="en-AU"/>
        </w:rPr>
        <w:t>-</w:t>
      </w:r>
      <w:r w:rsidRPr="00315479">
        <w:rPr>
          <w:rFonts w:cs="Calibri"/>
          <w:i/>
          <w:lang w:eastAsia="en-AU"/>
        </w:rPr>
        <w:t>post</w:t>
      </w:r>
      <w:r w:rsidRPr="00315479">
        <w:rPr>
          <w:rFonts w:cs="Calibri"/>
          <w:lang w:eastAsia="en-AU"/>
        </w:rPr>
        <w:t xml:space="preserve"> costs to ActewAGL and this may flow through</w:t>
      </w:r>
      <w:r w:rsidR="0012265A">
        <w:rPr>
          <w:rFonts w:cs="Calibri"/>
          <w:lang w:eastAsia="en-AU"/>
        </w:rPr>
        <w:t xml:space="preserve"> to</w:t>
      </w:r>
      <w:r w:rsidRPr="00315479">
        <w:rPr>
          <w:rFonts w:cs="Calibri"/>
          <w:lang w:eastAsia="en-AU"/>
        </w:rPr>
        <w:t xml:space="preserve"> an equalisation of the Energy Savings Contribution rate for Tier 2 Suppliers. </w:t>
      </w:r>
      <w:r w:rsidR="004D0021" w:rsidRPr="00315479">
        <w:rPr>
          <w:rFonts w:cs="Calibri"/>
          <w:lang w:eastAsia="en-AU"/>
        </w:rPr>
        <w:t>Overall it has been</w:t>
      </w:r>
      <w:r w:rsidRPr="00315479">
        <w:rPr>
          <w:rFonts w:cs="Calibri"/>
          <w:lang w:eastAsia="en-AU"/>
        </w:rPr>
        <w:t xml:space="preserve"> determined t</w:t>
      </w:r>
      <w:r w:rsidR="004D0021" w:rsidRPr="00315479">
        <w:rPr>
          <w:rFonts w:cs="Calibri"/>
          <w:lang w:eastAsia="en-AU"/>
        </w:rPr>
        <w:t>hat this approach will provide a sufficient ongoing</w:t>
      </w:r>
      <w:r w:rsidRPr="00315479">
        <w:rPr>
          <w:rFonts w:cs="Calibri"/>
          <w:lang w:eastAsia="en-AU"/>
        </w:rPr>
        <w:t xml:space="preserve"> incentive to both ActewAGL and Tier 2 suppliers </w:t>
      </w:r>
      <w:r w:rsidR="00315479" w:rsidRPr="00315479">
        <w:rPr>
          <w:rFonts w:cs="Calibri"/>
          <w:lang w:eastAsia="en-AU"/>
        </w:rPr>
        <w:t xml:space="preserve">to </w:t>
      </w:r>
      <w:r w:rsidRPr="00315479">
        <w:rPr>
          <w:rFonts w:cs="Calibri"/>
          <w:lang w:eastAsia="en-AU"/>
        </w:rPr>
        <w:t>reduce their costs of compliance.</w:t>
      </w:r>
    </w:p>
    <w:p w:rsidR="00EA52FD" w:rsidRDefault="00EA52FD" w:rsidP="00EA52FD">
      <w:pPr>
        <w:rPr>
          <w:rFonts w:cs="Calibri"/>
          <w:lang w:eastAsia="en-AU"/>
        </w:rPr>
      </w:pPr>
      <w:r w:rsidRPr="00315479">
        <w:rPr>
          <w:rFonts w:cs="Calibri"/>
          <w:lang w:eastAsia="en-AU"/>
        </w:rPr>
        <w:t>Total funds of approximately $4</w:t>
      </w:r>
      <w:r w:rsidR="001D0DAC" w:rsidRPr="00315479">
        <w:rPr>
          <w:rFonts w:cs="Calibri"/>
          <w:lang w:eastAsia="en-AU"/>
        </w:rPr>
        <w:t>.8</w:t>
      </w:r>
      <w:r w:rsidR="00E45EF2">
        <w:rPr>
          <w:rFonts w:cs="Calibri"/>
          <w:lang w:eastAsia="en-AU"/>
        </w:rPr>
        <w:t xml:space="preserve"> million</w:t>
      </w:r>
      <w:r>
        <w:rPr>
          <w:rFonts w:cs="Calibri"/>
          <w:lang w:eastAsia="en-AU"/>
        </w:rPr>
        <w:t xml:space="preserve"> are expected to be raised over the initial 3.5 year term of the Scheme compared to total adm</w:t>
      </w:r>
      <w:r w:rsidR="00F92714">
        <w:rPr>
          <w:rFonts w:cs="Calibri"/>
          <w:lang w:eastAsia="en-AU"/>
        </w:rPr>
        <w:t>inistration costs of around $1.8</w:t>
      </w:r>
      <w:r>
        <w:rPr>
          <w:rFonts w:cs="Calibri"/>
          <w:lang w:eastAsia="en-AU"/>
        </w:rPr>
        <w:t xml:space="preserve"> million. Remaining funds can be, for example, used to further stimulate the uptake of energy savings activities (such as through rebates or subsidies)</w:t>
      </w:r>
      <w:r w:rsidR="00E45EF2">
        <w:rPr>
          <w:rFonts w:cs="Calibri"/>
          <w:lang w:eastAsia="en-AU"/>
        </w:rPr>
        <w:t>,</w:t>
      </w:r>
      <w:r>
        <w:rPr>
          <w:rFonts w:cs="Calibri"/>
          <w:lang w:eastAsia="en-AU"/>
        </w:rPr>
        <w:t xml:space="preserve"> or invested in innovative large-scale energy efficiency demonstration projects</w:t>
      </w:r>
      <w:r w:rsidRPr="00315479">
        <w:rPr>
          <w:rFonts w:cs="Calibri"/>
          <w:lang w:eastAsia="en-AU"/>
        </w:rPr>
        <w:t>.</w:t>
      </w:r>
      <w:r w:rsidR="001D0DAC" w:rsidRPr="00315479">
        <w:rPr>
          <w:rFonts w:cs="Calibri"/>
          <w:lang w:eastAsia="en-AU"/>
        </w:rPr>
        <w:t xml:space="preserve"> The collection of funds results from the simplified Energy Savings Contribution regime offered to Tier 2 </w:t>
      </w:r>
      <w:r w:rsidR="003D120E">
        <w:rPr>
          <w:rFonts w:cs="Calibri"/>
          <w:lang w:eastAsia="en-AU"/>
        </w:rPr>
        <w:t>supplier</w:t>
      </w:r>
      <w:r w:rsidR="001D0DAC" w:rsidRPr="00315479">
        <w:rPr>
          <w:rFonts w:cs="Calibri"/>
          <w:lang w:eastAsia="en-AU"/>
        </w:rPr>
        <w:t>s.</w:t>
      </w:r>
    </w:p>
    <w:p w:rsidR="00EA52FD" w:rsidRPr="009836BD" w:rsidRDefault="00EA52FD" w:rsidP="00EA52FD">
      <w:pPr>
        <w:rPr>
          <w:rFonts w:cs="Calibri"/>
          <w:lang w:eastAsia="en-AU"/>
        </w:rPr>
      </w:pPr>
      <w:r>
        <w:rPr>
          <w:rFonts w:cs="Calibri"/>
        </w:rPr>
        <w:t xml:space="preserve">The </w:t>
      </w:r>
      <w:r w:rsidR="00454F5F">
        <w:rPr>
          <w:rFonts w:cs="Calibri"/>
        </w:rPr>
        <w:t>A</w:t>
      </w:r>
      <w:r>
        <w:rPr>
          <w:rFonts w:cs="Calibri"/>
        </w:rPr>
        <w:t xml:space="preserve">dministrator must have </w:t>
      </w:r>
      <w:r w:rsidR="000F7B16">
        <w:rPr>
          <w:rFonts w:cs="Calibri"/>
        </w:rPr>
        <w:t>audited,</w:t>
      </w:r>
      <w:r w:rsidR="00454F5F" w:rsidRPr="00454F5F">
        <w:rPr>
          <w:rFonts w:cs="Calibri"/>
        </w:rPr>
        <w:t xml:space="preserve"> </w:t>
      </w:r>
      <w:r w:rsidR="00454F5F">
        <w:rPr>
          <w:rFonts w:cs="Calibri"/>
        </w:rPr>
        <w:t>each financial year</w:t>
      </w:r>
      <w:r w:rsidR="000F7B16">
        <w:rPr>
          <w:rFonts w:cs="Calibri"/>
        </w:rPr>
        <w:t>,</w:t>
      </w:r>
      <w:r w:rsidR="00454F5F">
        <w:rPr>
          <w:rFonts w:cs="Calibri"/>
        </w:rPr>
        <w:t xml:space="preserve"> </w:t>
      </w:r>
      <w:r>
        <w:rPr>
          <w:rFonts w:cs="Calibri"/>
        </w:rPr>
        <w:t>the accounts of the energy efficiency fund</w:t>
      </w:r>
      <w:r w:rsidR="00E45EF2">
        <w:rPr>
          <w:rFonts w:cs="Calibri"/>
        </w:rPr>
        <w:t>.</w:t>
      </w:r>
      <w:r>
        <w:rPr>
          <w:rFonts w:cs="Calibri"/>
        </w:rPr>
        <w:t xml:space="preserve"> </w:t>
      </w:r>
    </w:p>
    <w:p w:rsidR="00EA52FD" w:rsidRDefault="00EA52FD" w:rsidP="00EA52FD">
      <w:pPr>
        <w:pStyle w:val="Heading3"/>
      </w:pPr>
      <w:r w:rsidRPr="00690FAA">
        <w:t xml:space="preserve">Priority </w:t>
      </w:r>
      <w:r>
        <w:t xml:space="preserve">household </w:t>
      </w:r>
      <w:r w:rsidRPr="00690FAA">
        <w:t>target (PHT)</w:t>
      </w:r>
    </w:p>
    <w:p w:rsidR="00EA52FD" w:rsidRDefault="00EA52FD" w:rsidP="00EA52FD">
      <w:pPr>
        <w:rPr>
          <w:lang w:eastAsia="en-AU"/>
        </w:rPr>
      </w:pPr>
      <w:r>
        <w:rPr>
          <w:lang w:eastAsia="en-AU"/>
        </w:rPr>
        <w:t>L</w:t>
      </w:r>
      <w:r w:rsidRPr="00D44526">
        <w:rPr>
          <w:lang w:eastAsia="en-AU"/>
        </w:rPr>
        <w:t xml:space="preserve">ow-income households </w:t>
      </w:r>
      <w:r w:rsidRPr="00D44526">
        <w:t xml:space="preserve">will be </w:t>
      </w:r>
      <w:r>
        <w:t>net beneficiaries</w:t>
      </w:r>
      <w:r w:rsidRPr="00D44526">
        <w:t xml:space="preserve"> </w:t>
      </w:r>
      <w:r>
        <w:t>of the proposed S</w:t>
      </w:r>
      <w:r w:rsidRPr="00D44526">
        <w:t xml:space="preserve">cheme as </w:t>
      </w:r>
      <w:r>
        <w:t>Tier 1 supplier</w:t>
      </w:r>
      <w:r w:rsidRPr="00D44526">
        <w:t>s will be obliged to deliver</w:t>
      </w:r>
      <w:r>
        <w:t xml:space="preserve"> a specified proportion of</w:t>
      </w:r>
      <w:r w:rsidRPr="00D44526">
        <w:t xml:space="preserve"> energy savings products and services</w:t>
      </w:r>
      <w:r>
        <w:t xml:space="preserve"> to them</w:t>
      </w:r>
      <w:r w:rsidRPr="00D44526">
        <w:t xml:space="preserve">. </w:t>
      </w:r>
      <w:r>
        <w:t>Supplier</w:t>
      </w:r>
      <w:r w:rsidRPr="00D44526">
        <w:t xml:space="preserve">s </w:t>
      </w:r>
      <w:r>
        <w:t xml:space="preserve">may need </w:t>
      </w:r>
      <w:r w:rsidRPr="00D44526">
        <w:t>to offer</w:t>
      </w:r>
      <w:r>
        <w:t xml:space="preserve"> additional</w:t>
      </w:r>
      <w:r w:rsidRPr="00D44526">
        <w:t xml:space="preserve"> incentives to priority households to the extent required to ensure their participation under the </w:t>
      </w:r>
      <w:r w:rsidR="00E45EF2">
        <w:t>S</w:t>
      </w:r>
      <w:r w:rsidRPr="00D44526">
        <w:t>cheme. This may</w:t>
      </w:r>
      <w:r w:rsidR="00454F5F">
        <w:t xml:space="preserve"> include</w:t>
      </w:r>
      <w:r w:rsidRPr="00D44526">
        <w:t xml:space="preserve"> subsidised or free products and services</w:t>
      </w:r>
      <w:r w:rsidR="00E45EF2">
        <w:t>,</w:t>
      </w:r>
      <w:r w:rsidRPr="00D44526">
        <w:t xml:space="preserve"> or innovative financing packages such as the ability to repay the cost of services through energy bills. The experience of the REES scheme is that targets </w:t>
      </w:r>
      <w:r>
        <w:t xml:space="preserve">set </w:t>
      </w:r>
      <w:r w:rsidRPr="00D44526">
        <w:t xml:space="preserve">for </w:t>
      </w:r>
      <w:r>
        <w:t xml:space="preserve">engaging low-income </w:t>
      </w:r>
      <w:r w:rsidRPr="00D44526">
        <w:t xml:space="preserve">households have been </w:t>
      </w:r>
      <w:r>
        <w:t xml:space="preserve">significantly </w:t>
      </w:r>
      <w:r w:rsidRPr="00D44526">
        <w:t>exceeded.</w:t>
      </w:r>
    </w:p>
    <w:p w:rsidR="00EA52FD" w:rsidRPr="005D0C75" w:rsidRDefault="00EA52FD" w:rsidP="00EA52FD">
      <w:r>
        <w:t>An initial PHT of 25 per cent is proposed for the first Scheme period, and PHTs for subsequent periods will be reviewed, with a view to broadening the definition of priority households to capture a wide range of low-income and otherwise disadvantaged households in the community.</w:t>
      </w:r>
    </w:p>
    <w:p w:rsidR="00EA52FD" w:rsidRDefault="00EA52FD" w:rsidP="00EA52FD">
      <w:pPr>
        <w:pStyle w:val="Heading3"/>
      </w:pPr>
      <w:r w:rsidRPr="00690FAA">
        <w:t>Included measures</w:t>
      </w:r>
    </w:p>
    <w:p w:rsidR="00EA52FD" w:rsidRDefault="00EA52FD" w:rsidP="00EA52FD">
      <w:r>
        <w:t xml:space="preserve">A comprehensive package of </w:t>
      </w:r>
      <w:r w:rsidR="00EA6D6B">
        <w:t xml:space="preserve">residential </w:t>
      </w:r>
      <w:r>
        <w:t xml:space="preserve">measures has been included, </w:t>
      </w:r>
      <w:r w:rsidR="0005184B">
        <w:t>derived from</w:t>
      </w:r>
      <w:r>
        <w:t xml:space="preserve"> the </w:t>
      </w:r>
      <w:r w:rsidR="0005184B">
        <w:t xml:space="preserve">Victorian </w:t>
      </w:r>
      <w:r>
        <w:t>VEET scheme, and adapted to fit the ACT in relation to factors including climatic conditions and current and forecast differences in the emission intensity of our electricity supplies.</w:t>
      </w:r>
    </w:p>
    <w:p w:rsidR="00AC6AB0" w:rsidRDefault="00EA6D6B" w:rsidP="00EA52FD">
      <w:pPr>
        <w:rPr>
          <w:rFonts w:cs="Calibri"/>
        </w:rPr>
      </w:pPr>
      <w:r>
        <w:rPr>
          <w:rFonts w:cs="Calibri"/>
        </w:rPr>
        <w:t>Energy efficiency m</w:t>
      </w:r>
      <w:r w:rsidR="00D6475A" w:rsidRPr="00A22A08">
        <w:rPr>
          <w:rFonts w:cs="Calibri"/>
        </w:rPr>
        <w:t>easures included under the Scheme will</w:t>
      </w:r>
      <w:r>
        <w:rPr>
          <w:rFonts w:cs="Calibri"/>
        </w:rPr>
        <w:t xml:space="preserve"> also be extended to the </w:t>
      </w:r>
      <w:r>
        <w:rPr>
          <w:lang w:eastAsia="en-AU"/>
        </w:rPr>
        <w:t xml:space="preserve">small and medium-sized enterprises, </w:t>
      </w:r>
      <w:r>
        <w:rPr>
          <w:rFonts w:cs="Calibri"/>
        </w:rPr>
        <w:t>based on recent developments under the VEET Scheme and in other jurisdictions, following a further Regulatory Impact Assessment.</w:t>
      </w:r>
    </w:p>
    <w:p w:rsidR="00EA52FD" w:rsidRDefault="00EA52FD" w:rsidP="00EA52FD">
      <w:pPr>
        <w:pStyle w:val="Heading3"/>
      </w:pPr>
      <w:r>
        <w:t>Administration and review</w:t>
      </w:r>
    </w:p>
    <w:p w:rsidR="00EA52FD" w:rsidRDefault="00EA52FD" w:rsidP="00EA52FD">
      <w:pPr>
        <w:rPr>
          <w:rFonts w:cs="Calibri"/>
        </w:rPr>
      </w:pPr>
      <w:r w:rsidRPr="005F712F">
        <w:rPr>
          <w:rFonts w:cs="Calibri"/>
        </w:rPr>
        <w:t>The Scheme will require an</w:t>
      </w:r>
      <w:r w:rsidR="00454F5F">
        <w:rPr>
          <w:rFonts w:cs="Calibri"/>
        </w:rPr>
        <w:t xml:space="preserve"> A</w:t>
      </w:r>
      <w:r w:rsidRPr="005F712F">
        <w:rPr>
          <w:rFonts w:cs="Calibri"/>
        </w:rPr>
        <w:t>dministrator to establish the operation of the Scheme</w:t>
      </w:r>
      <w:r w:rsidR="00E45EF2">
        <w:rPr>
          <w:rFonts w:cs="Calibri"/>
        </w:rPr>
        <w:t>,</w:t>
      </w:r>
      <w:r w:rsidRPr="005F712F">
        <w:rPr>
          <w:rFonts w:cs="Calibri"/>
        </w:rPr>
        <w:t xml:space="preserve"> monitor the compliance of suppliers with the Scheme’s obligations</w:t>
      </w:r>
      <w:r>
        <w:rPr>
          <w:rFonts w:cs="Calibri"/>
        </w:rPr>
        <w:t xml:space="preserve"> and report to the Minister on Scheme operation. Further, the </w:t>
      </w:r>
      <w:r w:rsidR="00454F5F">
        <w:rPr>
          <w:rFonts w:cs="Calibri"/>
        </w:rPr>
        <w:t>A</w:t>
      </w:r>
      <w:r>
        <w:rPr>
          <w:rFonts w:cs="Calibri"/>
        </w:rPr>
        <w:t xml:space="preserve">dministrator </w:t>
      </w:r>
      <w:r w:rsidR="00454F5F">
        <w:rPr>
          <w:rFonts w:cs="Calibri"/>
        </w:rPr>
        <w:t>may</w:t>
      </w:r>
      <w:r>
        <w:rPr>
          <w:rFonts w:cs="Calibri"/>
        </w:rPr>
        <w:t xml:space="preserve"> establish Codes </w:t>
      </w:r>
      <w:r w:rsidR="00454F5F">
        <w:rPr>
          <w:rFonts w:cs="Calibri"/>
        </w:rPr>
        <w:t>and Guidelines</w:t>
      </w:r>
      <w:r>
        <w:rPr>
          <w:rFonts w:cs="Calibri"/>
        </w:rPr>
        <w:t xml:space="preserve"> in relation to health, safety and environment matters</w:t>
      </w:r>
      <w:r w:rsidRPr="005F712F">
        <w:rPr>
          <w:rFonts w:cs="Calibri"/>
        </w:rPr>
        <w:t>. Th</w:t>
      </w:r>
      <w:r w:rsidR="00454F5F">
        <w:rPr>
          <w:rFonts w:cs="Calibri"/>
        </w:rPr>
        <w:t>e A</w:t>
      </w:r>
      <w:r w:rsidRPr="005F712F">
        <w:rPr>
          <w:rFonts w:cs="Calibri"/>
        </w:rPr>
        <w:t>dministrator will be a person appointed by the Minister.</w:t>
      </w:r>
    </w:p>
    <w:p w:rsidR="00A22A08" w:rsidRPr="005E7B16" w:rsidRDefault="00A22A08" w:rsidP="005E7B16">
      <w:pPr>
        <w:rPr>
          <w:rFonts w:cs="Calibri"/>
        </w:rPr>
      </w:pPr>
      <w:r w:rsidRPr="005E7B16">
        <w:rPr>
          <w:rFonts w:cs="Calibri"/>
        </w:rPr>
        <w:t>The Minister must commence a review of the Act in January 2014, including consideration of the operation of the Act after 2015, and any change required to improve the Act and the impact of national law and policy, in relation to energy efficiency, on the Act.</w:t>
      </w:r>
      <w:bookmarkStart w:id="5" w:name="_Toc303670536"/>
      <w:bookmarkStart w:id="6" w:name="_Toc306808216"/>
    </w:p>
    <w:p w:rsidR="005A5B06" w:rsidRPr="00C813E5" w:rsidRDefault="00EA52FD" w:rsidP="005E7B16">
      <w:pPr>
        <w:pStyle w:val="Heading1"/>
      </w:pPr>
      <w:r>
        <w:t xml:space="preserve">The </w:t>
      </w:r>
      <w:r w:rsidR="005A5B06" w:rsidRPr="00C813E5">
        <w:t>Problem</w:t>
      </w:r>
      <w:bookmarkEnd w:id="5"/>
      <w:bookmarkEnd w:id="6"/>
    </w:p>
    <w:p w:rsidR="005A5B06" w:rsidRPr="00D44526" w:rsidRDefault="00EA52FD" w:rsidP="00D404FA">
      <w:pPr>
        <w:pStyle w:val="Heading2"/>
      </w:pPr>
      <w:bookmarkStart w:id="7" w:name="_Toc303670537"/>
      <w:bookmarkStart w:id="8" w:name="_Toc306808217"/>
      <w:r>
        <w:t>The p</w:t>
      </w:r>
      <w:r w:rsidR="0059024A" w:rsidRPr="00D44526">
        <w:t>roblem</w:t>
      </w:r>
      <w:r w:rsidR="00EF2665" w:rsidRPr="00D44526">
        <w:t xml:space="preserve"> and </w:t>
      </w:r>
      <w:r>
        <w:t xml:space="preserve">its </w:t>
      </w:r>
      <w:r w:rsidR="00EF2665" w:rsidRPr="00D44526">
        <w:t>magnitude</w:t>
      </w:r>
      <w:bookmarkEnd w:id="7"/>
      <w:bookmarkEnd w:id="8"/>
    </w:p>
    <w:p w:rsidR="00096C4D" w:rsidRPr="00D44526" w:rsidRDefault="00096C4D" w:rsidP="00D44526">
      <w:r w:rsidRPr="00D44526">
        <w:t>Climate change is the most significant environmental, social and economic challenge of our time. In the ACT, we can expect the long-term impacts</w:t>
      </w:r>
      <w:r w:rsidR="00592FF7">
        <w:t xml:space="preserve"> of</w:t>
      </w:r>
      <w:r w:rsidRPr="00D44526">
        <w:t xml:space="preserve"> </w:t>
      </w:r>
      <w:r w:rsidR="00592FF7" w:rsidRPr="00D44526">
        <w:t>climate</w:t>
      </w:r>
      <w:r w:rsidR="00592FF7">
        <w:t xml:space="preserve"> change</w:t>
      </w:r>
      <w:r w:rsidR="00592FF7" w:rsidRPr="00D44526">
        <w:t xml:space="preserve"> </w:t>
      </w:r>
      <w:r w:rsidRPr="00D44526">
        <w:t xml:space="preserve">to include increased susceptibility to extreme weather events, higher temperatures, reduced rainfall and drier conditions. </w:t>
      </w:r>
    </w:p>
    <w:p w:rsidR="00096C4D" w:rsidRPr="00D44526" w:rsidRDefault="00096C4D" w:rsidP="00D44526">
      <w:pPr>
        <w:rPr>
          <w:lang w:eastAsia="en-AU"/>
        </w:rPr>
      </w:pPr>
      <w:r w:rsidRPr="00D44526">
        <w:rPr>
          <w:lang w:eastAsia="en-AU"/>
        </w:rPr>
        <w:t xml:space="preserve">The ACT Government recognises the connection between </w:t>
      </w:r>
      <w:r w:rsidR="008E7A4F">
        <w:rPr>
          <w:lang w:eastAsia="en-AU"/>
        </w:rPr>
        <w:t>greenhouse gas (</w:t>
      </w:r>
      <w:r w:rsidRPr="00D44526">
        <w:rPr>
          <w:lang w:eastAsia="en-AU"/>
        </w:rPr>
        <w:t>GHG</w:t>
      </w:r>
      <w:r w:rsidR="008E7A4F">
        <w:rPr>
          <w:lang w:eastAsia="en-AU"/>
        </w:rPr>
        <w:t>)</w:t>
      </w:r>
      <w:r w:rsidRPr="00D44526">
        <w:rPr>
          <w:lang w:eastAsia="en-AU"/>
        </w:rPr>
        <w:t xml:space="preserve"> emissions and climate impacts</w:t>
      </w:r>
      <w:r w:rsidR="00AD6B1F" w:rsidRPr="00D44526">
        <w:rPr>
          <w:lang w:eastAsia="en-AU"/>
        </w:rPr>
        <w:t>, and thus the importance of reducing the ACT’s GHG emissions in a timely manner.</w:t>
      </w:r>
      <w:r w:rsidRPr="00D44526">
        <w:rPr>
          <w:lang w:eastAsia="en-AU"/>
        </w:rPr>
        <w:t xml:space="preserve"> </w:t>
      </w:r>
    </w:p>
    <w:p w:rsidR="00096C4D" w:rsidRPr="00D44526" w:rsidRDefault="00096C4D" w:rsidP="00D44526">
      <w:r w:rsidRPr="00D44526">
        <w:t xml:space="preserve">In November 2010, the ACT Legislative Assembly enacted the </w:t>
      </w:r>
      <w:r w:rsidRPr="00D44526">
        <w:rPr>
          <w:i/>
        </w:rPr>
        <w:t xml:space="preserve">Climate Change and Greenhouse Gas Reduction Act 2010 </w:t>
      </w:r>
      <w:r w:rsidRPr="00D44526">
        <w:t>that ha</w:t>
      </w:r>
      <w:r w:rsidR="008E7A4F">
        <w:t>s</w:t>
      </w:r>
      <w:r w:rsidRPr="00D44526">
        <w:t xml:space="preserve"> a primary target of zero net emission by 2060 and an interim target of a 40 per cent reduction in greenhouse gas emissions from 1990 levels by 2020.  </w:t>
      </w:r>
    </w:p>
    <w:p w:rsidR="00096C4D" w:rsidRPr="00D44526" w:rsidRDefault="00096C4D" w:rsidP="00D44526">
      <w:r w:rsidRPr="00D44526">
        <w:t xml:space="preserve">The ACT </w:t>
      </w:r>
      <w:r w:rsidR="00B90449">
        <w:t>G</w:t>
      </w:r>
      <w:r w:rsidRPr="00D44526">
        <w:t>overnment acknowledges that success in achieving these targets depends on action by everyone</w:t>
      </w:r>
      <w:r w:rsidR="00A6388D">
        <w:t>;</w:t>
      </w:r>
      <w:r w:rsidRPr="00D44526">
        <w:t xml:space="preserve"> government, business, community groups, households and individuals. We will need to be smarter in how we use energy and the energy we use must be cleaner.  Our choices will involve investment in more sustainable energy use, adoption of new technologies and changes in lifestyle. We will need to ensure that our choices do not increase social inequities within our community and that we implement cost-effective and efficient solutions.</w:t>
      </w:r>
    </w:p>
    <w:p w:rsidR="00592FF7" w:rsidRDefault="00E42265" w:rsidP="00592FF7">
      <w:r w:rsidRPr="00D44526">
        <w:t>Access to abundant</w:t>
      </w:r>
      <w:r w:rsidR="00CC1F20" w:rsidRPr="00D44526">
        <w:rPr>
          <w:lang w:eastAsia="en-AU"/>
        </w:rPr>
        <w:t xml:space="preserve"> and diverse high quality</w:t>
      </w:r>
      <w:r w:rsidR="00E95F63" w:rsidRPr="00D44526">
        <w:rPr>
          <w:lang w:eastAsia="en-AU"/>
        </w:rPr>
        <w:t xml:space="preserve"> energy resources in Australia </w:t>
      </w:r>
      <w:r w:rsidR="00CC1F20" w:rsidRPr="00D44526">
        <w:rPr>
          <w:lang w:eastAsia="en-AU"/>
        </w:rPr>
        <w:t>mean</w:t>
      </w:r>
      <w:r w:rsidR="00592FF7">
        <w:rPr>
          <w:lang w:eastAsia="en-AU"/>
        </w:rPr>
        <w:t>s</w:t>
      </w:r>
      <w:r w:rsidR="00CC1F20" w:rsidRPr="00D44526">
        <w:rPr>
          <w:lang w:eastAsia="en-AU"/>
        </w:rPr>
        <w:t xml:space="preserve"> our industrial and residential electricity and gas prices are close to the lowest in the developed</w:t>
      </w:r>
      <w:r w:rsidR="00CC1F20" w:rsidRPr="00D44526">
        <w:t xml:space="preserve"> </w:t>
      </w:r>
      <w:r w:rsidR="00CC1F20" w:rsidRPr="00D44526">
        <w:rPr>
          <w:lang w:eastAsia="en-AU"/>
        </w:rPr>
        <w:t>world</w:t>
      </w:r>
      <w:r w:rsidR="00CC1F20" w:rsidRPr="00D44526">
        <w:rPr>
          <w:rStyle w:val="FootnoteReference"/>
          <w:rFonts w:cs="Calibri"/>
          <w:lang w:eastAsia="en-AU"/>
        </w:rPr>
        <w:footnoteReference w:id="2"/>
      </w:r>
      <w:r w:rsidR="00CC1F20" w:rsidRPr="00D44526">
        <w:rPr>
          <w:lang w:eastAsia="en-AU"/>
        </w:rPr>
        <w:t xml:space="preserve">. Further to this, prices in the ACT are acknowledged as being some of the lowest in the country. This, it is widely accepted, </w:t>
      </w:r>
      <w:r w:rsidR="00ED6C60" w:rsidRPr="00D44526">
        <w:t xml:space="preserve">has lead to </w:t>
      </w:r>
      <w:r w:rsidR="008C16F0">
        <w:t>the</w:t>
      </w:r>
      <w:r w:rsidR="008C16F0" w:rsidRPr="00D44526">
        <w:t xml:space="preserve"> </w:t>
      </w:r>
      <w:r w:rsidR="00ED6C60" w:rsidRPr="00D44526">
        <w:t>i</w:t>
      </w:r>
      <w:r w:rsidRPr="00D44526">
        <w:t xml:space="preserve">nefficient use </w:t>
      </w:r>
      <w:r w:rsidR="008C16F0">
        <w:t xml:space="preserve">of energy </w:t>
      </w:r>
      <w:r w:rsidR="00ED6C60" w:rsidRPr="00D44526">
        <w:t>in households, business and industry.</w:t>
      </w:r>
      <w:r w:rsidR="009C295A" w:rsidRPr="00D44526">
        <w:t xml:space="preserve">  We are currently</w:t>
      </w:r>
      <w:r w:rsidR="0097496A" w:rsidRPr="00D44526">
        <w:t xml:space="preserve"> </w:t>
      </w:r>
      <w:r w:rsidR="003D31E0" w:rsidRPr="00D44526">
        <w:rPr>
          <w:lang w:eastAsia="en-AU"/>
        </w:rPr>
        <w:t>highly dependent on the delivery of reliable, low-cost energy in order to maintain our</w:t>
      </w:r>
      <w:r w:rsidR="009C295A" w:rsidRPr="00D44526">
        <w:rPr>
          <w:lang w:eastAsia="en-AU"/>
        </w:rPr>
        <w:t xml:space="preserve"> l</w:t>
      </w:r>
      <w:r w:rsidR="003D31E0" w:rsidRPr="00D44526">
        <w:rPr>
          <w:lang w:eastAsia="en-AU"/>
        </w:rPr>
        <w:t>ifestyle</w:t>
      </w:r>
      <w:r w:rsidR="008C16F0">
        <w:rPr>
          <w:lang w:eastAsia="en-AU"/>
        </w:rPr>
        <w:t xml:space="preserve"> </w:t>
      </w:r>
      <w:r w:rsidR="00592FF7">
        <w:rPr>
          <w:lang w:eastAsia="en-AU"/>
        </w:rPr>
        <w:t>– with the ACT</w:t>
      </w:r>
      <w:r w:rsidR="004A1E3B">
        <w:rPr>
          <w:lang w:eastAsia="en-AU"/>
        </w:rPr>
        <w:t xml:space="preserve"> one of the highest per capita energy users in Australia, as shown in </w:t>
      </w:r>
      <w:r w:rsidR="004A1E3B">
        <w:rPr>
          <w:lang w:eastAsia="en-AU"/>
        </w:rPr>
        <w:fldChar w:fldCharType="begin"/>
      </w:r>
      <w:r w:rsidR="004A1E3B">
        <w:rPr>
          <w:lang w:eastAsia="en-AU"/>
        </w:rPr>
        <w:instrText xml:space="preserve"> REF _Ref303605793 \h </w:instrText>
      </w:r>
      <w:r w:rsidR="004A1E3B">
        <w:rPr>
          <w:lang w:eastAsia="en-AU"/>
        </w:rPr>
      </w:r>
      <w:r w:rsidR="004A1E3B">
        <w:rPr>
          <w:lang w:eastAsia="en-AU"/>
        </w:rPr>
        <w:fldChar w:fldCharType="separate"/>
      </w:r>
      <w:r w:rsidR="00681D6A">
        <w:t xml:space="preserve">Figure </w:t>
      </w:r>
      <w:r w:rsidR="00681D6A">
        <w:rPr>
          <w:noProof/>
        </w:rPr>
        <w:t>1</w:t>
      </w:r>
      <w:r w:rsidR="004A1E3B">
        <w:rPr>
          <w:lang w:eastAsia="en-AU"/>
        </w:rPr>
        <w:fldChar w:fldCharType="end"/>
      </w:r>
      <w:r w:rsidR="004A1E3B">
        <w:rPr>
          <w:lang w:eastAsia="en-AU"/>
        </w:rPr>
        <w:t>.</w:t>
      </w:r>
      <w:r w:rsidR="00BA1F90">
        <w:rPr>
          <w:lang w:eastAsia="en-AU"/>
        </w:rPr>
        <w:t xml:space="preserve"> As </w:t>
      </w:r>
      <w:r w:rsidR="00BA1F90">
        <w:rPr>
          <w:lang w:eastAsia="en-AU"/>
        </w:rPr>
        <w:fldChar w:fldCharType="begin"/>
      </w:r>
      <w:r w:rsidR="00BA1F90">
        <w:rPr>
          <w:lang w:eastAsia="en-AU"/>
        </w:rPr>
        <w:instrText xml:space="preserve"> REF _Ref303606403 \h </w:instrText>
      </w:r>
      <w:r w:rsidR="00BA1F90">
        <w:rPr>
          <w:lang w:eastAsia="en-AU"/>
        </w:rPr>
      </w:r>
      <w:r w:rsidR="00BA1F90">
        <w:rPr>
          <w:lang w:eastAsia="en-AU"/>
        </w:rPr>
        <w:fldChar w:fldCharType="separate"/>
      </w:r>
      <w:r w:rsidR="00681D6A">
        <w:t xml:space="preserve">Figure </w:t>
      </w:r>
      <w:r w:rsidR="00681D6A">
        <w:rPr>
          <w:noProof/>
        </w:rPr>
        <w:t>2</w:t>
      </w:r>
      <w:r w:rsidR="00BA1F90">
        <w:rPr>
          <w:lang w:eastAsia="en-AU"/>
        </w:rPr>
        <w:fldChar w:fldCharType="end"/>
      </w:r>
      <w:r w:rsidR="00BA1F90">
        <w:rPr>
          <w:lang w:eastAsia="en-AU"/>
        </w:rPr>
        <w:t xml:space="preserve"> shows, the ACT also has the highest per capita non-residential sector energy use.</w:t>
      </w:r>
      <w:r w:rsidR="00592FF7" w:rsidRPr="00592FF7">
        <w:t xml:space="preserve"> </w:t>
      </w:r>
    </w:p>
    <w:p w:rsidR="00592FF7" w:rsidRPr="00D44526" w:rsidRDefault="00592FF7" w:rsidP="00592FF7">
      <w:r w:rsidRPr="00D44526">
        <w:t>The amount of energy used in the ACT is important for a number of reasons. The ACT as part of a broader Australian economy is, and will continue to be, dependent for some time to come on non-renewable fossil fuel sources such as coal, natural gas and petroleum. Over 90 per cent of the current national electricity generation depends on non-renewable fossil fuel sources, with coal representing 76 per cent and natural gas 16 per cent.</w:t>
      </w:r>
      <w:r w:rsidRPr="00D44526">
        <w:rPr>
          <w:rStyle w:val="FootnoteReference"/>
          <w:rFonts w:cs="Calibri"/>
        </w:rPr>
        <w:footnoteReference w:id="3"/>
      </w:r>
      <w:r w:rsidRPr="00D44526">
        <w:t xml:space="preserve"> </w:t>
      </w:r>
      <w:r>
        <w:t>Australia’s per capita greenhouse gas emissions are the highest of any OECD country and are among the highest in the world. Australia’s per capita emissions are nearly twice the OECD average and more than four times the world average</w:t>
      </w:r>
      <w:r>
        <w:rPr>
          <w:rStyle w:val="FootnoteReference"/>
        </w:rPr>
        <w:footnoteReference w:id="4"/>
      </w:r>
      <w:r>
        <w:t xml:space="preserve">. </w:t>
      </w:r>
      <w:r w:rsidRPr="00D44526">
        <w:t>While we will continue to rely on fossil fuel-based energy in the short to medium term, that dependence needs to be reduced as quickly as possible</w:t>
      </w:r>
      <w:r>
        <w:t xml:space="preserve"> if we are to reduce our GHG emissions.</w:t>
      </w:r>
    </w:p>
    <w:p w:rsidR="004A1E3B" w:rsidRDefault="004A1E3B" w:rsidP="00D44526">
      <w:pPr>
        <w:rPr>
          <w:lang w:eastAsia="en-AU"/>
        </w:rPr>
      </w:pPr>
    </w:p>
    <w:p w:rsidR="00DE3351" w:rsidRDefault="004A1E3B">
      <w:pPr>
        <w:pStyle w:val="Caption"/>
        <w:keepNext/>
      </w:pPr>
      <w:bookmarkStart w:id="9" w:name="_Ref303605793"/>
      <w:r>
        <w:t xml:space="preserve">Figure </w:t>
      </w:r>
      <w:r w:rsidR="006F5BB0">
        <w:rPr>
          <w:noProof/>
        </w:rPr>
        <w:fldChar w:fldCharType="begin"/>
      </w:r>
      <w:r w:rsidR="006F5BB0">
        <w:rPr>
          <w:noProof/>
        </w:rPr>
        <w:instrText xml:space="preserve"> SEQ Figure \* ARABIC </w:instrText>
      </w:r>
      <w:r w:rsidR="006F5BB0">
        <w:rPr>
          <w:noProof/>
        </w:rPr>
        <w:fldChar w:fldCharType="separate"/>
      </w:r>
      <w:r w:rsidR="00681D6A">
        <w:rPr>
          <w:noProof/>
        </w:rPr>
        <w:t>1</w:t>
      </w:r>
      <w:r w:rsidR="006F5BB0">
        <w:rPr>
          <w:noProof/>
        </w:rPr>
        <w:fldChar w:fldCharType="end"/>
      </w:r>
      <w:bookmarkEnd w:id="9"/>
      <w:r>
        <w:t>: Residential sector energy use (not including firewood)</w:t>
      </w:r>
      <w:r>
        <w:rPr>
          <w:rStyle w:val="FootnoteReference"/>
        </w:rPr>
        <w:footnoteReference w:id="5"/>
      </w:r>
    </w:p>
    <w:p w:rsidR="004A1E3B" w:rsidRDefault="006D6234" w:rsidP="00D44526">
      <w:pPr>
        <w:rPr>
          <w:lang w:eastAsia="en-AU"/>
        </w:rPr>
      </w:pPr>
      <w:r w:rsidRPr="003A52A1">
        <w:rPr>
          <w:noProof/>
          <w:lang w:eastAsia="en-AU"/>
        </w:rPr>
        <w:drawing>
          <wp:inline distT="0" distB="0" distL="0" distR="0">
            <wp:extent cx="5562600" cy="2552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2552700"/>
                    </a:xfrm>
                    <a:prstGeom prst="rect">
                      <a:avLst/>
                    </a:prstGeom>
                    <a:noFill/>
                    <a:ln>
                      <a:noFill/>
                    </a:ln>
                  </pic:spPr>
                </pic:pic>
              </a:graphicData>
            </a:graphic>
          </wp:inline>
        </w:drawing>
      </w:r>
    </w:p>
    <w:p w:rsidR="00DE3351" w:rsidRDefault="00BA1F90">
      <w:pPr>
        <w:pStyle w:val="Caption"/>
        <w:keepNext/>
      </w:pPr>
      <w:bookmarkStart w:id="10" w:name="_Ref303606403"/>
      <w:r>
        <w:t xml:space="preserve">Figure </w:t>
      </w:r>
      <w:r w:rsidR="006F5BB0">
        <w:rPr>
          <w:noProof/>
        </w:rPr>
        <w:fldChar w:fldCharType="begin"/>
      </w:r>
      <w:r w:rsidR="006F5BB0">
        <w:rPr>
          <w:noProof/>
        </w:rPr>
        <w:instrText xml:space="preserve"> SEQ Figure \* ARABIC </w:instrText>
      </w:r>
      <w:r w:rsidR="006F5BB0">
        <w:rPr>
          <w:noProof/>
        </w:rPr>
        <w:fldChar w:fldCharType="separate"/>
      </w:r>
      <w:r w:rsidR="00681D6A">
        <w:rPr>
          <w:noProof/>
        </w:rPr>
        <w:t>2</w:t>
      </w:r>
      <w:r w:rsidR="006F5BB0">
        <w:rPr>
          <w:noProof/>
        </w:rPr>
        <w:fldChar w:fldCharType="end"/>
      </w:r>
      <w:bookmarkEnd w:id="10"/>
      <w:r>
        <w:t>: Non-residential sector energy use</w:t>
      </w:r>
    </w:p>
    <w:p w:rsidR="00BA1F90" w:rsidRDefault="006D6234" w:rsidP="00D44526">
      <w:pPr>
        <w:rPr>
          <w:lang w:eastAsia="en-AU"/>
        </w:rPr>
      </w:pPr>
      <w:r w:rsidRPr="003A52A1">
        <w:rPr>
          <w:noProof/>
          <w:lang w:eastAsia="en-AU"/>
        </w:rPr>
        <w:drawing>
          <wp:inline distT="0" distB="0" distL="0" distR="0">
            <wp:extent cx="5562600" cy="2514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2514600"/>
                    </a:xfrm>
                    <a:prstGeom prst="rect">
                      <a:avLst/>
                    </a:prstGeom>
                    <a:noFill/>
                    <a:ln>
                      <a:noFill/>
                    </a:ln>
                  </pic:spPr>
                </pic:pic>
              </a:graphicData>
            </a:graphic>
          </wp:inline>
        </w:drawing>
      </w:r>
    </w:p>
    <w:p w:rsidR="00E95F63" w:rsidRPr="00D44526" w:rsidRDefault="00E95F63" w:rsidP="00D44526">
      <w:pPr>
        <w:rPr>
          <w:lang w:eastAsia="en-AU"/>
        </w:rPr>
      </w:pPr>
      <w:r w:rsidRPr="00D44526">
        <w:t xml:space="preserve">The use of </w:t>
      </w:r>
      <w:r w:rsidR="00E17E1C" w:rsidRPr="00D44526">
        <w:t xml:space="preserve">stationary energy sources </w:t>
      </w:r>
      <w:r w:rsidRPr="00D44526">
        <w:t>in particular, significantly contributes to the overall GH</w:t>
      </w:r>
      <w:r w:rsidR="00E17E1C" w:rsidRPr="00D44526">
        <w:t xml:space="preserve">G emissions profile for the ACT. </w:t>
      </w:r>
      <w:r w:rsidRPr="00D44526">
        <w:t xml:space="preserve">In 2008, the ACT produced 4.18 million tonnes of greenhouse gas emissions. </w:t>
      </w:r>
      <w:r w:rsidR="00E26543">
        <w:t xml:space="preserve">As shown in </w:t>
      </w:r>
      <w:r w:rsidR="00E26543">
        <w:fldChar w:fldCharType="begin"/>
      </w:r>
      <w:r w:rsidR="00E26543">
        <w:instrText xml:space="preserve"> REF _Ref303242756 \h </w:instrText>
      </w:r>
      <w:r w:rsidR="00E26543">
        <w:fldChar w:fldCharType="separate"/>
      </w:r>
      <w:r w:rsidR="00681D6A">
        <w:t xml:space="preserve">Figure </w:t>
      </w:r>
      <w:r w:rsidR="00681D6A">
        <w:rPr>
          <w:noProof/>
        </w:rPr>
        <w:t>3</w:t>
      </w:r>
      <w:r w:rsidR="00E26543">
        <w:fldChar w:fldCharType="end"/>
      </w:r>
      <w:r w:rsidR="00E26543">
        <w:t>, r</w:t>
      </w:r>
      <w:r w:rsidRPr="00D44526">
        <w:t>esidential and non-residential electricity use accounted for 25 and 37 per cent respectively</w:t>
      </w:r>
      <w:r w:rsidR="00E17E1C" w:rsidRPr="00D44526">
        <w:t xml:space="preserve">. </w:t>
      </w:r>
      <w:r w:rsidRPr="00D44526">
        <w:t>Residential and non-residential natural gas consumption accounted for around 5 and 3 per cent respectively. Only 6 per cent of emissions came from non</w:t>
      </w:r>
      <w:r w:rsidRPr="00D44526">
        <w:noBreakHyphen/>
        <w:t>energy</w:t>
      </w:r>
      <w:r w:rsidRPr="00D44526">
        <w:noBreakHyphen/>
        <w:t>related sources such as industrial processes and waste.</w:t>
      </w:r>
    </w:p>
    <w:p w:rsidR="00E26543" w:rsidRDefault="00E26543" w:rsidP="009826E8">
      <w:pPr>
        <w:pStyle w:val="Caption"/>
        <w:keepNext/>
      </w:pPr>
      <w:bookmarkStart w:id="11" w:name="_Ref303242756"/>
      <w:r>
        <w:t xml:space="preserve">Figure </w:t>
      </w:r>
      <w:r w:rsidR="006F5BB0">
        <w:rPr>
          <w:noProof/>
        </w:rPr>
        <w:fldChar w:fldCharType="begin"/>
      </w:r>
      <w:r w:rsidR="006F5BB0">
        <w:rPr>
          <w:noProof/>
        </w:rPr>
        <w:instrText xml:space="preserve"> SEQ Figure \* ARABIC </w:instrText>
      </w:r>
      <w:r w:rsidR="006F5BB0">
        <w:rPr>
          <w:noProof/>
        </w:rPr>
        <w:fldChar w:fldCharType="separate"/>
      </w:r>
      <w:r w:rsidR="00681D6A">
        <w:rPr>
          <w:noProof/>
        </w:rPr>
        <w:t>3</w:t>
      </w:r>
      <w:r w:rsidR="006F5BB0">
        <w:rPr>
          <w:noProof/>
        </w:rPr>
        <w:fldChar w:fldCharType="end"/>
      </w:r>
      <w:bookmarkEnd w:id="11"/>
      <w:r>
        <w:t xml:space="preserve">: </w:t>
      </w:r>
      <w:r w:rsidRPr="003E70D5">
        <w:t>The ACT’s sources of greenhouse gas emissions</w:t>
      </w:r>
    </w:p>
    <w:p w:rsidR="00E95F63" w:rsidRPr="00D44526" w:rsidRDefault="006D6234" w:rsidP="004A2D09">
      <w:pPr>
        <w:pStyle w:val="Default"/>
        <w:spacing w:before="120" w:after="120"/>
        <w:rPr>
          <w:rFonts w:ascii="Calibri" w:hAnsi="Calibri" w:cs="Calibri"/>
          <w:color w:val="auto"/>
          <w:sz w:val="22"/>
          <w:szCs w:val="22"/>
        </w:rPr>
      </w:pPr>
      <w:r w:rsidRPr="006D6234">
        <w:rPr>
          <w:rFonts w:ascii="Calibri" w:hAnsi="Calibri" w:cs="Calibri"/>
          <w:noProof/>
          <w:sz w:val="22"/>
          <w:szCs w:val="22"/>
        </w:rPr>
        <w:drawing>
          <wp:inline distT="0" distB="0" distL="0" distR="0">
            <wp:extent cx="4895850" cy="30480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5850" cy="3048000"/>
                    </a:xfrm>
                    <a:prstGeom prst="rect">
                      <a:avLst/>
                    </a:prstGeom>
                    <a:noFill/>
                    <a:ln>
                      <a:noFill/>
                    </a:ln>
                  </pic:spPr>
                </pic:pic>
              </a:graphicData>
            </a:graphic>
          </wp:inline>
        </w:drawing>
      </w:r>
    </w:p>
    <w:p w:rsidR="00E95F63" w:rsidRPr="00D44526" w:rsidRDefault="00E95F63" w:rsidP="00433BC3">
      <w:pPr>
        <w:autoSpaceDE w:val="0"/>
        <w:autoSpaceDN w:val="0"/>
        <w:adjustRightInd w:val="0"/>
        <w:spacing w:before="120" w:after="120" w:line="240" w:lineRule="auto"/>
        <w:rPr>
          <w:rFonts w:cs="Calibri"/>
        </w:rPr>
      </w:pPr>
    </w:p>
    <w:p w:rsidR="004A2D09" w:rsidRDefault="003D31E0" w:rsidP="00D44526">
      <w:r w:rsidRPr="00D44526">
        <w:t>Further, t</w:t>
      </w:r>
      <w:r w:rsidR="00EF5979" w:rsidRPr="00D44526">
        <w:t xml:space="preserve">he ACT has no significant domestic electricity generation and imports all natural gas and transport fuels, the exceptions being some generation from mini-hydro, landfill methane gas and small-scale solar, which </w:t>
      </w:r>
      <w:r w:rsidR="002F45BB">
        <w:t xml:space="preserve">combined </w:t>
      </w:r>
      <w:r w:rsidR="00EF5979" w:rsidRPr="00D44526">
        <w:t>generate less than one per cent of electricity used in the Territory. The remainder of our electricity is sourced from the National Electricity Market from generators in other states.</w:t>
      </w:r>
    </w:p>
    <w:p w:rsidR="00AC5595" w:rsidRPr="00B6756A" w:rsidRDefault="00690FAA" w:rsidP="004F7A03">
      <w:pPr>
        <w:pStyle w:val="Heading3"/>
        <w:rPr>
          <w:lang w:eastAsia="en-AU"/>
        </w:rPr>
      </w:pPr>
      <w:r w:rsidRPr="00690FAA">
        <w:rPr>
          <w:lang w:eastAsia="en-AU"/>
        </w:rPr>
        <w:t>Rising energy prices</w:t>
      </w:r>
    </w:p>
    <w:p w:rsidR="00F4773C" w:rsidRDefault="002F45BB" w:rsidP="00D44526">
      <w:r>
        <w:t xml:space="preserve">Our inefficient use of energy creates a risk for the community when faced with </w:t>
      </w:r>
      <w:r w:rsidR="00B90449">
        <w:t>likely future</w:t>
      </w:r>
      <w:r>
        <w:t xml:space="preserve"> higher energy prices. </w:t>
      </w:r>
    </w:p>
    <w:p w:rsidR="002F45BB" w:rsidRDefault="002F45BB" w:rsidP="00D44526">
      <w:r>
        <w:t xml:space="preserve">The national electricity market will </w:t>
      </w:r>
      <w:r w:rsidR="00F4773C">
        <w:t>absorb</w:t>
      </w:r>
      <w:r>
        <w:t xml:space="preserve"> high levels of investment in generation and network infrastructure </w:t>
      </w:r>
      <w:r w:rsidR="00F4773C">
        <w:t>over the coming decade</w:t>
      </w:r>
      <w:r>
        <w:t>. Much of this investment relates to</w:t>
      </w:r>
      <w:r w:rsidR="00E26543">
        <w:t xml:space="preserve"> demand for</w:t>
      </w:r>
      <w:r>
        <w:t xml:space="preserve"> gas generation plants required to meet ever higher peak loads resulting, to a large exten</w:t>
      </w:r>
      <w:r w:rsidR="00E26543">
        <w:t>t</w:t>
      </w:r>
      <w:r>
        <w:t xml:space="preserve">, </w:t>
      </w:r>
      <w:r w:rsidR="00E26543">
        <w:t>from</w:t>
      </w:r>
      <w:r>
        <w:t xml:space="preserve"> the increasing use of air conditioning on hot days. These costs will be amortised across all users in the national electricity market and will result in higher electricity prices for ACT households and businesses.</w:t>
      </w:r>
    </w:p>
    <w:p w:rsidR="002F45BB" w:rsidRDefault="002F45BB" w:rsidP="00D44526">
      <w:r>
        <w:t xml:space="preserve">The need to move to </w:t>
      </w:r>
      <w:r w:rsidR="00E26543">
        <w:t xml:space="preserve">a </w:t>
      </w:r>
      <w:r>
        <w:t>higher-cost</w:t>
      </w:r>
      <w:r w:rsidR="00AE5248">
        <w:t>,</w:t>
      </w:r>
      <w:r>
        <w:t xml:space="preserve"> low carbon </w:t>
      </w:r>
      <w:r w:rsidR="00E26543">
        <w:t xml:space="preserve">economy </w:t>
      </w:r>
      <w:r>
        <w:t xml:space="preserve">and renewable energy </w:t>
      </w:r>
      <w:r w:rsidR="00AE5248">
        <w:t xml:space="preserve">sources </w:t>
      </w:r>
      <w:r w:rsidR="007A121A">
        <w:t>will also</w:t>
      </w:r>
      <w:r w:rsidR="00592FF7">
        <w:t xml:space="preserve"> have an </w:t>
      </w:r>
      <w:r w:rsidR="007A121A">
        <w:t xml:space="preserve">impact </w:t>
      </w:r>
      <w:r w:rsidR="00127043">
        <w:t xml:space="preserve">on </w:t>
      </w:r>
      <w:r w:rsidR="007A121A">
        <w:t>energy prices. These costs are primarily manifest in scheme costs passed through to energy users</w:t>
      </w:r>
      <w:r w:rsidR="00127043">
        <w:t>,</w:t>
      </w:r>
      <w:r w:rsidR="007A121A">
        <w:t xml:space="preserve"> such as the Commonwealth’s </w:t>
      </w:r>
      <w:r w:rsidR="00AE5248">
        <w:t>R</w:t>
      </w:r>
      <w:r w:rsidR="007A121A">
        <w:t xml:space="preserve">enewable </w:t>
      </w:r>
      <w:r w:rsidR="00AE5248">
        <w:t>E</w:t>
      </w:r>
      <w:r w:rsidR="007A121A">
        <w:t xml:space="preserve">nergy </w:t>
      </w:r>
      <w:r w:rsidR="00AE5248">
        <w:t>T</w:t>
      </w:r>
      <w:r w:rsidR="007A121A">
        <w:t xml:space="preserve">arget </w:t>
      </w:r>
      <w:r w:rsidR="00AE5248">
        <w:t>S</w:t>
      </w:r>
      <w:r w:rsidR="007A121A">
        <w:t>cheme and the ACT feed-in tariffs.</w:t>
      </w:r>
      <w:r w:rsidR="00F4773C">
        <w:t xml:space="preserve"> </w:t>
      </w:r>
      <w:r w:rsidR="00F4773C">
        <w:fldChar w:fldCharType="begin"/>
      </w:r>
      <w:r w:rsidR="00F4773C">
        <w:instrText xml:space="preserve"> REF _Ref303152865 \h </w:instrText>
      </w:r>
      <w:r w:rsidR="00F4773C">
        <w:fldChar w:fldCharType="separate"/>
      </w:r>
      <w:r w:rsidR="00681D6A">
        <w:t xml:space="preserve">Figure </w:t>
      </w:r>
      <w:r w:rsidR="00681D6A">
        <w:rPr>
          <w:noProof/>
        </w:rPr>
        <w:t>4</w:t>
      </w:r>
      <w:r w:rsidR="00F4773C">
        <w:fldChar w:fldCharType="end"/>
      </w:r>
      <w:r w:rsidR="00F4773C">
        <w:t xml:space="preserve"> presents a mid</w:t>
      </w:r>
      <w:r w:rsidR="00127043">
        <w:t>-</w:t>
      </w:r>
      <w:r w:rsidR="00F4773C">
        <w:t>range scenario for electricity prices in both nominal and real (discounted for inflation) terms.</w:t>
      </w:r>
    </w:p>
    <w:p w:rsidR="00513E3A" w:rsidRDefault="00513E3A" w:rsidP="00D44526">
      <w:r>
        <w:t xml:space="preserve">In addition to reducing household and business electricity costs, improving energy efficiency can also reduce the need for generation and network infrastructure investment and therefore lower wholesale prices and network charges. This has been a significant justification for the development of the NSW Energy Savings Scheme and the proposed expansion of the Victorian Energy Efficiency Target Scheme. While it is difficult, due to our small size, to model the impact of reduced ACT energy consumption on </w:t>
      </w:r>
      <w:r w:rsidR="00670B30">
        <w:t xml:space="preserve">required </w:t>
      </w:r>
      <w:r>
        <w:t xml:space="preserve">investment in the national electricity market, </w:t>
      </w:r>
      <w:r w:rsidR="00D95625">
        <w:t>reduced wholesale prices and network charges would be associated with the impact of reduced electricity consumption in the ACT.</w:t>
      </w:r>
    </w:p>
    <w:p w:rsidR="00F4773C" w:rsidRDefault="00F4773C" w:rsidP="00D44526">
      <w:r>
        <w:t>Natural gas price rises in Australia’s Eastern states are also expected to increase markedly over the coming decade</w:t>
      </w:r>
      <w:r w:rsidR="00670B30">
        <w:t>. This is</w:t>
      </w:r>
      <w:r>
        <w:t xml:space="preserve"> a result of increased demand as well as the development of Compressed National Gas export facilities</w:t>
      </w:r>
      <w:r w:rsidR="003F03FE">
        <w:t>,</w:t>
      </w:r>
      <w:r>
        <w:t xml:space="preserve"> which will move wholesale natural gas pricing closer to</w:t>
      </w:r>
      <w:r w:rsidR="00670B30">
        <w:t xml:space="preserve"> the</w:t>
      </w:r>
      <w:r>
        <w:t xml:space="preserve"> relatively high international export contract prices. </w:t>
      </w:r>
      <w:r>
        <w:fldChar w:fldCharType="begin"/>
      </w:r>
      <w:r>
        <w:instrText xml:space="preserve"> REF _Ref303153073 \h </w:instrText>
      </w:r>
      <w:r>
        <w:fldChar w:fldCharType="separate"/>
      </w:r>
      <w:r w:rsidR="00681D6A">
        <w:t xml:space="preserve">Figure </w:t>
      </w:r>
      <w:r w:rsidR="00681D6A">
        <w:rPr>
          <w:noProof/>
        </w:rPr>
        <w:t>5</w:t>
      </w:r>
      <w:r>
        <w:fldChar w:fldCharType="end"/>
      </w:r>
      <w:r w:rsidR="00DA6166">
        <w:t xml:space="preserve"> presents a mid</w:t>
      </w:r>
      <w:r w:rsidR="003F03FE">
        <w:t>-</w:t>
      </w:r>
      <w:r w:rsidR="00DA6166">
        <w:t xml:space="preserve">range scenario for natural </w:t>
      </w:r>
      <w:r w:rsidR="00B36A28">
        <w:t>gas prices</w:t>
      </w:r>
      <w:r w:rsidR="00DA6166">
        <w:t xml:space="preserve"> in both nominal and real (discounted for inflation) terms.</w:t>
      </w:r>
    </w:p>
    <w:p w:rsidR="00D7171F" w:rsidRDefault="00F4773C">
      <w:pPr>
        <w:pStyle w:val="Caption"/>
        <w:keepNext/>
        <w:rPr>
          <w:b w:val="0"/>
        </w:rPr>
      </w:pPr>
      <w:bookmarkStart w:id="12" w:name="_Ref303152865"/>
      <w:bookmarkStart w:id="13" w:name="_Ref303152871"/>
      <w:r>
        <w:t xml:space="preserve">Figure </w:t>
      </w:r>
      <w:r w:rsidR="006F5BB0">
        <w:rPr>
          <w:noProof/>
        </w:rPr>
        <w:fldChar w:fldCharType="begin"/>
      </w:r>
      <w:r w:rsidR="006F5BB0">
        <w:rPr>
          <w:noProof/>
        </w:rPr>
        <w:instrText xml:space="preserve"> SEQ Figure \* ARABIC </w:instrText>
      </w:r>
      <w:r w:rsidR="006F5BB0">
        <w:rPr>
          <w:noProof/>
        </w:rPr>
        <w:fldChar w:fldCharType="separate"/>
      </w:r>
      <w:r w:rsidR="00681D6A">
        <w:rPr>
          <w:noProof/>
        </w:rPr>
        <w:t>4</w:t>
      </w:r>
      <w:r w:rsidR="006F5BB0">
        <w:rPr>
          <w:noProof/>
        </w:rPr>
        <w:fldChar w:fldCharType="end"/>
      </w:r>
      <w:bookmarkEnd w:id="12"/>
      <w:r w:rsidRPr="00F4773C">
        <w:t xml:space="preserve">: </w:t>
      </w:r>
      <w:r w:rsidR="00690FAA" w:rsidRPr="00690FAA">
        <w:t>Mid-range ACT small customer electricity prices, 2011-12 to 2030-31</w:t>
      </w:r>
      <w:bookmarkEnd w:id="13"/>
    </w:p>
    <w:p w:rsidR="00690FAA" w:rsidRPr="00690FAA" w:rsidRDefault="006D6234" w:rsidP="00690FAA">
      <w:pPr>
        <w:pStyle w:val="Caption"/>
        <w:rPr>
          <w:b w:val="0"/>
        </w:rPr>
      </w:pPr>
      <w:r w:rsidRPr="003A52A1">
        <w:rPr>
          <w:noProof/>
          <w:lang w:eastAsia="en-AU"/>
        </w:rPr>
        <w:drawing>
          <wp:inline distT="0" distB="0" distL="0" distR="0">
            <wp:extent cx="5876925" cy="2581275"/>
            <wp:effectExtent l="0" t="0" r="0" b="0"/>
            <wp:docPr id="6"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171F" w:rsidRDefault="00F4773C">
      <w:pPr>
        <w:pStyle w:val="Caption"/>
        <w:keepNext/>
      </w:pPr>
      <w:bookmarkStart w:id="14" w:name="_Ref303153073"/>
      <w:bookmarkStart w:id="15" w:name="_Ref303153063"/>
      <w:r>
        <w:t xml:space="preserve">Figure </w:t>
      </w:r>
      <w:r w:rsidR="006F5BB0">
        <w:rPr>
          <w:noProof/>
        </w:rPr>
        <w:fldChar w:fldCharType="begin"/>
      </w:r>
      <w:r w:rsidR="006F5BB0">
        <w:rPr>
          <w:noProof/>
        </w:rPr>
        <w:instrText xml:space="preserve"> SEQ Figure \* ARABIC </w:instrText>
      </w:r>
      <w:r w:rsidR="006F5BB0">
        <w:rPr>
          <w:noProof/>
        </w:rPr>
        <w:fldChar w:fldCharType="separate"/>
      </w:r>
      <w:r w:rsidR="00681D6A">
        <w:rPr>
          <w:noProof/>
        </w:rPr>
        <w:t>5</w:t>
      </w:r>
      <w:r w:rsidR="006F5BB0">
        <w:rPr>
          <w:noProof/>
        </w:rPr>
        <w:fldChar w:fldCharType="end"/>
      </w:r>
      <w:bookmarkEnd w:id="14"/>
      <w:r w:rsidR="00690FAA" w:rsidRPr="00690FAA">
        <w:t xml:space="preserve">: Mid-range ACT small customer </w:t>
      </w:r>
      <w:r>
        <w:t xml:space="preserve">natural </w:t>
      </w:r>
      <w:r w:rsidR="00690FAA" w:rsidRPr="00690FAA">
        <w:t>gas charges 2011-12 to 2030-31</w:t>
      </w:r>
      <w:bookmarkEnd w:id="15"/>
    </w:p>
    <w:p w:rsidR="00690FAA" w:rsidRDefault="006D6234" w:rsidP="00690FAA">
      <w:r w:rsidRPr="003A52A1">
        <w:rPr>
          <w:noProof/>
          <w:lang w:eastAsia="en-AU"/>
        </w:rPr>
        <w:drawing>
          <wp:inline distT="0" distB="0" distL="0" distR="0">
            <wp:extent cx="5876925" cy="2600325"/>
            <wp:effectExtent l="0" t="0" r="0" b="0"/>
            <wp:docPr id="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0FAA" w:rsidRPr="00690FAA" w:rsidRDefault="00690FAA" w:rsidP="00690FAA"/>
    <w:p w:rsidR="00B46D4B" w:rsidRPr="00D44526" w:rsidRDefault="00B46D4B" w:rsidP="00D44526">
      <w:r w:rsidRPr="00D44526">
        <w:t>As the price of energy continues to rise, the impact of inefficient energy use in low-income households also becomes an increasingly important issue</w:t>
      </w:r>
      <w:r w:rsidR="00B64F42" w:rsidRPr="00D44526">
        <w:t>. Low-income households spend a much greater proportion of their budge</w:t>
      </w:r>
      <w:r w:rsidR="00EB589D" w:rsidRPr="00D44526">
        <w:t xml:space="preserve">t – nearly double – </w:t>
      </w:r>
      <w:r w:rsidR="00B64F42" w:rsidRPr="00D44526">
        <w:t>on</w:t>
      </w:r>
      <w:r w:rsidR="00EB589D" w:rsidRPr="00D44526">
        <w:t xml:space="preserve"> </w:t>
      </w:r>
      <w:r w:rsidR="00B64F42" w:rsidRPr="00D44526">
        <w:t>energy than wealthier households</w:t>
      </w:r>
      <w:r w:rsidR="00530955" w:rsidRPr="00D44526">
        <w:rPr>
          <w:rStyle w:val="FootnoteReference"/>
          <w:rFonts w:cs="Calibri"/>
        </w:rPr>
        <w:footnoteReference w:id="6"/>
      </w:r>
      <w:r w:rsidR="00B64F42" w:rsidRPr="00D44526">
        <w:t xml:space="preserve">. </w:t>
      </w:r>
      <w:r w:rsidR="00EB589D" w:rsidRPr="00D44526">
        <w:t xml:space="preserve">The opportunity for these households to invest in energy efficiency measures is also reduced, compounding the issue. </w:t>
      </w:r>
      <w:r w:rsidR="00B64F42" w:rsidRPr="00D44526">
        <w:t xml:space="preserve">Given that energy </w:t>
      </w:r>
      <w:r w:rsidR="00EB589D" w:rsidRPr="00D44526">
        <w:t>is an essential service</w:t>
      </w:r>
      <w:r w:rsidR="00B64F42" w:rsidRPr="00D44526">
        <w:t>, when the prices of these services increase, householders are left with little option but to pay the extra</w:t>
      </w:r>
      <w:r w:rsidR="00EB589D" w:rsidRPr="00D44526">
        <w:t xml:space="preserve"> cost</w:t>
      </w:r>
      <w:r w:rsidR="00B64F42" w:rsidRPr="00D44526">
        <w:t>.</w:t>
      </w:r>
    </w:p>
    <w:p w:rsidR="005445A6" w:rsidRDefault="00E95F63" w:rsidP="005445A6">
      <w:r w:rsidRPr="00D44526">
        <w:t>A significant imperative therefore exists to address the effi</w:t>
      </w:r>
      <w:r w:rsidR="006D5A1F" w:rsidRPr="00D44526">
        <w:t>ciency of energy use in the ACT, as improving energy efficiency</w:t>
      </w:r>
      <w:r w:rsidRPr="00D44526">
        <w:t xml:space="preserve"> will </w:t>
      </w:r>
      <w:r w:rsidR="003F03FE">
        <w:t>reduce</w:t>
      </w:r>
      <w:r w:rsidRPr="00D44526">
        <w:t xml:space="preserve"> </w:t>
      </w:r>
      <w:r w:rsidR="006D5A1F" w:rsidRPr="00D44526">
        <w:t>the impact of price increases on households</w:t>
      </w:r>
      <w:r w:rsidR="003F03FE">
        <w:t>,</w:t>
      </w:r>
      <w:r w:rsidRPr="00D44526">
        <w:t xml:space="preserve"> </w:t>
      </w:r>
      <w:r w:rsidR="006D5A1F" w:rsidRPr="00D44526">
        <w:t xml:space="preserve">contribute to </w:t>
      </w:r>
      <w:r w:rsidRPr="00D44526">
        <w:t>GHG emissions reductions in the ACT</w:t>
      </w:r>
      <w:r w:rsidR="00D95625">
        <w:t xml:space="preserve"> and enhance social equity</w:t>
      </w:r>
      <w:r w:rsidRPr="00D44526">
        <w:t>.</w:t>
      </w:r>
      <w:r w:rsidR="00513E3A">
        <w:t xml:space="preserve"> </w:t>
      </w:r>
    </w:p>
    <w:p w:rsidR="005445A6" w:rsidRPr="005445A6" w:rsidRDefault="005445A6" w:rsidP="005445A6">
      <w:pPr>
        <w:rPr>
          <w:highlight w:val="yellow"/>
        </w:rPr>
      </w:pPr>
      <w:r>
        <w:t xml:space="preserve">Analysis undertaken to support </w:t>
      </w:r>
      <w:r w:rsidR="003F03FE">
        <w:t>t</w:t>
      </w:r>
      <w:r w:rsidR="00AE5248">
        <w:t xml:space="preserve">he ACT Government’s </w:t>
      </w:r>
      <w:r>
        <w:t>Climate Change</w:t>
      </w:r>
      <w:r w:rsidR="00AE5248">
        <w:t xml:space="preserve"> Strategy </w:t>
      </w:r>
      <w:r w:rsidR="00D77982" w:rsidRPr="00D77982">
        <w:rPr>
          <w:i/>
        </w:rPr>
        <w:t>Weathering the Change Action Plan 2</w:t>
      </w:r>
      <w:r>
        <w:t xml:space="preserve"> demonstrates that energy efficiency is the most cost-effective way for the Territory to </w:t>
      </w:r>
      <w:r w:rsidR="00AE5248">
        <w:t xml:space="preserve">reduce </w:t>
      </w:r>
      <w:r>
        <w:t>greenhouse gas emissions. Increasing energy efficiency will therefore reduce costs to the ACT community in meeting our legislated greenhouse gas reduction targets.</w:t>
      </w:r>
    </w:p>
    <w:p w:rsidR="0059024A" w:rsidRPr="00D44526" w:rsidRDefault="0059024A" w:rsidP="00D404FA">
      <w:pPr>
        <w:pStyle w:val="Heading2"/>
      </w:pPr>
      <w:bookmarkStart w:id="16" w:name="_Toc303670538"/>
      <w:bookmarkStart w:id="17" w:name="_Toc306808218"/>
      <w:r w:rsidRPr="00D44526">
        <w:t xml:space="preserve">Nature of </w:t>
      </w:r>
      <w:r w:rsidR="00D63983">
        <w:t xml:space="preserve">the market </w:t>
      </w:r>
      <w:r w:rsidR="00D91212">
        <w:t>barriers</w:t>
      </w:r>
      <w:bookmarkEnd w:id="16"/>
      <w:bookmarkEnd w:id="17"/>
    </w:p>
    <w:p w:rsidR="00690FAA" w:rsidRPr="00690FAA" w:rsidRDefault="00D91212" w:rsidP="00690FAA">
      <w:r>
        <w:t>The ACT Government continues to advocate for a national price on carbon as an economically efficient way of reducing national emissions and the emissions intensity of electricity supplied to the ACT through the national electricity market. The ACT will</w:t>
      </w:r>
      <w:r w:rsidR="009A0B1F">
        <w:t>,</w:t>
      </w:r>
      <w:r>
        <w:t xml:space="preserve"> however</w:t>
      </w:r>
      <w:r w:rsidR="009A0B1F">
        <w:t>,</w:t>
      </w:r>
      <w:r>
        <w:t xml:space="preserve"> require additional complementary measures to reduce our emissions in line with our own emissions reduction objectives and mitigate some of the impacts of a carbon price on our community.</w:t>
      </w:r>
    </w:p>
    <w:p w:rsidR="00690FAA" w:rsidRPr="00690FAA" w:rsidRDefault="00690FAA" w:rsidP="00690FAA">
      <w:r w:rsidRPr="00690FAA">
        <w:t xml:space="preserve">The ACT, through the Council of Australian Governments </w:t>
      </w:r>
      <w:r w:rsidR="00D91212">
        <w:t>(COAG)</w:t>
      </w:r>
      <w:r w:rsidR="00CA7235">
        <w:t>,</w:t>
      </w:r>
      <w:r w:rsidR="00D91212">
        <w:t xml:space="preserve"> </w:t>
      </w:r>
      <w:r w:rsidRPr="00690FAA">
        <w:t xml:space="preserve">has agreed to a set of principles to guide assessment of emission reduction measures and determine whether the measures complement emissions trading. These principles include the </w:t>
      </w:r>
      <w:r w:rsidR="00D07856">
        <w:t>need for measures to be</w:t>
      </w:r>
      <w:r w:rsidRPr="00690FAA">
        <w:t xml:space="preserve"> targeted at a market failure that is not expected to be adequately addressed by pricing carbon</w:t>
      </w:r>
      <w:r w:rsidR="00D91212">
        <w:t>,</w:t>
      </w:r>
      <w:r w:rsidRPr="00690FAA">
        <w:t xml:space="preserve"> including where the price signals of the carbon price are insufficient to overcome other market failures that prevent the take-up of otherwise cost-effective abatement measures. Complementary measures may also be targeted to manage the impacts of the </w:t>
      </w:r>
      <w:r w:rsidR="00D91212">
        <w:t>carbon price</w:t>
      </w:r>
      <w:r w:rsidRPr="00690FAA">
        <w:t xml:space="preserve"> on particular sectors of the economy.</w:t>
      </w:r>
    </w:p>
    <w:p w:rsidR="00DF6564" w:rsidRPr="00D44526" w:rsidRDefault="00E27D73" w:rsidP="00D44526">
      <w:pPr>
        <w:rPr>
          <w:lang w:eastAsia="en-AU"/>
        </w:rPr>
      </w:pPr>
      <w:r w:rsidRPr="00D44526">
        <w:rPr>
          <w:lang w:eastAsia="en-AU"/>
        </w:rPr>
        <w:t xml:space="preserve">There </w:t>
      </w:r>
      <w:r w:rsidR="00CA7235">
        <w:rPr>
          <w:lang w:eastAsia="en-AU"/>
        </w:rPr>
        <w:t>is</w:t>
      </w:r>
      <w:r w:rsidRPr="00D44526">
        <w:rPr>
          <w:lang w:eastAsia="en-AU"/>
        </w:rPr>
        <w:t xml:space="preserve"> a range of market failures and barriers which prevent optimal uptake of </w:t>
      </w:r>
      <w:r w:rsidR="00D91212">
        <w:rPr>
          <w:lang w:eastAsia="en-AU"/>
        </w:rPr>
        <w:t xml:space="preserve">cost-effective </w:t>
      </w:r>
      <w:r w:rsidRPr="00D44526">
        <w:rPr>
          <w:lang w:eastAsia="en-AU"/>
        </w:rPr>
        <w:t>energy efficiency</w:t>
      </w:r>
      <w:r w:rsidR="00D91212">
        <w:rPr>
          <w:lang w:eastAsia="en-AU"/>
        </w:rPr>
        <w:t>,</w:t>
      </w:r>
      <w:r w:rsidR="00D07856">
        <w:rPr>
          <w:lang w:eastAsia="en-AU"/>
        </w:rPr>
        <w:t xml:space="preserve"> even under a national system for pricing carbon</w:t>
      </w:r>
      <w:r w:rsidR="009E3783" w:rsidRPr="00D44526">
        <w:rPr>
          <w:lang w:eastAsia="en-AU"/>
        </w:rPr>
        <w:t xml:space="preserve">. These </w:t>
      </w:r>
      <w:r w:rsidR="00D91212">
        <w:rPr>
          <w:lang w:eastAsia="en-AU"/>
        </w:rPr>
        <w:t xml:space="preserve">barriers </w:t>
      </w:r>
      <w:r w:rsidR="009E3783" w:rsidRPr="00D44526">
        <w:rPr>
          <w:lang w:eastAsia="en-AU"/>
        </w:rPr>
        <w:t xml:space="preserve">have been extensively discussed </w:t>
      </w:r>
      <w:r w:rsidR="008C1B00" w:rsidRPr="00D44526">
        <w:rPr>
          <w:lang w:eastAsia="en-AU"/>
        </w:rPr>
        <w:t>by</w:t>
      </w:r>
      <w:r w:rsidR="009E3783" w:rsidRPr="00D44526">
        <w:rPr>
          <w:lang w:eastAsia="en-AU"/>
        </w:rPr>
        <w:t xml:space="preserve"> other jurisdictions in</w:t>
      </w:r>
      <w:r w:rsidR="008C1B00" w:rsidRPr="00D44526">
        <w:rPr>
          <w:lang w:eastAsia="en-AU"/>
        </w:rPr>
        <w:t xml:space="preserve"> Australia, as well as overseas, in the</w:t>
      </w:r>
      <w:r w:rsidR="009E3783" w:rsidRPr="00D44526">
        <w:rPr>
          <w:lang w:eastAsia="en-AU"/>
        </w:rPr>
        <w:t xml:space="preserve"> development of</w:t>
      </w:r>
      <w:r w:rsidR="008C1B00" w:rsidRPr="00D44526">
        <w:rPr>
          <w:lang w:eastAsia="en-AU"/>
        </w:rPr>
        <w:t xml:space="preserve"> their</w:t>
      </w:r>
      <w:r w:rsidR="009E3783" w:rsidRPr="00D44526">
        <w:rPr>
          <w:lang w:eastAsia="en-AU"/>
        </w:rPr>
        <w:t xml:space="preserve"> energy efficiency schemes. Notably, the Victorian Energy Efficiency Target (VEET) R</w:t>
      </w:r>
      <w:r w:rsidR="00AE5248">
        <w:rPr>
          <w:lang w:eastAsia="en-AU"/>
        </w:rPr>
        <w:t xml:space="preserve">egulatory </w:t>
      </w:r>
      <w:r w:rsidR="009E3783" w:rsidRPr="00D44526">
        <w:rPr>
          <w:lang w:eastAsia="en-AU"/>
        </w:rPr>
        <w:t>I</w:t>
      </w:r>
      <w:r w:rsidR="00AE5248">
        <w:rPr>
          <w:lang w:eastAsia="en-AU"/>
        </w:rPr>
        <w:t xml:space="preserve">mpact </w:t>
      </w:r>
      <w:r w:rsidR="009E3783" w:rsidRPr="00D44526">
        <w:rPr>
          <w:lang w:eastAsia="en-AU"/>
        </w:rPr>
        <w:t>S</w:t>
      </w:r>
      <w:r w:rsidR="00AE5248">
        <w:rPr>
          <w:lang w:eastAsia="en-AU"/>
        </w:rPr>
        <w:t>tatement</w:t>
      </w:r>
      <w:r w:rsidR="0038264F">
        <w:rPr>
          <w:lang w:eastAsia="en-AU"/>
        </w:rPr>
        <w:t xml:space="preserve"> (RIS)</w:t>
      </w:r>
      <w:r w:rsidR="009E3783" w:rsidRPr="00D44526">
        <w:rPr>
          <w:lang w:eastAsia="en-AU"/>
        </w:rPr>
        <w:t xml:space="preserve"> discusses the details of these failures, with these also relevant to the situation in the ACT. They </w:t>
      </w:r>
      <w:r w:rsidRPr="00D44526">
        <w:rPr>
          <w:lang w:eastAsia="en-AU"/>
        </w:rPr>
        <w:t>are discussed below.</w:t>
      </w:r>
    </w:p>
    <w:p w:rsidR="008C1B00" w:rsidRPr="00D44526" w:rsidRDefault="0089732C" w:rsidP="00433BC3">
      <w:pPr>
        <w:spacing w:before="120" w:after="120"/>
        <w:rPr>
          <w:rFonts w:cs="Calibri"/>
        </w:rPr>
      </w:pPr>
      <w:bookmarkStart w:id="18" w:name="_Toc303670539"/>
      <w:r w:rsidRPr="00D44526">
        <w:rPr>
          <w:rStyle w:val="Heading3Char"/>
          <w:rFonts w:cs="Calibri"/>
          <w:sz w:val="22"/>
          <w:szCs w:val="22"/>
          <w:lang w:val="en-AU"/>
        </w:rPr>
        <w:t>Bounded rationality and organisational failures</w:t>
      </w:r>
      <w:bookmarkEnd w:id="18"/>
    </w:p>
    <w:p w:rsidR="008C1B00" w:rsidRPr="00D44526" w:rsidRDefault="0089732C" w:rsidP="00D44526">
      <w:pPr>
        <w:rPr>
          <w:color w:val="9BBB59"/>
          <w:lang w:eastAsia="en-AU"/>
        </w:rPr>
      </w:pPr>
      <w:r w:rsidRPr="00D44526">
        <w:t>Even with access to information, individuals and organisations can fail to recall, process or use information effectively.</w:t>
      </w:r>
      <w:r w:rsidRPr="00D44526">
        <w:rPr>
          <w:rStyle w:val="FootnoteReference"/>
          <w:rFonts w:cs="Calibri"/>
        </w:rPr>
        <w:footnoteReference w:id="7"/>
      </w:r>
      <w:r w:rsidR="008C1B00" w:rsidRPr="00D44526">
        <w:t xml:space="preserve"> While markets rely on individuals to make rational decisions, in practice, </w:t>
      </w:r>
      <w:r w:rsidR="008C1B00" w:rsidRPr="00D44526">
        <w:rPr>
          <w:lang w:eastAsia="en-AU"/>
        </w:rPr>
        <w:t>perfectly rational decisions are often not made. The concept of bounded rationality states that this is due to the finite computational resources available for making decisions. That is, suboptimal outcomes may be achieved through markets as individuals have a limited ability to process and analyse information and hence make decisions that can satisfy but may not necessarily maximise their utility.</w:t>
      </w:r>
      <w:r w:rsidR="008C1B00" w:rsidRPr="00D44526">
        <w:rPr>
          <w:color w:val="9BBB59"/>
          <w:lang w:eastAsia="en-AU"/>
        </w:rPr>
        <w:t xml:space="preserve"> </w:t>
      </w:r>
    </w:p>
    <w:p w:rsidR="0089732C" w:rsidRPr="00D44526" w:rsidRDefault="008C1B00" w:rsidP="00D44526">
      <w:pPr>
        <w:rPr>
          <w:lang w:eastAsia="en-AU"/>
        </w:rPr>
      </w:pPr>
      <w:r w:rsidRPr="00D44526">
        <w:rPr>
          <w:lang w:eastAsia="en-AU"/>
        </w:rPr>
        <w:t>D</w:t>
      </w:r>
      <w:r w:rsidR="0089732C" w:rsidRPr="00D44526">
        <w:rPr>
          <w:lang w:eastAsia="en-AU"/>
        </w:rPr>
        <w:t>ue to the complexity</w:t>
      </w:r>
      <w:r w:rsidR="00E27D73" w:rsidRPr="00D44526">
        <w:rPr>
          <w:lang w:eastAsia="en-AU"/>
        </w:rPr>
        <w:t xml:space="preserve"> </w:t>
      </w:r>
      <w:r w:rsidR="0089732C" w:rsidRPr="00D44526">
        <w:rPr>
          <w:lang w:eastAsia="en-AU"/>
        </w:rPr>
        <w:t xml:space="preserve">associated with </w:t>
      </w:r>
      <w:r w:rsidR="00613C08" w:rsidRPr="00D44526">
        <w:rPr>
          <w:lang w:eastAsia="en-AU"/>
        </w:rPr>
        <w:t xml:space="preserve">assessing </w:t>
      </w:r>
      <w:r w:rsidR="0089732C" w:rsidRPr="00D44526">
        <w:rPr>
          <w:lang w:eastAsia="en-AU"/>
        </w:rPr>
        <w:t xml:space="preserve">the relative benefits of purchasing an energy efficient product </w:t>
      </w:r>
      <w:r w:rsidR="00613C08" w:rsidRPr="00D44526">
        <w:rPr>
          <w:lang w:eastAsia="en-AU"/>
        </w:rPr>
        <w:t xml:space="preserve">that has </w:t>
      </w:r>
      <w:r w:rsidR="0089732C" w:rsidRPr="00D44526">
        <w:rPr>
          <w:lang w:eastAsia="en-AU"/>
        </w:rPr>
        <w:t xml:space="preserve">lower operating costs </w:t>
      </w:r>
      <w:r w:rsidR="00613C08" w:rsidRPr="00D44526">
        <w:rPr>
          <w:lang w:eastAsia="en-AU"/>
        </w:rPr>
        <w:t xml:space="preserve">but higher </w:t>
      </w:r>
      <w:r w:rsidR="0089732C" w:rsidRPr="00D44526">
        <w:rPr>
          <w:lang w:eastAsia="en-AU"/>
        </w:rPr>
        <w:t>upfront capital costs</w:t>
      </w:r>
      <w:r w:rsidR="00613C08" w:rsidRPr="00D44526">
        <w:rPr>
          <w:lang w:eastAsia="en-AU"/>
        </w:rPr>
        <w:t>, the uptake of energy efficient products is highly impacted by the problem of bounded rationality</w:t>
      </w:r>
      <w:r w:rsidR="0089732C" w:rsidRPr="00D44526">
        <w:rPr>
          <w:lang w:eastAsia="en-AU"/>
        </w:rPr>
        <w:t xml:space="preserve">. </w:t>
      </w:r>
      <w:r w:rsidR="00613C08" w:rsidRPr="00D44526">
        <w:rPr>
          <w:lang w:eastAsia="en-AU"/>
        </w:rPr>
        <w:t xml:space="preserve">Even </w:t>
      </w:r>
      <w:r w:rsidR="00E27D73" w:rsidRPr="00D44526">
        <w:rPr>
          <w:lang w:eastAsia="en-AU"/>
        </w:rPr>
        <w:t>when it is rational to do so</w:t>
      </w:r>
      <w:r w:rsidR="00613C08" w:rsidRPr="00D44526">
        <w:rPr>
          <w:lang w:eastAsia="en-AU"/>
        </w:rPr>
        <w:t>, householders and businesses do not purchase energy efficient products,</w:t>
      </w:r>
      <w:r w:rsidR="00E27D73" w:rsidRPr="00D44526">
        <w:rPr>
          <w:lang w:eastAsia="en-AU"/>
        </w:rPr>
        <w:t xml:space="preserve"> due to the complexity and time involved in making a well-informed</w:t>
      </w:r>
      <w:r w:rsidR="00613C08" w:rsidRPr="00D44526">
        <w:rPr>
          <w:lang w:eastAsia="en-AU"/>
        </w:rPr>
        <w:t xml:space="preserve"> </w:t>
      </w:r>
      <w:r w:rsidR="00E27D73" w:rsidRPr="00D44526">
        <w:rPr>
          <w:lang w:eastAsia="en-AU"/>
        </w:rPr>
        <w:t>decision.</w:t>
      </w:r>
    </w:p>
    <w:p w:rsidR="0089732C" w:rsidRPr="00D44526" w:rsidRDefault="00613C08" w:rsidP="00D44526">
      <w:pPr>
        <w:rPr>
          <w:lang w:eastAsia="en-AU"/>
        </w:rPr>
      </w:pPr>
      <w:r w:rsidRPr="00D44526">
        <w:rPr>
          <w:lang w:eastAsia="en-AU"/>
        </w:rPr>
        <w:t>The VEET RIS identifies t</w:t>
      </w:r>
      <w:r w:rsidR="0089732C" w:rsidRPr="00D44526">
        <w:rPr>
          <w:lang w:eastAsia="en-AU"/>
        </w:rPr>
        <w:t>wo symptoms of bounded rationality concerning the uptake of energy efficient products</w:t>
      </w:r>
      <w:r w:rsidRPr="00D44526">
        <w:rPr>
          <w:lang w:eastAsia="en-AU"/>
        </w:rPr>
        <w:t xml:space="preserve">. These </w:t>
      </w:r>
      <w:r w:rsidR="0089732C" w:rsidRPr="00D44526">
        <w:rPr>
          <w:lang w:eastAsia="en-AU"/>
        </w:rPr>
        <w:t>are</w:t>
      </w:r>
      <w:r w:rsidRPr="00D44526">
        <w:rPr>
          <w:lang w:eastAsia="en-AU"/>
        </w:rPr>
        <w:t xml:space="preserve"> </w:t>
      </w:r>
      <w:r w:rsidR="0089732C" w:rsidRPr="00D44526">
        <w:rPr>
          <w:lang w:eastAsia="en-AU"/>
        </w:rPr>
        <w:t>consumers’ beliefs on discount rates for</w:t>
      </w:r>
      <w:r w:rsidRPr="00D44526">
        <w:rPr>
          <w:lang w:eastAsia="en-AU"/>
        </w:rPr>
        <w:t xml:space="preserve"> </w:t>
      </w:r>
      <w:r w:rsidR="005B1A35" w:rsidRPr="00D44526">
        <w:rPr>
          <w:lang w:eastAsia="en-AU"/>
        </w:rPr>
        <w:t>energy efficient products and the high price inelasticity of demand for energy.</w:t>
      </w:r>
    </w:p>
    <w:p w:rsidR="00D7171F" w:rsidRDefault="0089732C" w:rsidP="004F7A03">
      <w:pPr>
        <w:pStyle w:val="Heading3"/>
        <w:rPr>
          <w:lang w:eastAsia="en-AU"/>
        </w:rPr>
      </w:pPr>
      <w:r w:rsidRPr="00D44526">
        <w:rPr>
          <w:lang w:eastAsia="en-AU"/>
        </w:rPr>
        <w:t>Discount rates</w:t>
      </w:r>
    </w:p>
    <w:p w:rsidR="0089732C" w:rsidRPr="00D44526" w:rsidRDefault="00B90449" w:rsidP="00D44526">
      <w:pPr>
        <w:rPr>
          <w:lang w:eastAsia="en-AU"/>
        </w:rPr>
      </w:pPr>
      <w:r>
        <w:rPr>
          <w:lang w:eastAsia="en-AU"/>
        </w:rPr>
        <w:t>Market behaviour studies</w:t>
      </w:r>
      <w:r w:rsidR="00D53137" w:rsidRPr="00D44526">
        <w:rPr>
          <w:lang w:eastAsia="en-AU"/>
        </w:rPr>
        <w:t xml:space="preserve"> show that consumers often place greater emphasis on </w:t>
      </w:r>
      <w:r w:rsidR="0089732C" w:rsidRPr="00D44526">
        <w:rPr>
          <w:lang w:eastAsia="en-AU"/>
        </w:rPr>
        <w:t xml:space="preserve">upfront purchase cost than whole-of-life costs. This is particularly </w:t>
      </w:r>
      <w:r w:rsidR="00D53137" w:rsidRPr="00D44526">
        <w:rPr>
          <w:lang w:eastAsia="en-AU"/>
        </w:rPr>
        <w:t xml:space="preserve">inhibitive of the uptake of </w:t>
      </w:r>
      <w:r w:rsidR="0089732C" w:rsidRPr="00D44526">
        <w:rPr>
          <w:lang w:eastAsia="en-AU"/>
        </w:rPr>
        <w:t>energy eff</w:t>
      </w:r>
      <w:r w:rsidR="00D53137" w:rsidRPr="00D44526">
        <w:rPr>
          <w:lang w:eastAsia="en-AU"/>
        </w:rPr>
        <w:t>iciency measures in households as t</w:t>
      </w:r>
      <w:r w:rsidR="0089732C" w:rsidRPr="00D44526">
        <w:rPr>
          <w:lang w:eastAsia="en-AU"/>
        </w:rPr>
        <w:t>he savings on energy bills made over</w:t>
      </w:r>
      <w:r w:rsidR="00E27D73" w:rsidRPr="00D44526">
        <w:rPr>
          <w:lang w:eastAsia="en-AU"/>
        </w:rPr>
        <w:t xml:space="preserve"> </w:t>
      </w:r>
      <w:r w:rsidR="0089732C" w:rsidRPr="00D44526">
        <w:rPr>
          <w:lang w:eastAsia="en-AU"/>
        </w:rPr>
        <w:t xml:space="preserve">the life of an energy efficient appliance may be discounted more than the upfront savings </w:t>
      </w:r>
      <w:r w:rsidR="00CF0348" w:rsidRPr="00D44526">
        <w:rPr>
          <w:lang w:eastAsia="en-AU"/>
        </w:rPr>
        <w:t xml:space="preserve">associated with </w:t>
      </w:r>
      <w:r w:rsidR="0089732C" w:rsidRPr="00D44526">
        <w:rPr>
          <w:lang w:eastAsia="en-AU"/>
        </w:rPr>
        <w:t>selecting a less energy efficient appliance</w:t>
      </w:r>
      <w:r w:rsidR="005B1A35" w:rsidRPr="00D44526">
        <w:rPr>
          <w:rStyle w:val="FootnoteReference"/>
          <w:rFonts w:cs="Calibri"/>
          <w:lang w:eastAsia="en-AU"/>
        </w:rPr>
        <w:footnoteReference w:id="8"/>
      </w:r>
      <w:r w:rsidR="005B1A35" w:rsidRPr="00D44526">
        <w:rPr>
          <w:lang w:eastAsia="en-AU"/>
        </w:rPr>
        <w:t>.</w:t>
      </w:r>
    </w:p>
    <w:p w:rsidR="005B1A35" w:rsidRPr="00D44526" w:rsidRDefault="005B1A35" w:rsidP="00D44526">
      <w:pPr>
        <w:rPr>
          <w:lang w:eastAsia="en-AU"/>
        </w:rPr>
      </w:pPr>
      <w:r w:rsidRPr="00D44526">
        <w:rPr>
          <w:lang w:eastAsia="en-AU"/>
        </w:rPr>
        <w:t>Compounding this issue is the fact that, for many households and businesses, energy is not</w:t>
      </w:r>
      <w:r w:rsidR="005E3F21">
        <w:rPr>
          <w:lang w:eastAsia="en-AU"/>
        </w:rPr>
        <w:t xml:space="preserve"> </w:t>
      </w:r>
      <w:r w:rsidR="00B36A28">
        <w:rPr>
          <w:lang w:eastAsia="en-AU"/>
        </w:rPr>
        <w:t xml:space="preserve">yet </w:t>
      </w:r>
      <w:r w:rsidR="00B36A28" w:rsidRPr="00D44526">
        <w:rPr>
          <w:lang w:eastAsia="en-AU"/>
        </w:rPr>
        <w:t>a</w:t>
      </w:r>
      <w:r w:rsidRPr="00D44526">
        <w:rPr>
          <w:lang w:eastAsia="en-AU"/>
        </w:rPr>
        <w:t xml:space="preserve"> significant budget consideration. While low-cost energy in the ACT is not a market failure, it offers some explanation for </w:t>
      </w:r>
      <w:r w:rsidR="005324B0">
        <w:rPr>
          <w:lang w:eastAsia="en-AU"/>
        </w:rPr>
        <w:t>low uptake of</w:t>
      </w:r>
      <w:r w:rsidRPr="00D44526">
        <w:rPr>
          <w:lang w:eastAsia="en-AU"/>
        </w:rPr>
        <w:t xml:space="preserve"> energy efficiency products.</w:t>
      </w:r>
    </w:p>
    <w:p w:rsidR="005B1A35" w:rsidRPr="00D44526" w:rsidRDefault="005B1A35" w:rsidP="00D44526">
      <w:pPr>
        <w:rPr>
          <w:lang w:eastAsia="en-AU"/>
        </w:rPr>
      </w:pPr>
      <w:r w:rsidRPr="00D44526">
        <w:rPr>
          <w:lang w:eastAsia="en-AU"/>
        </w:rPr>
        <w:t>Discount rates reflect the time value of money. As the discount rate is increased, the present value of a future stream of costs over benefits is going to become smaller. High discount rates favour projects with short-term payoffs over projects with long-term benefits. Estimated implicit discount rates for energy efficiency investments presented in several studies range from 25 per cent to 300</w:t>
      </w:r>
      <w:r w:rsidR="00BC7FA0">
        <w:rPr>
          <w:lang w:eastAsia="en-AU"/>
        </w:rPr>
        <w:t> </w:t>
      </w:r>
      <w:r w:rsidRPr="00D44526">
        <w:rPr>
          <w:lang w:eastAsia="en-AU"/>
        </w:rPr>
        <w:t>per</w:t>
      </w:r>
      <w:r w:rsidR="00BC7FA0">
        <w:rPr>
          <w:lang w:eastAsia="en-AU"/>
        </w:rPr>
        <w:t> </w:t>
      </w:r>
      <w:r w:rsidRPr="00D44526">
        <w:rPr>
          <w:lang w:eastAsia="en-AU"/>
        </w:rPr>
        <w:t>cent across a range of measures</w:t>
      </w:r>
      <w:r w:rsidRPr="00D44526">
        <w:rPr>
          <w:rStyle w:val="FootnoteReference"/>
          <w:rFonts w:cs="Calibri"/>
          <w:lang w:eastAsia="en-AU"/>
        </w:rPr>
        <w:footnoteReference w:id="9"/>
      </w:r>
      <w:r w:rsidR="00CF0348" w:rsidRPr="00D44526">
        <w:rPr>
          <w:lang w:eastAsia="en-AU"/>
        </w:rPr>
        <w:t>.</w:t>
      </w:r>
    </w:p>
    <w:p w:rsidR="0089732C" w:rsidRPr="00D44526" w:rsidRDefault="0089732C" w:rsidP="00D44526">
      <w:pPr>
        <w:rPr>
          <w:lang w:eastAsia="en-AU"/>
        </w:rPr>
      </w:pPr>
      <w:r w:rsidRPr="00D44526">
        <w:rPr>
          <w:lang w:eastAsia="en-AU"/>
        </w:rPr>
        <w:t>One study of consumer purchases of air conditioners found that consumers could achieve</w:t>
      </w:r>
      <w:r w:rsidR="00425C5B" w:rsidRPr="00D44526">
        <w:rPr>
          <w:lang w:eastAsia="en-AU"/>
        </w:rPr>
        <w:t xml:space="preserve"> </w:t>
      </w:r>
      <w:r w:rsidRPr="00D44526">
        <w:rPr>
          <w:lang w:eastAsia="en-AU"/>
        </w:rPr>
        <w:t>considerable present-value savings by switching to more</w:t>
      </w:r>
      <w:r w:rsidR="00425C5B" w:rsidRPr="00D44526">
        <w:rPr>
          <w:lang w:eastAsia="en-AU"/>
        </w:rPr>
        <w:t xml:space="preserve"> </w:t>
      </w:r>
      <w:r w:rsidRPr="00D44526">
        <w:rPr>
          <w:lang w:eastAsia="en-AU"/>
        </w:rPr>
        <w:t xml:space="preserve">energy-efficient alternatives. </w:t>
      </w:r>
      <w:r w:rsidR="00B43B35">
        <w:fldChar w:fldCharType="begin"/>
      </w:r>
      <w:r w:rsidR="00B43B35">
        <w:instrText xml:space="preserve"> REF _Ref302551555 \h  \* MERGEFORMAT </w:instrText>
      </w:r>
      <w:r w:rsidR="00B43B35">
        <w:fldChar w:fldCharType="separate"/>
      </w:r>
      <w:r w:rsidR="00681D6A" w:rsidRPr="00681D6A">
        <w:t>Figure 6</w:t>
      </w:r>
      <w:r w:rsidR="00B43B35">
        <w:fldChar w:fldCharType="end"/>
      </w:r>
      <w:r w:rsidR="00425C5B" w:rsidRPr="00D44526">
        <w:rPr>
          <w:lang w:eastAsia="en-AU"/>
        </w:rPr>
        <w:t xml:space="preserve"> demonstrates the finding</w:t>
      </w:r>
      <w:r w:rsidRPr="00D44526">
        <w:rPr>
          <w:lang w:eastAsia="en-AU"/>
        </w:rPr>
        <w:t xml:space="preserve"> that implicit</w:t>
      </w:r>
      <w:r w:rsidR="00425C5B" w:rsidRPr="00D44526">
        <w:rPr>
          <w:lang w:eastAsia="en-AU"/>
        </w:rPr>
        <w:t xml:space="preserve"> </w:t>
      </w:r>
      <w:r w:rsidRPr="00D44526">
        <w:rPr>
          <w:lang w:eastAsia="en-AU"/>
        </w:rPr>
        <w:t xml:space="preserve">discount rates fell sharply in high income households, whilst low-income households </w:t>
      </w:r>
      <w:r w:rsidR="00D850DD" w:rsidRPr="00D44526">
        <w:rPr>
          <w:lang w:eastAsia="en-AU"/>
        </w:rPr>
        <w:t xml:space="preserve">showed </w:t>
      </w:r>
      <w:r w:rsidRPr="00D44526">
        <w:rPr>
          <w:lang w:eastAsia="en-AU"/>
        </w:rPr>
        <w:t>discount rates of up to 89 per cent</w:t>
      </w:r>
      <w:r w:rsidR="009C4835" w:rsidRPr="00D44526">
        <w:rPr>
          <w:rStyle w:val="FootnoteReference"/>
          <w:rFonts w:cs="Calibri"/>
          <w:lang w:eastAsia="en-AU"/>
        </w:rPr>
        <w:footnoteReference w:id="10"/>
      </w:r>
      <w:r w:rsidR="009C4835" w:rsidRPr="00D44526">
        <w:rPr>
          <w:lang w:eastAsia="en-AU"/>
        </w:rPr>
        <w:t>.</w:t>
      </w:r>
    </w:p>
    <w:p w:rsidR="00425C5B" w:rsidRPr="00D44526" w:rsidRDefault="00690FAA" w:rsidP="000F399E">
      <w:pPr>
        <w:keepNext/>
        <w:rPr>
          <w:rFonts w:cs="Calibri"/>
        </w:rPr>
      </w:pPr>
      <w:bookmarkStart w:id="19" w:name="_Ref302551555"/>
      <w:r w:rsidRPr="00690FAA">
        <w:rPr>
          <w:b/>
          <w:bCs/>
          <w:sz w:val="20"/>
          <w:szCs w:val="20"/>
        </w:rPr>
        <w:t xml:space="preserve">Figure </w:t>
      </w:r>
      <w:r w:rsidRPr="00690FAA">
        <w:rPr>
          <w:b/>
          <w:bCs/>
          <w:sz w:val="20"/>
          <w:szCs w:val="20"/>
        </w:rPr>
        <w:fldChar w:fldCharType="begin"/>
      </w:r>
      <w:r w:rsidRPr="00690FAA">
        <w:rPr>
          <w:b/>
          <w:bCs/>
          <w:sz w:val="20"/>
          <w:szCs w:val="20"/>
        </w:rPr>
        <w:instrText xml:space="preserve"> SEQ Figure \* ARABIC </w:instrText>
      </w:r>
      <w:r w:rsidRPr="00690FAA">
        <w:rPr>
          <w:b/>
          <w:bCs/>
          <w:sz w:val="20"/>
          <w:szCs w:val="20"/>
        </w:rPr>
        <w:fldChar w:fldCharType="separate"/>
      </w:r>
      <w:r w:rsidR="00681D6A">
        <w:rPr>
          <w:b/>
          <w:bCs/>
          <w:noProof/>
          <w:sz w:val="20"/>
          <w:szCs w:val="20"/>
        </w:rPr>
        <w:t>6</w:t>
      </w:r>
      <w:r w:rsidRPr="00690FAA">
        <w:rPr>
          <w:b/>
          <w:bCs/>
          <w:sz w:val="20"/>
          <w:szCs w:val="20"/>
        </w:rPr>
        <w:fldChar w:fldCharType="end"/>
      </w:r>
      <w:bookmarkEnd w:id="19"/>
      <w:r w:rsidRPr="00690FAA">
        <w:rPr>
          <w:b/>
          <w:bCs/>
          <w:sz w:val="20"/>
          <w:szCs w:val="20"/>
        </w:rPr>
        <w:t>: Example of implicit discount rates in energy efficiency purchases as a function of household income in the United States</w:t>
      </w:r>
      <w:r w:rsidR="00D850DD" w:rsidRPr="00D44526">
        <w:rPr>
          <w:rStyle w:val="FootnoteReference"/>
          <w:rFonts w:cs="Calibri"/>
        </w:rPr>
        <w:footnoteReference w:id="11"/>
      </w:r>
    </w:p>
    <w:p w:rsidR="0089732C" w:rsidRPr="00D44526" w:rsidRDefault="006D6234" w:rsidP="00D44526">
      <w:pPr>
        <w:rPr>
          <w:rFonts w:cs="Calibri"/>
          <w:i/>
          <w:iCs/>
          <w:color w:val="9BBB59"/>
          <w:lang w:eastAsia="en-AU"/>
        </w:rPr>
      </w:pPr>
      <w:r w:rsidRPr="006D6234">
        <w:rPr>
          <w:rFonts w:cs="Calibri"/>
          <w:i/>
          <w:noProof/>
          <w:lang w:eastAsia="en-AU"/>
        </w:rPr>
        <w:drawing>
          <wp:inline distT="0" distB="0" distL="0" distR="0">
            <wp:extent cx="5486400" cy="23431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l="5243" t="8989" r="11263" b="22098"/>
                    <a:stretch>
                      <a:fillRect/>
                    </a:stretch>
                  </pic:blipFill>
                  <pic:spPr bwMode="auto">
                    <a:xfrm>
                      <a:off x="0" y="0"/>
                      <a:ext cx="5486400" cy="2343150"/>
                    </a:xfrm>
                    <a:prstGeom prst="rect">
                      <a:avLst/>
                    </a:prstGeom>
                    <a:noFill/>
                    <a:ln>
                      <a:noFill/>
                    </a:ln>
                  </pic:spPr>
                </pic:pic>
              </a:graphicData>
            </a:graphic>
          </wp:inline>
        </w:drawing>
      </w:r>
    </w:p>
    <w:p w:rsidR="0089732C" w:rsidRPr="00D44526" w:rsidRDefault="0089732C" w:rsidP="004F7A03">
      <w:pPr>
        <w:pStyle w:val="Heading3"/>
        <w:rPr>
          <w:lang w:eastAsia="en-AU"/>
        </w:rPr>
      </w:pPr>
      <w:r w:rsidRPr="00D44526">
        <w:rPr>
          <w:lang w:eastAsia="en-AU"/>
        </w:rPr>
        <w:t>Price elasticity of demand</w:t>
      </w:r>
    </w:p>
    <w:p w:rsidR="00FA20BF" w:rsidRDefault="009C4835" w:rsidP="00FA20BF">
      <w:r w:rsidRPr="00D44526">
        <w:t>L</w:t>
      </w:r>
      <w:r w:rsidR="0089732C" w:rsidRPr="00D44526">
        <w:t>ow price elasticity of demand</w:t>
      </w:r>
      <w:r w:rsidRPr="00D44526">
        <w:t xml:space="preserve"> also exists in relation to energy efficiency as a result of bounded rationality</w:t>
      </w:r>
      <w:r w:rsidR="0089732C" w:rsidRPr="00D44526">
        <w:t xml:space="preserve">. </w:t>
      </w:r>
      <w:r w:rsidR="009A0B1F">
        <w:t xml:space="preserve">The </w:t>
      </w:r>
      <w:r w:rsidR="0089732C" w:rsidRPr="00D44526">
        <w:t>National Institute of</w:t>
      </w:r>
      <w:r w:rsidR="0050561B" w:rsidRPr="00D44526">
        <w:t xml:space="preserve"> </w:t>
      </w:r>
      <w:r w:rsidR="0089732C" w:rsidRPr="00D44526">
        <w:t>Economic and Industry Research (NIEIR) has established</w:t>
      </w:r>
      <w:r w:rsidR="0050561B" w:rsidRPr="00D44526">
        <w:t xml:space="preserve"> a</w:t>
      </w:r>
      <w:r w:rsidR="0089732C" w:rsidRPr="00D44526">
        <w:t xml:space="preserve"> </w:t>
      </w:r>
      <w:r w:rsidR="0089732C" w:rsidRPr="00464321">
        <w:t xml:space="preserve">household electricity demand </w:t>
      </w:r>
      <w:r w:rsidR="00D02E07" w:rsidRPr="00464321">
        <w:t xml:space="preserve">elasticity </w:t>
      </w:r>
      <w:r w:rsidR="0089732C" w:rsidRPr="00464321">
        <w:t>of</w:t>
      </w:r>
      <w:r w:rsidR="0050561B" w:rsidRPr="00464321">
        <w:t xml:space="preserve"> </w:t>
      </w:r>
      <w:r w:rsidR="00EA30C6" w:rsidRPr="00464321">
        <w:t xml:space="preserve">- </w:t>
      </w:r>
      <w:r w:rsidR="008004C9" w:rsidRPr="00464321">
        <w:t>0.</w:t>
      </w:r>
      <w:r w:rsidR="004F7B0C">
        <w:t>2</w:t>
      </w:r>
      <w:r w:rsidR="008004C9" w:rsidRPr="00464321">
        <w:t>5</w:t>
      </w:r>
      <w:r w:rsidRPr="00464321">
        <w:t xml:space="preserve"> based on historical Australian data</w:t>
      </w:r>
      <w:r w:rsidRPr="004F7B0C">
        <w:rPr>
          <w:vertAlign w:val="superscript"/>
        </w:rPr>
        <w:footnoteReference w:id="12"/>
      </w:r>
      <w:r w:rsidRPr="00464321">
        <w:t>.</w:t>
      </w:r>
      <w:r w:rsidR="00EA30C6" w:rsidRPr="00464321">
        <w:t xml:space="preserve"> The implication of this is that for a one per cent increase in electricity prices, the corresponding</w:t>
      </w:r>
      <w:r w:rsidR="004F7B0C">
        <w:t xml:space="preserve"> reduction in demand is only 0.2</w:t>
      </w:r>
      <w:r w:rsidR="00EA30C6" w:rsidRPr="00464321">
        <w:t>5 per cent. The study further identifies that commercial enterprises are likely to be more responsive to a change in price than residential energy users.</w:t>
      </w:r>
      <w:r w:rsidR="00464321" w:rsidRPr="00464321">
        <w:t xml:space="preserve"> The Australian Energy Market Operator</w:t>
      </w:r>
      <w:r w:rsidR="00FA20BF">
        <w:t>’s</w:t>
      </w:r>
      <w:r w:rsidR="00464321" w:rsidRPr="00464321">
        <w:t xml:space="preserve"> latest estimates of own price elasticity for each region</w:t>
      </w:r>
      <w:r w:rsidR="00464321">
        <w:t xml:space="preserve"> </w:t>
      </w:r>
      <w:r w:rsidR="00464321" w:rsidRPr="00464321">
        <w:t>show a particular inelasticity in the New South Wales region, of which the ACT is a part</w:t>
      </w:r>
      <w:r w:rsidR="00BC7FA0">
        <w:t xml:space="preserve"> </w:t>
      </w:r>
      <w:r w:rsidR="005B735F">
        <w:t xml:space="preserve">  (</w:t>
      </w:r>
      <w:r w:rsidR="00B43B35">
        <w:fldChar w:fldCharType="begin"/>
      </w:r>
      <w:r w:rsidR="00B43B35">
        <w:instrText xml:space="preserve"> REF _Ref304387139 \h  \* MERGEFORMAT </w:instrText>
      </w:r>
      <w:r w:rsidR="00B43B35">
        <w:fldChar w:fldCharType="separate"/>
      </w:r>
      <w:r w:rsidR="00681D6A">
        <w:t>Table 1</w:t>
      </w:r>
      <w:r w:rsidR="00B43B35">
        <w:fldChar w:fldCharType="end"/>
      </w:r>
      <w:r w:rsidR="005B735F" w:rsidRPr="00305057">
        <w:t>).</w:t>
      </w:r>
      <w:r w:rsidR="00961641">
        <w:t xml:space="preserve"> </w:t>
      </w:r>
    </w:p>
    <w:p w:rsidR="00FA20BF" w:rsidRDefault="00FA20BF" w:rsidP="00FA20BF">
      <w:pPr>
        <w:rPr>
          <w:rFonts w:cs="Calibri"/>
          <w:lang w:eastAsia="en-AU"/>
        </w:rPr>
      </w:pPr>
      <w:r w:rsidRPr="00D44526">
        <w:rPr>
          <w:rFonts w:cs="Calibri"/>
          <w:lang w:eastAsia="en-AU"/>
        </w:rPr>
        <w:t xml:space="preserve">Many of the highest energy-consuming appliances provide consumers with an essential service (hot water, heating, refrigeration, etc). Consumers generally do not replace such items until they fail, and when they do fail a consumer’s first priority </w:t>
      </w:r>
      <w:r>
        <w:rPr>
          <w:rFonts w:cs="Calibri"/>
          <w:lang w:eastAsia="en-AU"/>
        </w:rPr>
        <w:t>can be</w:t>
      </w:r>
      <w:r w:rsidRPr="00D44526">
        <w:rPr>
          <w:rFonts w:cs="Calibri"/>
          <w:lang w:eastAsia="en-AU"/>
        </w:rPr>
        <w:t xml:space="preserve"> replacing the item in question as quickly as possible – with other considerations, no matter how economically rational, secondary. As a result, the essential service characteristic of many appliances significantly constrains a consumer’s capacity to weigh up other information regarding an appliance. </w:t>
      </w:r>
      <w:r>
        <w:rPr>
          <w:rFonts w:cs="Calibri"/>
          <w:lang w:eastAsia="en-AU"/>
        </w:rPr>
        <w:t>These factors mean that c</w:t>
      </w:r>
      <w:r w:rsidRPr="00D44526">
        <w:rPr>
          <w:rFonts w:cs="Calibri"/>
          <w:lang w:eastAsia="en-AU"/>
        </w:rPr>
        <w:t>hanges in the price of electricity – including those induced by carbon pricing – will have an extremely limited impact on energy consumption, particularly for low-income households.</w:t>
      </w:r>
    </w:p>
    <w:p w:rsidR="00C96B95" w:rsidRPr="00FA20BF" w:rsidRDefault="00FA20BF" w:rsidP="00FA20BF">
      <w:pPr>
        <w:rPr>
          <w:rFonts w:asciiTheme="minorHAnsi" w:hAnsiTheme="minorHAnsi" w:cs="Calibri"/>
        </w:rPr>
      </w:pPr>
      <w:r>
        <w:rPr>
          <w:rFonts w:cs="Calibri"/>
          <w:lang w:eastAsia="en-AU"/>
        </w:rPr>
        <w:t>The Garnaut Climate Change Review identifies two factors that may constrain a low-income household</w:t>
      </w:r>
      <w:r w:rsidR="00BC7FA0">
        <w:rPr>
          <w:rFonts w:cs="Calibri"/>
          <w:lang w:eastAsia="en-AU"/>
        </w:rPr>
        <w:t>’</w:t>
      </w:r>
      <w:r>
        <w:rPr>
          <w:rFonts w:cs="Calibri"/>
          <w:lang w:eastAsia="en-AU"/>
        </w:rPr>
        <w:t xml:space="preserve">s response. </w:t>
      </w:r>
      <w:r>
        <w:rPr>
          <w:rFonts w:asciiTheme="minorHAnsi" w:hAnsiTheme="minorHAnsi" w:cs="Calibri"/>
        </w:rPr>
        <w:t xml:space="preserve">First, low-income </w:t>
      </w:r>
      <w:r w:rsidRPr="004F7B0C">
        <w:rPr>
          <w:rFonts w:asciiTheme="minorHAnsi" w:hAnsiTheme="minorHAnsi" w:cs="Calibri"/>
        </w:rPr>
        <w:t>households are less able to fund the</w:t>
      </w:r>
      <w:r>
        <w:rPr>
          <w:rFonts w:asciiTheme="minorHAnsi" w:hAnsiTheme="minorHAnsi" w:cs="Calibri"/>
        </w:rPr>
        <w:t xml:space="preserve"> higher upfront cost</w:t>
      </w:r>
      <w:r w:rsidRPr="004F7B0C">
        <w:rPr>
          <w:rFonts w:asciiTheme="minorHAnsi" w:hAnsiTheme="minorHAnsi" w:cs="Calibri"/>
        </w:rPr>
        <w:t xml:space="preserve"> of</w:t>
      </w:r>
      <w:r>
        <w:rPr>
          <w:rFonts w:asciiTheme="minorHAnsi" w:hAnsiTheme="minorHAnsi" w:cs="Calibri"/>
        </w:rPr>
        <w:t xml:space="preserve"> energy-efficient technologies. </w:t>
      </w:r>
      <w:r w:rsidRPr="004F7B0C">
        <w:rPr>
          <w:rFonts w:asciiTheme="minorHAnsi" w:hAnsiTheme="minorHAnsi" w:cs="Calibri"/>
        </w:rPr>
        <w:t>Second,</w:t>
      </w:r>
      <w:r>
        <w:rPr>
          <w:rFonts w:asciiTheme="minorHAnsi" w:hAnsiTheme="minorHAnsi" w:cs="Calibri"/>
        </w:rPr>
        <w:t xml:space="preserve"> a large proportion of low-income households live in rental, public or community housing and therefore have limited incentive to pay for permanent </w:t>
      </w:r>
      <w:r w:rsidRPr="004F7B0C">
        <w:rPr>
          <w:rFonts w:asciiTheme="minorHAnsi" w:hAnsiTheme="minorHAnsi" w:cs="Calibri"/>
        </w:rPr>
        <w:t xml:space="preserve">energy-saving </w:t>
      </w:r>
      <w:r>
        <w:rPr>
          <w:rFonts w:asciiTheme="minorHAnsi" w:hAnsiTheme="minorHAnsi" w:cs="Calibri"/>
        </w:rPr>
        <w:t>activities associated with a house such as insulation, space heating and</w:t>
      </w:r>
      <w:r w:rsidRPr="004F7B0C">
        <w:rPr>
          <w:rFonts w:asciiTheme="minorHAnsi" w:hAnsiTheme="minorHAnsi" w:cs="Calibri"/>
        </w:rPr>
        <w:t xml:space="preserve"> hot-water systems</w:t>
      </w:r>
      <w:r>
        <w:rPr>
          <w:rFonts w:asciiTheme="minorHAnsi" w:hAnsiTheme="minorHAnsi" w:cs="Calibri"/>
        </w:rPr>
        <w:t xml:space="preserve">. </w:t>
      </w:r>
      <w:r>
        <w:rPr>
          <w:rStyle w:val="FootnoteReference"/>
          <w:rFonts w:asciiTheme="minorHAnsi" w:hAnsiTheme="minorHAnsi"/>
        </w:rPr>
        <w:footnoteReference w:id="13"/>
      </w:r>
    </w:p>
    <w:p w:rsidR="00EA52FD" w:rsidRDefault="00202E75">
      <w:pPr>
        <w:pStyle w:val="Caption"/>
        <w:keepNext/>
      </w:pPr>
      <w:bookmarkStart w:id="20" w:name="_Ref304387139"/>
      <w:r>
        <w:t xml:space="preserve">Table </w:t>
      </w:r>
      <w:r w:rsidR="006F5BB0">
        <w:rPr>
          <w:noProof/>
        </w:rPr>
        <w:fldChar w:fldCharType="begin"/>
      </w:r>
      <w:r w:rsidR="006F5BB0">
        <w:rPr>
          <w:noProof/>
        </w:rPr>
        <w:instrText xml:space="preserve"> SEQ Table \* ARABIC </w:instrText>
      </w:r>
      <w:r w:rsidR="006F5BB0">
        <w:rPr>
          <w:noProof/>
        </w:rPr>
        <w:fldChar w:fldCharType="separate"/>
      </w:r>
      <w:r w:rsidR="00681D6A">
        <w:rPr>
          <w:noProof/>
        </w:rPr>
        <w:t>1</w:t>
      </w:r>
      <w:r w:rsidR="006F5BB0">
        <w:rPr>
          <w:noProof/>
        </w:rPr>
        <w:fldChar w:fldCharType="end"/>
      </w:r>
      <w:bookmarkEnd w:id="20"/>
      <w:r>
        <w:t>: Long-run price elasticity estimates</w:t>
      </w:r>
      <w:r>
        <w:rPr>
          <w:rStyle w:val="FootnoteReference"/>
        </w:rPr>
        <w:footnoteReference w:id="14"/>
      </w:r>
    </w:p>
    <w:tbl>
      <w:tblPr>
        <w:tblStyle w:val="LightLis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66"/>
      </w:tblGrid>
      <w:tr w:rsidR="000E62AA" w:rsidRPr="000E62AA" w:rsidTr="00900285">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275" w:type="dxa"/>
            <w:shd w:val="clear" w:color="auto" w:fill="F2F2F2" w:themeFill="background1" w:themeFillShade="F2"/>
          </w:tcPr>
          <w:p w:rsidR="00D7171F" w:rsidRPr="00900285" w:rsidRDefault="00BD41FF" w:rsidP="006E06C7">
            <w:pPr>
              <w:keepNext/>
              <w:keepLines/>
              <w:spacing w:before="60" w:after="60"/>
              <w:rPr>
                <w:rFonts w:cs="Calibri"/>
                <w:b w:val="0"/>
                <w:color w:val="auto"/>
                <w:lang w:eastAsia="en-AU"/>
              </w:rPr>
            </w:pPr>
            <w:r w:rsidRPr="00900285">
              <w:rPr>
                <w:rFonts w:cs="Calibri"/>
                <w:b w:val="0"/>
                <w:color w:val="auto"/>
                <w:lang w:eastAsia="en-AU"/>
              </w:rPr>
              <w:t>Region</w:t>
            </w:r>
          </w:p>
        </w:tc>
        <w:tc>
          <w:tcPr>
            <w:tcW w:w="2366" w:type="dxa"/>
            <w:shd w:val="clear" w:color="auto" w:fill="F2F2F2" w:themeFill="background1" w:themeFillShade="F2"/>
          </w:tcPr>
          <w:p w:rsidR="00D7171F" w:rsidRPr="00900285" w:rsidRDefault="00BD41FF" w:rsidP="006E06C7">
            <w:pPr>
              <w:keepNext/>
              <w:keepLines/>
              <w:spacing w:before="60" w:after="60"/>
              <w:cnfStyle w:val="100000000000" w:firstRow="1" w:lastRow="0" w:firstColumn="0" w:lastColumn="0" w:oddVBand="0" w:evenVBand="0" w:oddHBand="0" w:evenHBand="0" w:firstRowFirstColumn="0" w:firstRowLastColumn="0" w:lastRowFirstColumn="0" w:lastRowLastColumn="0"/>
              <w:rPr>
                <w:rFonts w:cs="Calibri"/>
                <w:b w:val="0"/>
                <w:color w:val="auto"/>
                <w:lang w:eastAsia="en-AU"/>
              </w:rPr>
            </w:pPr>
            <w:r w:rsidRPr="00900285">
              <w:rPr>
                <w:rFonts w:cs="Calibri"/>
                <w:b w:val="0"/>
                <w:color w:val="auto"/>
                <w:lang w:eastAsia="en-AU"/>
              </w:rPr>
              <w:t>Own Price Elasticity</w:t>
            </w:r>
          </w:p>
        </w:tc>
      </w:tr>
      <w:tr w:rsidR="000E62AA" w:rsidTr="00FA20BF">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275" w:type="dxa"/>
          </w:tcPr>
          <w:p w:rsidR="00D7171F" w:rsidRDefault="000E62AA" w:rsidP="006E06C7">
            <w:pPr>
              <w:keepNext/>
              <w:keepLines/>
              <w:spacing w:before="60" w:after="60"/>
              <w:rPr>
                <w:rFonts w:cs="Calibri"/>
                <w:b w:val="0"/>
                <w:bCs w:val="0"/>
                <w:lang w:eastAsia="en-AU"/>
              </w:rPr>
            </w:pPr>
            <w:r>
              <w:rPr>
                <w:rFonts w:cs="Calibri"/>
                <w:lang w:eastAsia="en-AU"/>
              </w:rPr>
              <w:t>New South Wales</w:t>
            </w:r>
          </w:p>
        </w:tc>
        <w:tc>
          <w:tcPr>
            <w:tcW w:w="2366" w:type="dxa"/>
          </w:tcPr>
          <w:p w:rsidR="00D7171F" w:rsidRDefault="000E62AA" w:rsidP="006E06C7">
            <w:pPr>
              <w:keepNext/>
              <w:keepLines/>
              <w:spacing w:before="60" w:after="60"/>
              <w:cnfStyle w:val="000000100000" w:firstRow="0" w:lastRow="0" w:firstColumn="0" w:lastColumn="0" w:oddVBand="0" w:evenVBand="0" w:oddHBand="1" w:evenHBand="0" w:firstRowFirstColumn="0" w:firstRowLastColumn="0" w:lastRowFirstColumn="0" w:lastRowLastColumn="0"/>
              <w:rPr>
                <w:rFonts w:cs="Calibri"/>
                <w:lang w:eastAsia="en-AU"/>
              </w:rPr>
            </w:pPr>
            <w:r>
              <w:rPr>
                <w:rFonts w:cs="Calibri"/>
                <w:lang w:eastAsia="en-AU"/>
              </w:rPr>
              <w:t>-0.16</w:t>
            </w:r>
          </w:p>
        </w:tc>
      </w:tr>
      <w:tr w:rsidR="000E62AA" w:rsidTr="00FA20BF">
        <w:trPr>
          <w:trHeight w:val="520"/>
        </w:trPr>
        <w:tc>
          <w:tcPr>
            <w:cnfStyle w:val="001000000000" w:firstRow="0" w:lastRow="0" w:firstColumn="1" w:lastColumn="0" w:oddVBand="0" w:evenVBand="0" w:oddHBand="0" w:evenHBand="0" w:firstRowFirstColumn="0" w:firstRowLastColumn="0" w:lastRowFirstColumn="0" w:lastRowLastColumn="0"/>
            <w:tcW w:w="2275" w:type="dxa"/>
          </w:tcPr>
          <w:p w:rsidR="00D7171F" w:rsidRDefault="000E62AA" w:rsidP="006E06C7">
            <w:pPr>
              <w:keepNext/>
              <w:keepLines/>
              <w:spacing w:before="60" w:after="60"/>
              <w:rPr>
                <w:rFonts w:cs="Calibri"/>
                <w:b w:val="0"/>
                <w:bCs w:val="0"/>
                <w:lang w:eastAsia="en-AU"/>
              </w:rPr>
            </w:pPr>
            <w:r>
              <w:rPr>
                <w:rFonts w:cs="Calibri"/>
                <w:lang w:eastAsia="en-AU"/>
              </w:rPr>
              <w:t>Tasmania</w:t>
            </w:r>
          </w:p>
        </w:tc>
        <w:tc>
          <w:tcPr>
            <w:tcW w:w="2366" w:type="dxa"/>
          </w:tcPr>
          <w:p w:rsidR="00D7171F" w:rsidRDefault="000E62AA" w:rsidP="006E06C7">
            <w:pPr>
              <w:keepNext/>
              <w:keepLines/>
              <w:spacing w:before="60" w:after="60"/>
              <w:cnfStyle w:val="000000000000" w:firstRow="0" w:lastRow="0" w:firstColumn="0" w:lastColumn="0" w:oddVBand="0" w:evenVBand="0" w:oddHBand="0" w:evenHBand="0" w:firstRowFirstColumn="0" w:firstRowLastColumn="0" w:lastRowFirstColumn="0" w:lastRowLastColumn="0"/>
              <w:rPr>
                <w:rFonts w:cs="Calibri"/>
                <w:lang w:eastAsia="en-AU"/>
              </w:rPr>
            </w:pPr>
            <w:r>
              <w:rPr>
                <w:rFonts w:cs="Calibri"/>
                <w:lang w:eastAsia="en-AU"/>
              </w:rPr>
              <w:t>-0.23</w:t>
            </w:r>
          </w:p>
        </w:tc>
      </w:tr>
      <w:tr w:rsidR="000E62AA" w:rsidTr="00FA20B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75" w:type="dxa"/>
          </w:tcPr>
          <w:p w:rsidR="00D7171F" w:rsidRDefault="000E62AA" w:rsidP="006E06C7">
            <w:pPr>
              <w:keepNext/>
              <w:keepLines/>
              <w:spacing w:before="60" w:after="60"/>
              <w:rPr>
                <w:rFonts w:cs="Calibri"/>
                <w:b w:val="0"/>
                <w:bCs w:val="0"/>
                <w:lang w:eastAsia="en-AU"/>
              </w:rPr>
            </w:pPr>
            <w:r>
              <w:rPr>
                <w:rFonts w:cs="Calibri"/>
                <w:lang w:eastAsia="en-AU"/>
              </w:rPr>
              <w:t>South Australia</w:t>
            </w:r>
          </w:p>
        </w:tc>
        <w:tc>
          <w:tcPr>
            <w:tcW w:w="2366" w:type="dxa"/>
          </w:tcPr>
          <w:p w:rsidR="00D7171F" w:rsidRDefault="000E62AA" w:rsidP="006E06C7">
            <w:pPr>
              <w:keepNext/>
              <w:keepLines/>
              <w:spacing w:before="60" w:after="60"/>
              <w:cnfStyle w:val="000000100000" w:firstRow="0" w:lastRow="0" w:firstColumn="0" w:lastColumn="0" w:oddVBand="0" w:evenVBand="0" w:oddHBand="1" w:evenHBand="0" w:firstRowFirstColumn="0" w:firstRowLastColumn="0" w:lastRowFirstColumn="0" w:lastRowLastColumn="0"/>
              <w:rPr>
                <w:rFonts w:cs="Calibri"/>
                <w:lang w:eastAsia="en-AU"/>
              </w:rPr>
            </w:pPr>
            <w:r>
              <w:rPr>
                <w:rFonts w:cs="Calibri"/>
                <w:lang w:eastAsia="en-AU"/>
              </w:rPr>
              <w:t>-0.25</w:t>
            </w:r>
          </w:p>
        </w:tc>
      </w:tr>
      <w:tr w:rsidR="000E62AA" w:rsidTr="00FA20BF">
        <w:trPr>
          <w:trHeight w:val="520"/>
        </w:trPr>
        <w:tc>
          <w:tcPr>
            <w:cnfStyle w:val="001000000000" w:firstRow="0" w:lastRow="0" w:firstColumn="1" w:lastColumn="0" w:oddVBand="0" w:evenVBand="0" w:oddHBand="0" w:evenHBand="0" w:firstRowFirstColumn="0" w:firstRowLastColumn="0" w:lastRowFirstColumn="0" w:lastRowLastColumn="0"/>
            <w:tcW w:w="2275" w:type="dxa"/>
          </w:tcPr>
          <w:p w:rsidR="00D7171F" w:rsidRDefault="000E62AA" w:rsidP="006E06C7">
            <w:pPr>
              <w:keepNext/>
              <w:keepLines/>
              <w:spacing w:before="60" w:after="60"/>
              <w:rPr>
                <w:rFonts w:cs="Calibri"/>
                <w:b w:val="0"/>
                <w:bCs w:val="0"/>
                <w:lang w:eastAsia="en-AU"/>
              </w:rPr>
            </w:pPr>
            <w:r>
              <w:rPr>
                <w:rFonts w:cs="Calibri"/>
                <w:lang w:eastAsia="en-AU"/>
              </w:rPr>
              <w:t>Queensland</w:t>
            </w:r>
          </w:p>
        </w:tc>
        <w:tc>
          <w:tcPr>
            <w:tcW w:w="2366" w:type="dxa"/>
          </w:tcPr>
          <w:p w:rsidR="00D7171F" w:rsidRDefault="000E62AA" w:rsidP="006E06C7">
            <w:pPr>
              <w:keepNext/>
              <w:keepLines/>
              <w:spacing w:before="60" w:after="60"/>
              <w:cnfStyle w:val="000000000000" w:firstRow="0" w:lastRow="0" w:firstColumn="0" w:lastColumn="0" w:oddVBand="0" w:evenVBand="0" w:oddHBand="0" w:evenHBand="0" w:firstRowFirstColumn="0" w:firstRowLastColumn="0" w:lastRowFirstColumn="0" w:lastRowLastColumn="0"/>
              <w:rPr>
                <w:rFonts w:cs="Calibri"/>
                <w:lang w:eastAsia="en-AU"/>
              </w:rPr>
            </w:pPr>
            <w:r>
              <w:rPr>
                <w:rFonts w:cs="Calibri"/>
                <w:lang w:eastAsia="en-AU"/>
              </w:rPr>
              <w:t>-0.29</w:t>
            </w:r>
          </w:p>
        </w:tc>
      </w:tr>
      <w:tr w:rsidR="000E62AA" w:rsidTr="00FA20BF">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275" w:type="dxa"/>
          </w:tcPr>
          <w:p w:rsidR="00D7171F" w:rsidRDefault="000E62AA" w:rsidP="006E06C7">
            <w:pPr>
              <w:keepNext/>
              <w:keepLines/>
              <w:spacing w:before="60" w:after="60"/>
              <w:rPr>
                <w:rFonts w:cs="Calibri"/>
                <w:b w:val="0"/>
                <w:bCs w:val="0"/>
                <w:lang w:eastAsia="en-AU"/>
              </w:rPr>
            </w:pPr>
            <w:r>
              <w:rPr>
                <w:rFonts w:cs="Calibri"/>
                <w:lang w:eastAsia="en-AU"/>
              </w:rPr>
              <w:t>Victoria</w:t>
            </w:r>
          </w:p>
        </w:tc>
        <w:tc>
          <w:tcPr>
            <w:tcW w:w="2366" w:type="dxa"/>
          </w:tcPr>
          <w:p w:rsidR="00D7171F" w:rsidRDefault="000E62AA" w:rsidP="006E06C7">
            <w:pPr>
              <w:keepNext/>
              <w:keepLines/>
              <w:spacing w:before="60" w:after="60"/>
              <w:cnfStyle w:val="000000100000" w:firstRow="0" w:lastRow="0" w:firstColumn="0" w:lastColumn="0" w:oddVBand="0" w:evenVBand="0" w:oddHBand="1" w:evenHBand="0" w:firstRowFirstColumn="0" w:firstRowLastColumn="0" w:lastRowFirstColumn="0" w:lastRowLastColumn="0"/>
              <w:rPr>
                <w:rFonts w:cs="Calibri"/>
                <w:lang w:eastAsia="en-AU"/>
              </w:rPr>
            </w:pPr>
            <w:r>
              <w:rPr>
                <w:rFonts w:cs="Calibri"/>
                <w:lang w:eastAsia="en-AU"/>
              </w:rPr>
              <w:t>-0.38</w:t>
            </w:r>
          </w:p>
        </w:tc>
      </w:tr>
    </w:tbl>
    <w:p w:rsidR="00DB6C16" w:rsidRDefault="00DB6C16" w:rsidP="00433BC3">
      <w:pPr>
        <w:spacing w:before="120" w:after="120"/>
        <w:rPr>
          <w:rStyle w:val="Heading3Char"/>
          <w:rFonts w:cs="Calibri"/>
          <w:sz w:val="22"/>
          <w:szCs w:val="22"/>
          <w:lang w:val="en-AU"/>
        </w:rPr>
      </w:pPr>
      <w:bookmarkStart w:id="21" w:name="_Toc303670540"/>
    </w:p>
    <w:p w:rsidR="00D850DD" w:rsidRPr="00D44526" w:rsidRDefault="002E529B" w:rsidP="00433BC3">
      <w:pPr>
        <w:spacing w:before="120" w:after="120"/>
        <w:rPr>
          <w:rFonts w:cs="Calibri"/>
        </w:rPr>
      </w:pPr>
      <w:r w:rsidRPr="00D44526">
        <w:rPr>
          <w:rStyle w:val="Heading3Char"/>
          <w:rFonts w:cs="Calibri"/>
          <w:sz w:val="22"/>
          <w:szCs w:val="22"/>
          <w:lang w:val="en-AU"/>
        </w:rPr>
        <w:t>Public good inform</w:t>
      </w:r>
      <w:r w:rsidR="00433BC3" w:rsidRPr="00D44526">
        <w:rPr>
          <w:rStyle w:val="Heading3Char"/>
          <w:rFonts w:cs="Calibri"/>
          <w:sz w:val="22"/>
          <w:szCs w:val="22"/>
          <w:lang w:val="en-AU"/>
        </w:rPr>
        <w:t xml:space="preserve">ation, information spill-overs </w:t>
      </w:r>
      <w:r w:rsidR="00764E6D" w:rsidRPr="00D44526">
        <w:rPr>
          <w:rStyle w:val="Heading3Char"/>
          <w:rFonts w:cs="Calibri"/>
          <w:sz w:val="22"/>
          <w:szCs w:val="22"/>
          <w:lang w:val="en-AU"/>
        </w:rPr>
        <w:t>and</w:t>
      </w:r>
      <w:r w:rsidRPr="00D44526">
        <w:rPr>
          <w:rStyle w:val="Heading3Char"/>
          <w:rFonts w:cs="Calibri"/>
          <w:sz w:val="22"/>
          <w:szCs w:val="22"/>
          <w:lang w:val="en-AU"/>
        </w:rPr>
        <w:t xml:space="preserve"> information asymmetry</w:t>
      </w:r>
      <w:bookmarkEnd w:id="21"/>
    </w:p>
    <w:p w:rsidR="00464321" w:rsidRDefault="002E529B" w:rsidP="00D44526">
      <w:r w:rsidRPr="00D44526">
        <w:t xml:space="preserve">Many homeowners, companies and specialists </w:t>
      </w:r>
      <w:r w:rsidR="00464321" w:rsidRPr="00D44526">
        <w:t xml:space="preserve">lack </w:t>
      </w:r>
      <w:r w:rsidR="00464321">
        <w:t>understanding</w:t>
      </w:r>
      <w:r w:rsidR="00595B38">
        <w:t xml:space="preserve"> of</w:t>
      </w:r>
      <w:r w:rsidRPr="00D44526">
        <w:t xml:space="preserve"> energy efficiency due to a range of </w:t>
      </w:r>
      <w:r w:rsidR="00595B38">
        <w:t>information</w:t>
      </w:r>
      <w:r w:rsidR="00595B38" w:rsidRPr="00D44526">
        <w:t xml:space="preserve"> </w:t>
      </w:r>
      <w:r w:rsidRPr="00D44526">
        <w:t xml:space="preserve">failures. </w:t>
      </w:r>
      <w:r w:rsidR="00FA20BF">
        <w:t>I</w:t>
      </w:r>
      <w:r w:rsidRPr="00D44526">
        <w:t>nformation asymmetry</w:t>
      </w:r>
      <w:r w:rsidR="00595B38">
        <w:t xml:space="preserve">, where </w:t>
      </w:r>
      <w:r w:rsidR="00690FAA" w:rsidRPr="00690FAA">
        <w:t>one party in a transaction has more or superior information compared to another</w:t>
      </w:r>
      <w:r w:rsidR="00595B38">
        <w:t>,</w:t>
      </w:r>
      <w:r w:rsidRPr="00D44526">
        <w:t xml:space="preserve"> can impede coordination between parties.</w:t>
      </w:r>
      <w:r w:rsidR="00903C14">
        <w:t xml:space="preserve"> An example of this is third party assessment of energy efficiency ratings used to disclose the energy performance of homes to potential buyers.</w:t>
      </w:r>
    </w:p>
    <w:p w:rsidR="00D850DD" w:rsidRPr="00D44526" w:rsidRDefault="00D850DD" w:rsidP="00D44526">
      <w:pPr>
        <w:rPr>
          <w:lang w:eastAsia="en-AU"/>
        </w:rPr>
      </w:pPr>
      <w:r w:rsidRPr="00D44526">
        <w:rPr>
          <w:lang w:eastAsia="en-AU"/>
        </w:rPr>
        <w:t>In spite of considerable investment by governments and other parties in explaining the benefits of energy efficiency, householders' understanding of the benefits of energy efficiency remain</w:t>
      </w:r>
      <w:r w:rsidR="00FA20BF">
        <w:rPr>
          <w:lang w:eastAsia="en-AU"/>
        </w:rPr>
        <w:t>s</w:t>
      </w:r>
      <w:r w:rsidRPr="00D44526">
        <w:rPr>
          <w:lang w:eastAsia="en-AU"/>
        </w:rPr>
        <w:t xml:space="preserve"> </w:t>
      </w:r>
      <w:r w:rsidR="008A0E5C">
        <w:rPr>
          <w:lang w:eastAsia="en-AU"/>
        </w:rPr>
        <w:t>limited</w:t>
      </w:r>
      <w:r w:rsidRPr="00D44526">
        <w:rPr>
          <w:lang w:eastAsia="en-AU"/>
        </w:rPr>
        <w:t xml:space="preserve">. </w:t>
      </w:r>
      <w:r w:rsidR="002E529B" w:rsidRPr="00D44526">
        <w:rPr>
          <w:lang w:eastAsia="en-AU"/>
        </w:rPr>
        <w:t>In its submission to the Garnaut Review, the Productivity Commission indicated that one of</w:t>
      </w:r>
      <w:r w:rsidR="0050561B" w:rsidRPr="00D44526">
        <w:rPr>
          <w:lang w:eastAsia="en-AU"/>
        </w:rPr>
        <w:t xml:space="preserve"> </w:t>
      </w:r>
      <w:r w:rsidR="002E529B" w:rsidRPr="00D44526">
        <w:rPr>
          <w:lang w:eastAsia="en-AU"/>
        </w:rPr>
        <w:t xml:space="preserve">the main justifications for a supplementary policy to an </w:t>
      </w:r>
      <w:r w:rsidRPr="00D44526">
        <w:rPr>
          <w:lang w:eastAsia="en-AU"/>
        </w:rPr>
        <w:t>emissions trading scheme in Australia</w:t>
      </w:r>
      <w:r w:rsidR="002E529B" w:rsidRPr="00D44526">
        <w:rPr>
          <w:lang w:eastAsia="en-AU"/>
        </w:rPr>
        <w:t xml:space="preserve"> is to correct an information</w:t>
      </w:r>
      <w:r w:rsidR="0050561B" w:rsidRPr="00D44526">
        <w:rPr>
          <w:lang w:eastAsia="en-AU"/>
        </w:rPr>
        <w:t xml:space="preserve"> </w:t>
      </w:r>
      <w:r w:rsidRPr="00D44526">
        <w:rPr>
          <w:lang w:eastAsia="en-AU"/>
        </w:rPr>
        <w:t>failure</w:t>
      </w:r>
      <w:r w:rsidRPr="00D44526">
        <w:rPr>
          <w:rStyle w:val="FootnoteReference"/>
          <w:rFonts w:cs="Calibri"/>
          <w:lang w:eastAsia="en-AU"/>
        </w:rPr>
        <w:footnoteReference w:id="15"/>
      </w:r>
      <w:r w:rsidRPr="00D44526">
        <w:rPr>
          <w:lang w:eastAsia="en-AU"/>
        </w:rPr>
        <w:t>.</w:t>
      </w:r>
    </w:p>
    <w:p w:rsidR="00844C7A" w:rsidRPr="00D44526" w:rsidRDefault="002E529B" w:rsidP="00D44526">
      <w:pPr>
        <w:rPr>
          <w:lang w:eastAsia="en-AU"/>
        </w:rPr>
      </w:pPr>
      <w:r w:rsidRPr="00D44526">
        <w:rPr>
          <w:lang w:eastAsia="en-AU"/>
        </w:rPr>
        <w:t>There is a considerable amount of</w:t>
      </w:r>
      <w:r w:rsidR="0050561B" w:rsidRPr="00D44526">
        <w:rPr>
          <w:lang w:eastAsia="en-AU"/>
        </w:rPr>
        <w:t xml:space="preserve"> </w:t>
      </w:r>
      <w:r w:rsidRPr="00D44526">
        <w:rPr>
          <w:lang w:eastAsia="en-AU"/>
        </w:rPr>
        <w:t>information available to the gener</w:t>
      </w:r>
      <w:r w:rsidR="00BD2F7E" w:rsidRPr="00D44526">
        <w:rPr>
          <w:lang w:eastAsia="en-AU"/>
        </w:rPr>
        <w:t>al public on energy efficiency</w:t>
      </w:r>
      <w:r w:rsidR="00DB6C16">
        <w:rPr>
          <w:lang w:eastAsia="en-AU"/>
        </w:rPr>
        <w:t>.</w:t>
      </w:r>
      <w:r w:rsidR="00BD2F7E" w:rsidRPr="00D44526">
        <w:rPr>
          <w:lang w:eastAsia="en-AU"/>
        </w:rPr>
        <w:t xml:space="preserve"> </w:t>
      </w:r>
      <w:r w:rsidR="00DB6C16">
        <w:rPr>
          <w:lang w:eastAsia="en-AU"/>
        </w:rPr>
        <w:t>H</w:t>
      </w:r>
      <w:r w:rsidR="00BD2F7E" w:rsidRPr="00D44526">
        <w:rPr>
          <w:lang w:eastAsia="en-AU"/>
        </w:rPr>
        <w:t xml:space="preserve">owever, this information is only as useful </w:t>
      </w:r>
      <w:r w:rsidR="00C566FF">
        <w:rPr>
          <w:lang w:eastAsia="en-AU"/>
        </w:rPr>
        <w:t>as</w:t>
      </w:r>
      <w:r w:rsidR="00BD2F7E" w:rsidRPr="00D44526">
        <w:rPr>
          <w:lang w:eastAsia="en-AU"/>
        </w:rPr>
        <w:t xml:space="preserve"> its capacity to inform consumers and influence their decision making. The VEET RIS identified a number of</w:t>
      </w:r>
      <w:r w:rsidRPr="00D44526">
        <w:rPr>
          <w:lang w:eastAsia="en-AU"/>
        </w:rPr>
        <w:t xml:space="preserve"> reasons why </w:t>
      </w:r>
      <w:r w:rsidR="00BD2F7E" w:rsidRPr="00D44526">
        <w:rPr>
          <w:lang w:eastAsia="en-AU"/>
        </w:rPr>
        <w:t xml:space="preserve">much of the </w:t>
      </w:r>
      <w:r w:rsidRPr="00D44526">
        <w:rPr>
          <w:lang w:eastAsia="en-AU"/>
        </w:rPr>
        <w:t>information</w:t>
      </w:r>
      <w:r w:rsidR="00BD2F7E" w:rsidRPr="00D44526">
        <w:rPr>
          <w:lang w:eastAsia="en-AU"/>
        </w:rPr>
        <w:t xml:space="preserve"> available regarding energy efficiency</w:t>
      </w:r>
      <w:r w:rsidRPr="00D44526">
        <w:rPr>
          <w:lang w:eastAsia="en-AU"/>
        </w:rPr>
        <w:t xml:space="preserve"> does not necessarily enable informed decision</w:t>
      </w:r>
      <w:r w:rsidR="0050561B" w:rsidRPr="00D44526">
        <w:rPr>
          <w:lang w:eastAsia="en-AU"/>
        </w:rPr>
        <w:t xml:space="preserve"> </w:t>
      </w:r>
      <w:r w:rsidRPr="00D44526">
        <w:rPr>
          <w:lang w:eastAsia="en-AU"/>
        </w:rPr>
        <w:t>making.</w:t>
      </w:r>
      <w:r w:rsidR="0050561B" w:rsidRPr="00D44526">
        <w:rPr>
          <w:lang w:eastAsia="en-AU"/>
        </w:rPr>
        <w:t xml:space="preserve"> </w:t>
      </w:r>
      <w:r w:rsidR="00BD2F7E" w:rsidRPr="00D44526">
        <w:rPr>
          <w:lang w:eastAsia="en-AU"/>
        </w:rPr>
        <w:t xml:space="preserve">These include </w:t>
      </w:r>
      <w:r w:rsidRPr="00D44526">
        <w:rPr>
          <w:lang w:eastAsia="en-AU"/>
        </w:rPr>
        <w:t>time lags</w:t>
      </w:r>
      <w:r w:rsidR="00BD2F7E" w:rsidRPr="00D44526">
        <w:rPr>
          <w:lang w:eastAsia="en-AU"/>
        </w:rPr>
        <w:t xml:space="preserve">, </w:t>
      </w:r>
      <w:r w:rsidRPr="00D44526">
        <w:rPr>
          <w:lang w:eastAsia="en-AU"/>
        </w:rPr>
        <w:t>aggregated energy pri</w:t>
      </w:r>
      <w:r w:rsidR="00BD2F7E" w:rsidRPr="00D44526">
        <w:rPr>
          <w:lang w:eastAsia="en-AU"/>
        </w:rPr>
        <w:t xml:space="preserve">cing and </w:t>
      </w:r>
      <w:r w:rsidRPr="00D44526">
        <w:rPr>
          <w:lang w:eastAsia="en-AU"/>
        </w:rPr>
        <w:t>transaction/search costs.</w:t>
      </w:r>
    </w:p>
    <w:p w:rsidR="002E529B" w:rsidRPr="00D44526" w:rsidRDefault="002E529B" w:rsidP="00D44526">
      <w:pPr>
        <w:rPr>
          <w:i/>
          <w:iCs/>
          <w:lang w:eastAsia="en-AU"/>
        </w:rPr>
      </w:pPr>
      <w:r w:rsidRPr="00D44526">
        <w:rPr>
          <w:i/>
          <w:iCs/>
          <w:lang w:eastAsia="en-AU"/>
        </w:rPr>
        <w:t>Time lag between energy consumption and receipt and payment of energy bills</w:t>
      </w:r>
    </w:p>
    <w:p w:rsidR="00380599" w:rsidRPr="00D44526" w:rsidRDefault="00545851" w:rsidP="00D44526">
      <w:pPr>
        <w:rPr>
          <w:lang w:eastAsia="en-AU"/>
        </w:rPr>
      </w:pPr>
      <w:r w:rsidRPr="00D44526">
        <w:rPr>
          <w:lang w:eastAsia="en-AU"/>
        </w:rPr>
        <w:t>I</w:t>
      </w:r>
      <w:r w:rsidR="002E529B" w:rsidRPr="00D44526">
        <w:rPr>
          <w:lang w:eastAsia="en-AU"/>
        </w:rPr>
        <w:t xml:space="preserve">nformation </w:t>
      </w:r>
      <w:r w:rsidRPr="00D44526">
        <w:rPr>
          <w:lang w:eastAsia="en-AU"/>
        </w:rPr>
        <w:t xml:space="preserve">about electricity and gas use </w:t>
      </w:r>
      <w:r w:rsidR="002E529B" w:rsidRPr="00D44526">
        <w:rPr>
          <w:lang w:eastAsia="en-AU"/>
        </w:rPr>
        <w:t xml:space="preserve">is </w:t>
      </w:r>
      <w:r w:rsidRPr="00D44526">
        <w:rPr>
          <w:lang w:eastAsia="en-AU"/>
        </w:rPr>
        <w:t>commonly received by consumers at a much later time to</w:t>
      </w:r>
      <w:r w:rsidR="002E529B" w:rsidRPr="00D44526">
        <w:rPr>
          <w:lang w:eastAsia="en-AU"/>
        </w:rPr>
        <w:t xml:space="preserve"> </w:t>
      </w:r>
      <w:r w:rsidRPr="00D44526">
        <w:rPr>
          <w:lang w:eastAsia="en-AU"/>
        </w:rPr>
        <w:t xml:space="preserve">when </w:t>
      </w:r>
      <w:r w:rsidR="002E529B" w:rsidRPr="00D44526">
        <w:rPr>
          <w:lang w:eastAsia="en-AU"/>
        </w:rPr>
        <w:t xml:space="preserve">these resources </w:t>
      </w:r>
      <w:r w:rsidRPr="00D44526">
        <w:rPr>
          <w:lang w:eastAsia="en-AU"/>
        </w:rPr>
        <w:t>were</w:t>
      </w:r>
      <w:r w:rsidR="00844C7A" w:rsidRPr="00D44526">
        <w:rPr>
          <w:lang w:eastAsia="en-AU"/>
        </w:rPr>
        <w:t xml:space="preserve"> </w:t>
      </w:r>
      <w:r w:rsidR="002E529B" w:rsidRPr="00D44526">
        <w:rPr>
          <w:lang w:eastAsia="en-AU"/>
        </w:rPr>
        <w:t xml:space="preserve">used. This time lag may affect the </w:t>
      </w:r>
      <w:r w:rsidRPr="00D44526">
        <w:rPr>
          <w:lang w:eastAsia="en-AU"/>
        </w:rPr>
        <w:t xml:space="preserve">ability </w:t>
      </w:r>
      <w:r w:rsidR="002E529B" w:rsidRPr="00D44526">
        <w:rPr>
          <w:lang w:eastAsia="en-AU"/>
        </w:rPr>
        <w:t xml:space="preserve">of price information </w:t>
      </w:r>
      <w:r w:rsidRPr="00D44526">
        <w:rPr>
          <w:lang w:eastAsia="en-AU"/>
        </w:rPr>
        <w:t>to influence</w:t>
      </w:r>
      <w:r w:rsidR="00844C7A" w:rsidRPr="00D44526">
        <w:rPr>
          <w:lang w:eastAsia="en-AU"/>
        </w:rPr>
        <w:t xml:space="preserve"> </w:t>
      </w:r>
      <w:r w:rsidR="002E529B" w:rsidRPr="00D44526">
        <w:rPr>
          <w:lang w:eastAsia="en-AU"/>
        </w:rPr>
        <w:t xml:space="preserve">consumer awareness and </w:t>
      </w:r>
      <w:r w:rsidRPr="00D44526">
        <w:rPr>
          <w:lang w:eastAsia="en-AU"/>
        </w:rPr>
        <w:t xml:space="preserve">energy use </w:t>
      </w:r>
      <w:r w:rsidR="002E529B" w:rsidRPr="00D44526">
        <w:rPr>
          <w:lang w:eastAsia="en-AU"/>
        </w:rPr>
        <w:t>behaviour</w:t>
      </w:r>
      <w:r w:rsidRPr="00D44526">
        <w:rPr>
          <w:lang w:eastAsia="en-AU"/>
        </w:rPr>
        <w:t>.</w:t>
      </w:r>
      <w:r w:rsidR="00380599" w:rsidRPr="00D44526">
        <w:rPr>
          <w:lang w:eastAsia="en-AU"/>
        </w:rPr>
        <w:t xml:space="preserve"> As stated in t</w:t>
      </w:r>
      <w:r w:rsidR="00B60362" w:rsidRPr="00D44526">
        <w:rPr>
          <w:lang w:eastAsia="en-AU"/>
        </w:rPr>
        <w:t xml:space="preserve">he Productivity </w:t>
      </w:r>
      <w:r w:rsidR="00380599" w:rsidRPr="00D44526">
        <w:rPr>
          <w:lang w:eastAsia="en-AU"/>
        </w:rPr>
        <w:t xml:space="preserve">Commission’s report, </w:t>
      </w:r>
      <w:r w:rsidR="00380599" w:rsidRPr="00D44526">
        <w:rPr>
          <w:i/>
          <w:iCs/>
          <w:lang w:eastAsia="en-AU"/>
        </w:rPr>
        <w:t>The Private</w:t>
      </w:r>
      <w:r w:rsidR="00380599" w:rsidRPr="00D44526">
        <w:rPr>
          <w:lang w:eastAsia="en-AU"/>
        </w:rPr>
        <w:t xml:space="preserve"> </w:t>
      </w:r>
      <w:r w:rsidR="00380599" w:rsidRPr="00D44526">
        <w:rPr>
          <w:i/>
          <w:iCs/>
          <w:lang w:eastAsia="en-AU"/>
        </w:rPr>
        <w:t>Cost Effectiveness of Improving Energy Efficiency</w:t>
      </w:r>
      <w:r w:rsidR="00380599" w:rsidRPr="00D44526">
        <w:rPr>
          <w:lang w:eastAsia="en-AU"/>
        </w:rPr>
        <w:t xml:space="preserve">, “most consumers act as if they have no control over their electricity bill, [and </w:t>
      </w:r>
      <w:r w:rsidR="008A0E5C">
        <w:rPr>
          <w:lang w:eastAsia="en-AU"/>
        </w:rPr>
        <w:t xml:space="preserve">with </w:t>
      </w:r>
      <w:r w:rsidR="00380599" w:rsidRPr="00D44526">
        <w:rPr>
          <w:lang w:eastAsia="en-AU"/>
        </w:rPr>
        <w:t xml:space="preserve">the limited feedback they receive] </w:t>
      </w:r>
      <w:r w:rsidR="008A0E5C">
        <w:rPr>
          <w:lang w:eastAsia="en-AU"/>
        </w:rPr>
        <w:t xml:space="preserve">it </w:t>
      </w:r>
      <w:r w:rsidR="00380599" w:rsidRPr="00D44526">
        <w:rPr>
          <w:lang w:eastAsia="en-AU"/>
        </w:rPr>
        <w:t>is often too late for them to respond.”</w:t>
      </w:r>
      <w:r w:rsidR="00380599" w:rsidRPr="00D44526">
        <w:rPr>
          <w:rStyle w:val="FootnoteReference"/>
          <w:rFonts w:cs="Calibri"/>
          <w:lang w:eastAsia="en-AU"/>
        </w:rPr>
        <w:footnoteReference w:id="16"/>
      </w:r>
    </w:p>
    <w:p w:rsidR="00380599" w:rsidRPr="00D44526" w:rsidRDefault="00545851" w:rsidP="00D44526">
      <w:pPr>
        <w:rPr>
          <w:lang w:eastAsia="en-AU"/>
        </w:rPr>
      </w:pPr>
      <w:r w:rsidRPr="00D44526">
        <w:rPr>
          <w:lang w:eastAsia="en-AU"/>
        </w:rPr>
        <w:t>While b</w:t>
      </w:r>
      <w:r w:rsidR="002E529B" w:rsidRPr="00D44526">
        <w:rPr>
          <w:lang w:eastAsia="en-AU"/>
        </w:rPr>
        <w:t>ills</w:t>
      </w:r>
      <w:r w:rsidRPr="00D44526">
        <w:rPr>
          <w:lang w:eastAsia="en-AU"/>
        </w:rPr>
        <w:t xml:space="preserve"> in the ACT</w:t>
      </w:r>
      <w:r w:rsidR="002E529B" w:rsidRPr="00D44526">
        <w:rPr>
          <w:lang w:eastAsia="en-AU"/>
        </w:rPr>
        <w:t xml:space="preserve"> provide </w:t>
      </w:r>
      <w:r w:rsidR="006B1BD2" w:rsidRPr="00D44526">
        <w:rPr>
          <w:lang w:eastAsia="en-AU"/>
        </w:rPr>
        <w:t xml:space="preserve">the information required for </w:t>
      </w:r>
      <w:r w:rsidR="002E529B" w:rsidRPr="00D44526">
        <w:rPr>
          <w:lang w:eastAsia="en-AU"/>
        </w:rPr>
        <w:t>a consumer to benchmark their energy</w:t>
      </w:r>
      <w:r w:rsidR="00844C7A" w:rsidRPr="00D44526">
        <w:rPr>
          <w:lang w:eastAsia="en-AU"/>
        </w:rPr>
        <w:t xml:space="preserve"> </w:t>
      </w:r>
      <w:r w:rsidR="002E529B" w:rsidRPr="00D44526">
        <w:rPr>
          <w:lang w:eastAsia="en-AU"/>
        </w:rPr>
        <w:t xml:space="preserve">consumption and energy </w:t>
      </w:r>
      <w:r w:rsidR="00E2721C">
        <w:rPr>
          <w:lang w:eastAsia="en-AU"/>
        </w:rPr>
        <w:t>expenditure</w:t>
      </w:r>
      <w:r w:rsidR="002E529B" w:rsidRPr="00D44526">
        <w:rPr>
          <w:lang w:eastAsia="en-AU"/>
        </w:rPr>
        <w:t xml:space="preserve"> against previous quarters, some</w:t>
      </w:r>
      <w:r w:rsidR="00844C7A" w:rsidRPr="00D44526">
        <w:rPr>
          <w:lang w:eastAsia="en-AU"/>
        </w:rPr>
        <w:t xml:space="preserve"> </w:t>
      </w:r>
      <w:r w:rsidR="002E529B" w:rsidRPr="00D44526">
        <w:rPr>
          <w:lang w:eastAsia="en-AU"/>
        </w:rPr>
        <w:t xml:space="preserve">consumers may not make such a comparison. </w:t>
      </w:r>
      <w:r w:rsidR="006B1BD2" w:rsidRPr="00D44526">
        <w:rPr>
          <w:lang w:eastAsia="en-AU"/>
        </w:rPr>
        <w:t xml:space="preserve"> Further, although </w:t>
      </w:r>
      <w:r w:rsidR="002E529B" w:rsidRPr="00D44526">
        <w:rPr>
          <w:lang w:eastAsia="en-AU"/>
        </w:rPr>
        <w:t xml:space="preserve">time-of-use information on energy use </w:t>
      </w:r>
      <w:r w:rsidR="006B1BD2" w:rsidRPr="00D44526">
        <w:rPr>
          <w:lang w:eastAsia="en-AU"/>
        </w:rPr>
        <w:t xml:space="preserve">can </w:t>
      </w:r>
      <w:r w:rsidR="002E529B" w:rsidRPr="00D44526">
        <w:rPr>
          <w:lang w:eastAsia="en-AU"/>
        </w:rPr>
        <w:t xml:space="preserve">be </w:t>
      </w:r>
      <w:r w:rsidR="006B1BD2" w:rsidRPr="00D44526">
        <w:rPr>
          <w:lang w:eastAsia="en-AU"/>
        </w:rPr>
        <w:t xml:space="preserve">seen on </w:t>
      </w:r>
      <w:r w:rsidR="00E2721C">
        <w:rPr>
          <w:lang w:eastAsia="en-AU"/>
        </w:rPr>
        <w:t>electricity and gas</w:t>
      </w:r>
      <w:r w:rsidR="00E2721C" w:rsidRPr="00D44526">
        <w:rPr>
          <w:lang w:eastAsia="en-AU"/>
        </w:rPr>
        <w:t xml:space="preserve"> </w:t>
      </w:r>
      <w:r w:rsidR="006B1BD2" w:rsidRPr="00D44526">
        <w:rPr>
          <w:lang w:eastAsia="en-AU"/>
        </w:rPr>
        <w:t>meter</w:t>
      </w:r>
      <w:r w:rsidR="00E2721C">
        <w:rPr>
          <w:lang w:eastAsia="en-AU"/>
        </w:rPr>
        <w:t>s</w:t>
      </w:r>
      <w:r w:rsidR="006B1BD2" w:rsidRPr="00D44526">
        <w:rPr>
          <w:lang w:eastAsia="en-AU"/>
        </w:rPr>
        <w:t xml:space="preserve">, </w:t>
      </w:r>
      <w:r w:rsidR="002E529B" w:rsidRPr="00D44526">
        <w:rPr>
          <w:lang w:eastAsia="en-AU"/>
        </w:rPr>
        <w:t xml:space="preserve">very few householders </w:t>
      </w:r>
      <w:r w:rsidR="006B1BD2" w:rsidRPr="00D44526">
        <w:rPr>
          <w:lang w:eastAsia="en-AU"/>
        </w:rPr>
        <w:t xml:space="preserve">can </w:t>
      </w:r>
      <w:r w:rsidR="002E529B" w:rsidRPr="00D44526">
        <w:rPr>
          <w:lang w:eastAsia="en-AU"/>
        </w:rPr>
        <w:t>be expected to have the motivation or expertise to interpret</w:t>
      </w:r>
      <w:r w:rsidR="00844C7A" w:rsidRPr="00D44526">
        <w:rPr>
          <w:lang w:eastAsia="en-AU"/>
        </w:rPr>
        <w:t xml:space="preserve"> </w:t>
      </w:r>
      <w:r w:rsidR="006B1BD2" w:rsidRPr="00D44526">
        <w:rPr>
          <w:lang w:eastAsia="en-AU"/>
        </w:rPr>
        <w:t xml:space="preserve">the </w:t>
      </w:r>
      <w:r w:rsidR="002E529B" w:rsidRPr="00D44526">
        <w:rPr>
          <w:lang w:eastAsia="en-AU"/>
        </w:rPr>
        <w:t>information</w:t>
      </w:r>
      <w:r w:rsidR="006B1BD2" w:rsidRPr="00D44526">
        <w:rPr>
          <w:lang w:eastAsia="en-AU"/>
        </w:rPr>
        <w:t xml:space="preserve"> available</w:t>
      </w:r>
      <w:r w:rsidR="002E529B" w:rsidRPr="00D44526">
        <w:rPr>
          <w:lang w:eastAsia="en-AU"/>
        </w:rPr>
        <w:t>.</w:t>
      </w:r>
    </w:p>
    <w:p w:rsidR="002E529B" w:rsidRPr="00D44526" w:rsidRDefault="002E529B" w:rsidP="004F7A03">
      <w:pPr>
        <w:pStyle w:val="Heading3"/>
        <w:rPr>
          <w:lang w:eastAsia="en-AU"/>
        </w:rPr>
      </w:pPr>
      <w:r w:rsidRPr="00D44526">
        <w:rPr>
          <w:lang w:eastAsia="en-AU"/>
        </w:rPr>
        <w:t>Aggregated energy prices</w:t>
      </w:r>
    </w:p>
    <w:p w:rsidR="00844C7A" w:rsidRPr="00D44526" w:rsidRDefault="00380599" w:rsidP="00D44526">
      <w:pPr>
        <w:rPr>
          <w:lang w:eastAsia="en-AU"/>
        </w:rPr>
      </w:pPr>
      <w:r w:rsidRPr="00D44526">
        <w:rPr>
          <w:lang w:eastAsia="en-AU"/>
        </w:rPr>
        <w:t xml:space="preserve">A further issue </w:t>
      </w:r>
      <w:r w:rsidR="00210C7D" w:rsidRPr="00D44526">
        <w:rPr>
          <w:lang w:eastAsia="en-AU"/>
        </w:rPr>
        <w:t>i</w:t>
      </w:r>
      <w:r w:rsidRPr="00D44526">
        <w:rPr>
          <w:lang w:eastAsia="en-AU"/>
        </w:rPr>
        <w:t>s that</w:t>
      </w:r>
      <w:r w:rsidR="00210C7D" w:rsidRPr="00D44526">
        <w:rPr>
          <w:lang w:eastAsia="en-AU"/>
        </w:rPr>
        <w:t xml:space="preserve"> electricity and gas</w:t>
      </w:r>
      <w:r w:rsidRPr="00D44526">
        <w:rPr>
          <w:lang w:eastAsia="en-AU"/>
        </w:rPr>
        <w:t xml:space="preserve"> bills </w:t>
      </w:r>
      <w:r w:rsidR="00210C7D" w:rsidRPr="00D44526">
        <w:rPr>
          <w:lang w:eastAsia="en-AU"/>
        </w:rPr>
        <w:t xml:space="preserve">can only show </w:t>
      </w:r>
      <w:r w:rsidRPr="00D44526">
        <w:rPr>
          <w:lang w:eastAsia="en-AU"/>
        </w:rPr>
        <w:t>the cost of operating a diverse range of appliances and equipment over a period of time. A</w:t>
      </w:r>
      <w:r w:rsidR="00E2721C">
        <w:rPr>
          <w:lang w:eastAsia="en-AU"/>
        </w:rPr>
        <w:t>s a result,</w:t>
      </w:r>
      <w:r w:rsidR="002E529B" w:rsidRPr="00D44526">
        <w:rPr>
          <w:lang w:eastAsia="en-AU"/>
        </w:rPr>
        <w:t xml:space="preserve"> </w:t>
      </w:r>
      <w:r w:rsidR="00E2721C">
        <w:rPr>
          <w:lang w:eastAsia="en-AU"/>
        </w:rPr>
        <w:t xml:space="preserve">a </w:t>
      </w:r>
      <w:r w:rsidR="00E2721C" w:rsidRPr="00D44526">
        <w:rPr>
          <w:lang w:eastAsia="en-AU"/>
        </w:rPr>
        <w:t>householder’s understanding of individual appliance use and its impact on energy bills</w:t>
      </w:r>
      <w:r w:rsidR="00E2721C">
        <w:rPr>
          <w:lang w:eastAsia="en-AU"/>
        </w:rPr>
        <w:t xml:space="preserve"> may</w:t>
      </w:r>
      <w:r w:rsidR="00E2721C" w:rsidRPr="00D44526">
        <w:rPr>
          <w:lang w:eastAsia="en-AU"/>
        </w:rPr>
        <w:t xml:space="preserve"> be limited</w:t>
      </w:r>
      <w:r w:rsidR="00E2721C">
        <w:rPr>
          <w:lang w:eastAsia="en-AU"/>
        </w:rPr>
        <w:t xml:space="preserve"> and c</w:t>
      </w:r>
      <w:r w:rsidR="002E529B" w:rsidRPr="00D44526">
        <w:rPr>
          <w:lang w:eastAsia="en-AU"/>
        </w:rPr>
        <w:t>onsumers are</w:t>
      </w:r>
      <w:r w:rsidR="00210C7D" w:rsidRPr="00D44526">
        <w:rPr>
          <w:lang w:eastAsia="en-AU"/>
        </w:rPr>
        <w:t xml:space="preserve"> </w:t>
      </w:r>
      <w:r w:rsidR="002E529B" w:rsidRPr="00D44526">
        <w:rPr>
          <w:lang w:eastAsia="en-AU"/>
        </w:rPr>
        <w:t>not necessarily aware of which particular</w:t>
      </w:r>
      <w:r w:rsidR="00844C7A" w:rsidRPr="00D44526">
        <w:rPr>
          <w:lang w:eastAsia="en-AU"/>
        </w:rPr>
        <w:t xml:space="preserve"> </w:t>
      </w:r>
      <w:r w:rsidR="002E529B" w:rsidRPr="00D44526">
        <w:rPr>
          <w:lang w:eastAsia="en-AU"/>
        </w:rPr>
        <w:t xml:space="preserve">appliance or equipment is contributing to the total price they ultimately pay </w:t>
      </w:r>
      <w:r w:rsidR="00E2721C">
        <w:rPr>
          <w:lang w:eastAsia="en-AU"/>
        </w:rPr>
        <w:t xml:space="preserve">for electricity or gas in </w:t>
      </w:r>
      <w:r w:rsidR="002E529B" w:rsidRPr="00D44526">
        <w:rPr>
          <w:lang w:eastAsia="en-AU"/>
        </w:rPr>
        <w:t xml:space="preserve">a given period. This </w:t>
      </w:r>
      <w:r w:rsidR="00E2721C">
        <w:rPr>
          <w:lang w:eastAsia="en-AU"/>
        </w:rPr>
        <w:t>decreases the likelihood of</w:t>
      </w:r>
      <w:r w:rsidR="002E529B" w:rsidRPr="00D44526">
        <w:rPr>
          <w:lang w:eastAsia="en-AU"/>
        </w:rPr>
        <w:t xml:space="preserve"> an informed demand response. </w:t>
      </w:r>
      <w:r w:rsidRPr="00D44526">
        <w:rPr>
          <w:lang w:eastAsia="en-AU"/>
        </w:rPr>
        <w:t>The VEET RIS compares the situation of electricity and gas to p</w:t>
      </w:r>
      <w:r w:rsidR="002E529B" w:rsidRPr="00D44526">
        <w:rPr>
          <w:lang w:eastAsia="en-AU"/>
        </w:rPr>
        <w:t>etrol</w:t>
      </w:r>
      <w:r w:rsidRPr="00D44526">
        <w:rPr>
          <w:lang w:eastAsia="en-AU"/>
        </w:rPr>
        <w:t xml:space="preserve"> – with petrol</w:t>
      </w:r>
      <w:r w:rsidR="002E529B" w:rsidRPr="00D44526">
        <w:rPr>
          <w:lang w:eastAsia="en-AU"/>
        </w:rPr>
        <w:t xml:space="preserve"> used exclusively by the vehicle into which the</w:t>
      </w:r>
      <w:r w:rsidR="00844C7A" w:rsidRPr="00D44526">
        <w:rPr>
          <w:lang w:eastAsia="en-AU"/>
        </w:rPr>
        <w:t xml:space="preserve"> </w:t>
      </w:r>
      <w:r w:rsidR="002E529B" w:rsidRPr="00D44526">
        <w:rPr>
          <w:lang w:eastAsia="en-AU"/>
        </w:rPr>
        <w:t xml:space="preserve">consumer </w:t>
      </w:r>
      <w:r w:rsidRPr="00D44526">
        <w:rPr>
          <w:lang w:eastAsia="en-AU"/>
        </w:rPr>
        <w:t xml:space="preserve">physically </w:t>
      </w:r>
      <w:r w:rsidR="002E529B" w:rsidRPr="00D44526">
        <w:rPr>
          <w:lang w:eastAsia="en-AU"/>
        </w:rPr>
        <w:t xml:space="preserve">places it. </w:t>
      </w:r>
    </w:p>
    <w:p w:rsidR="00BD2F7E" w:rsidRPr="00D44526" w:rsidRDefault="002E529B" w:rsidP="00433BC3">
      <w:pPr>
        <w:spacing w:before="120" w:after="120" w:line="240" w:lineRule="auto"/>
        <w:rPr>
          <w:rFonts w:cs="Calibri"/>
        </w:rPr>
      </w:pPr>
      <w:bookmarkStart w:id="22" w:name="_Toc303670541"/>
      <w:r w:rsidRPr="00D44526">
        <w:rPr>
          <w:rStyle w:val="Heading3Char"/>
          <w:rFonts w:cs="Calibri"/>
          <w:sz w:val="22"/>
          <w:szCs w:val="22"/>
          <w:lang w:val="en-AU"/>
        </w:rPr>
        <w:t>Principal</w:t>
      </w:r>
      <w:r w:rsidR="00DB6C16">
        <w:rPr>
          <w:rStyle w:val="Heading3Char"/>
          <w:rFonts w:cs="Calibri"/>
          <w:sz w:val="22"/>
          <w:szCs w:val="22"/>
          <w:lang w:val="en-AU"/>
        </w:rPr>
        <w:t>-</w:t>
      </w:r>
      <w:r w:rsidRPr="00D44526">
        <w:rPr>
          <w:rStyle w:val="Heading3Char"/>
          <w:rFonts w:cs="Calibri"/>
          <w:sz w:val="22"/>
          <w:szCs w:val="22"/>
          <w:lang w:val="en-AU"/>
        </w:rPr>
        <w:t>agent problems</w:t>
      </w:r>
      <w:bookmarkEnd w:id="22"/>
      <w:r w:rsidRPr="00D44526">
        <w:rPr>
          <w:rFonts w:cs="Calibri"/>
        </w:rPr>
        <w:t xml:space="preserve"> </w:t>
      </w:r>
    </w:p>
    <w:p w:rsidR="00844C7A" w:rsidRPr="00D44526" w:rsidRDefault="00BD2F7E" w:rsidP="00D44526">
      <w:r w:rsidRPr="00D44526">
        <w:t>A</w:t>
      </w:r>
      <w:r w:rsidR="002E529B" w:rsidRPr="00D44526">
        <w:t xml:space="preserve">lso called </w:t>
      </w:r>
      <w:r w:rsidR="00844C7A" w:rsidRPr="00D44526">
        <w:t xml:space="preserve">misplaced or </w:t>
      </w:r>
      <w:r w:rsidRPr="00D44526">
        <w:t>split-incentive problems, principal</w:t>
      </w:r>
      <w:r w:rsidR="00DB6C16">
        <w:t>-</w:t>
      </w:r>
      <w:r w:rsidRPr="00D44526">
        <w:t xml:space="preserve">agent problems refer to the frequent misalignment of </w:t>
      </w:r>
      <w:r w:rsidR="002E529B" w:rsidRPr="00D44526">
        <w:t xml:space="preserve">incentives </w:t>
      </w:r>
      <w:r w:rsidR="00210C7D" w:rsidRPr="00D44526">
        <w:t xml:space="preserve">and goals </w:t>
      </w:r>
      <w:r w:rsidR="002E529B" w:rsidRPr="00D44526">
        <w:t>facing landlords, tenants and building managers, resulting in sub-optimal outcomes</w:t>
      </w:r>
      <w:r w:rsidR="00210C7D" w:rsidRPr="00D44526">
        <w:rPr>
          <w:rStyle w:val="FootnoteReference"/>
          <w:rFonts w:cs="Calibri"/>
        </w:rPr>
        <w:footnoteReference w:id="17"/>
      </w:r>
      <w:r w:rsidR="002E529B" w:rsidRPr="00D44526">
        <w:t>.</w:t>
      </w:r>
    </w:p>
    <w:p w:rsidR="00925DDF" w:rsidRPr="00D44526" w:rsidRDefault="002E529B" w:rsidP="00D44526">
      <w:pPr>
        <w:rPr>
          <w:lang w:eastAsia="en-AU"/>
        </w:rPr>
      </w:pPr>
      <w:r w:rsidRPr="00D44526">
        <w:rPr>
          <w:lang w:eastAsia="en-AU"/>
        </w:rPr>
        <w:t>In relation to energy efficiency</w:t>
      </w:r>
      <w:r w:rsidR="003E5097" w:rsidRPr="00D44526">
        <w:rPr>
          <w:lang w:eastAsia="en-AU"/>
        </w:rPr>
        <w:t>, principal</w:t>
      </w:r>
      <w:r w:rsidR="00DB6C16">
        <w:rPr>
          <w:lang w:eastAsia="en-AU"/>
        </w:rPr>
        <w:t>-</w:t>
      </w:r>
      <w:r w:rsidR="003E5097" w:rsidRPr="00D44526">
        <w:rPr>
          <w:lang w:eastAsia="en-AU"/>
        </w:rPr>
        <w:t>agent problems occur when</w:t>
      </w:r>
      <w:r w:rsidRPr="00D44526">
        <w:rPr>
          <w:lang w:eastAsia="en-AU"/>
        </w:rPr>
        <w:t xml:space="preserve"> the economic benefits of energy conservation do not accrue</w:t>
      </w:r>
      <w:r w:rsidR="00844C7A" w:rsidRPr="00D44526">
        <w:rPr>
          <w:lang w:eastAsia="en-AU"/>
        </w:rPr>
        <w:t xml:space="preserve"> </w:t>
      </w:r>
      <w:r w:rsidRPr="00D44526">
        <w:rPr>
          <w:lang w:eastAsia="en-AU"/>
        </w:rPr>
        <w:t>to the person who is trying to conserve</w:t>
      </w:r>
      <w:r w:rsidR="003E5097" w:rsidRPr="00D44526">
        <w:rPr>
          <w:lang w:eastAsia="en-AU"/>
        </w:rPr>
        <w:t xml:space="preserve"> energy</w:t>
      </w:r>
      <w:r w:rsidRPr="00D44526">
        <w:rPr>
          <w:lang w:eastAsia="en-AU"/>
        </w:rPr>
        <w:t xml:space="preserve">. </w:t>
      </w:r>
      <w:r w:rsidR="00210C7D" w:rsidRPr="00D44526">
        <w:rPr>
          <w:lang w:eastAsia="en-AU"/>
        </w:rPr>
        <w:t xml:space="preserve">This is often </w:t>
      </w:r>
      <w:r w:rsidR="00B60362" w:rsidRPr="00D44526">
        <w:rPr>
          <w:lang w:eastAsia="en-AU"/>
        </w:rPr>
        <w:t>the case in the rental market. F</w:t>
      </w:r>
      <w:r w:rsidRPr="00D44526">
        <w:rPr>
          <w:lang w:eastAsia="en-AU"/>
        </w:rPr>
        <w:t>ixed household</w:t>
      </w:r>
      <w:r w:rsidR="00844C7A" w:rsidRPr="00D44526">
        <w:rPr>
          <w:lang w:eastAsia="en-AU"/>
        </w:rPr>
        <w:t xml:space="preserve"> </w:t>
      </w:r>
      <w:r w:rsidRPr="00D44526">
        <w:rPr>
          <w:lang w:eastAsia="en-AU"/>
        </w:rPr>
        <w:t>appliances (</w:t>
      </w:r>
      <w:r w:rsidR="00B60362" w:rsidRPr="00D44526">
        <w:rPr>
          <w:lang w:eastAsia="en-AU"/>
        </w:rPr>
        <w:t xml:space="preserve">such as water and space heating) are generally </w:t>
      </w:r>
      <w:r w:rsidRPr="00D44526">
        <w:rPr>
          <w:lang w:eastAsia="en-AU"/>
        </w:rPr>
        <w:t xml:space="preserve">the most expensive and </w:t>
      </w:r>
      <w:r w:rsidR="00B60362" w:rsidRPr="00D44526">
        <w:rPr>
          <w:lang w:eastAsia="en-AU"/>
        </w:rPr>
        <w:t>most energy-intensive, but are provided by the landlord</w:t>
      </w:r>
      <w:r w:rsidR="00925DDF" w:rsidRPr="00D44526">
        <w:rPr>
          <w:lang w:eastAsia="en-AU"/>
        </w:rPr>
        <w:t xml:space="preserve"> – who is primarily concerned about the upfront capital cost, not the ongoing running costs which are incurred by the tenant.  </w:t>
      </w:r>
    </w:p>
    <w:p w:rsidR="00844C7A" w:rsidRPr="00D44526" w:rsidRDefault="00925DDF" w:rsidP="00D44526">
      <w:pPr>
        <w:rPr>
          <w:iCs/>
          <w:lang w:eastAsia="en-AU"/>
        </w:rPr>
      </w:pPr>
      <w:r w:rsidRPr="00D44526">
        <w:rPr>
          <w:lang w:eastAsia="en-AU"/>
        </w:rPr>
        <w:t>The nature of the split incentives problem is compounded by the</w:t>
      </w:r>
      <w:r w:rsidRPr="00D44526">
        <w:rPr>
          <w:iCs/>
          <w:lang w:eastAsia="en-AU"/>
        </w:rPr>
        <w:t xml:space="preserve"> price differential </w:t>
      </w:r>
      <w:r w:rsidR="005965B2">
        <w:rPr>
          <w:iCs/>
          <w:lang w:eastAsia="en-AU"/>
        </w:rPr>
        <w:t xml:space="preserve">that can exist </w:t>
      </w:r>
      <w:r w:rsidRPr="00D44526">
        <w:rPr>
          <w:iCs/>
          <w:lang w:eastAsia="en-AU"/>
        </w:rPr>
        <w:t>between energy efficient and standard products</w:t>
      </w:r>
      <w:r w:rsidR="000A12F1">
        <w:rPr>
          <w:iCs/>
          <w:lang w:eastAsia="en-AU"/>
        </w:rPr>
        <w:t>,</w:t>
      </w:r>
      <w:r w:rsidRPr="00D44526">
        <w:rPr>
          <w:iCs/>
          <w:lang w:eastAsia="en-AU"/>
        </w:rPr>
        <w:t xml:space="preserve"> low vacancy rates</w:t>
      </w:r>
      <w:r w:rsidR="000A12F1">
        <w:rPr>
          <w:iCs/>
          <w:lang w:eastAsia="en-AU"/>
        </w:rPr>
        <w:t>,</w:t>
      </w:r>
      <w:r w:rsidRPr="00D44526">
        <w:rPr>
          <w:iCs/>
          <w:lang w:eastAsia="en-AU"/>
        </w:rPr>
        <w:t xml:space="preserve"> the number of factors a tenant must consider when evaluating options</w:t>
      </w:r>
      <w:r w:rsidR="000A12F1">
        <w:rPr>
          <w:iCs/>
          <w:lang w:eastAsia="en-AU"/>
        </w:rPr>
        <w:t>,</w:t>
      </w:r>
      <w:r w:rsidRPr="00D44526">
        <w:rPr>
          <w:iCs/>
          <w:lang w:eastAsia="en-AU"/>
        </w:rPr>
        <w:t xml:space="preserve"> and the short average</w:t>
      </w:r>
      <w:r w:rsidR="008C7B4E">
        <w:rPr>
          <w:iCs/>
          <w:lang w:eastAsia="en-AU"/>
        </w:rPr>
        <w:t xml:space="preserve"> length of</w:t>
      </w:r>
      <w:r w:rsidRPr="00D44526">
        <w:rPr>
          <w:iCs/>
          <w:lang w:eastAsia="en-AU"/>
        </w:rPr>
        <w:t xml:space="preserve"> tenancies relative to</w:t>
      </w:r>
      <w:r w:rsidR="005965B2">
        <w:rPr>
          <w:iCs/>
          <w:lang w:eastAsia="en-AU"/>
        </w:rPr>
        <w:t xml:space="preserve"> energy</w:t>
      </w:r>
      <w:r w:rsidRPr="00D44526">
        <w:rPr>
          <w:iCs/>
          <w:lang w:eastAsia="en-AU"/>
        </w:rPr>
        <w:t xml:space="preserve"> payback periods.</w:t>
      </w:r>
    </w:p>
    <w:p w:rsidR="00925DDF" w:rsidRPr="00D44526" w:rsidRDefault="00764E6D" w:rsidP="00433BC3">
      <w:pPr>
        <w:spacing w:before="120" w:after="120" w:line="240" w:lineRule="auto"/>
        <w:rPr>
          <w:rStyle w:val="Heading3Char"/>
          <w:rFonts w:cs="Calibri"/>
          <w:sz w:val="22"/>
          <w:szCs w:val="22"/>
          <w:lang w:val="en-AU"/>
        </w:rPr>
      </w:pPr>
      <w:bookmarkStart w:id="23" w:name="_Toc303670542"/>
      <w:r w:rsidRPr="00D44526">
        <w:rPr>
          <w:rStyle w:val="Heading3Char"/>
          <w:rFonts w:cs="Calibri"/>
          <w:sz w:val="22"/>
          <w:szCs w:val="22"/>
          <w:lang w:val="en-AU"/>
        </w:rPr>
        <w:t>Externalities</w:t>
      </w:r>
      <w:bookmarkEnd w:id="23"/>
    </w:p>
    <w:p w:rsidR="000A6966" w:rsidRPr="00D44526" w:rsidRDefault="00CA1CC0" w:rsidP="00D44526">
      <w:pPr>
        <w:rPr>
          <w:lang w:eastAsia="en-AU"/>
        </w:rPr>
      </w:pPr>
      <w:r w:rsidRPr="00D44526">
        <w:rPr>
          <w:lang w:eastAsia="en-AU"/>
        </w:rPr>
        <w:t xml:space="preserve">GHG </w:t>
      </w:r>
      <w:r w:rsidR="000A6966" w:rsidRPr="00D44526">
        <w:rPr>
          <w:lang w:eastAsia="en-AU"/>
        </w:rPr>
        <w:t>emissions</w:t>
      </w:r>
      <w:r w:rsidRPr="00D44526">
        <w:rPr>
          <w:lang w:eastAsia="en-AU"/>
        </w:rPr>
        <w:t xml:space="preserve"> resulting from energy production impose costs on third parties not currently borne by energy </w:t>
      </w:r>
      <w:r w:rsidR="000A6966" w:rsidRPr="00D44526">
        <w:rPr>
          <w:lang w:eastAsia="en-AU"/>
        </w:rPr>
        <w:t>consumer</w:t>
      </w:r>
      <w:r w:rsidRPr="00D44526">
        <w:rPr>
          <w:lang w:eastAsia="en-AU"/>
        </w:rPr>
        <w:t>s.</w:t>
      </w:r>
      <w:r w:rsidR="000A6966" w:rsidRPr="00D44526">
        <w:rPr>
          <w:lang w:eastAsia="en-AU"/>
        </w:rPr>
        <w:t xml:space="preserve"> </w:t>
      </w:r>
      <w:r w:rsidRPr="00D44526">
        <w:rPr>
          <w:lang w:eastAsia="en-AU"/>
        </w:rPr>
        <w:t xml:space="preserve">As a result </w:t>
      </w:r>
      <w:r w:rsidR="000A6966" w:rsidRPr="00D44526">
        <w:rPr>
          <w:lang w:eastAsia="en-AU"/>
        </w:rPr>
        <w:t>there is no incentive</w:t>
      </w:r>
      <w:r w:rsidRPr="00D44526">
        <w:rPr>
          <w:lang w:eastAsia="en-AU"/>
        </w:rPr>
        <w:t xml:space="preserve"> for consumers</w:t>
      </w:r>
      <w:r w:rsidR="000A6966" w:rsidRPr="00D44526">
        <w:rPr>
          <w:lang w:eastAsia="en-AU"/>
        </w:rPr>
        <w:t xml:space="preserve"> to reduce consumption to a socially optimal level. </w:t>
      </w:r>
      <w:r w:rsidRPr="00D44526">
        <w:rPr>
          <w:lang w:eastAsia="en-AU"/>
        </w:rPr>
        <w:t>T</w:t>
      </w:r>
      <w:r w:rsidR="000A6966" w:rsidRPr="00D44526">
        <w:rPr>
          <w:lang w:eastAsia="en-AU"/>
        </w:rPr>
        <w:t>he ‘hidden costs’ of electricity (including the costs associated with GHG emissions associated with currently deployed fossil fuel</w:t>
      </w:r>
      <w:r w:rsidR="00FB3C8D">
        <w:rPr>
          <w:lang w:eastAsia="en-AU"/>
        </w:rPr>
        <w:t xml:space="preserve"> generation</w:t>
      </w:r>
      <w:r w:rsidR="000A6966" w:rsidRPr="00D44526">
        <w:rPr>
          <w:lang w:eastAsia="en-AU"/>
        </w:rPr>
        <w:t xml:space="preserve"> technologies) </w:t>
      </w:r>
      <w:r w:rsidRPr="00D44526">
        <w:rPr>
          <w:lang w:eastAsia="en-AU"/>
        </w:rPr>
        <w:t>have estimates ranging</w:t>
      </w:r>
      <w:r w:rsidR="000A6966" w:rsidRPr="00D44526">
        <w:rPr>
          <w:lang w:eastAsia="en-AU"/>
        </w:rPr>
        <w:t xml:space="preserve"> from $18/MWh for gas to $39/MWh</w:t>
      </w:r>
      <w:r w:rsidR="00E80549" w:rsidRPr="00D44526">
        <w:rPr>
          <w:lang w:eastAsia="en-AU"/>
        </w:rPr>
        <w:t xml:space="preserve"> for brown coal</w:t>
      </w:r>
      <w:r w:rsidR="00E80549" w:rsidRPr="00D44526">
        <w:rPr>
          <w:rStyle w:val="FootnoteReference"/>
          <w:rFonts w:cs="Calibri"/>
          <w:lang w:eastAsia="en-AU"/>
        </w:rPr>
        <w:footnoteReference w:id="18"/>
      </w:r>
      <w:r w:rsidR="00E80549" w:rsidRPr="00D44526">
        <w:rPr>
          <w:lang w:eastAsia="en-AU"/>
        </w:rPr>
        <w:t>.</w:t>
      </w:r>
    </w:p>
    <w:p w:rsidR="000A6966" w:rsidRPr="00D44526" w:rsidRDefault="00CA1CC0" w:rsidP="00D44526">
      <w:r w:rsidRPr="00D44526">
        <w:t xml:space="preserve">In addition to the negative carbon externality, energy efficiency has spill-over benefits such as reduced network infrastructure costs. </w:t>
      </w:r>
      <w:r w:rsidR="000A6966" w:rsidRPr="00D44526">
        <w:rPr>
          <w:lang w:eastAsia="en-AU"/>
        </w:rPr>
        <w:t>For example, the need for investment in additional energy generation</w:t>
      </w:r>
      <w:r w:rsidR="00FB3C8D">
        <w:rPr>
          <w:lang w:eastAsia="en-AU"/>
        </w:rPr>
        <w:t>,</w:t>
      </w:r>
      <w:r w:rsidR="000A6966" w:rsidRPr="00D44526">
        <w:rPr>
          <w:lang w:eastAsia="en-AU"/>
        </w:rPr>
        <w:t xml:space="preserve"> and augmentation of transmission and distribution networks associated with expanded supply</w:t>
      </w:r>
      <w:r w:rsidR="00FB3C8D">
        <w:rPr>
          <w:lang w:eastAsia="en-AU"/>
        </w:rPr>
        <w:t>,</w:t>
      </w:r>
      <w:r w:rsidRPr="00D44526">
        <w:rPr>
          <w:lang w:eastAsia="en-AU"/>
        </w:rPr>
        <w:t xml:space="preserve"> may be </w:t>
      </w:r>
      <w:r w:rsidR="00575C89">
        <w:rPr>
          <w:lang w:eastAsia="en-AU"/>
        </w:rPr>
        <w:t>reduced</w:t>
      </w:r>
      <w:r w:rsidRPr="00D44526">
        <w:rPr>
          <w:lang w:eastAsia="en-AU"/>
        </w:rPr>
        <w:t xml:space="preserve"> by energy efficiency improvements</w:t>
      </w:r>
      <w:r w:rsidR="00FB3C8D">
        <w:rPr>
          <w:lang w:eastAsia="en-AU"/>
        </w:rPr>
        <w:t xml:space="preserve"> resulting in </w:t>
      </w:r>
      <w:r w:rsidR="00575C89">
        <w:rPr>
          <w:lang w:eastAsia="en-AU"/>
        </w:rPr>
        <w:t>lower</w:t>
      </w:r>
      <w:r w:rsidR="00FB3C8D">
        <w:rPr>
          <w:lang w:eastAsia="en-AU"/>
        </w:rPr>
        <w:t xml:space="preserve"> prices for energy</w:t>
      </w:r>
      <w:r w:rsidR="00575C89">
        <w:rPr>
          <w:lang w:eastAsia="en-AU"/>
        </w:rPr>
        <w:t>,</w:t>
      </w:r>
      <w:r w:rsidR="00FB3C8D">
        <w:rPr>
          <w:lang w:eastAsia="en-AU"/>
        </w:rPr>
        <w:t xml:space="preserve"> which are shared by the community.</w:t>
      </w:r>
    </w:p>
    <w:p w:rsidR="00D7171F" w:rsidRDefault="00764E6D">
      <w:pPr>
        <w:keepNext/>
        <w:spacing w:before="120" w:after="120" w:line="240" w:lineRule="auto"/>
        <w:rPr>
          <w:rStyle w:val="Heading3Char"/>
          <w:rFonts w:cs="Calibri"/>
          <w:sz w:val="22"/>
          <w:szCs w:val="22"/>
          <w:lang w:val="en-AU"/>
        </w:rPr>
      </w:pPr>
      <w:bookmarkStart w:id="24" w:name="_Toc303670543"/>
      <w:r w:rsidRPr="00D44526">
        <w:rPr>
          <w:rStyle w:val="Heading3Char"/>
          <w:rFonts w:cs="Calibri"/>
          <w:sz w:val="22"/>
          <w:szCs w:val="22"/>
          <w:lang w:val="en-AU"/>
        </w:rPr>
        <w:t>Early mover spill-over</w:t>
      </w:r>
      <w:r w:rsidR="00D874EB" w:rsidRPr="00D44526">
        <w:rPr>
          <w:rStyle w:val="Heading3Char"/>
          <w:rFonts w:cs="Calibri"/>
          <w:sz w:val="22"/>
          <w:szCs w:val="22"/>
          <w:lang w:val="en-AU"/>
        </w:rPr>
        <w:t>s</w:t>
      </w:r>
      <w:bookmarkEnd w:id="24"/>
    </w:p>
    <w:p w:rsidR="008D1DF2" w:rsidRDefault="00764E6D">
      <w:pPr>
        <w:rPr>
          <w:lang w:eastAsia="en-AU"/>
        </w:rPr>
      </w:pPr>
      <w:r w:rsidRPr="00D44526">
        <w:rPr>
          <w:lang w:eastAsia="en-AU"/>
        </w:rPr>
        <w:t>Support for research and development is required to extend the potential of energy efficiency.</w:t>
      </w:r>
      <w:r w:rsidR="00D874EB" w:rsidRPr="00D44526">
        <w:rPr>
          <w:lang w:eastAsia="en-AU"/>
        </w:rPr>
        <w:t xml:space="preserve"> Currently, in most cases an industry or producer who moves to produce new energy efficient products early will bear the costs of developing and bringing the product to the market. Later movers will then share in the associated benefits that spill over directly from the early movers’ investments – thus resulting in a strong disincentive for early innovation</w:t>
      </w:r>
      <w:r w:rsidR="00E5522E" w:rsidRPr="00E5522E">
        <w:rPr>
          <w:rStyle w:val="FootnoteReference"/>
          <w:rFonts w:cs="Calibri"/>
        </w:rPr>
        <w:footnoteReference w:id="19"/>
      </w:r>
      <w:r w:rsidR="00E5522E" w:rsidRPr="00E5522E">
        <w:rPr>
          <w:lang w:eastAsia="en-AU"/>
        </w:rPr>
        <w:t>.</w:t>
      </w:r>
    </w:p>
    <w:p w:rsidR="0059024A" w:rsidRPr="00D44526" w:rsidRDefault="002E529B" w:rsidP="00433BC3">
      <w:pPr>
        <w:spacing w:before="120" w:after="120" w:line="240" w:lineRule="auto"/>
        <w:rPr>
          <w:rFonts w:cs="Calibri"/>
          <w:highlight w:val="yellow"/>
        </w:rPr>
      </w:pPr>
      <w:r w:rsidRPr="00D44526">
        <w:rPr>
          <w:rFonts w:cs="Calibri"/>
          <w:lang w:eastAsia="en-AU"/>
        </w:rPr>
        <w:br w:type="page"/>
      </w:r>
      <w:bookmarkStart w:id="25" w:name="_Toc303670544"/>
      <w:bookmarkStart w:id="26" w:name="_Toc306808219"/>
      <w:r w:rsidR="0059024A" w:rsidRPr="00D44526">
        <w:rPr>
          <w:rStyle w:val="Heading2Char"/>
        </w:rPr>
        <w:t>Consultation</w:t>
      </w:r>
      <w:bookmarkEnd w:id="25"/>
      <w:bookmarkEnd w:id="26"/>
    </w:p>
    <w:p w:rsidR="0059024A" w:rsidRPr="00D44526" w:rsidRDefault="00A658DB" w:rsidP="00D44526">
      <w:r w:rsidRPr="00D44526">
        <w:t>Following the development of a consultation paper regarding a</w:t>
      </w:r>
      <w:r w:rsidR="00DE63F5">
        <w:t xml:space="preserve"> </w:t>
      </w:r>
      <w:r w:rsidR="00750858">
        <w:t>supplier</w:t>
      </w:r>
      <w:r w:rsidR="00DE63F5">
        <w:t xml:space="preserve"> obligation </w:t>
      </w:r>
      <w:r w:rsidR="002D1321">
        <w:t>energy efficiency scheme</w:t>
      </w:r>
      <w:r w:rsidR="00DE63F5">
        <w:t xml:space="preserve"> for the ACT (the Scheme)</w:t>
      </w:r>
      <w:r w:rsidRPr="00D44526">
        <w:t xml:space="preserve">, targeted consultation was carried out with a number of industry, community and government stakeholders. During the consultation process the Environment and Sustainable Development Directorate sought formal written response to the circulated consultation paper. Further to this, a number of meetings and conversations were held. </w:t>
      </w:r>
      <w:r w:rsidR="00CD3538" w:rsidRPr="00DE052D">
        <w:t xml:space="preserve">This RIS, and the recommended </w:t>
      </w:r>
      <w:r w:rsidR="002D1321">
        <w:t>energy efficiency scheme</w:t>
      </w:r>
      <w:r w:rsidR="00CD3538" w:rsidRPr="00DE052D">
        <w:t>,</w:t>
      </w:r>
      <w:r w:rsidRPr="00DE052D">
        <w:t xml:space="preserve"> have</w:t>
      </w:r>
      <w:r w:rsidR="00CD3538" w:rsidRPr="00DE052D">
        <w:t xml:space="preserve"> been prepared in line with </w:t>
      </w:r>
      <w:r w:rsidRPr="00DE052D">
        <w:t xml:space="preserve">the </w:t>
      </w:r>
      <w:r w:rsidR="00CD3538" w:rsidRPr="00DE052D">
        <w:t>comments received</w:t>
      </w:r>
      <w:r w:rsidRPr="00DE052D">
        <w:t xml:space="preserve"> through this process.</w:t>
      </w:r>
    </w:p>
    <w:p w:rsidR="00A658DB" w:rsidRPr="00D44526" w:rsidRDefault="00DE63F5" w:rsidP="00D44526">
      <w:r>
        <w:t xml:space="preserve">The consultation demonstrated strong support for the Scheme from some electricity </w:t>
      </w:r>
      <w:r w:rsidR="00750858">
        <w:t>supplier</w:t>
      </w:r>
      <w:r>
        <w:t xml:space="preserve">s and social welfare organisations. </w:t>
      </w:r>
      <w:r w:rsidR="00A658DB" w:rsidRPr="00D44526">
        <w:t>Key issues identified through the consultation process included:</w:t>
      </w:r>
    </w:p>
    <w:p w:rsidR="00A658DB" w:rsidRPr="00D44526" w:rsidRDefault="00A658DB" w:rsidP="002D4899">
      <w:pPr>
        <w:numPr>
          <w:ilvl w:val="0"/>
          <w:numId w:val="6"/>
        </w:numPr>
        <w:spacing w:before="120" w:after="120" w:line="240" w:lineRule="auto"/>
        <w:rPr>
          <w:rFonts w:cs="Calibri"/>
        </w:rPr>
      </w:pPr>
      <w:r w:rsidRPr="00D44526">
        <w:rPr>
          <w:rFonts w:cs="Calibri"/>
        </w:rPr>
        <w:t xml:space="preserve">The appropriateness of an ACT </w:t>
      </w:r>
      <w:r w:rsidR="002D1321">
        <w:rPr>
          <w:rFonts w:cs="Calibri"/>
        </w:rPr>
        <w:t>energy efficiency scheme</w:t>
      </w:r>
      <w:r w:rsidRPr="00D44526">
        <w:rPr>
          <w:rFonts w:cs="Calibri"/>
        </w:rPr>
        <w:t xml:space="preserve"> in light of the potential for a national scheme in the future.</w:t>
      </w:r>
    </w:p>
    <w:p w:rsidR="00A658DB" w:rsidRPr="00D44526" w:rsidRDefault="00A658DB" w:rsidP="002D4899">
      <w:pPr>
        <w:numPr>
          <w:ilvl w:val="0"/>
          <w:numId w:val="6"/>
        </w:numPr>
        <w:spacing w:before="120" w:after="120" w:line="240" w:lineRule="auto"/>
        <w:rPr>
          <w:rFonts w:cs="Calibri"/>
        </w:rPr>
      </w:pPr>
      <w:r w:rsidRPr="00D44526">
        <w:rPr>
          <w:rFonts w:cs="Calibri"/>
        </w:rPr>
        <w:t xml:space="preserve">The potential negative impact on competition as a result of </w:t>
      </w:r>
      <w:r w:rsidR="00DE63F5">
        <w:rPr>
          <w:rFonts w:cs="Calibri"/>
        </w:rPr>
        <w:t>a</w:t>
      </w:r>
      <w:r w:rsidR="00DE63F5" w:rsidRPr="00D44526">
        <w:rPr>
          <w:rFonts w:cs="Calibri"/>
        </w:rPr>
        <w:t xml:space="preserve"> </w:t>
      </w:r>
      <w:r w:rsidRPr="00D44526">
        <w:rPr>
          <w:rFonts w:cs="Calibri"/>
        </w:rPr>
        <w:t xml:space="preserve">proposed </w:t>
      </w:r>
      <w:r w:rsidR="00DE63F5">
        <w:rPr>
          <w:rFonts w:cs="Calibri"/>
        </w:rPr>
        <w:t>‘</w:t>
      </w:r>
      <w:r w:rsidRPr="00D44526">
        <w:rPr>
          <w:rFonts w:cs="Calibri"/>
        </w:rPr>
        <w:t>participation threshold</w:t>
      </w:r>
      <w:r w:rsidR="00DE63F5">
        <w:rPr>
          <w:rFonts w:cs="Calibri"/>
        </w:rPr>
        <w:t>’</w:t>
      </w:r>
      <w:r w:rsidRPr="00D44526">
        <w:rPr>
          <w:rFonts w:cs="Calibri"/>
        </w:rPr>
        <w:t xml:space="preserve"> for </w:t>
      </w:r>
      <w:r w:rsidR="00DE63F5">
        <w:rPr>
          <w:rFonts w:cs="Calibri"/>
        </w:rPr>
        <w:t xml:space="preserve">electricity </w:t>
      </w:r>
      <w:r w:rsidR="00750858">
        <w:rPr>
          <w:rFonts w:cs="Calibri"/>
        </w:rPr>
        <w:t>supplier</w:t>
      </w:r>
      <w:r w:rsidR="00DE63F5">
        <w:rPr>
          <w:rFonts w:cs="Calibri"/>
        </w:rPr>
        <w:t>s</w:t>
      </w:r>
      <w:r w:rsidRPr="00D44526">
        <w:rPr>
          <w:rFonts w:cs="Calibri"/>
        </w:rPr>
        <w:t>.</w:t>
      </w:r>
    </w:p>
    <w:p w:rsidR="00A658DB" w:rsidRPr="00D44526" w:rsidRDefault="00A658DB" w:rsidP="002D4899">
      <w:pPr>
        <w:numPr>
          <w:ilvl w:val="0"/>
          <w:numId w:val="6"/>
        </w:numPr>
        <w:spacing w:before="120" w:after="120" w:line="240" w:lineRule="auto"/>
        <w:rPr>
          <w:rFonts w:cs="Calibri"/>
        </w:rPr>
      </w:pPr>
      <w:r w:rsidRPr="00D44526">
        <w:rPr>
          <w:rFonts w:cs="Calibri"/>
        </w:rPr>
        <w:t xml:space="preserve">The potential negative impact on </w:t>
      </w:r>
      <w:r w:rsidR="00DE63F5">
        <w:rPr>
          <w:rFonts w:cs="Calibri"/>
        </w:rPr>
        <w:t xml:space="preserve">electricity retail market </w:t>
      </w:r>
      <w:r w:rsidRPr="00D44526">
        <w:rPr>
          <w:rFonts w:cs="Calibri"/>
        </w:rPr>
        <w:t>competition as a result of the proposed differentiated obligation on competit</w:t>
      </w:r>
      <w:r w:rsidR="00DE63F5">
        <w:rPr>
          <w:rFonts w:cs="Calibri"/>
        </w:rPr>
        <w:t>ors</w:t>
      </w:r>
      <w:r w:rsidRPr="00D44526">
        <w:rPr>
          <w:rFonts w:cs="Calibri"/>
        </w:rPr>
        <w:t>.</w:t>
      </w:r>
    </w:p>
    <w:p w:rsidR="00A658DB" w:rsidRPr="00D44526" w:rsidRDefault="00A658DB" w:rsidP="002D4899">
      <w:pPr>
        <w:numPr>
          <w:ilvl w:val="0"/>
          <w:numId w:val="6"/>
        </w:numPr>
        <w:spacing w:before="120" w:after="120" w:line="240" w:lineRule="auto"/>
        <w:rPr>
          <w:rFonts w:cs="Calibri"/>
        </w:rPr>
      </w:pPr>
      <w:r w:rsidRPr="00D44526">
        <w:rPr>
          <w:rFonts w:cs="Calibri"/>
        </w:rPr>
        <w:t>The price of shortfall penalt</w:t>
      </w:r>
      <w:r w:rsidR="00DE63F5">
        <w:rPr>
          <w:rFonts w:cs="Calibri"/>
        </w:rPr>
        <w:t>ies</w:t>
      </w:r>
      <w:r w:rsidRPr="00D44526">
        <w:rPr>
          <w:rFonts w:cs="Calibri"/>
        </w:rPr>
        <w:t>.</w:t>
      </w:r>
    </w:p>
    <w:p w:rsidR="00A658DB" w:rsidRPr="00D44526" w:rsidRDefault="00A658DB" w:rsidP="002D4899">
      <w:pPr>
        <w:numPr>
          <w:ilvl w:val="0"/>
          <w:numId w:val="6"/>
        </w:numPr>
        <w:spacing w:before="120" w:after="120" w:line="240" w:lineRule="auto"/>
        <w:rPr>
          <w:rFonts w:cs="Calibri"/>
        </w:rPr>
      </w:pPr>
      <w:r w:rsidRPr="00D44526">
        <w:rPr>
          <w:rFonts w:cs="Calibri"/>
        </w:rPr>
        <w:t>What to do with funds raised by the Scheme.</w:t>
      </w:r>
    </w:p>
    <w:p w:rsidR="00A658DB" w:rsidRPr="00D44526" w:rsidRDefault="00A658DB" w:rsidP="002D4899">
      <w:pPr>
        <w:numPr>
          <w:ilvl w:val="0"/>
          <w:numId w:val="6"/>
        </w:numPr>
        <w:spacing w:before="120" w:after="120" w:line="240" w:lineRule="auto"/>
        <w:rPr>
          <w:rFonts w:cs="Calibri"/>
        </w:rPr>
      </w:pPr>
      <w:r w:rsidRPr="00D44526">
        <w:rPr>
          <w:rFonts w:cs="Calibri"/>
        </w:rPr>
        <w:t xml:space="preserve">The ability for second tier </w:t>
      </w:r>
      <w:r w:rsidR="005D69F7">
        <w:rPr>
          <w:rFonts w:cs="Calibri"/>
        </w:rPr>
        <w:t>supplier</w:t>
      </w:r>
      <w:r w:rsidRPr="00D44526">
        <w:rPr>
          <w:rFonts w:cs="Calibri"/>
        </w:rPr>
        <w:t>s to pass-through costs.</w:t>
      </w:r>
    </w:p>
    <w:p w:rsidR="00A658DB" w:rsidRPr="00D44526" w:rsidRDefault="00A658DB" w:rsidP="002D4899">
      <w:pPr>
        <w:numPr>
          <w:ilvl w:val="0"/>
          <w:numId w:val="6"/>
        </w:numPr>
        <w:spacing w:before="120" w:after="120" w:line="240" w:lineRule="auto"/>
        <w:rPr>
          <w:rFonts w:cs="Calibri"/>
        </w:rPr>
      </w:pPr>
      <w:r w:rsidRPr="00D44526">
        <w:rPr>
          <w:rFonts w:cs="Calibri"/>
        </w:rPr>
        <w:t>The inclusion of a household audit target under the Scheme.</w:t>
      </w:r>
    </w:p>
    <w:p w:rsidR="00A658DB" w:rsidRPr="00D44526" w:rsidRDefault="00A658DB" w:rsidP="002D4899">
      <w:pPr>
        <w:numPr>
          <w:ilvl w:val="0"/>
          <w:numId w:val="6"/>
        </w:numPr>
        <w:spacing w:before="120" w:after="120" w:line="240" w:lineRule="auto"/>
        <w:rPr>
          <w:rFonts w:cs="Calibri"/>
        </w:rPr>
      </w:pPr>
      <w:r w:rsidRPr="00D44526">
        <w:rPr>
          <w:rFonts w:cs="Calibri"/>
        </w:rPr>
        <w:t>W</w:t>
      </w:r>
      <w:r w:rsidR="00990C8A">
        <w:rPr>
          <w:rFonts w:cs="Calibri"/>
        </w:rPr>
        <w:t>hich</w:t>
      </w:r>
      <w:r w:rsidRPr="00D44526">
        <w:rPr>
          <w:rFonts w:cs="Calibri"/>
        </w:rPr>
        <w:t xml:space="preserve"> households are included under the priority</w:t>
      </w:r>
      <w:r w:rsidR="00990C8A">
        <w:rPr>
          <w:rFonts w:cs="Calibri"/>
        </w:rPr>
        <w:t xml:space="preserve"> household</w:t>
      </w:r>
      <w:r w:rsidRPr="00D44526">
        <w:rPr>
          <w:rFonts w:cs="Calibri"/>
        </w:rPr>
        <w:t xml:space="preserve"> </w:t>
      </w:r>
      <w:r w:rsidR="00DE63F5">
        <w:rPr>
          <w:rFonts w:cs="Calibri"/>
        </w:rPr>
        <w:t>(low</w:t>
      </w:r>
      <w:r w:rsidR="00990C8A">
        <w:rPr>
          <w:rFonts w:cs="Calibri"/>
        </w:rPr>
        <w:t>-i</w:t>
      </w:r>
      <w:r w:rsidR="00DE63F5">
        <w:rPr>
          <w:rFonts w:cs="Calibri"/>
        </w:rPr>
        <w:t xml:space="preserve">ncome) </w:t>
      </w:r>
      <w:r w:rsidRPr="00D44526">
        <w:rPr>
          <w:rFonts w:cs="Calibri"/>
        </w:rPr>
        <w:t>category.</w:t>
      </w:r>
    </w:p>
    <w:p w:rsidR="00A658DB" w:rsidRPr="00D44526" w:rsidRDefault="00A658DB" w:rsidP="002D4899">
      <w:pPr>
        <w:numPr>
          <w:ilvl w:val="0"/>
          <w:numId w:val="6"/>
        </w:numPr>
        <w:spacing w:before="120" w:after="120" w:line="240" w:lineRule="auto"/>
        <w:rPr>
          <w:rFonts w:cs="Calibri"/>
        </w:rPr>
      </w:pPr>
      <w:r w:rsidRPr="00D44526">
        <w:rPr>
          <w:rFonts w:cs="Calibri"/>
        </w:rPr>
        <w:t xml:space="preserve">The potential role of </w:t>
      </w:r>
      <w:r w:rsidR="00DE63F5">
        <w:rPr>
          <w:rFonts w:cs="Calibri"/>
        </w:rPr>
        <w:t xml:space="preserve">the </w:t>
      </w:r>
      <w:r w:rsidR="007433B4">
        <w:rPr>
          <w:rFonts w:cs="Calibri"/>
        </w:rPr>
        <w:t>Independent Competition and Regulatory Commission (</w:t>
      </w:r>
      <w:r w:rsidRPr="00D44526">
        <w:rPr>
          <w:rFonts w:cs="Calibri"/>
        </w:rPr>
        <w:t>ICRC</w:t>
      </w:r>
      <w:r w:rsidR="007433B4">
        <w:rPr>
          <w:rFonts w:cs="Calibri"/>
        </w:rPr>
        <w:t>)</w:t>
      </w:r>
      <w:r w:rsidR="008C0D5D">
        <w:rPr>
          <w:rFonts w:cs="Calibri"/>
        </w:rPr>
        <w:t xml:space="preserve"> as the Scheme A</w:t>
      </w:r>
      <w:r w:rsidRPr="00D44526">
        <w:rPr>
          <w:rFonts w:cs="Calibri"/>
        </w:rPr>
        <w:t>dministrator.</w:t>
      </w:r>
    </w:p>
    <w:p w:rsidR="00A658DB" w:rsidRPr="00D44526" w:rsidRDefault="00A658DB" w:rsidP="002D4899">
      <w:pPr>
        <w:numPr>
          <w:ilvl w:val="0"/>
          <w:numId w:val="6"/>
        </w:numPr>
        <w:spacing w:before="120" w:after="120" w:line="240" w:lineRule="auto"/>
        <w:rPr>
          <w:rFonts w:cs="Calibri"/>
        </w:rPr>
      </w:pPr>
      <w:r w:rsidRPr="00D44526">
        <w:rPr>
          <w:rFonts w:cs="Calibri"/>
        </w:rPr>
        <w:t>The interaction of the Scheme with existing energy efficiency programs in the ACT.</w:t>
      </w:r>
    </w:p>
    <w:p w:rsidR="00A658DB" w:rsidRPr="00D44526" w:rsidRDefault="00A658DB" w:rsidP="002D4899">
      <w:pPr>
        <w:numPr>
          <w:ilvl w:val="0"/>
          <w:numId w:val="6"/>
        </w:numPr>
        <w:spacing w:before="120" w:after="120" w:line="240" w:lineRule="auto"/>
        <w:rPr>
          <w:rFonts w:cs="Calibri"/>
        </w:rPr>
      </w:pPr>
      <w:r w:rsidRPr="00D44526">
        <w:rPr>
          <w:rFonts w:cs="Calibri"/>
        </w:rPr>
        <w:t>The interaction of the Scheme with the new National Energy Customer Framework.</w:t>
      </w:r>
    </w:p>
    <w:p w:rsidR="00FD68F9" w:rsidRPr="00D44526" w:rsidRDefault="00A658DB" w:rsidP="002D4899">
      <w:pPr>
        <w:numPr>
          <w:ilvl w:val="0"/>
          <w:numId w:val="6"/>
        </w:numPr>
        <w:spacing w:before="120" w:after="120" w:line="240" w:lineRule="auto"/>
        <w:rPr>
          <w:rFonts w:cs="Calibri"/>
        </w:rPr>
      </w:pPr>
      <w:r w:rsidRPr="00D44526">
        <w:rPr>
          <w:rFonts w:cs="Calibri"/>
        </w:rPr>
        <w:t>The need for sufficient lead time for the proposed implementation timeline.</w:t>
      </w:r>
    </w:p>
    <w:p w:rsidR="006567BE" w:rsidRPr="00C813E5" w:rsidRDefault="005A5B06" w:rsidP="005E7B16">
      <w:pPr>
        <w:pStyle w:val="Heading1"/>
      </w:pPr>
      <w:bookmarkStart w:id="27" w:name="_Toc303670545"/>
      <w:bookmarkStart w:id="28" w:name="_Toc306808220"/>
      <w:r w:rsidRPr="00C813E5">
        <w:t>Objective</w:t>
      </w:r>
      <w:bookmarkEnd w:id="27"/>
      <w:bookmarkEnd w:id="28"/>
    </w:p>
    <w:p w:rsidR="002E529B" w:rsidRPr="00D44526" w:rsidRDefault="00530955" w:rsidP="00D44526">
      <w:r w:rsidRPr="00D44526">
        <w:t>In consideration of the outlined problem and underlying causes</w:t>
      </w:r>
      <w:r w:rsidR="00A658DB" w:rsidRPr="00D44526">
        <w:t xml:space="preserve"> relating to inefficient use of energy in the ACT</w:t>
      </w:r>
      <w:r w:rsidRPr="00D44526">
        <w:t>, t</w:t>
      </w:r>
      <w:r w:rsidR="002E529B" w:rsidRPr="00D44526">
        <w:t xml:space="preserve">he principal objectives of </w:t>
      </w:r>
      <w:r w:rsidR="00A658DB" w:rsidRPr="00D44526">
        <w:t>a Government response</w:t>
      </w:r>
      <w:r w:rsidR="002E529B" w:rsidRPr="00D44526">
        <w:t xml:space="preserve"> are to:</w:t>
      </w:r>
    </w:p>
    <w:p w:rsidR="002E529B" w:rsidRPr="00D44526" w:rsidRDefault="002E529B" w:rsidP="00B96C73">
      <w:pPr>
        <w:numPr>
          <w:ilvl w:val="0"/>
          <w:numId w:val="9"/>
        </w:numPr>
      </w:pPr>
      <w:r w:rsidRPr="00D44526">
        <w:t>encourage the efficient use of electricity and gas;</w:t>
      </w:r>
    </w:p>
    <w:p w:rsidR="002E529B" w:rsidRPr="00D44526" w:rsidRDefault="002E529B" w:rsidP="00B96C73">
      <w:pPr>
        <w:numPr>
          <w:ilvl w:val="0"/>
          <w:numId w:val="9"/>
        </w:numPr>
      </w:pPr>
      <w:r w:rsidRPr="00D44526">
        <w:t>reduce greenhouse gas emissions associated with stationary energy use in the Territory;</w:t>
      </w:r>
    </w:p>
    <w:p w:rsidR="002E529B" w:rsidRPr="00D44526" w:rsidRDefault="002E529B" w:rsidP="00B96C73">
      <w:pPr>
        <w:numPr>
          <w:ilvl w:val="0"/>
          <w:numId w:val="9"/>
        </w:numPr>
      </w:pPr>
      <w:r w:rsidRPr="00D44526">
        <w:t>reduce household and business energy costs; and</w:t>
      </w:r>
    </w:p>
    <w:p w:rsidR="00FC436B" w:rsidRPr="00D44526" w:rsidRDefault="002E529B" w:rsidP="00B96C73">
      <w:pPr>
        <w:numPr>
          <w:ilvl w:val="0"/>
          <w:numId w:val="9"/>
        </w:numPr>
      </w:pPr>
      <w:r w:rsidRPr="00D44526">
        <w:t>increase opportunities for vulnerable households (for example, low-income households, pension concession holders</w:t>
      </w:r>
      <w:r w:rsidR="00BE5591">
        <w:t>,</w:t>
      </w:r>
      <w:r w:rsidRPr="00D44526">
        <w:t xml:space="preserve"> etc</w:t>
      </w:r>
      <w:r w:rsidR="00D51585">
        <w:t>.</w:t>
      </w:r>
      <w:r w:rsidRPr="00D44526">
        <w:t>) to lower energy use and costs.</w:t>
      </w:r>
    </w:p>
    <w:p w:rsidR="0059024A" w:rsidRPr="00D44526" w:rsidRDefault="0059024A" w:rsidP="00D404FA">
      <w:pPr>
        <w:pStyle w:val="Heading2"/>
      </w:pPr>
      <w:bookmarkStart w:id="29" w:name="_Toc303670546"/>
      <w:bookmarkStart w:id="30" w:name="_Toc306808221"/>
      <w:r w:rsidRPr="00D44526">
        <w:t>Relevant government policy</w:t>
      </w:r>
      <w:bookmarkEnd w:id="29"/>
      <w:bookmarkEnd w:id="30"/>
    </w:p>
    <w:p w:rsidR="00E17E1C" w:rsidRPr="00D44526" w:rsidRDefault="00E17E1C" w:rsidP="00D44526">
      <w:r w:rsidRPr="00D44526">
        <w:t xml:space="preserve">In 2010, the ACT Legislative Assembly passed the </w:t>
      </w:r>
      <w:r w:rsidRPr="00D44526">
        <w:rPr>
          <w:i/>
        </w:rPr>
        <w:t>Climate Change and Greenhouse Gas Reduction Act 2010 </w:t>
      </w:r>
      <w:r w:rsidRPr="00D44526">
        <w:t>introducing some of the most ambitious greenhouse gas reductions targets in the world. The principal target of the legislation is to achieve zero net emissions (carbon neutrality) by 2060. The following interim targets are also set:</w:t>
      </w:r>
    </w:p>
    <w:p w:rsidR="00E17E1C" w:rsidRPr="00D44526" w:rsidRDefault="00E17E1C" w:rsidP="00B96C73">
      <w:pPr>
        <w:numPr>
          <w:ilvl w:val="0"/>
          <w:numId w:val="10"/>
        </w:numPr>
      </w:pPr>
      <w:r w:rsidRPr="00D44526">
        <w:t>per capita emissions to peak by 2013</w:t>
      </w:r>
    </w:p>
    <w:p w:rsidR="00D93489" w:rsidRPr="00D44526" w:rsidRDefault="00E17E1C" w:rsidP="00B96C73">
      <w:pPr>
        <w:numPr>
          <w:ilvl w:val="0"/>
          <w:numId w:val="10"/>
        </w:numPr>
      </w:pPr>
      <w:r w:rsidRPr="00D44526">
        <w:t>emissions reduced by 40 per cent from 1990 levels by 2020</w:t>
      </w:r>
    </w:p>
    <w:p w:rsidR="00D93489" w:rsidRDefault="00E17E1C" w:rsidP="00B96C73">
      <w:pPr>
        <w:numPr>
          <w:ilvl w:val="0"/>
          <w:numId w:val="10"/>
        </w:numPr>
      </w:pPr>
      <w:r w:rsidRPr="00D44526">
        <w:t>emissions reduced by 80 per cent from 1990 levels by 2050</w:t>
      </w:r>
    </w:p>
    <w:p w:rsidR="004D4A80" w:rsidRPr="00D44526" w:rsidRDefault="00B43B35" w:rsidP="00D93489">
      <w:r>
        <w:fldChar w:fldCharType="begin"/>
      </w:r>
      <w:r>
        <w:instrText xml:space="preserve"> REF _Ref288054352 \h  \* MERGEFORMAT </w:instrText>
      </w:r>
      <w:r>
        <w:fldChar w:fldCharType="separate"/>
      </w:r>
      <w:r w:rsidR="00681D6A" w:rsidRPr="00681D6A">
        <w:t>Figure 7</w:t>
      </w:r>
      <w:r>
        <w:fldChar w:fldCharType="end"/>
      </w:r>
      <w:r w:rsidR="004D4A80" w:rsidRPr="007433B4">
        <w:t xml:space="preserve"> i</w:t>
      </w:r>
      <w:r w:rsidR="004D4A80" w:rsidRPr="00D44526">
        <w:t>llustrates the challenge of achieving our emissi</w:t>
      </w:r>
      <w:r w:rsidR="004D4A80" w:rsidRPr="00D51585">
        <w:t>ons redu</w:t>
      </w:r>
      <w:r w:rsidR="004D4A80" w:rsidRPr="00D44526">
        <w:t xml:space="preserve">ction target relative to historical emissions trends. The 2020 target is equivalent to an estimated 52% reduction from 2010 levels. The </w:t>
      </w:r>
      <w:r w:rsidR="00D51585">
        <w:t>period to 2020</w:t>
      </w:r>
      <w:r w:rsidR="004D4A80" w:rsidRPr="00D44526">
        <w:t xml:space="preserve"> therefore represents the major turnaround in the Territory’s emissions trajectory.</w:t>
      </w:r>
    </w:p>
    <w:p w:rsidR="004D4A80" w:rsidRDefault="004D4A80" w:rsidP="00433BC3">
      <w:pPr>
        <w:keepNext/>
        <w:spacing w:before="120" w:after="120"/>
        <w:rPr>
          <w:rFonts w:cs="Calibri"/>
          <w:b/>
        </w:rPr>
      </w:pPr>
      <w:bookmarkStart w:id="31" w:name="_Ref288054352"/>
      <w:r w:rsidRPr="00D44526">
        <w:rPr>
          <w:rFonts w:cs="Calibri"/>
          <w:b/>
        </w:rPr>
        <w:t xml:space="preserve">Figure </w:t>
      </w:r>
      <w:r w:rsidRPr="00D44526">
        <w:rPr>
          <w:rFonts w:cs="Calibri"/>
          <w:b/>
        </w:rPr>
        <w:fldChar w:fldCharType="begin"/>
      </w:r>
      <w:r w:rsidRPr="00D44526">
        <w:rPr>
          <w:rFonts w:cs="Calibri"/>
          <w:b/>
        </w:rPr>
        <w:instrText xml:space="preserve"> SEQ Figure \* ARABIC </w:instrText>
      </w:r>
      <w:r w:rsidRPr="00D44526">
        <w:rPr>
          <w:rFonts w:cs="Calibri"/>
          <w:b/>
        </w:rPr>
        <w:fldChar w:fldCharType="separate"/>
      </w:r>
      <w:r w:rsidR="00681D6A">
        <w:rPr>
          <w:rFonts w:cs="Calibri"/>
          <w:b/>
          <w:noProof/>
        </w:rPr>
        <w:t>7</w:t>
      </w:r>
      <w:r w:rsidRPr="00D44526">
        <w:rPr>
          <w:rFonts w:cs="Calibri"/>
          <w:b/>
        </w:rPr>
        <w:fldChar w:fldCharType="end"/>
      </w:r>
      <w:bookmarkEnd w:id="31"/>
      <w:r w:rsidR="004A2D09">
        <w:rPr>
          <w:rFonts w:cs="Calibri"/>
          <w:b/>
        </w:rPr>
        <w:t>: T</w:t>
      </w:r>
      <w:r w:rsidRPr="00D44526">
        <w:rPr>
          <w:rFonts w:cs="Calibri"/>
          <w:b/>
        </w:rPr>
        <w:t xml:space="preserve">he ACT’s </w:t>
      </w:r>
      <w:r w:rsidR="004A2D09">
        <w:rPr>
          <w:rFonts w:cs="Calibri"/>
          <w:b/>
        </w:rPr>
        <w:t>e</w:t>
      </w:r>
      <w:r w:rsidRPr="00D44526">
        <w:rPr>
          <w:rFonts w:cs="Calibri"/>
          <w:b/>
        </w:rPr>
        <w:t xml:space="preserve">mission </w:t>
      </w:r>
      <w:r w:rsidR="004A2D09">
        <w:rPr>
          <w:rFonts w:cs="Calibri"/>
          <w:b/>
        </w:rPr>
        <w:t>r</w:t>
      </w:r>
      <w:r w:rsidRPr="00D44526">
        <w:rPr>
          <w:rFonts w:cs="Calibri"/>
          <w:b/>
        </w:rPr>
        <w:t xml:space="preserve">eduction </w:t>
      </w:r>
      <w:r w:rsidR="004A2D09">
        <w:rPr>
          <w:rFonts w:cs="Calibri"/>
          <w:b/>
        </w:rPr>
        <w:t>t</w:t>
      </w:r>
      <w:r w:rsidRPr="00D44526">
        <w:rPr>
          <w:rFonts w:cs="Calibri"/>
          <w:b/>
        </w:rPr>
        <w:t>argets</w:t>
      </w:r>
    </w:p>
    <w:p w:rsidR="004A2D09" w:rsidRDefault="006D6234" w:rsidP="00D44526">
      <w:r w:rsidRPr="003A52A1">
        <w:rPr>
          <w:noProof/>
          <w:lang w:eastAsia="en-AU"/>
        </w:rPr>
        <w:drawing>
          <wp:inline distT="0" distB="0" distL="0" distR="0">
            <wp:extent cx="4495800" cy="2533650"/>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800" cy="2533650"/>
                    </a:xfrm>
                    <a:prstGeom prst="rect">
                      <a:avLst/>
                    </a:prstGeom>
                    <a:noFill/>
                    <a:ln>
                      <a:noFill/>
                    </a:ln>
                  </pic:spPr>
                </pic:pic>
              </a:graphicData>
            </a:graphic>
          </wp:inline>
        </w:drawing>
      </w:r>
    </w:p>
    <w:p w:rsidR="00433BC3" w:rsidRPr="00D44526" w:rsidRDefault="004D4A80" w:rsidP="00D44526">
      <w:r w:rsidRPr="00D44526">
        <w:t xml:space="preserve">To become carbon neutral in 2060 these commitments will require the Territory to reduce its greenhouse gas emissions to the maximum extent possible and offset any residual emissions by undertaking or investing in accredited carbon offset projects. </w:t>
      </w:r>
    </w:p>
    <w:p w:rsidR="005B7D3F" w:rsidRPr="00D44526" w:rsidRDefault="005B7D3F" w:rsidP="00D44526">
      <w:r w:rsidRPr="00D44526">
        <w:t>The Chief Minister</w:t>
      </w:r>
      <w:r w:rsidR="00B10EBA">
        <w:t>,</w:t>
      </w:r>
      <w:r w:rsidRPr="00D44526">
        <w:t xml:space="preserve"> in announcing the Government’s legislation program on 16 August</w:t>
      </w:r>
      <w:r w:rsidR="00B10EBA">
        <w:t> 2011</w:t>
      </w:r>
      <w:r w:rsidR="00BE5591">
        <w:t>,</w:t>
      </w:r>
      <w:r w:rsidRPr="00D44526">
        <w:t xml:space="preserve"> </w:t>
      </w:r>
      <w:r w:rsidR="00433BC3" w:rsidRPr="00D44526">
        <w:t xml:space="preserve">referred </w:t>
      </w:r>
      <w:r w:rsidR="00433BC3" w:rsidRPr="00B10EBA">
        <w:t xml:space="preserve">to </w:t>
      </w:r>
      <w:r w:rsidR="005E0396" w:rsidRPr="005E0396">
        <w:rPr>
          <w:iCs/>
        </w:rPr>
        <w:t>legislation that would</w:t>
      </w:r>
      <w:r w:rsidR="00433BC3" w:rsidRPr="00D44526">
        <w:rPr>
          <w:i/>
          <w:iCs/>
        </w:rPr>
        <w:t xml:space="preserve"> “</w:t>
      </w:r>
      <w:r w:rsidR="00433BC3" w:rsidRPr="00D44526">
        <w:rPr>
          <w:iCs/>
        </w:rPr>
        <w:t xml:space="preserve">impose an obligation on ACT electricity </w:t>
      </w:r>
      <w:r w:rsidR="005D69F7">
        <w:rPr>
          <w:iCs/>
        </w:rPr>
        <w:t>supplier</w:t>
      </w:r>
      <w:r w:rsidR="00433BC3" w:rsidRPr="00D44526">
        <w:rPr>
          <w:iCs/>
        </w:rPr>
        <w:t>s to undertake prescribed energy efficiency and related measures</w:t>
      </w:r>
      <w:r w:rsidR="00433BC3" w:rsidRPr="00D44526">
        <w:rPr>
          <w:i/>
          <w:iCs/>
        </w:rPr>
        <w:t>”</w:t>
      </w:r>
      <w:r w:rsidR="00433BC3" w:rsidRPr="00D44526">
        <w:rPr>
          <w:rStyle w:val="FootnoteReference"/>
          <w:rFonts w:cs="Calibri"/>
          <w:i/>
          <w:iCs/>
        </w:rPr>
        <w:footnoteReference w:id="20"/>
      </w:r>
      <w:r w:rsidR="00433BC3" w:rsidRPr="00D44526">
        <w:rPr>
          <w:i/>
          <w:iCs/>
        </w:rPr>
        <w:t>.</w:t>
      </w:r>
    </w:p>
    <w:p w:rsidR="003776BC" w:rsidRPr="00D44526" w:rsidRDefault="003776BC" w:rsidP="00D44526">
      <w:r w:rsidRPr="00D44526">
        <w:rPr>
          <w:lang w:eastAsia="en-AU"/>
        </w:rPr>
        <w:t xml:space="preserve">A further important contextual consideration of action on GHG abatement in the ACT is the </w:t>
      </w:r>
      <w:r w:rsidR="001F2F34">
        <w:t>Commonwealth</w:t>
      </w:r>
      <w:r w:rsidRPr="00D44526">
        <w:t xml:space="preserve"> Government’s </w:t>
      </w:r>
      <w:r w:rsidRPr="00D44526">
        <w:rPr>
          <w:i/>
        </w:rPr>
        <w:t>Clean Energy Future</w:t>
      </w:r>
      <w:r w:rsidRPr="00D44526">
        <w:t xml:space="preserve"> package. </w:t>
      </w:r>
      <w:r w:rsidRPr="00D44526">
        <w:rPr>
          <w:lang w:eastAsia="en-AU"/>
        </w:rPr>
        <w:t xml:space="preserve">Under the package, a price will be placed on </w:t>
      </w:r>
      <w:r w:rsidR="00D51585">
        <w:rPr>
          <w:lang w:eastAsia="en-AU"/>
        </w:rPr>
        <w:t xml:space="preserve">greenhouse gas </w:t>
      </w:r>
      <w:r w:rsidRPr="00D44526">
        <w:rPr>
          <w:lang w:eastAsia="en-AU"/>
        </w:rPr>
        <w:t xml:space="preserve">emissions in a national market, thus providing emitters with an incentive to reduce their emissions where this is </w:t>
      </w:r>
      <w:r w:rsidR="00BE5591">
        <w:rPr>
          <w:lang w:eastAsia="en-AU"/>
        </w:rPr>
        <w:t xml:space="preserve">the </w:t>
      </w:r>
      <w:r w:rsidRPr="00D44526">
        <w:rPr>
          <w:lang w:eastAsia="en-AU"/>
        </w:rPr>
        <w:t>cheapes</w:t>
      </w:r>
      <w:r w:rsidR="001D5C57">
        <w:rPr>
          <w:lang w:eastAsia="en-AU"/>
        </w:rPr>
        <w:t>t option</w:t>
      </w:r>
      <w:r w:rsidR="00BE5591">
        <w:rPr>
          <w:lang w:eastAsia="en-AU"/>
        </w:rPr>
        <w:t>,</w:t>
      </w:r>
      <w:r w:rsidRPr="00D44526">
        <w:rPr>
          <w:lang w:eastAsia="en-AU"/>
        </w:rPr>
        <w:t xml:space="preserve"> while </w:t>
      </w:r>
      <w:r w:rsidR="001D5C57">
        <w:rPr>
          <w:lang w:eastAsia="en-AU"/>
        </w:rPr>
        <w:t xml:space="preserve">also </w:t>
      </w:r>
      <w:r w:rsidRPr="00D44526">
        <w:rPr>
          <w:lang w:eastAsia="en-AU"/>
        </w:rPr>
        <w:t xml:space="preserve">allowing the continuation of emissions where they are most costly to reduce. </w:t>
      </w:r>
    </w:p>
    <w:p w:rsidR="0071578B" w:rsidRPr="00D44526" w:rsidRDefault="00FC66AB" w:rsidP="00D44526">
      <w:r w:rsidRPr="00D44526">
        <w:t xml:space="preserve">The ACT is working with other jurisdictions across a broad range of areas to achieve national coordination in emissions reductions and energy policy initiatives. </w:t>
      </w:r>
      <w:r w:rsidR="0071578B" w:rsidRPr="00D44526">
        <w:t>The ACT Government, through the National Partnership Agreement on Energy Efficiency, has committed to the development of a nationally consistent and coordinated package of measures to advance energy efficiency outcomes across the Territory</w:t>
      </w:r>
      <w:r w:rsidR="00B10EBA">
        <w:t>’s</w:t>
      </w:r>
      <w:r w:rsidR="0071578B" w:rsidRPr="00D44526">
        <w:t xml:space="preserve"> economy.</w:t>
      </w:r>
    </w:p>
    <w:p w:rsidR="00433BC3" w:rsidRPr="00D44526" w:rsidRDefault="0071578B" w:rsidP="00D44526">
      <w:r w:rsidRPr="00D44526">
        <w:t xml:space="preserve">In addition to these measures, a number of jurisdictions have implemented </w:t>
      </w:r>
      <w:r w:rsidR="00750858">
        <w:t>supplier</w:t>
      </w:r>
      <w:r w:rsidRPr="00D44526">
        <w:t xml:space="preserve"> obligation energy efficiency schemes. These</w:t>
      </w:r>
      <w:r w:rsidR="005E3F21">
        <w:t xml:space="preserve"> S</w:t>
      </w:r>
      <w:r w:rsidRPr="00D44526">
        <w:t xml:space="preserve">chemes impose a legislated requirement on electricity and/or gas </w:t>
      </w:r>
      <w:r w:rsidR="005D69F7">
        <w:t>supplier</w:t>
      </w:r>
      <w:r w:rsidRPr="00D44526">
        <w:t>s to achieve specified annual energy savings targets. These targets are met through the implementation of energy savings measures in households and/or businesses or through the purchase and surrender of certificates generated by third party energy efficiency service providers.</w:t>
      </w:r>
    </w:p>
    <w:p w:rsidR="0071578B" w:rsidRPr="00D44526" w:rsidRDefault="0071578B" w:rsidP="00D44526">
      <w:r w:rsidRPr="00D44526">
        <w:t>In 2010, the Prime Minister’s Task Group on Energy Efficiency</w:t>
      </w:r>
      <w:r w:rsidRPr="00D44526">
        <w:rPr>
          <w:rStyle w:val="FootnoteReference"/>
          <w:rFonts w:cs="Calibri"/>
        </w:rPr>
        <w:footnoteReference w:id="21"/>
      </w:r>
      <w:r w:rsidRPr="00D44526">
        <w:t xml:space="preserve"> recommended the development of a national energy savings initiative to replace existing state-based </w:t>
      </w:r>
      <w:r w:rsidR="005D69F7">
        <w:t>supplier</w:t>
      </w:r>
      <w:r w:rsidRPr="00D44526">
        <w:t xml:space="preserve"> obligation schemes. The Task Group reported that an energy savings initiative would form the final piece of a comprehensive framework of market-based instruments, in addition to a carbon-pricing scheme and national renewable energy targets, that work together to provide incentives for all Australians — households, businesses and industry — to contribute to reducing Australia’s greenhouse gas emissions.</w:t>
      </w:r>
      <w:r w:rsidR="003776BC" w:rsidRPr="00D44526">
        <w:t xml:space="preserve"> Whilst general support for the development of a national energy efficiency scheme was recently voiced in the </w:t>
      </w:r>
      <w:r w:rsidR="003776BC" w:rsidRPr="00D44526">
        <w:rPr>
          <w:i/>
        </w:rPr>
        <w:t>Clean Energy Future</w:t>
      </w:r>
      <w:r w:rsidR="003776BC" w:rsidRPr="00D44526">
        <w:t xml:space="preserve"> package, no specific timelines for the development and implementation of such a scheme have been announced.</w:t>
      </w:r>
    </w:p>
    <w:p w:rsidR="00961641" w:rsidRPr="00D44526" w:rsidRDefault="00E31386" w:rsidP="00961641">
      <w:r>
        <w:t>ESDD’s</w:t>
      </w:r>
      <w:r w:rsidR="00C241C9" w:rsidRPr="00D44526">
        <w:t xml:space="preserve"> analysis of the current political situation suggests that the </w:t>
      </w:r>
      <w:r w:rsidR="00D51585">
        <w:t xml:space="preserve">greenhouse gas </w:t>
      </w:r>
      <w:r w:rsidR="00C241C9" w:rsidRPr="00D44526">
        <w:t xml:space="preserve">reduction targets set by the ACT Government mean efficiency targets </w:t>
      </w:r>
      <w:r w:rsidR="00D51585">
        <w:t xml:space="preserve">or schemes developed </w:t>
      </w:r>
      <w:r w:rsidR="00C241C9" w:rsidRPr="00D44526">
        <w:t xml:space="preserve">at a national level are unlikely to be ambitious enough to meet the ACT’s needs. Further, </w:t>
      </w:r>
      <w:r w:rsidR="00B10EBA">
        <w:t>t</w:t>
      </w:r>
      <w:r w:rsidR="00C241C9" w:rsidRPr="00D44526">
        <w:t>he ACT must act promptly on efficiency measures in order to achieve the greenhouse</w:t>
      </w:r>
      <w:r w:rsidR="00B10EBA">
        <w:t xml:space="preserve"> gas</w:t>
      </w:r>
      <w:r w:rsidR="00C241C9" w:rsidRPr="00D44526">
        <w:t xml:space="preserve"> reduction targets in a ti</w:t>
      </w:r>
      <w:r w:rsidR="003776BC" w:rsidRPr="00D44526">
        <w:t>mely and cost-effective manner.</w:t>
      </w:r>
      <w:r w:rsidR="00D51585">
        <w:t xml:space="preserve"> The ACT does</w:t>
      </w:r>
      <w:r w:rsidR="001D5C57">
        <w:t>,</w:t>
      </w:r>
      <w:r w:rsidR="00D51585">
        <w:t xml:space="preserve"> however</w:t>
      </w:r>
      <w:r w:rsidR="001D5C57">
        <w:t>,</w:t>
      </w:r>
      <w:r w:rsidR="00D51585">
        <w:t xml:space="preserve"> have a strong interest in the development of a seamless national market for energy </w:t>
      </w:r>
      <w:r w:rsidR="00750858">
        <w:t>supplier</w:t>
      </w:r>
      <w:r w:rsidR="00D51585">
        <w:t xml:space="preserve">s and will work closely with other jurisdictions on the development of a national framework for </w:t>
      </w:r>
      <w:r w:rsidR="00B10EBA">
        <w:t xml:space="preserve">a </w:t>
      </w:r>
      <w:r w:rsidR="00750858">
        <w:t>supplier</w:t>
      </w:r>
      <w:r w:rsidR="00D51585">
        <w:t xml:space="preserve"> funded energy efficiency obligation scheme </w:t>
      </w:r>
      <w:r w:rsidR="00BF7E2F">
        <w:t>through the COAG Select Council on Climate Change.</w:t>
      </w:r>
      <w:r w:rsidR="00961641" w:rsidRPr="00D44526" w:rsidDel="00961641">
        <w:t xml:space="preserve"> </w:t>
      </w:r>
    </w:p>
    <w:p w:rsidR="006567BE" w:rsidRPr="00C813E5" w:rsidRDefault="00961641" w:rsidP="005E7B16">
      <w:pPr>
        <w:pStyle w:val="Heading1"/>
      </w:pPr>
      <w:bookmarkStart w:id="32" w:name="_Toc303670547"/>
      <w:bookmarkStart w:id="33" w:name="_Toc306808222"/>
      <w:r>
        <w:t>Options</w:t>
      </w:r>
      <w:bookmarkEnd w:id="32"/>
      <w:bookmarkEnd w:id="33"/>
    </w:p>
    <w:p w:rsidR="009E0552" w:rsidRPr="00D44526" w:rsidRDefault="008E5EB9" w:rsidP="00D44526">
      <w:pPr>
        <w:rPr>
          <w:lang w:eastAsia="en-AU"/>
        </w:rPr>
      </w:pPr>
      <w:r w:rsidRPr="00D44526">
        <w:t xml:space="preserve">International studies show that despite ongoing improvements in energy efficiency, there remains a large potential for additional energy savings across all sectors of the economy. Energy efficiency measures often have a short pay-back period on their initial cost. Many studies have also shown that energy efficiency is the most cost-effective way </w:t>
      </w:r>
      <w:r w:rsidR="007E3C78">
        <w:t>of</w:t>
      </w:r>
      <w:r w:rsidR="007E3C78" w:rsidRPr="00D44526">
        <w:t xml:space="preserve"> </w:t>
      </w:r>
      <w:r w:rsidRPr="00D44526">
        <w:t>abating greenhouse gas emissions in Australia.</w:t>
      </w:r>
      <w:r w:rsidR="003776BC" w:rsidRPr="00D44526">
        <w:t xml:space="preserve"> </w:t>
      </w:r>
    </w:p>
    <w:p w:rsidR="003E0DE2" w:rsidRPr="00D44526" w:rsidRDefault="00D90737" w:rsidP="00D44526">
      <w:r w:rsidRPr="00D44526">
        <w:t>T</w:t>
      </w:r>
      <w:r w:rsidR="009E0552" w:rsidRPr="00D44526">
        <w:t xml:space="preserve">he policy measures </w:t>
      </w:r>
      <w:r w:rsidRPr="00D44526">
        <w:t xml:space="preserve">available to address energy efficiency </w:t>
      </w:r>
      <w:r w:rsidR="009E0552" w:rsidRPr="00D44526">
        <w:t>tend to only partially address the market failures in respect of the optimal uptake of energy efficiency opport</w:t>
      </w:r>
      <w:r w:rsidRPr="00D44526">
        <w:t xml:space="preserve">unities by households and </w:t>
      </w:r>
      <w:r w:rsidR="00C51C2F">
        <w:t>Small to Medium Enterprises (</w:t>
      </w:r>
      <w:r w:rsidRPr="00D44526">
        <w:t>SMEs</w:t>
      </w:r>
      <w:r w:rsidR="00C51C2F">
        <w:t>)</w:t>
      </w:r>
      <w:r w:rsidRPr="00D44526">
        <w:t xml:space="preserve">, as summarised below in </w:t>
      </w:r>
      <w:r w:rsidR="00B43B35">
        <w:fldChar w:fldCharType="begin"/>
      </w:r>
      <w:r w:rsidR="00B43B35">
        <w:instrText xml:space="preserve"> REF _Ref302556913 \h  \* MERGEFORMAT </w:instrText>
      </w:r>
      <w:r w:rsidR="00B43B35">
        <w:fldChar w:fldCharType="separate"/>
      </w:r>
      <w:r w:rsidR="00681D6A" w:rsidRPr="00681D6A">
        <w:t>Table 2</w:t>
      </w:r>
      <w:r w:rsidR="00B43B35">
        <w:fldChar w:fldCharType="end"/>
      </w:r>
      <w:r w:rsidRPr="00D44526">
        <w:t>.</w:t>
      </w:r>
    </w:p>
    <w:p w:rsidR="00D90737" w:rsidRPr="00CC3956" w:rsidRDefault="00BD41FF" w:rsidP="00D44526">
      <w:pPr>
        <w:rPr>
          <w:b/>
        </w:rPr>
      </w:pPr>
      <w:bookmarkStart w:id="34" w:name="_Ref302556913"/>
      <w:bookmarkStart w:id="35" w:name="_Ref302556909"/>
      <w:r w:rsidRPr="00BD41FF">
        <w:rPr>
          <w:b/>
        </w:rPr>
        <w:t xml:space="preserve">Table </w:t>
      </w:r>
      <w:r w:rsidRPr="00BD41FF">
        <w:rPr>
          <w:b/>
        </w:rPr>
        <w:fldChar w:fldCharType="begin"/>
      </w:r>
      <w:r w:rsidRPr="00BD41FF">
        <w:rPr>
          <w:b/>
        </w:rPr>
        <w:instrText xml:space="preserve"> SEQ Table \* ARABIC </w:instrText>
      </w:r>
      <w:r w:rsidRPr="00BD41FF">
        <w:rPr>
          <w:b/>
        </w:rPr>
        <w:fldChar w:fldCharType="separate"/>
      </w:r>
      <w:r w:rsidR="00681D6A">
        <w:rPr>
          <w:b/>
          <w:noProof/>
        </w:rPr>
        <w:t>2</w:t>
      </w:r>
      <w:r w:rsidRPr="00BD41FF">
        <w:rPr>
          <w:b/>
        </w:rPr>
        <w:fldChar w:fldCharType="end"/>
      </w:r>
      <w:bookmarkEnd w:id="34"/>
      <w:r w:rsidRPr="00BD41FF">
        <w:rPr>
          <w:b/>
        </w:rPr>
        <w:t>: Policy instruments matched against market failures</w:t>
      </w:r>
      <w:bookmarkEnd w:id="3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60"/>
        <w:gridCol w:w="2126"/>
        <w:gridCol w:w="2126"/>
        <w:gridCol w:w="2268"/>
      </w:tblGrid>
      <w:tr w:rsidR="009E0552" w:rsidRPr="00D44526" w:rsidTr="00B13F4B">
        <w:tc>
          <w:tcPr>
            <w:tcW w:w="2660" w:type="dxa"/>
            <w:shd w:val="clear" w:color="auto" w:fill="F2F2F2" w:themeFill="background1" w:themeFillShade="F2"/>
            <w:vAlign w:val="center"/>
            <w:hideMark/>
          </w:tcPr>
          <w:p w:rsidR="009E0552" w:rsidRPr="00CC3956" w:rsidRDefault="009E0552" w:rsidP="00D44526">
            <w:pPr>
              <w:rPr>
                <w:bCs/>
              </w:rPr>
            </w:pPr>
            <w:r w:rsidRPr="00CC3956">
              <w:rPr>
                <w:rStyle w:val="Strong"/>
                <w:rFonts w:cs="Calibri"/>
                <w:bCs w:val="0"/>
              </w:rPr>
              <w:t>Policy</w:t>
            </w:r>
          </w:p>
        </w:tc>
        <w:tc>
          <w:tcPr>
            <w:tcW w:w="2126" w:type="dxa"/>
            <w:shd w:val="clear" w:color="auto" w:fill="F2F2F2" w:themeFill="background1" w:themeFillShade="F2"/>
            <w:vAlign w:val="center"/>
            <w:hideMark/>
          </w:tcPr>
          <w:p w:rsidR="009E0552" w:rsidRPr="00CC3956" w:rsidRDefault="009E0552" w:rsidP="00D44526">
            <w:pPr>
              <w:rPr>
                <w:bCs/>
              </w:rPr>
            </w:pPr>
            <w:r w:rsidRPr="00CC3956">
              <w:rPr>
                <w:rStyle w:val="Strong"/>
                <w:rFonts w:cs="Calibri"/>
                <w:bCs w:val="0"/>
              </w:rPr>
              <w:t>Lack of information</w:t>
            </w:r>
          </w:p>
        </w:tc>
        <w:tc>
          <w:tcPr>
            <w:tcW w:w="2126" w:type="dxa"/>
            <w:shd w:val="clear" w:color="auto" w:fill="F2F2F2" w:themeFill="background1" w:themeFillShade="F2"/>
            <w:vAlign w:val="center"/>
            <w:hideMark/>
          </w:tcPr>
          <w:p w:rsidR="009E0552" w:rsidRPr="00CC3956" w:rsidRDefault="009E0552" w:rsidP="00D44526">
            <w:pPr>
              <w:rPr>
                <w:bCs/>
              </w:rPr>
            </w:pPr>
            <w:r w:rsidRPr="00CC3956">
              <w:rPr>
                <w:rStyle w:val="Strong"/>
                <w:rFonts w:cs="Calibri"/>
                <w:bCs w:val="0"/>
              </w:rPr>
              <w:t>Split incentives</w:t>
            </w:r>
          </w:p>
        </w:tc>
        <w:tc>
          <w:tcPr>
            <w:tcW w:w="2268" w:type="dxa"/>
            <w:shd w:val="clear" w:color="auto" w:fill="F2F2F2" w:themeFill="background1" w:themeFillShade="F2"/>
            <w:vAlign w:val="center"/>
            <w:hideMark/>
          </w:tcPr>
          <w:p w:rsidR="009E0552" w:rsidRPr="00CC3956" w:rsidRDefault="009E0552" w:rsidP="00D44526">
            <w:pPr>
              <w:rPr>
                <w:bCs/>
              </w:rPr>
            </w:pPr>
            <w:r w:rsidRPr="00CC3956">
              <w:rPr>
                <w:rStyle w:val="Strong"/>
                <w:rFonts w:cs="Calibri"/>
                <w:bCs w:val="0"/>
              </w:rPr>
              <w:t>Negative externality</w:t>
            </w:r>
          </w:p>
        </w:tc>
      </w:tr>
      <w:tr w:rsidR="009E0552" w:rsidRPr="00D44526" w:rsidTr="00D51585">
        <w:tc>
          <w:tcPr>
            <w:tcW w:w="2660" w:type="dxa"/>
            <w:vAlign w:val="center"/>
            <w:hideMark/>
          </w:tcPr>
          <w:p w:rsidR="009E0552" w:rsidRPr="00D44526" w:rsidRDefault="009E0552" w:rsidP="00D44526">
            <w:pPr>
              <w:rPr>
                <w:b/>
                <w:bCs/>
              </w:rPr>
            </w:pPr>
            <w:r w:rsidRPr="00D44526">
              <w:rPr>
                <w:b/>
                <w:bCs/>
              </w:rPr>
              <w:t>Rebates</w:t>
            </w:r>
          </w:p>
        </w:tc>
        <w:tc>
          <w:tcPr>
            <w:tcW w:w="2126" w:type="dxa"/>
            <w:vAlign w:val="center"/>
            <w:hideMark/>
          </w:tcPr>
          <w:p w:rsidR="009E0552" w:rsidRPr="00D44526" w:rsidRDefault="009E0552" w:rsidP="00D44526">
            <w:r w:rsidRPr="00D44526">
              <w:t>Partially addresses</w:t>
            </w:r>
          </w:p>
        </w:tc>
        <w:tc>
          <w:tcPr>
            <w:tcW w:w="2126" w:type="dxa"/>
            <w:vAlign w:val="center"/>
            <w:hideMark/>
          </w:tcPr>
          <w:p w:rsidR="009E0552" w:rsidRPr="00D44526" w:rsidRDefault="009E0552" w:rsidP="00D44526">
            <w:r w:rsidRPr="00D44526">
              <w:t>Partially addresses</w:t>
            </w:r>
          </w:p>
        </w:tc>
        <w:tc>
          <w:tcPr>
            <w:tcW w:w="2268" w:type="dxa"/>
            <w:vAlign w:val="center"/>
            <w:hideMark/>
          </w:tcPr>
          <w:p w:rsidR="009E0552" w:rsidRPr="00D44526" w:rsidRDefault="009E0552" w:rsidP="00D44526">
            <w:r w:rsidRPr="00D44526">
              <w:t>Partially addresses</w:t>
            </w:r>
          </w:p>
        </w:tc>
      </w:tr>
      <w:tr w:rsidR="009E0552" w:rsidRPr="00D44526" w:rsidTr="00D51585">
        <w:tc>
          <w:tcPr>
            <w:tcW w:w="2660" w:type="dxa"/>
            <w:vAlign w:val="center"/>
            <w:hideMark/>
          </w:tcPr>
          <w:p w:rsidR="009E0552" w:rsidRPr="00D44526" w:rsidRDefault="009E0552" w:rsidP="00D44526">
            <w:pPr>
              <w:rPr>
                <w:b/>
                <w:bCs/>
              </w:rPr>
            </w:pPr>
            <w:r w:rsidRPr="00D44526">
              <w:rPr>
                <w:b/>
                <w:bCs/>
              </w:rPr>
              <w:t>Energy performance standards</w:t>
            </w:r>
          </w:p>
        </w:tc>
        <w:tc>
          <w:tcPr>
            <w:tcW w:w="2126" w:type="dxa"/>
            <w:vAlign w:val="center"/>
            <w:hideMark/>
          </w:tcPr>
          <w:p w:rsidR="009E0552" w:rsidRPr="00D44526" w:rsidRDefault="009E0552" w:rsidP="00D44526">
            <w:r w:rsidRPr="00D44526">
              <w:t>Partially addresses</w:t>
            </w:r>
          </w:p>
        </w:tc>
        <w:tc>
          <w:tcPr>
            <w:tcW w:w="2126" w:type="dxa"/>
            <w:vAlign w:val="center"/>
            <w:hideMark/>
          </w:tcPr>
          <w:p w:rsidR="009E0552" w:rsidRPr="00D44526" w:rsidRDefault="009E0552" w:rsidP="00D44526">
            <w:r w:rsidRPr="00D44526">
              <w:t>Partially addresses</w:t>
            </w:r>
          </w:p>
        </w:tc>
        <w:tc>
          <w:tcPr>
            <w:tcW w:w="2268" w:type="dxa"/>
            <w:vAlign w:val="center"/>
            <w:hideMark/>
          </w:tcPr>
          <w:p w:rsidR="009E0552" w:rsidRPr="00D44526" w:rsidRDefault="009E0552" w:rsidP="00D44526">
            <w:r w:rsidRPr="00D44526">
              <w:t>Partially addresses</w:t>
            </w:r>
          </w:p>
        </w:tc>
      </w:tr>
      <w:tr w:rsidR="009E0552" w:rsidRPr="00D44526" w:rsidTr="00B13F4B">
        <w:tc>
          <w:tcPr>
            <w:tcW w:w="2660" w:type="dxa"/>
            <w:vAlign w:val="center"/>
            <w:hideMark/>
          </w:tcPr>
          <w:p w:rsidR="009E0552" w:rsidRPr="00D44526" w:rsidRDefault="009E0552" w:rsidP="00D44526">
            <w:pPr>
              <w:rPr>
                <w:b/>
                <w:bCs/>
              </w:rPr>
            </w:pPr>
            <w:r w:rsidRPr="00D44526">
              <w:rPr>
                <w:b/>
                <w:bCs/>
              </w:rPr>
              <w:t>Education and information campaigns</w:t>
            </w:r>
          </w:p>
        </w:tc>
        <w:tc>
          <w:tcPr>
            <w:tcW w:w="2126" w:type="dxa"/>
            <w:vAlign w:val="center"/>
            <w:hideMark/>
          </w:tcPr>
          <w:p w:rsidR="009E0552" w:rsidRPr="00D44526" w:rsidRDefault="009E0552" w:rsidP="00D44526">
            <w:r w:rsidRPr="00D44526">
              <w:t>Partially addresses</w:t>
            </w:r>
          </w:p>
        </w:tc>
        <w:tc>
          <w:tcPr>
            <w:tcW w:w="2126" w:type="dxa"/>
            <w:shd w:val="clear" w:color="auto" w:fill="F2F2F2" w:themeFill="background1" w:themeFillShade="F2"/>
            <w:vAlign w:val="center"/>
            <w:hideMark/>
          </w:tcPr>
          <w:p w:rsidR="009E0552" w:rsidRPr="00B13F4B" w:rsidRDefault="009E0552" w:rsidP="00D44526">
            <w:pPr>
              <w:rPr>
                <w:i/>
              </w:rPr>
            </w:pPr>
            <w:r w:rsidRPr="00B13F4B">
              <w:rPr>
                <w:i/>
              </w:rPr>
              <w:t>Does not address</w:t>
            </w:r>
          </w:p>
        </w:tc>
        <w:tc>
          <w:tcPr>
            <w:tcW w:w="2268" w:type="dxa"/>
            <w:shd w:val="clear" w:color="auto" w:fill="F2F2F2" w:themeFill="background1" w:themeFillShade="F2"/>
            <w:vAlign w:val="center"/>
            <w:hideMark/>
          </w:tcPr>
          <w:p w:rsidR="009E0552" w:rsidRPr="00B13F4B" w:rsidRDefault="009E0552" w:rsidP="00D44526">
            <w:pPr>
              <w:rPr>
                <w:i/>
              </w:rPr>
            </w:pPr>
            <w:r w:rsidRPr="00B13F4B">
              <w:rPr>
                <w:i/>
              </w:rPr>
              <w:t>Does not address</w:t>
            </w:r>
          </w:p>
        </w:tc>
      </w:tr>
      <w:tr w:rsidR="0041660B" w:rsidRPr="00D44526" w:rsidTr="00B13F4B">
        <w:tc>
          <w:tcPr>
            <w:tcW w:w="2660" w:type="dxa"/>
            <w:vAlign w:val="center"/>
            <w:hideMark/>
          </w:tcPr>
          <w:p w:rsidR="0041660B" w:rsidRPr="00D44526" w:rsidRDefault="0041660B" w:rsidP="00D44526">
            <w:pPr>
              <w:rPr>
                <w:b/>
                <w:bCs/>
              </w:rPr>
            </w:pPr>
            <w:r w:rsidRPr="00D44526">
              <w:rPr>
                <w:b/>
                <w:bCs/>
              </w:rPr>
              <w:t>Bill benchmarking</w:t>
            </w:r>
          </w:p>
        </w:tc>
        <w:tc>
          <w:tcPr>
            <w:tcW w:w="2126" w:type="dxa"/>
            <w:vAlign w:val="center"/>
            <w:hideMark/>
          </w:tcPr>
          <w:p w:rsidR="0041660B" w:rsidRPr="00D44526" w:rsidRDefault="0041660B" w:rsidP="00D44526">
            <w:r w:rsidRPr="00D44526">
              <w:t>Partially addresses</w:t>
            </w:r>
          </w:p>
        </w:tc>
        <w:tc>
          <w:tcPr>
            <w:tcW w:w="2126" w:type="dxa"/>
            <w:shd w:val="clear" w:color="auto" w:fill="F2F2F2" w:themeFill="background1" w:themeFillShade="F2"/>
            <w:vAlign w:val="center"/>
            <w:hideMark/>
          </w:tcPr>
          <w:p w:rsidR="0041660B" w:rsidRPr="00B13F4B" w:rsidRDefault="0041660B" w:rsidP="00D44526">
            <w:pPr>
              <w:rPr>
                <w:i/>
              </w:rPr>
            </w:pPr>
            <w:r w:rsidRPr="00B13F4B">
              <w:rPr>
                <w:i/>
              </w:rPr>
              <w:t>Does not address</w:t>
            </w:r>
          </w:p>
        </w:tc>
        <w:tc>
          <w:tcPr>
            <w:tcW w:w="2268" w:type="dxa"/>
            <w:vAlign w:val="center"/>
            <w:hideMark/>
          </w:tcPr>
          <w:p w:rsidR="0041660B" w:rsidRPr="00D44526" w:rsidRDefault="0041660B" w:rsidP="00D44526">
            <w:r w:rsidRPr="00D44526">
              <w:t>Partially addresses</w:t>
            </w:r>
          </w:p>
        </w:tc>
      </w:tr>
      <w:tr w:rsidR="0041660B" w:rsidRPr="00D44526" w:rsidTr="00B13F4B">
        <w:tc>
          <w:tcPr>
            <w:tcW w:w="2660" w:type="dxa"/>
            <w:vAlign w:val="center"/>
            <w:hideMark/>
          </w:tcPr>
          <w:p w:rsidR="0041660B" w:rsidRPr="00D44526" w:rsidRDefault="0041660B" w:rsidP="00D44526">
            <w:pPr>
              <w:rPr>
                <w:b/>
                <w:bCs/>
              </w:rPr>
            </w:pPr>
            <w:r w:rsidRPr="00D44526">
              <w:rPr>
                <w:b/>
                <w:bCs/>
              </w:rPr>
              <w:t>Carbon pricing</w:t>
            </w:r>
          </w:p>
        </w:tc>
        <w:tc>
          <w:tcPr>
            <w:tcW w:w="2126" w:type="dxa"/>
            <w:shd w:val="clear" w:color="auto" w:fill="F2F2F2" w:themeFill="background1" w:themeFillShade="F2"/>
            <w:vAlign w:val="center"/>
            <w:hideMark/>
          </w:tcPr>
          <w:p w:rsidR="0041660B" w:rsidRPr="00B13F4B" w:rsidRDefault="0041660B" w:rsidP="00D44526">
            <w:pPr>
              <w:rPr>
                <w:i/>
              </w:rPr>
            </w:pPr>
            <w:r w:rsidRPr="00B13F4B">
              <w:rPr>
                <w:i/>
              </w:rPr>
              <w:t>Does not address</w:t>
            </w:r>
          </w:p>
        </w:tc>
        <w:tc>
          <w:tcPr>
            <w:tcW w:w="2126" w:type="dxa"/>
            <w:shd w:val="clear" w:color="auto" w:fill="F2F2F2" w:themeFill="background1" w:themeFillShade="F2"/>
            <w:vAlign w:val="center"/>
            <w:hideMark/>
          </w:tcPr>
          <w:p w:rsidR="0041660B" w:rsidRPr="00B13F4B" w:rsidRDefault="0041660B" w:rsidP="00D44526">
            <w:pPr>
              <w:rPr>
                <w:i/>
              </w:rPr>
            </w:pPr>
            <w:r w:rsidRPr="00B13F4B">
              <w:rPr>
                <w:i/>
              </w:rPr>
              <w:t>Does not address</w:t>
            </w:r>
          </w:p>
        </w:tc>
        <w:tc>
          <w:tcPr>
            <w:tcW w:w="2268" w:type="dxa"/>
            <w:vAlign w:val="center"/>
            <w:hideMark/>
          </w:tcPr>
          <w:p w:rsidR="0041660B" w:rsidRPr="00D44526" w:rsidRDefault="0041660B" w:rsidP="00D44526">
            <w:r w:rsidRPr="00D44526">
              <w:t>Partially addresses</w:t>
            </w:r>
          </w:p>
        </w:tc>
      </w:tr>
    </w:tbl>
    <w:p w:rsidR="004C14DF" w:rsidRPr="00D44526" w:rsidRDefault="009E0552" w:rsidP="00D44526">
      <w:r w:rsidRPr="00D44526">
        <w:t xml:space="preserve">It is expected that each measure – either in isolation or in conjunction with other existing measures – will not be sufficient to address the </w:t>
      </w:r>
      <w:r w:rsidR="004C14DF" w:rsidRPr="00D44526">
        <w:t xml:space="preserve">outlined market failures </w:t>
      </w:r>
      <w:r w:rsidRPr="00D44526">
        <w:t>within a timeframe that is sufficient to satisfy the Government’s policy objectives.</w:t>
      </w:r>
      <w:r w:rsidR="009E1CFD" w:rsidRPr="009E1CFD">
        <w:t xml:space="preserve"> </w:t>
      </w:r>
      <w:r w:rsidR="009E1CFD" w:rsidRPr="00D44526">
        <w:t>The measures most relevant to households and SMEs in the ACT are discussed below.</w:t>
      </w:r>
    </w:p>
    <w:p w:rsidR="009E0552" w:rsidRPr="00D44526" w:rsidRDefault="009E0552" w:rsidP="00D404FA">
      <w:pPr>
        <w:pStyle w:val="Heading2"/>
      </w:pPr>
      <w:bookmarkStart w:id="36" w:name="_Toc303670548"/>
      <w:bookmarkStart w:id="37" w:name="_Toc306808223"/>
      <w:r w:rsidRPr="00D44526">
        <w:t>Rebates</w:t>
      </w:r>
      <w:bookmarkEnd w:id="36"/>
      <w:bookmarkEnd w:id="37"/>
    </w:p>
    <w:p w:rsidR="009E0552" w:rsidRPr="00D44526" w:rsidRDefault="009E0552" w:rsidP="00D44526">
      <w:r w:rsidRPr="00D44526">
        <w:t>Aimed primarily at households, a number of rebates for</w:t>
      </w:r>
      <w:r w:rsidR="00D90737" w:rsidRPr="00D44526">
        <w:t xml:space="preserve"> energ</w:t>
      </w:r>
      <w:r w:rsidR="00940E5F" w:rsidRPr="00D44526">
        <w:t>y efficiency improvements exist</w:t>
      </w:r>
      <w:r w:rsidR="0018085E" w:rsidRPr="00D44526">
        <w:t xml:space="preserve"> in the ACT</w:t>
      </w:r>
      <w:r w:rsidR="00D90737" w:rsidRPr="00D44526">
        <w:t>.</w:t>
      </w:r>
    </w:p>
    <w:p w:rsidR="009E0552" w:rsidRPr="00D44526" w:rsidRDefault="009E0552" w:rsidP="00D44526">
      <w:r w:rsidRPr="00D44526">
        <w:t>Current and recent examples include:</w:t>
      </w:r>
    </w:p>
    <w:p w:rsidR="00226CB4" w:rsidRPr="00D44526" w:rsidRDefault="00C9147B" w:rsidP="00B96C73">
      <w:pPr>
        <w:numPr>
          <w:ilvl w:val="0"/>
          <w:numId w:val="11"/>
        </w:numPr>
      </w:pPr>
      <w:r w:rsidRPr="00D44526">
        <w:rPr>
          <w:i/>
        </w:rPr>
        <w:t>ACTSmart</w:t>
      </w:r>
      <w:r w:rsidR="00226CB4" w:rsidRPr="00D44526">
        <w:t xml:space="preserve"> - the one-stop-shop for </w:t>
      </w:r>
      <w:r w:rsidR="009E1CFD">
        <w:t xml:space="preserve">information on </w:t>
      </w:r>
      <w:r w:rsidR="00226CB4" w:rsidRPr="00D44526">
        <w:t xml:space="preserve">ACT Government rebates and assistance </w:t>
      </w:r>
      <w:r w:rsidR="009E1CFD">
        <w:t>to</w:t>
      </w:r>
      <w:r w:rsidR="00226CB4" w:rsidRPr="00D44526">
        <w:t xml:space="preserve"> help ACT residents save energy and water, reduce waste and cut greenhouse gas emissions. </w:t>
      </w:r>
    </w:p>
    <w:p w:rsidR="00C9147B" w:rsidRPr="00D44526" w:rsidRDefault="00C9147B" w:rsidP="00B96C73">
      <w:pPr>
        <w:numPr>
          <w:ilvl w:val="0"/>
          <w:numId w:val="11"/>
        </w:numPr>
      </w:pPr>
      <w:r w:rsidRPr="00D44526">
        <w:rPr>
          <w:i/>
        </w:rPr>
        <w:t>HEAT (</w:t>
      </w:r>
      <w:r w:rsidR="00224542" w:rsidRPr="00D44526">
        <w:rPr>
          <w:i/>
        </w:rPr>
        <w:t>Home Energy Advice Team</w:t>
      </w:r>
      <w:r w:rsidR="009F572E">
        <w:rPr>
          <w:i/>
        </w:rPr>
        <w:t>)</w:t>
      </w:r>
      <w:r w:rsidR="00224542" w:rsidRPr="00D44526">
        <w:rPr>
          <w:i/>
        </w:rPr>
        <w:t xml:space="preserve"> </w:t>
      </w:r>
      <w:r w:rsidRPr="00D44526">
        <w:rPr>
          <w:i/>
        </w:rPr>
        <w:t xml:space="preserve">Energy Audits and </w:t>
      </w:r>
      <w:r w:rsidR="009F572E">
        <w:rPr>
          <w:i/>
        </w:rPr>
        <w:t>R</w:t>
      </w:r>
      <w:r w:rsidRPr="00D44526">
        <w:rPr>
          <w:i/>
        </w:rPr>
        <w:t>ebate</w:t>
      </w:r>
      <w:r w:rsidR="009F572E">
        <w:rPr>
          <w:i/>
        </w:rPr>
        <w:t>s</w:t>
      </w:r>
      <w:r w:rsidR="00226CB4" w:rsidRPr="00D44526">
        <w:t xml:space="preserve"> – </w:t>
      </w:r>
      <w:r w:rsidR="001D5C57">
        <w:t>t</w:t>
      </w:r>
      <w:r w:rsidR="00226CB4" w:rsidRPr="00D44526">
        <w:t xml:space="preserve">he HEAT Energy Audit is a home energy audit delivered by the Home Energy Advice Team for houses and semi-detached houses in the ACT that were built before 1996. The ACT Government also provides a rebate </w:t>
      </w:r>
      <w:r w:rsidR="005E3F21">
        <w:t xml:space="preserve">of up to $500 </w:t>
      </w:r>
      <w:r w:rsidR="00226CB4" w:rsidRPr="00D44526">
        <w:t>when the applicant addresses the priority recommendations in the HEAT Energy Audit report.</w:t>
      </w:r>
    </w:p>
    <w:p w:rsidR="00C9147B" w:rsidRPr="00D44526" w:rsidRDefault="00C9147B" w:rsidP="00B96C73">
      <w:pPr>
        <w:numPr>
          <w:ilvl w:val="0"/>
          <w:numId w:val="11"/>
        </w:numPr>
      </w:pPr>
      <w:r w:rsidRPr="00D44526">
        <w:rPr>
          <w:i/>
        </w:rPr>
        <w:t>Outreach</w:t>
      </w:r>
      <w:r w:rsidRPr="00D44526">
        <w:t xml:space="preserve"> – </w:t>
      </w:r>
      <w:r w:rsidR="009E1CFD">
        <w:rPr>
          <w:lang w:eastAsia="en-AU"/>
        </w:rPr>
        <w:t>a program that</w:t>
      </w:r>
      <w:r w:rsidRPr="00D44526">
        <w:rPr>
          <w:lang w:eastAsia="en-AU"/>
        </w:rPr>
        <w:t xml:space="preserve"> provides assistance to low</w:t>
      </w:r>
      <w:r w:rsidR="004D11AF">
        <w:rPr>
          <w:lang w:eastAsia="en-AU"/>
        </w:rPr>
        <w:t>-</w:t>
      </w:r>
      <w:r w:rsidRPr="00D44526">
        <w:rPr>
          <w:lang w:eastAsia="en-AU"/>
        </w:rPr>
        <w:t>income households in the ACT to reduce their energy and water bills</w:t>
      </w:r>
      <w:r w:rsidR="00226CB4" w:rsidRPr="00D44526">
        <w:rPr>
          <w:lang w:eastAsia="en-AU"/>
        </w:rPr>
        <w:t xml:space="preserve"> through home energy assessments, education, appliance replacement and retrofits.</w:t>
      </w:r>
    </w:p>
    <w:p w:rsidR="009E0552" w:rsidRPr="00D44526" w:rsidRDefault="009E0552" w:rsidP="00D44526">
      <w:r w:rsidRPr="00D44526">
        <w:t xml:space="preserve">Rebates allow governments to overcome a range of market failures </w:t>
      </w:r>
      <w:r w:rsidR="004D11AF">
        <w:t>in</w:t>
      </w:r>
      <w:r w:rsidRPr="00D44526">
        <w:t xml:space="preserve"> the uptake of more energy efficient products by providing an incentive to purchase energy efficien</w:t>
      </w:r>
      <w:r w:rsidR="004D11AF">
        <w:t>t</w:t>
      </w:r>
      <w:r w:rsidRPr="00D44526">
        <w:t xml:space="preserve"> products. That is, rebates offset the purchase cost and lower the associated pay-back period for eligible products.</w:t>
      </w:r>
    </w:p>
    <w:p w:rsidR="006B45F1" w:rsidRDefault="009E0552" w:rsidP="00D44526">
      <w:r w:rsidRPr="00D44526">
        <w:t>Rebate programs can be costly to administer and take</w:t>
      </w:r>
      <w:r w:rsidR="009F572E">
        <w:t>-</w:t>
      </w:r>
      <w:r w:rsidRPr="00D44526">
        <w:t xml:space="preserve">up rates can vary. </w:t>
      </w:r>
      <w:r w:rsidR="005F3ED8" w:rsidRPr="00D44526">
        <w:t>A 2011 Grattan Institute report</w:t>
      </w:r>
      <w:r w:rsidR="005F3ED8" w:rsidRPr="00D44526">
        <w:rPr>
          <w:rStyle w:val="FootnoteReference"/>
          <w:rFonts w:cs="Calibri"/>
        </w:rPr>
        <w:footnoteReference w:id="22"/>
      </w:r>
      <w:r w:rsidR="005F3ED8" w:rsidRPr="00D44526">
        <w:t xml:space="preserve"> that analysed the range of policies implemented in Australia to reduce emissions</w:t>
      </w:r>
      <w:r w:rsidR="004D11AF">
        <w:t>,</w:t>
      </w:r>
      <w:r w:rsidR="005F3ED8" w:rsidRPr="00D44526">
        <w:t xml:space="preserve"> found rebates to be highly cost-ineffective compared to other options – with most schemes costing government more than $200 per tonne of CO</w:t>
      </w:r>
      <w:r w:rsidR="005F3ED8" w:rsidRPr="00D44526">
        <w:rPr>
          <w:vertAlign w:val="subscript"/>
        </w:rPr>
        <w:t>2</w:t>
      </w:r>
      <w:r w:rsidR="005F3ED8" w:rsidRPr="00D44526">
        <w:t>-e abatement</w:t>
      </w:r>
      <w:r w:rsidR="001D57D8">
        <w:t>, excluding co-funding of initiatives by the private sector</w:t>
      </w:r>
      <w:r w:rsidR="005F3ED8" w:rsidRPr="00D44526">
        <w:t>.</w:t>
      </w:r>
    </w:p>
    <w:p w:rsidR="009E0552" w:rsidRPr="00D44526" w:rsidRDefault="005F3ED8" w:rsidP="00D44526">
      <w:r w:rsidRPr="00D44526">
        <w:t>A number of other inherent problems exist with r</w:t>
      </w:r>
      <w:r w:rsidR="009E0552" w:rsidRPr="00D44526">
        <w:t>ebates</w:t>
      </w:r>
      <w:r w:rsidRPr="00D44526">
        <w:t>. These includ</w:t>
      </w:r>
      <w:r w:rsidR="009F572E">
        <w:t>e</w:t>
      </w:r>
      <w:r w:rsidRPr="00D44526">
        <w:t xml:space="preserve"> the difficulty in setting a sustainable price, sudden policy changes and poor installation</w:t>
      </w:r>
      <w:r w:rsidR="001D57D8">
        <w:t>s that</w:t>
      </w:r>
      <w:r w:rsidRPr="00D44526">
        <w:t xml:space="preserve"> reduc</w:t>
      </w:r>
      <w:r w:rsidR="001D57D8">
        <w:t>e</w:t>
      </w:r>
      <w:r w:rsidRPr="00D44526">
        <w:t xml:space="preserve"> effectiveness.</w:t>
      </w:r>
    </w:p>
    <w:p w:rsidR="009E0552" w:rsidRPr="00D44526" w:rsidRDefault="009E0552" w:rsidP="00D404FA">
      <w:pPr>
        <w:pStyle w:val="Heading2"/>
      </w:pPr>
      <w:bookmarkStart w:id="38" w:name="_Toc303670549"/>
      <w:bookmarkStart w:id="39" w:name="_Toc306808224"/>
      <w:r w:rsidRPr="00D44526">
        <w:t>Energy performance standards</w:t>
      </w:r>
      <w:bookmarkEnd w:id="38"/>
      <w:bookmarkEnd w:id="39"/>
    </w:p>
    <w:p w:rsidR="009E0552" w:rsidRPr="00D44526" w:rsidRDefault="009E0552" w:rsidP="00D44526">
      <w:r w:rsidRPr="00D44526">
        <w:t xml:space="preserve">Energy performance standards </w:t>
      </w:r>
      <w:r w:rsidR="00724D09" w:rsidRPr="00D44526">
        <w:t xml:space="preserve">set minimum levels of energy efficiency required </w:t>
      </w:r>
      <w:r w:rsidR="004D08C9" w:rsidRPr="00D44526">
        <w:t xml:space="preserve">for products. </w:t>
      </w:r>
      <w:r w:rsidRPr="00D44526">
        <w:t xml:space="preserve">There are two forms of </w:t>
      </w:r>
      <w:r w:rsidR="00724D09" w:rsidRPr="00D44526">
        <w:t>standards</w:t>
      </w:r>
      <w:r w:rsidRPr="00D44526">
        <w:t xml:space="preserve"> that are relevant for households and SMEs</w:t>
      </w:r>
      <w:r w:rsidR="00724D09" w:rsidRPr="00D44526">
        <w:t xml:space="preserve"> in the ACT</w:t>
      </w:r>
      <w:r w:rsidRPr="00D44526">
        <w:t>:</w:t>
      </w:r>
    </w:p>
    <w:p w:rsidR="00C641A7" w:rsidRPr="00D44526" w:rsidRDefault="009E0552" w:rsidP="00B96C73">
      <w:pPr>
        <w:numPr>
          <w:ilvl w:val="0"/>
          <w:numId w:val="12"/>
        </w:numPr>
      </w:pPr>
      <w:r w:rsidRPr="00D44526">
        <w:rPr>
          <w:rStyle w:val="Emphasis"/>
          <w:rFonts w:cs="Calibri"/>
        </w:rPr>
        <w:t>Appliances and equipment</w:t>
      </w:r>
      <w:r w:rsidRPr="00D44526">
        <w:t xml:space="preserve"> – these are regulated through a national program, Minimum Energy Performance Standards (MEPS)</w:t>
      </w:r>
      <w:r w:rsidR="009F572E">
        <w:t>,</w:t>
      </w:r>
      <w:r w:rsidRPr="00D44526">
        <w:t xml:space="preserve"> </w:t>
      </w:r>
      <w:r w:rsidR="001D57D8">
        <w:t>coordinated by jurisdictional governments under the National Framework on Energy Efficiency. These</w:t>
      </w:r>
      <w:r w:rsidR="001D57D8" w:rsidRPr="00D44526">
        <w:t xml:space="preserve"> </w:t>
      </w:r>
      <w:r w:rsidRPr="00D44526">
        <w:t xml:space="preserve">address specific types of major energy-using devices in the residential, commercial and industrial sector. This program expands to include new appliances over time as deemed necessary. </w:t>
      </w:r>
    </w:p>
    <w:p w:rsidR="009E0552" w:rsidRPr="007041DF" w:rsidRDefault="009E0552" w:rsidP="00B96C73">
      <w:pPr>
        <w:numPr>
          <w:ilvl w:val="0"/>
          <w:numId w:val="12"/>
        </w:numPr>
      </w:pPr>
      <w:r w:rsidRPr="007041DF">
        <w:rPr>
          <w:rStyle w:val="Emphasis"/>
          <w:rFonts w:cs="Calibri"/>
        </w:rPr>
        <w:t>Building standards</w:t>
      </w:r>
      <w:r w:rsidR="00637460" w:rsidRPr="007041DF">
        <w:t xml:space="preserve"> </w:t>
      </w:r>
      <w:r w:rsidR="009F6000" w:rsidRPr="007041DF">
        <w:t>–</w:t>
      </w:r>
      <w:r w:rsidR="00D93489" w:rsidRPr="007041DF">
        <w:t xml:space="preserve"> under the </w:t>
      </w:r>
      <w:r w:rsidR="007041DF" w:rsidRPr="007041DF">
        <w:t xml:space="preserve">Building Code of Australia 2010 new residential buildings in the ACT are required to meet a 6 star energy rating under the </w:t>
      </w:r>
      <w:r w:rsidR="00D93489" w:rsidRPr="007041DF">
        <w:t>Nationwide House Energy Rating Scheme</w:t>
      </w:r>
      <w:r w:rsidR="007041DF" w:rsidRPr="007041DF">
        <w:t>.</w:t>
      </w:r>
    </w:p>
    <w:p w:rsidR="004D08C9" w:rsidRPr="00D44526" w:rsidRDefault="007041DF" w:rsidP="00D44526">
      <w:r>
        <w:t>MEPS have</w:t>
      </w:r>
      <w:r w:rsidR="001D57D8">
        <w:t xml:space="preserve"> been found to be among the most cost-effective ways of reducing energy usage and associated emissions. H</w:t>
      </w:r>
      <w:r w:rsidR="00724D09" w:rsidRPr="00D44526">
        <w:t>owever, a number of significant limitations to such policies</w:t>
      </w:r>
      <w:r w:rsidR="004D08C9" w:rsidRPr="00D44526">
        <w:t xml:space="preserve"> exist</w:t>
      </w:r>
      <w:r w:rsidR="00FB7E04" w:rsidRPr="00D44526">
        <w:t>,</w:t>
      </w:r>
      <w:r w:rsidR="004D08C9" w:rsidRPr="00D44526">
        <w:t xml:space="preserve"> including:</w:t>
      </w:r>
    </w:p>
    <w:p w:rsidR="000A6966" w:rsidRPr="00D44526" w:rsidRDefault="001D57D8" w:rsidP="00B96C73">
      <w:pPr>
        <w:numPr>
          <w:ilvl w:val="0"/>
          <w:numId w:val="13"/>
        </w:numPr>
      </w:pPr>
      <w:r>
        <w:t xml:space="preserve">Lag </w:t>
      </w:r>
      <w:r w:rsidR="0056575F">
        <w:t>t</w:t>
      </w:r>
      <w:r w:rsidR="000A6966" w:rsidRPr="00D44526">
        <w:t>ime</w:t>
      </w:r>
      <w:r w:rsidR="00FB7E04" w:rsidRPr="00D44526">
        <w:t xml:space="preserve"> –</w:t>
      </w:r>
      <w:r w:rsidR="000A6966" w:rsidRPr="00D44526">
        <w:t xml:space="preserve"> a</w:t>
      </w:r>
      <w:r w:rsidR="00FB7E04" w:rsidRPr="00D44526">
        <w:t xml:space="preserve"> </w:t>
      </w:r>
      <w:r w:rsidR="000A6966" w:rsidRPr="00D44526">
        <w:t xml:space="preserve">significant </w:t>
      </w:r>
      <w:r w:rsidR="00724D09" w:rsidRPr="00D44526">
        <w:t>amount of time</w:t>
      </w:r>
      <w:r w:rsidR="000A6966" w:rsidRPr="00D44526">
        <w:t xml:space="preserve"> is</w:t>
      </w:r>
      <w:r w:rsidR="00724D09" w:rsidRPr="00D44526">
        <w:t xml:space="preserve"> required to develop standards due to the consultation and engineering analysis required</w:t>
      </w:r>
      <w:r w:rsidR="000A6966" w:rsidRPr="00D44526">
        <w:t>.</w:t>
      </w:r>
    </w:p>
    <w:p w:rsidR="000A6966" w:rsidRPr="00D44526" w:rsidRDefault="00FB7E04" w:rsidP="00B96C73">
      <w:pPr>
        <w:numPr>
          <w:ilvl w:val="0"/>
          <w:numId w:val="13"/>
        </w:numPr>
        <w:rPr>
          <w:lang w:eastAsia="en-AU"/>
        </w:rPr>
      </w:pPr>
      <w:r w:rsidRPr="00D44526">
        <w:t>They are p</w:t>
      </w:r>
      <w:r w:rsidR="009E0552" w:rsidRPr="00D44526">
        <w:t>rescriptive</w:t>
      </w:r>
      <w:r w:rsidRPr="00D44526">
        <w:t xml:space="preserve"> </w:t>
      </w:r>
      <w:r w:rsidR="009E0552" w:rsidRPr="00D44526">
        <w:t xml:space="preserve">– consumers are not </w:t>
      </w:r>
      <w:r w:rsidRPr="00D44526">
        <w:t xml:space="preserve">able to determine for themselves </w:t>
      </w:r>
      <w:r w:rsidR="009E0552" w:rsidRPr="00D44526">
        <w:t>whether avoided energy costs warrant the potentially significant up-front costs, or loss of other amenity.</w:t>
      </w:r>
    </w:p>
    <w:p w:rsidR="00591C35" w:rsidRPr="00591C35" w:rsidRDefault="00591C35" w:rsidP="00B96C73">
      <w:pPr>
        <w:pStyle w:val="ListParagraph"/>
        <w:numPr>
          <w:ilvl w:val="0"/>
          <w:numId w:val="13"/>
        </w:numPr>
        <w:rPr>
          <w:lang w:eastAsia="en-AU"/>
        </w:rPr>
      </w:pPr>
      <w:r w:rsidRPr="00591C35">
        <w:t>Information availability – there appears to have been a consistent conservative bias in past RISs developed for MEPS, with</w:t>
      </w:r>
      <w:r>
        <w:t xml:space="preserve"> the</w:t>
      </w:r>
      <w:r w:rsidRPr="00591C35">
        <w:t xml:space="preserve"> cost-effectiveness of regulatory action significantly higher than originally projected  due to unforeseeable changes in the population</w:t>
      </w:r>
      <w:r>
        <w:rPr>
          <w:rStyle w:val="FootnoteReference"/>
        </w:rPr>
        <w:footnoteReference w:id="23"/>
      </w:r>
      <w:r w:rsidRPr="00591C35">
        <w:t>.</w:t>
      </w:r>
      <w:r w:rsidRPr="00591C35">
        <w:rPr>
          <w:lang w:eastAsia="en-AU"/>
        </w:rPr>
        <w:t xml:space="preserve"> </w:t>
      </w:r>
    </w:p>
    <w:p w:rsidR="000A6966" w:rsidRPr="00D44526" w:rsidRDefault="00FB7E04" w:rsidP="00B96C73">
      <w:pPr>
        <w:numPr>
          <w:ilvl w:val="0"/>
          <w:numId w:val="13"/>
        </w:numPr>
        <w:rPr>
          <w:lang w:eastAsia="en-AU"/>
        </w:rPr>
      </w:pPr>
      <w:r w:rsidRPr="00D44526">
        <w:t xml:space="preserve">Only the worst performers are eliminated </w:t>
      </w:r>
      <w:r w:rsidR="009E0552" w:rsidRPr="00D44526">
        <w:t>– in terms of what is commercially available at the time they are enacted.</w:t>
      </w:r>
    </w:p>
    <w:p w:rsidR="00591C35" w:rsidRPr="00D44526" w:rsidRDefault="00FB7E04" w:rsidP="00B96C73">
      <w:pPr>
        <w:numPr>
          <w:ilvl w:val="0"/>
          <w:numId w:val="13"/>
        </w:numPr>
        <w:ind w:left="714" w:hanging="357"/>
        <w:rPr>
          <w:lang w:eastAsia="en-AU"/>
        </w:rPr>
      </w:pPr>
      <w:r w:rsidRPr="00D44526">
        <w:rPr>
          <w:lang w:eastAsia="en-AU"/>
        </w:rPr>
        <w:t xml:space="preserve">They do not change </w:t>
      </w:r>
      <w:r w:rsidR="000A6966" w:rsidRPr="00D44526">
        <w:rPr>
          <w:lang w:eastAsia="en-AU"/>
        </w:rPr>
        <w:t xml:space="preserve">behaviour </w:t>
      </w:r>
      <w:r w:rsidRPr="00D44526">
        <w:rPr>
          <w:lang w:eastAsia="en-AU"/>
        </w:rPr>
        <w:t>–</w:t>
      </w:r>
      <w:r w:rsidR="000A6966" w:rsidRPr="00D44526">
        <w:rPr>
          <w:lang w:eastAsia="en-AU"/>
        </w:rPr>
        <w:t xml:space="preserve"> standards</w:t>
      </w:r>
      <w:r w:rsidRPr="00D44526">
        <w:rPr>
          <w:lang w:eastAsia="en-AU"/>
        </w:rPr>
        <w:t xml:space="preserve"> </w:t>
      </w:r>
      <w:r w:rsidR="000A6966" w:rsidRPr="00D44526">
        <w:rPr>
          <w:lang w:eastAsia="en-AU"/>
        </w:rPr>
        <w:t>can reduce energy consumption for a given device while in use, however, they cannot reduce their usage. For example</w:t>
      </w:r>
      <w:r w:rsidR="0056575F">
        <w:rPr>
          <w:lang w:eastAsia="en-AU"/>
        </w:rPr>
        <w:t>,</w:t>
      </w:r>
      <w:r w:rsidR="000A6966" w:rsidRPr="00D44526">
        <w:rPr>
          <w:lang w:eastAsia="en-AU"/>
        </w:rPr>
        <w:t xml:space="preserve"> people now own more, larger televisions, used for more hours and ownership </w:t>
      </w:r>
      <w:r w:rsidR="0056575F">
        <w:rPr>
          <w:lang w:eastAsia="en-AU"/>
        </w:rPr>
        <w:t xml:space="preserve">of </w:t>
      </w:r>
      <w:r w:rsidR="000A6966" w:rsidRPr="00D44526">
        <w:rPr>
          <w:lang w:eastAsia="en-AU"/>
        </w:rPr>
        <w:t>other small electrical equipment has proliferated.</w:t>
      </w:r>
    </w:p>
    <w:p w:rsidR="00591C35" w:rsidRDefault="00FB7E04" w:rsidP="00B96C73">
      <w:pPr>
        <w:numPr>
          <w:ilvl w:val="0"/>
          <w:numId w:val="13"/>
        </w:numPr>
        <w:ind w:left="714" w:hanging="357"/>
        <w:rPr>
          <w:lang w:eastAsia="en-AU"/>
        </w:rPr>
      </w:pPr>
      <w:r w:rsidRPr="00D44526">
        <w:t>They apply only to new purchases</w:t>
      </w:r>
      <w:r w:rsidR="000A6966" w:rsidRPr="00D44526">
        <w:t xml:space="preserve"> –</w:t>
      </w:r>
      <w:r w:rsidRPr="00D44526">
        <w:t xml:space="preserve"> standards cannot encourage</w:t>
      </w:r>
      <w:r w:rsidR="000A6966" w:rsidRPr="00D44526">
        <w:t xml:space="preserve"> owners of existing, operational equipment or buildings to retire or modify their assets</w:t>
      </w:r>
      <w:r w:rsidRPr="00D44526">
        <w:t xml:space="preserve"> to enhance energy </w:t>
      </w:r>
      <w:r w:rsidRPr="00591C35">
        <w:t xml:space="preserve">performance – leading to a </w:t>
      </w:r>
      <w:r w:rsidR="001D57D8" w:rsidRPr="00591C35">
        <w:t xml:space="preserve">significant </w:t>
      </w:r>
      <w:r w:rsidRPr="00591C35">
        <w:t xml:space="preserve">time </w:t>
      </w:r>
      <w:r w:rsidR="000A6966" w:rsidRPr="00591C35">
        <w:t>lag in the transformation of existing stock towards better energy performance.</w:t>
      </w:r>
      <w:r w:rsidR="000A6966" w:rsidRPr="00591C35">
        <w:rPr>
          <w:lang w:eastAsia="en-AU"/>
        </w:rPr>
        <w:t xml:space="preserve"> </w:t>
      </w:r>
    </w:p>
    <w:p w:rsidR="009E0552" w:rsidRPr="00D44526" w:rsidRDefault="009E0552" w:rsidP="00D404FA">
      <w:pPr>
        <w:pStyle w:val="Heading2"/>
      </w:pPr>
      <w:bookmarkStart w:id="40" w:name="_Toc303670550"/>
      <w:bookmarkStart w:id="41" w:name="_Toc306808225"/>
      <w:r w:rsidRPr="002D400A">
        <w:t>Education</w:t>
      </w:r>
      <w:r w:rsidRPr="00D44526">
        <w:t xml:space="preserve"> and information campaigns</w:t>
      </w:r>
      <w:bookmarkEnd w:id="40"/>
      <w:bookmarkEnd w:id="41"/>
    </w:p>
    <w:p w:rsidR="009E0552" w:rsidRPr="00D44526" w:rsidRDefault="00224542" w:rsidP="00D44526">
      <w:r w:rsidRPr="00D44526">
        <w:t xml:space="preserve">Government funded information campaigns may be used to inform consumers about the consequence of energy consumption and the benefits of energy efficiency. These campaigns typically </w:t>
      </w:r>
      <w:r w:rsidR="009E0552" w:rsidRPr="00D44526">
        <w:t xml:space="preserve">focus on simple, easy to implement changes or generic advice. </w:t>
      </w:r>
    </w:p>
    <w:p w:rsidR="00224542" w:rsidRPr="00D44526" w:rsidRDefault="009E0552" w:rsidP="00D44526">
      <w:r w:rsidRPr="00D44526">
        <w:t xml:space="preserve">Examples of </w:t>
      </w:r>
      <w:r w:rsidR="00C9147B" w:rsidRPr="00D44526">
        <w:t>ACT Government</w:t>
      </w:r>
      <w:r w:rsidRPr="00D44526">
        <w:t xml:space="preserve"> initiatives in this area </w:t>
      </w:r>
      <w:r w:rsidR="00C9147B" w:rsidRPr="00D44526">
        <w:t>include</w:t>
      </w:r>
      <w:r w:rsidRPr="00D44526">
        <w:t>:</w:t>
      </w:r>
    </w:p>
    <w:p w:rsidR="00224542" w:rsidRPr="004C68A9" w:rsidRDefault="004C68A9" w:rsidP="00B96C73">
      <w:pPr>
        <w:numPr>
          <w:ilvl w:val="0"/>
          <w:numId w:val="14"/>
        </w:numPr>
      </w:pPr>
      <w:r>
        <w:t>i</w:t>
      </w:r>
      <w:r w:rsidR="00690FAA" w:rsidRPr="00690FAA">
        <w:t>nformation campaigns</w:t>
      </w:r>
    </w:p>
    <w:p w:rsidR="007E3C78" w:rsidRPr="00D44526" w:rsidRDefault="009E0552" w:rsidP="00B96C73">
      <w:pPr>
        <w:numPr>
          <w:ilvl w:val="0"/>
          <w:numId w:val="14"/>
        </w:numPr>
      </w:pPr>
      <w:r w:rsidRPr="00D44526">
        <w:t>energy labelling</w:t>
      </w:r>
    </w:p>
    <w:p w:rsidR="00690FAA" w:rsidRDefault="009E0552" w:rsidP="00B96C73">
      <w:pPr>
        <w:numPr>
          <w:ilvl w:val="0"/>
          <w:numId w:val="14"/>
        </w:numPr>
      </w:pPr>
      <w:r w:rsidRPr="00D44526">
        <w:t>energy bill benchmarking</w:t>
      </w:r>
      <w:r w:rsidR="009116FE">
        <w:t xml:space="preserve"> </w:t>
      </w:r>
    </w:p>
    <w:p w:rsidR="009E0552" w:rsidRPr="00D44526" w:rsidRDefault="009E0552" w:rsidP="004F7A03">
      <w:pPr>
        <w:pStyle w:val="Heading3"/>
      </w:pPr>
      <w:bookmarkStart w:id="42" w:name="_Toc303670551"/>
      <w:r w:rsidRPr="00D44526">
        <w:t>Information campaigns</w:t>
      </w:r>
      <w:bookmarkEnd w:id="42"/>
    </w:p>
    <w:p w:rsidR="00224542" w:rsidRPr="00D44526" w:rsidRDefault="00224542" w:rsidP="00D44526">
      <w:r w:rsidRPr="00D44526">
        <w:t>Existing information campaigns in the ACT include:</w:t>
      </w:r>
    </w:p>
    <w:p w:rsidR="00224542" w:rsidRPr="00D44526" w:rsidRDefault="00224542" w:rsidP="00B96C73">
      <w:pPr>
        <w:numPr>
          <w:ilvl w:val="0"/>
          <w:numId w:val="15"/>
        </w:numPr>
        <w:rPr>
          <w:i/>
        </w:rPr>
      </w:pPr>
      <w:r w:rsidRPr="00D44526">
        <w:rPr>
          <w:i/>
        </w:rPr>
        <w:t xml:space="preserve">HEAT (Home </w:t>
      </w:r>
      <w:r w:rsidR="0056575F">
        <w:rPr>
          <w:i/>
        </w:rPr>
        <w:t>E</w:t>
      </w:r>
      <w:r w:rsidRPr="00D44526">
        <w:rPr>
          <w:i/>
        </w:rPr>
        <w:t xml:space="preserve">nergy </w:t>
      </w:r>
      <w:r w:rsidR="0056575F">
        <w:rPr>
          <w:i/>
        </w:rPr>
        <w:t>A</w:t>
      </w:r>
      <w:r w:rsidRPr="00D44526">
        <w:rPr>
          <w:i/>
        </w:rPr>
        <w:t xml:space="preserve">dvice </w:t>
      </w:r>
      <w:r w:rsidR="0056575F">
        <w:rPr>
          <w:i/>
        </w:rPr>
        <w:t>T</w:t>
      </w:r>
      <w:r w:rsidRPr="00D44526">
        <w:rPr>
          <w:i/>
        </w:rPr>
        <w:t>eam)</w:t>
      </w:r>
      <w:r w:rsidRPr="00D44526">
        <w:t xml:space="preserve"> – provides residents with free, independent, expert advice to help consumers save money and reduce greenhouse gas emissions by reducing energy consumption in and around the home. </w:t>
      </w:r>
    </w:p>
    <w:p w:rsidR="00224542" w:rsidRPr="00D44526" w:rsidRDefault="00224542" w:rsidP="00B96C73">
      <w:pPr>
        <w:numPr>
          <w:ilvl w:val="0"/>
          <w:numId w:val="15"/>
        </w:numPr>
        <w:rPr>
          <w:i/>
        </w:rPr>
      </w:pPr>
      <w:r w:rsidRPr="00D44526">
        <w:rPr>
          <w:i/>
        </w:rPr>
        <w:t xml:space="preserve">Home energy actions kit </w:t>
      </w:r>
      <w:r w:rsidRPr="00D44526">
        <w:t>– a kit that may be borrowed from any ACT Public Library to help residents of the ACT to perform an energy audit of their home and develop a Home Energy Action Plan.</w:t>
      </w:r>
    </w:p>
    <w:p w:rsidR="00224542" w:rsidRPr="00D44526" w:rsidRDefault="00727877" w:rsidP="00D44526">
      <w:r w:rsidRPr="00D44526">
        <w:t>While information campaigns may help to inform consumers</w:t>
      </w:r>
      <w:r w:rsidR="00D74B09" w:rsidRPr="00D44526">
        <w:t xml:space="preserve"> about energy efficiency</w:t>
      </w:r>
      <w:r w:rsidRPr="00D44526">
        <w:t xml:space="preserve">, alone they are not effective </w:t>
      </w:r>
      <w:r w:rsidR="009116FE">
        <w:t>in</w:t>
      </w:r>
      <w:r w:rsidR="009116FE" w:rsidRPr="00D44526">
        <w:t xml:space="preserve"> </w:t>
      </w:r>
      <w:r w:rsidRPr="00D44526">
        <w:t xml:space="preserve">changing behaviour. This is due to </w:t>
      </w:r>
      <w:r w:rsidR="009E0552" w:rsidRPr="00D44526">
        <w:t>the</w:t>
      </w:r>
      <w:r w:rsidRPr="00D44526">
        <w:t xml:space="preserve"> transaction costs associated with assessing and implementing changes and the fact that consumers are </w:t>
      </w:r>
      <w:r w:rsidR="009116FE">
        <w:t>‘</w:t>
      </w:r>
      <w:r w:rsidRPr="00D44526">
        <w:t>time poor</w:t>
      </w:r>
      <w:r w:rsidR="009116FE">
        <w:t>’</w:t>
      </w:r>
      <w:r w:rsidRPr="00D44526">
        <w:t>.</w:t>
      </w:r>
      <w:r w:rsidR="003E5EBE" w:rsidRPr="00D44526">
        <w:t xml:space="preserve"> Further, they </w:t>
      </w:r>
      <w:r w:rsidR="00224542" w:rsidRPr="00D44526">
        <w:t>often require additional actions to make the advice re</w:t>
      </w:r>
      <w:r w:rsidR="003E5EBE" w:rsidRPr="00D44526">
        <w:t xml:space="preserve">levant to specific situations, with programs becoming more </w:t>
      </w:r>
      <w:r w:rsidR="00224542" w:rsidRPr="00D44526">
        <w:t>costly when they are required to reach more people with more specific information.</w:t>
      </w:r>
    </w:p>
    <w:p w:rsidR="00D74B09" w:rsidRPr="00D44526" w:rsidRDefault="00D74B09" w:rsidP="00D44526">
      <w:r w:rsidRPr="00D44526">
        <w:t xml:space="preserve">These schemes are therefore </w:t>
      </w:r>
      <w:r w:rsidR="009116FE">
        <w:t xml:space="preserve">most appropriately considered as </w:t>
      </w:r>
      <w:r w:rsidR="003E5EBE" w:rsidRPr="00D44526">
        <w:t>complement</w:t>
      </w:r>
      <w:r w:rsidR="009116FE">
        <w:t>ary to, or made redundant by,</w:t>
      </w:r>
      <w:r w:rsidR="009E0552" w:rsidRPr="00D44526">
        <w:t xml:space="preserve"> other </w:t>
      </w:r>
      <w:r w:rsidRPr="00D44526">
        <w:t>policies</w:t>
      </w:r>
      <w:r w:rsidR="009116FE">
        <w:t xml:space="preserve"> which address market failures in a more comprehensive manner</w:t>
      </w:r>
      <w:r w:rsidRPr="00D44526">
        <w:t>.</w:t>
      </w:r>
    </w:p>
    <w:p w:rsidR="009E0552" w:rsidRPr="00D44526" w:rsidRDefault="009E0552" w:rsidP="004F7A03">
      <w:pPr>
        <w:pStyle w:val="Heading3"/>
      </w:pPr>
      <w:bookmarkStart w:id="43" w:name="_Toc303670552"/>
      <w:r w:rsidRPr="00D44526">
        <w:t>Energy labelling</w:t>
      </w:r>
      <w:bookmarkEnd w:id="43"/>
    </w:p>
    <w:p w:rsidR="005878DD" w:rsidRPr="00D44526" w:rsidRDefault="009116FE" w:rsidP="00D44526">
      <w:r>
        <w:t>C</w:t>
      </w:r>
      <w:r w:rsidR="009E0552" w:rsidRPr="00D44526">
        <w:t>onsumers may alter their purchasing behaviour</w:t>
      </w:r>
      <w:r>
        <w:t xml:space="preserve"> when g</w:t>
      </w:r>
      <w:r w:rsidRPr="00D44526">
        <w:t>iven information about the relative performance efficiency of products</w:t>
      </w:r>
      <w:r w:rsidR="00D74B09" w:rsidRPr="00D44526">
        <w:t>.</w:t>
      </w:r>
      <w:r w:rsidR="005878DD" w:rsidRPr="00D44526">
        <w:t xml:space="preserve"> In the case of appliances, labelling is usually related directly to minimum performance standards. </w:t>
      </w:r>
      <w:r w:rsidR="00D2196D" w:rsidRPr="00D44526">
        <w:t>In addition to appliance labelling, since 1999 sellers of residential properties i</w:t>
      </w:r>
      <w:r w:rsidR="005878DD" w:rsidRPr="00D44526">
        <w:t xml:space="preserve">n the ACT </w:t>
      </w:r>
      <w:r w:rsidR="00D2196D" w:rsidRPr="00D44526">
        <w:t>have had to provide information about their property’s Energy Efficiency Rating (EER). The EER is a 0 to 10 star rating of the thermal performance of the building shell.</w:t>
      </w:r>
    </w:p>
    <w:p w:rsidR="009E0552" w:rsidRPr="00D44526" w:rsidRDefault="00340DBD" w:rsidP="00D44526">
      <w:r w:rsidRPr="00D44526">
        <w:t xml:space="preserve">While such requirements may improve the </w:t>
      </w:r>
      <w:r w:rsidR="00832F53" w:rsidRPr="00D44526">
        <w:t xml:space="preserve">quality of </w:t>
      </w:r>
      <w:r w:rsidRPr="00D44526">
        <w:t>information a consumer has to make a decision</w:t>
      </w:r>
      <w:r w:rsidR="00832F53" w:rsidRPr="00D44526">
        <w:t xml:space="preserve"> regarding the purchase of an appliance or home</w:t>
      </w:r>
      <w:r w:rsidRPr="00D44526">
        <w:t>, s</w:t>
      </w:r>
      <w:r w:rsidR="009E0552" w:rsidRPr="00D44526">
        <w:t>ome buyers and tenants may be unable to use the infor</w:t>
      </w:r>
      <w:r w:rsidR="00261223" w:rsidRPr="00D44526">
        <w:t>mation to achieve a saving for a number of reasons, including</w:t>
      </w:r>
      <w:r w:rsidR="009E0552" w:rsidRPr="00D44526">
        <w:t>:</w:t>
      </w:r>
    </w:p>
    <w:p w:rsidR="009E0552" w:rsidRPr="00D44526" w:rsidRDefault="009E0552" w:rsidP="00B96C73">
      <w:pPr>
        <w:numPr>
          <w:ilvl w:val="0"/>
          <w:numId w:val="16"/>
        </w:numPr>
      </w:pPr>
      <w:r w:rsidRPr="00D44526">
        <w:t>their preferences are such that they have minimal choice in the market</w:t>
      </w:r>
      <w:r w:rsidR="00261223" w:rsidRPr="00D44526">
        <w:t>;</w:t>
      </w:r>
    </w:p>
    <w:p w:rsidR="009E0552" w:rsidRPr="00D44526" w:rsidRDefault="009E0552" w:rsidP="00B96C73">
      <w:pPr>
        <w:numPr>
          <w:ilvl w:val="0"/>
          <w:numId w:val="16"/>
        </w:numPr>
      </w:pPr>
      <w:r w:rsidRPr="00D44526">
        <w:t>low vacancy rates in the market dictate that tenants and buyers have few options and are not in a position to compare a set of properties on the basis of energy efficiency</w:t>
      </w:r>
      <w:r w:rsidR="00261223" w:rsidRPr="00D44526">
        <w:t>;</w:t>
      </w:r>
    </w:p>
    <w:p w:rsidR="009E0552" w:rsidRPr="00D44526" w:rsidRDefault="009E0552" w:rsidP="00B96C73">
      <w:pPr>
        <w:numPr>
          <w:ilvl w:val="0"/>
          <w:numId w:val="16"/>
        </w:numPr>
      </w:pPr>
      <w:r w:rsidRPr="00D44526">
        <w:t>the potential energy efficiency savings are not sufficient to overcome other characteristics (i</w:t>
      </w:r>
      <w:r w:rsidR="00B36A28">
        <w:t>.</w:t>
      </w:r>
      <w:r w:rsidRPr="00D44526">
        <w:t>e</w:t>
      </w:r>
      <w:r w:rsidR="00B36A28">
        <w:t>.</w:t>
      </w:r>
      <w:r w:rsidRPr="00D44526">
        <w:t xml:space="preserve"> location, amenities</w:t>
      </w:r>
      <w:r w:rsidR="00261223" w:rsidRPr="00D44526">
        <w:t>, functionality, size, appearance, price, availability</w:t>
      </w:r>
      <w:r w:rsidRPr="00D44526">
        <w:t>)</w:t>
      </w:r>
      <w:r w:rsidR="00832F53" w:rsidRPr="00D44526">
        <w:t>; and</w:t>
      </w:r>
    </w:p>
    <w:p w:rsidR="009E0552" w:rsidRPr="00D44526" w:rsidRDefault="007E3C78" w:rsidP="00B96C73">
      <w:pPr>
        <w:numPr>
          <w:ilvl w:val="0"/>
          <w:numId w:val="16"/>
        </w:numPr>
      </w:pPr>
      <w:r>
        <w:t>d</w:t>
      </w:r>
      <w:r w:rsidRPr="00D44526">
        <w:t>ecision-makers</w:t>
      </w:r>
      <w:r w:rsidR="009E0552" w:rsidRPr="00D44526">
        <w:t xml:space="preserve"> within organisations do not place a high value on energy savings and therefore do not use that as a factor in property choice</w:t>
      </w:r>
      <w:r w:rsidR="00261223" w:rsidRPr="00D44526">
        <w:rPr>
          <w:rStyle w:val="FootnoteReference"/>
          <w:rFonts w:cs="Calibri"/>
        </w:rPr>
        <w:footnoteReference w:id="24"/>
      </w:r>
      <w:r w:rsidR="00261223" w:rsidRPr="00D44526">
        <w:t>.</w:t>
      </w:r>
    </w:p>
    <w:p w:rsidR="009E0552" w:rsidRPr="00D44526" w:rsidRDefault="00783F55" w:rsidP="00D44526">
      <w:r w:rsidRPr="00D44526">
        <w:t>Further, energy labelling has a limited scope to overcome the outlined market failures as, ultimately, e</w:t>
      </w:r>
      <w:r w:rsidR="009E0552" w:rsidRPr="00D44526">
        <w:t xml:space="preserve">nergy labelling information </w:t>
      </w:r>
      <w:r w:rsidRPr="00D44526">
        <w:t>does not motivate consumers not already in the market to replace or refurbish inefficient appliances or homes.</w:t>
      </w:r>
    </w:p>
    <w:p w:rsidR="009E0552" w:rsidRPr="00D44526" w:rsidRDefault="009E0552" w:rsidP="004F7A03">
      <w:pPr>
        <w:pStyle w:val="Heading3"/>
      </w:pPr>
      <w:bookmarkStart w:id="44" w:name="_Toc303670553"/>
      <w:r w:rsidRPr="00D44526">
        <w:t>Energy bill benchmarking</w:t>
      </w:r>
      <w:bookmarkEnd w:id="44"/>
    </w:p>
    <w:p w:rsidR="0089705E" w:rsidRPr="00D44526" w:rsidRDefault="00527D19" w:rsidP="00183B52">
      <w:r w:rsidRPr="00D44526">
        <w:t xml:space="preserve">Currently in the ACT energy </w:t>
      </w:r>
      <w:r w:rsidR="005D69F7">
        <w:t>supplier</w:t>
      </w:r>
      <w:r w:rsidRPr="00D44526">
        <w:t>s are required to show</w:t>
      </w:r>
      <w:r w:rsidR="00345F25">
        <w:t>,</w:t>
      </w:r>
      <w:r w:rsidR="0089705E" w:rsidRPr="00D44526">
        <w:t xml:space="preserve"> in billing information</w:t>
      </w:r>
      <w:r w:rsidR="00345F25">
        <w:t>,</w:t>
      </w:r>
      <w:r w:rsidR="0089705E" w:rsidRPr="00D44526">
        <w:t xml:space="preserve"> how household’s energy consumption </w:t>
      </w:r>
      <w:r w:rsidRPr="00D44526">
        <w:t>and associated GHG emissions</w:t>
      </w:r>
      <w:r w:rsidR="0089705E" w:rsidRPr="00D44526">
        <w:t xml:space="preserve"> varies</w:t>
      </w:r>
      <w:r w:rsidRPr="00D44526">
        <w:t xml:space="preserve"> over time. </w:t>
      </w:r>
      <w:r w:rsidR="0089705E" w:rsidRPr="00D44526">
        <w:t>Further</w:t>
      </w:r>
      <w:r w:rsidR="003217F4">
        <w:t>,</w:t>
      </w:r>
      <w:r w:rsidR="0089705E" w:rsidRPr="00D44526">
        <w:t xml:space="preserve"> </w:t>
      </w:r>
      <w:r w:rsidR="009E0552" w:rsidRPr="00D44526">
        <w:t xml:space="preserve">bill benchmarking </w:t>
      </w:r>
      <w:r w:rsidR="00F07510">
        <w:t>is set to</w:t>
      </w:r>
      <w:r w:rsidR="00F07510" w:rsidRPr="00D44526">
        <w:t xml:space="preserve"> </w:t>
      </w:r>
      <w:r w:rsidR="009E0552" w:rsidRPr="00D44526">
        <w:t>be introduced nationally as part of the Nat</w:t>
      </w:r>
      <w:r w:rsidR="0089705E" w:rsidRPr="00D44526">
        <w:t xml:space="preserve">ional Energy Customer Framework, which will provide </w:t>
      </w:r>
      <w:r w:rsidRPr="00D44526">
        <w:t>consumers with information on their energy bills</w:t>
      </w:r>
      <w:r w:rsidR="003217F4">
        <w:t xml:space="preserve"> and</w:t>
      </w:r>
      <w:r w:rsidRPr="00D44526">
        <w:t xml:space="preserve"> how their average daily energy consumption compares against an appropriate benchmark</w:t>
      </w:r>
      <w:r w:rsidR="00433BC3" w:rsidRPr="00D44526">
        <w:t xml:space="preserve"> – such as all other households in the ACT</w:t>
      </w:r>
      <w:r w:rsidRPr="00D44526">
        <w:t xml:space="preserve">. </w:t>
      </w:r>
    </w:p>
    <w:p w:rsidR="009E0552" w:rsidRPr="00D44526" w:rsidRDefault="0089705E" w:rsidP="00183B52">
      <w:r w:rsidRPr="00D44526">
        <w:t>While b</w:t>
      </w:r>
      <w:r w:rsidR="009E0552" w:rsidRPr="00D44526">
        <w:t>enchmarks wi</w:t>
      </w:r>
      <w:r w:rsidRPr="00D44526">
        <w:t>ll enable residential customers</w:t>
      </w:r>
      <w:r w:rsidR="009E0552" w:rsidRPr="00D44526">
        <w:t xml:space="preserve"> to compare their daily use against</w:t>
      </w:r>
      <w:r w:rsidRPr="00D44526">
        <w:t xml:space="preserve"> others</w:t>
      </w:r>
      <w:r w:rsidR="00F07510">
        <w:t>,</w:t>
      </w:r>
      <w:r w:rsidR="00F07510" w:rsidRPr="00F07510">
        <w:t xml:space="preserve"> </w:t>
      </w:r>
      <w:r w:rsidR="00F07510" w:rsidRPr="00D44526">
        <w:t>thus partially addressing information gaps</w:t>
      </w:r>
      <w:r w:rsidR="00345F25">
        <w:t>,</w:t>
      </w:r>
      <w:r w:rsidRPr="00D44526">
        <w:t xml:space="preserve"> </w:t>
      </w:r>
      <w:r w:rsidR="009E0552" w:rsidRPr="00D44526">
        <w:t xml:space="preserve">this </w:t>
      </w:r>
      <w:r w:rsidRPr="00D44526">
        <w:t>information</w:t>
      </w:r>
      <w:r w:rsidR="009E0552" w:rsidRPr="00D44526">
        <w:t xml:space="preserve"> </w:t>
      </w:r>
      <w:r w:rsidRPr="00D44526">
        <w:t>will not address identified barrier</w:t>
      </w:r>
      <w:r w:rsidR="00345F25">
        <w:t>s</w:t>
      </w:r>
      <w:r w:rsidRPr="00D44526">
        <w:t xml:space="preserve"> such as bounded rationality</w:t>
      </w:r>
      <w:r w:rsidR="00345F25">
        <w:t>, split incentives or other information failures</w:t>
      </w:r>
      <w:r w:rsidRPr="00D44526">
        <w:t xml:space="preserve">. </w:t>
      </w:r>
      <w:r w:rsidR="00345F25">
        <w:t>It</w:t>
      </w:r>
      <w:r w:rsidRPr="00D44526">
        <w:t xml:space="preserve"> is </w:t>
      </w:r>
      <w:r w:rsidR="00345F25">
        <w:t>anticipated that following the implementation of energy bill benchmarking</w:t>
      </w:r>
      <w:r w:rsidR="00266457">
        <w:t>,</w:t>
      </w:r>
      <w:r w:rsidR="00345F25">
        <w:t xml:space="preserve"> further </w:t>
      </w:r>
      <w:r w:rsidR="009E0552" w:rsidRPr="00D44526">
        <w:t xml:space="preserve">information </w:t>
      </w:r>
      <w:r w:rsidRPr="00D44526">
        <w:t xml:space="preserve">will be required by households to inform them of </w:t>
      </w:r>
      <w:r w:rsidR="009E0552" w:rsidRPr="00D44526">
        <w:t>action</w:t>
      </w:r>
      <w:r w:rsidRPr="00D44526">
        <w:t xml:space="preserve">s that may be taken to </w:t>
      </w:r>
      <w:r w:rsidR="009E0552" w:rsidRPr="00D44526">
        <w:t>improv</w:t>
      </w:r>
      <w:r w:rsidR="003217F4">
        <w:t>e</w:t>
      </w:r>
      <w:r w:rsidR="009E0552" w:rsidRPr="00D44526">
        <w:t xml:space="preserve"> their energy efficiency.</w:t>
      </w:r>
    </w:p>
    <w:p w:rsidR="004336D6" w:rsidRPr="00D44526" w:rsidRDefault="004336D6" w:rsidP="00D404FA">
      <w:pPr>
        <w:pStyle w:val="Heading2"/>
      </w:pPr>
      <w:bookmarkStart w:id="45" w:name="_Toc303670554"/>
      <w:bookmarkStart w:id="46" w:name="_Toc306808226"/>
      <w:r w:rsidRPr="00D44526">
        <w:t xml:space="preserve">Market </w:t>
      </w:r>
      <w:r w:rsidR="00345F25">
        <w:t>b</w:t>
      </w:r>
      <w:r w:rsidR="00345F25" w:rsidRPr="00D44526">
        <w:t xml:space="preserve">ased </w:t>
      </w:r>
      <w:r w:rsidR="00345F25">
        <w:t>i</w:t>
      </w:r>
      <w:r w:rsidR="00345F25" w:rsidRPr="00D44526">
        <w:t>nitiatives</w:t>
      </w:r>
      <w:bookmarkEnd w:id="45"/>
      <w:bookmarkEnd w:id="46"/>
    </w:p>
    <w:p w:rsidR="00E54982" w:rsidRPr="00D44526" w:rsidRDefault="00870D77" w:rsidP="00D44526">
      <w:pPr>
        <w:rPr>
          <w:i/>
        </w:rPr>
      </w:pPr>
      <w:r w:rsidRPr="00D44526">
        <w:t xml:space="preserve">Markets routinely find cheaper ways to meet abatement targets than is forecast by policymakers. This is demonstrated by sulphur dioxide and nitrogen oxide markets in the US through the 1990s, the ACT and NSW Greenhouse Gas Abatement Scheme, the national </w:t>
      </w:r>
      <w:r w:rsidR="00E878DF">
        <w:t>R</w:t>
      </w:r>
      <w:r w:rsidRPr="00D44526">
        <w:t xml:space="preserve">enewable </w:t>
      </w:r>
      <w:r w:rsidR="00E878DF">
        <w:t>E</w:t>
      </w:r>
      <w:r w:rsidRPr="00D44526">
        <w:t xml:space="preserve">nergy </w:t>
      </w:r>
      <w:r w:rsidR="00E878DF">
        <w:t>T</w:t>
      </w:r>
      <w:r w:rsidRPr="00D44526">
        <w:t xml:space="preserve">arget scheme and carbon emissions trading schemes in Europe. This conclusion is made by a recent Grattan Institute Report (April 2011) </w:t>
      </w:r>
      <w:r w:rsidRPr="00D44526">
        <w:rPr>
          <w:i/>
        </w:rPr>
        <w:t>Learning the Hard Way: Australia’s Policies to Reduce Emissions</w:t>
      </w:r>
      <w:r w:rsidR="00E54982" w:rsidRPr="00D44526">
        <w:rPr>
          <w:i/>
        </w:rPr>
        <w:t xml:space="preserve">, </w:t>
      </w:r>
      <w:r w:rsidR="00E54982" w:rsidRPr="00D44526">
        <w:t xml:space="preserve">which </w:t>
      </w:r>
      <w:r w:rsidR="00E54982" w:rsidRPr="00D44526">
        <w:rPr>
          <w:lang w:eastAsia="en-AU"/>
        </w:rPr>
        <w:t>found that of all approaches analysed, market mechanisms have delivered the greatest emissions</w:t>
      </w:r>
      <w:r w:rsidR="00E54982" w:rsidRPr="00D44526">
        <w:rPr>
          <w:i/>
        </w:rPr>
        <w:t xml:space="preserve"> </w:t>
      </w:r>
      <w:r w:rsidR="00E54982" w:rsidRPr="00D44526">
        <w:rPr>
          <w:lang w:eastAsia="en-AU"/>
        </w:rPr>
        <w:t>reductions and have generally met targets ahead of time in Australia.</w:t>
      </w:r>
      <w:r w:rsidRPr="00D44526">
        <w:rPr>
          <w:i/>
        </w:rPr>
        <w:t xml:space="preserve"> </w:t>
      </w:r>
      <w:r w:rsidR="00E54982" w:rsidRPr="00D44526">
        <w:t>This</w:t>
      </w:r>
      <w:r w:rsidRPr="00D44526">
        <w:t xml:space="preserve"> is also consistent with the experience of the South Australian </w:t>
      </w:r>
      <w:r w:rsidR="00A926E6">
        <w:t>Residential Energy Efficiency Scheme (</w:t>
      </w:r>
      <w:r w:rsidRPr="00D44526">
        <w:t>REES</w:t>
      </w:r>
      <w:r w:rsidR="00A926E6">
        <w:t>)</w:t>
      </w:r>
      <w:r w:rsidRPr="00D44526">
        <w:t xml:space="preserve">, where </w:t>
      </w:r>
      <w:r w:rsidR="005D69F7">
        <w:t>supplier</w:t>
      </w:r>
      <w:r w:rsidRPr="00D44526">
        <w:t>s substantially overestimated the cost of meeting scheme targets in the early years.</w:t>
      </w:r>
    </w:p>
    <w:p w:rsidR="00DE052D" w:rsidRDefault="00B00B32" w:rsidP="00D44526">
      <w:pPr>
        <w:rPr>
          <w:lang w:eastAsia="en-AU"/>
        </w:rPr>
      </w:pPr>
      <w:r w:rsidRPr="00D44526">
        <w:rPr>
          <w:lang w:eastAsia="en-AU"/>
        </w:rPr>
        <w:t>Market mechanisms lessen the extent to which governments must prescribe a certain response – allowing businesses to be innovative. Further, market mechanisms return rewards or penalties based on the delivery of emissions savings, as opposed to tendering or information campaigns that may not deliver on estimated savings despite significant government expenditure.</w:t>
      </w:r>
    </w:p>
    <w:p w:rsidR="00DE052D" w:rsidRPr="00D44526" w:rsidRDefault="00DE052D" w:rsidP="00D44526">
      <w:pPr>
        <w:rPr>
          <w:lang w:eastAsia="en-AU"/>
        </w:rPr>
      </w:pPr>
    </w:p>
    <w:p w:rsidR="00690FAA" w:rsidRPr="00767668" w:rsidRDefault="001C2BF0" w:rsidP="005E7B16">
      <w:pPr>
        <w:pStyle w:val="Heading1"/>
      </w:pPr>
      <w:bookmarkStart w:id="47" w:name="_Toc303670555"/>
      <w:bookmarkStart w:id="48" w:name="_Toc306808227"/>
      <w:r w:rsidRPr="00767668">
        <w:t>The use of m</w:t>
      </w:r>
      <w:r w:rsidR="008501FB" w:rsidRPr="00767668">
        <w:t xml:space="preserve">arket-based </w:t>
      </w:r>
      <w:r w:rsidR="008501FB" w:rsidRPr="00814E9D">
        <w:t>approaches</w:t>
      </w:r>
      <w:bookmarkEnd w:id="47"/>
      <w:bookmarkEnd w:id="48"/>
    </w:p>
    <w:p w:rsidR="00984E3E" w:rsidRDefault="008501FB" w:rsidP="00D404FA">
      <w:pPr>
        <w:pStyle w:val="Heading2"/>
      </w:pPr>
      <w:bookmarkStart w:id="49" w:name="_Toc303670556"/>
      <w:bookmarkStart w:id="50" w:name="_Toc306808228"/>
      <w:r>
        <w:t>Mutual recognition</w:t>
      </w:r>
      <w:bookmarkEnd w:id="49"/>
      <w:bookmarkEnd w:id="50"/>
    </w:p>
    <w:p w:rsidR="00690FAA" w:rsidRDefault="008501FB" w:rsidP="00690FAA">
      <w:r w:rsidRPr="008501FB">
        <w:t>Market-based approaches have been identified as the most</w:t>
      </w:r>
      <w:r>
        <w:t xml:space="preserve"> appropriate and</w:t>
      </w:r>
      <w:r w:rsidRPr="008501FB">
        <w:t xml:space="preserve"> cost-effect</w:t>
      </w:r>
      <w:r>
        <w:t>i</w:t>
      </w:r>
      <w:r w:rsidRPr="008501FB">
        <w:t>ve mea</w:t>
      </w:r>
      <w:r>
        <w:t>n</w:t>
      </w:r>
      <w:r w:rsidRPr="008501FB">
        <w:t>s of meeting the A</w:t>
      </w:r>
      <w:r>
        <w:t>C</w:t>
      </w:r>
      <w:r w:rsidRPr="008501FB">
        <w:t>T’s</w:t>
      </w:r>
      <w:r>
        <w:t xml:space="preserve"> objectives. The interaction and complementarity </w:t>
      </w:r>
      <w:r w:rsidR="001C2BF0">
        <w:t>between an ACT market-based scheme and other pre-existing and proposed schemes is</w:t>
      </w:r>
      <w:r>
        <w:t xml:space="preserve"> discussed below.</w:t>
      </w:r>
    </w:p>
    <w:p w:rsidR="00984E3E" w:rsidRDefault="00EF2665" w:rsidP="004F7A03">
      <w:pPr>
        <w:pStyle w:val="Heading3"/>
      </w:pPr>
      <w:bookmarkStart w:id="51" w:name="_Toc303670557"/>
      <w:r w:rsidRPr="00D44526">
        <w:t>National legislation</w:t>
      </w:r>
      <w:bookmarkEnd w:id="51"/>
    </w:p>
    <w:p w:rsidR="004A1468" w:rsidRPr="00D44526" w:rsidRDefault="004A1468" w:rsidP="00D44526">
      <w:r w:rsidRPr="00D44526">
        <w:t>The ACT Government, through the National Partnership Agreement on Energy Efficiency, has committed to the development of a nationally consistent and coordinated package of measures to advance energy efficiency outcomes across the Territory</w:t>
      </w:r>
      <w:r w:rsidR="003217F4">
        <w:t>’s</w:t>
      </w:r>
      <w:r w:rsidRPr="00D44526">
        <w:t xml:space="preserve"> economy.</w:t>
      </w:r>
    </w:p>
    <w:p w:rsidR="00F364A2" w:rsidRPr="00D44526" w:rsidRDefault="004A1468" w:rsidP="00D44526">
      <w:r w:rsidRPr="00D44526">
        <w:t>In 2010, the Prime Minister’s Task Group on Energy Efficiency</w:t>
      </w:r>
      <w:r w:rsidRPr="00D44526">
        <w:rPr>
          <w:rStyle w:val="FootnoteReference"/>
          <w:rFonts w:cs="Calibri"/>
          <w:szCs w:val="24"/>
        </w:rPr>
        <w:footnoteReference w:id="25"/>
      </w:r>
      <w:r w:rsidRPr="00D44526">
        <w:t xml:space="preserve"> recommended the development of a national energy savings initiative to replace existing state-based </w:t>
      </w:r>
      <w:r w:rsidR="005D69F7">
        <w:t>supplier</w:t>
      </w:r>
      <w:r w:rsidRPr="00D44526">
        <w:t xml:space="preserve"> obligation schemes. The Task Group reported that an energy savings initiative would form the final piece of a comprehensive framework of market-based instruments, in addition to a carbon-pricing scheme and national renewable energy targets, that work together to provide incentives for all Australians — households, businesses and industry — to contribute to reducing Australia’s greenhouse gas emissions.</w:t>
      </w:r>
    </w:p>
    <w:p w:rsidR="00CF16C6" w:rsidRDefault="00486F6B" w:rsidP="00D44526">
      <w:r>
        <w:t>In-principle s</w:t>
      </w:r>
      <w:r w:rsidR="00E5522E" w:rsidRPr="00E5522E">
        <w:t xml:space="preserve">upport for the development of a national </w:t>
      </w:r>
      <w:r>
        <w:t xml:space="preserve">retailer obligation </w:t>
      </w:r>
      <w:r w:rsidR="00E5522E" w:rsidRPr="00E5522E">
        <w:t>energy efficiency scheme was voiced in the Commonwealth Government’s recently released Clean Energy Future package, which committed to expediting the development of a national energy savings initiative, as recommended by the Prime Minister’s Task Group on Energy Efficiency.</w:t>
      </w:r>
      <w:r w:rsidR="00F364A2">
        <w:t xml:space="preserve"> The Commonwealth Government has undertaken consultation with stakeholders, including the ACT Government, to assess the regulatory impacts of a national scheme. </w:t>
      </w:r>
      <w:r>
        <w:t xml:space="preserve">The development of a national scheme </w:t>
      </w:r>
      <w:r w:rsidR="00F364A2">
        <w:t xml:space="preserve">will be subject to COAG agreement and </w:t>
      </w:r>
      <w:r>
        <w:t xml:space="preserve">is </w:t>
      </w:r>
      <w:r w:rsidR="00F364A2">
        <w:t>not expected to be implemented until 2014 or 2015 at the earliest.</w:t>
      </w:r>
    </w:p>
    <w:p w:rsidR="00750858" w:rsidRPr="00D44526" w:rsidRDefault="00CA078E" w:rsidP="00D44526">
      <w:r>
        <w:t>ESDD’s</w:t>
      </w:r>
      <w:r w:rsidR="00750858" w:rsidRPr="00D44526">
        <w:t xml:space="preserve"> analysis of the current political situation suggests that the </w:t>
      </w:r>
      <w:r w:rsidR="00750858">
        <w:t xml:space="preserve">greenhouse gas </w:t>
      </w:r>
      <w:r w:rsidR="00750858" w:rsidRPr="00D44526">
        <w:t xml:space="preserve">reduction targets set by the ACT Government mean efficiency targets </w:t>
      </w:r>
      <w:r w:rsidR="00750858">
        <w:t xml:space="preserve">or schemes developed </w:t>
      </w:r>
      <w:r w:rsidR="00750858" w:rsidRPr="00D44526">
        <w:t>at a national level are unlikely to be ambitious enough to meet the ACT’s needs</w:t>
      </w:r>
      <w:r>
        <w:t>.</w:t>
      </w:r>
    </w:p>
    <w:p w:rsidR="0041660B" w:rsidRPr="00D44526" w:rsidRDefault="0041660B" w:rsidP="004F7A03">
      <w:pPr>
        <w:pStyle w:val="Heading3"/>
      </w:pPr>
      <w:bookmarkStart w:id="52" w:name="_Toc303670558"/>
      <w:r w:rsidRPr="00A013B6">
        <w:t>Carbon</w:t>
      </w:r>
      <w:r w:rsidRPr="00D44526">
        <w:t xml:space="preserve"> pricing</w:t>
      </w:r>
      <w:bookmarkEnd w:id="52"/>
    </w:p>
    <w:p w:rsidR="0041660B" w:rsidRPr="00D44526" w:rsidRDefault="0041660B" w:rsidP="00D44526">
      <w:r w:rsidRPr="00D44526">
        <w:t>The most notable future policy development</w:t>
      </w:r>
      <w:r w:rsidR="00CF16C6" w:rsidRPr="00D44526">
        <w:t xml:space="preserve"> at a national level</w:t>
      </w:r>
      <w:r w:rsidRPr="00D44526">
        <w:t xml:space="preserve"> with respect to energy </w:t>
      </w:r>
      <w:r w:rsidR="00CF16C6" w:rsidRPr="00D44526">
        <w:t>consumption</w:t>
      </w:r>
      <w:r w:rsidRPr="00D44526">
        <w:t xml:space="preserve"> is the expected introduction of a price on carbon</w:t>
      </w:r>
      <w:r w:rsidR="00CF16C6" w:rsidRPr="00D44526">
        <w:t xml:space="preserve"> under the </w:t>
      </w:r>
      <w:r w:rsidR="00CF16C6" w:rsidRPr="00D44526">
        <w:rPr>
          <w:i/>
        </w:rPr>
        <w:t>Clean Energy Future</w:t>
      </w:r>
      <w:r w:rsidR="00CF16C6" w:rsidRPr="00D44526">
        <w:t xml:space="preserve"> package</w:t>
      </w:r>
      <w:r w:rsidRPr="00D44526">
        <w:t xml:space="preserve">. </w:t>
      </w:r>
      <w:r w:rsidR="00CF16C6" w:rsidRPr="00D44526">
        <w:t xml:space="preserve">The announced carbon price addresses some of the key market failures relating to climate change by imposing a price on GHG emissions, thus forcing emissions to become a consideration in any transaction decision. </w:t>
      </w:r>
      <w:r w:rsidRPr="00D44526">
        <w:t>While the exact design, timing and level of any price on carbon remain an area of some uncertainty, this RIS assumes that there will be a $23/tonne CO</w:t>
      </w:r>
      <w:r w:rsidRPr="00D44526">
        <w:rPr>
          <w:vertAlign w:val="subscript"/>
        </w:rPr>
        <w:t>2</w:t>
      </w:r>
      <w:r w:rsidRPr="00D44526">
        <w:t xml:space="preserve">-e and utilises an approach based on the best available information at the time of modelling. </w:t>
      </w:r>
    </w:p>
    <w:p w:rsidR="0041660B" w:rsidRPr="00D44526" w:rsidRDefault="00CF16C6" w:rsidP="00D44526">
      <w:pPr>
        <w:rPr>
          <w:lang w:eastAsia="en-AU"/>
        </w:rPr>
      </w:pPr>
      <w:r w:rsidRPr="00D44526">
        <w:rPr>
          <w:lang w:eastAsia="en-AU"/>
        </w:rPr>
        <w:t>As identified in the VEET RIS, t</w:t>
      </w:r>
      <w:r w:rsidR="0041660B" w:rsidRPr="00D44526">
        <w:rPr>
          <w:lang w:eastAsia="en-AU"/>
        </w:rPr>
        <w:t xml:space="preserve">he </w:t>
      </w:r>
      <w:r w:rsidRPr="00D44526">
        <w:rPr>
          <w:lang w:eastAsia="en-AU"/>
        </w:rPr>
        <w:t xml:space="preserve">point </w:t>
      </w:r>
      <w:r w:rsidR="0041660B" w:rsidRPr="00D44526">
        <w:rPr>
          <w:lang w:eastAsia="en-AU"/>
        </w:rPr>
        <w:t xml:space="preserve">to which </w:t>
      </w:r>
      <w:r w:rsidRPr="00D44526">
        <w:rPr>
          <w:lang w:eastAsia="en-AU"/>
        </w:rPr>
        <w:t>a national carbon price address</w:t>
      </w:r>
      <w:r w:rsidR="00965B00">
        <w:rPr>
          <w:lang w:eastAsia="en-AU"/>
        </w:rPr>
        <w:t>es</w:t>
      </w:r>
      <w:r w:rsidRPr="00D44526">
        <w:rPr>
          <w:lang w:eastAsia="en-AU"/>
        </w:rPr>
        <w:t xml:space="preserve"> </w:t>
      </w:r>
      <w:r w:rsidR="0041660B" w:rsidRPr="00D44526">
        <w:rPr>
          <w:lang w:eastAsia="en-AU"/>
        </w:rPr>
        <w:t>market failures will depend on the extent to which the carbon price matches the true environmental cost of energy production, transmission, and use, and how effectively this price information is communicated to relevant parties (such as energy end-users).</w:t>
      </w:r>
    </w:p>
    <w:p w:rsidR="00047E06" w:rsidRPr="00D44526" w:rsidRDefault="0041660B" w:rsidP="00D44526">
      <w:r w:rsidRPr="00D44526">
        <w:rPr>
          <w:lang w:eastAsia="en-AU"/>
        </w:rPr>
        <w:t xml:space="preserve">The proposed carbon price </w:t>
      </w:r>
      <w:r w:rsidRPr="00D44526">
        <w:t>will provide some incentives for low-carbon energy sources and more efficient use of energy</w:t>
      </w:r>
      <w:r w:rsidR="00CF16C6" w:rsidRPr="00D44526">
        <w:t xml:space="preserve"> in the ACT</w:t>
      </w:r>
      <w:r w:rsidRPr="00D44526">
        <w:rPr>
          <w:lang w:eastAsia="en-AU"/>
        </w:rPr>
        <w:t xml:space="preserve">. </w:t>
      </w:r>
      <w:r w:rsidR="00047E06" w:rsidRPr="00D44526">
        <w:t>Even with a price on carbon, however, a number of residual impediments to energy efficiency identified above exist that will persist</w:t>
      </w:r>
      <w:r w:rsidR="008064A6">
        <w:t>,</w:t>
      </w:r>
      <w:r w:rsidR="00047E06" w:rsidRPr="00D44526">
        <w:t xml:space="preserve"> even with the operation of other policy measures. Ultimately, in the absence of a price on carbon</w:t>
      </w:r>
      <w:r w:rsidR="00965B00">
        <w:t>,</w:t>
      </w:r>
      <w:r w:rsidR="00047E06" w:rsidRPr="00D44526">
        <w:t xml:space="preserve"> the proposed </w:t>
      </w:r>
      <w:r w:rsidR="00A926E6">
        <w:t>S</w:t>
      </w:r>
      <w:r w:rsidR="00047E06" w:rsidRPr="00D44526">
        <w:t xml:space="preserve">cheme will accelerate GHG abatement by reducing the demand for energy. </w:t>
      </w:r>
      <w:r w:rsidR="00965B00">
        <w:t>With</w:t>
      </w:r>
      <w:r w:rsidR="00965B00" w:rsidRPr="00D44526">
        <w:t xml:space="preserve"> </w:t>
      </w:r>
      <w:r w:rsidR="00047E06" w:rsidRPr="00D44526">
        <w:t>the introduction of a price on carbon, the scheme will be a complementary measure that delivers low-cost abatement not incentivised by a carbon price. Further, the ACT’s own greenhouse gas reduction targets require carbon reduction measures beyond those required nationally.</w:t>
      </w:r>
    </w:p>
    <w:p w:rsidR="00EF2665" w:rsidRPr="00D44526" w:rsidRDefault="005E3F21" w:rsidP="004F7A03">
      <w:pPr>
        <w:pStyle w:val="Heading3"/>
      </w:pPr>
      <w:bookmarkStart w:id="53" w:name="_Toc303670559"/>
      <w:r>
        <w:t xml:space="preserve">Existing jurisdictional </w:t>
      </w:r>
      <w:r w:rsidR="00EF2665" w:rsidRPr="00D44526">
        <w:t>legislation</w:t>
      </w:r>
      <w:bookmarkEnd w:id="53"/>
    </w:p>
    <w:p w:rsidR="004A1468" w:rsidRPr="00D44526" w:rsidRDefault="004A1468" w:rsidP="00D44526">
      <w:r w:rsidRPr="00D44526">
        <w:t xml:space="preserve">In Australia, the following </w:t>
      </w:r>
      <w:r w:rsidR="005D69F7">
        <w:t>supplier</w:t>
      </w:r>
      <w:r w:rsidRPr="00D44526">
        <w:t xml:space="preserve"> obligation schemes are in operation:</w:t>
      </w:r>
    </w:p>
    <w:p w:rsidR="004A1468" w:rsidRPr="00D44526" w:rsidRDefault="004A1468" w:rsidP="00B96C73">
      <w:pPr>
        <w:numPr>
          <w:ilvl w:val="0"/>
          <w:numId w:val="17"/>
        </w:numPr>
      </w:pPr>
      <w:r w:rsidRPr="00D44526">
        <w:rPr>
          <w:b/>
        </w:rPr>
        <w:t>The South Australian Residential Energy Efficiency Scheme (REES)</w:t>
      </w:r>
      <w:r w:rsidRPr="00D44526">
        <w:t xml:space="preserve"> commenced in January</w:t>
      </w:r>
      <w:r w:rsidR="00A926E6">
        <w:t> </w:t>
      </w:r>
      <w:r w:rsidRPr="00D44526">
        <w:t xml:space="preserve">2009 and applies to all electricity and gas </w:t>
      </w:r>
      <w:r w:rsidR="005D69F7">
        <w:t>supplier</w:t>
      </w:r>
      <w:r w:rsidRPr="00D44526">
        <w:t>s with over 5,000 customers. Energy savings measures</w:t>
      </w:r>
      <w:r w:rsidR="004C7031">
        <w:t>, as well as energy efficiency audits,</w:t>
      </w:r>
      <w:r w:rsidRPr="00D44526">
        <w:t xml:space="preserve"> must be delivered in the residential </w:t>
      </w:r>
      <w:r w:rsidR="00F43D90">
        <w:t>sector,</w:t>
      </w:r>
      <w:r w:rsidRPr="00D44526">
        <w:t xml:space="preserve"> </w:t>
      </w:r>
      <w:r w:rsidR="00F43D90">
        <w:t xml:space="preserve">with </w:t>
      </w:r>
      <w:r w:rsidRPr="00D44526">
        <w:t xml:space="preserve">a focus on low-income households. </w:t>
      </w:r>
    </w:p>
    <w:p w:rsidR="00CF16C6" w:rsidRPr="00D44526" w:rsidRDefault="004A1468" w:rsidP="00B96C73">
      <w:pPr>
        <w:numPr>
          <w:ilvl w:val="0"/>
          <w:numId w:val="17"/>
        </w:numPr>
      </w:pPr>
      <w:r w:rsidRPr="00D44526">
        <w:rPr>
          <w:b/>
        </w:rPr>
        <w:t>The Victorian Energy Efficiency Target Scheme (VEET)</w:t>
      </w:r>
      <w:r w:rsidRPr="00D44526">
        <w:t xml:space="preserve"> commenced in January 2009 and applies to all electricity and gas </w:t>
      </w:r>
      <w:r w:rsidR="005D69F7">
        <w:t>supplier</w:t>
      </w:r>
      <w:r w:rsidRPr="00D44526">
        <w:t xml:space="preserve">s with over 5,000 customers. The scheme is market-based with energy savings measures being delivered by third party providers for the residential sector. A recent </w:t>
      </w:r>
      <w:r w:rsidR="00AE19A2">
        <w:t>RIS</w:t>
      </w:r>
      <w:r w:rsidRPr="00D44526">
        <w:t xml:space="preserve"> endorses its extension to the Victorian small business sector.</w:t>
      </w:r>
      <w:r w:rsidR="00CF16C6" w:rsidRPr="00D44526">
        <w:t xml:space="preserve"> A study o</w:t>
      </w:r>
      <w:r w:rsidR="00AE19A2">
        <w:t>f</w:t>
      </w:r>
      <w:r w:rsidR="00CF16C6" w:rsidRPr="00D44526">
        <w:t xml:space="preserve"> </w:t>
      </w:r>
      <w:r w:rsidR="00AE19A2">
        <w:t xml:space="preserve">the </w:t>
      </w:r>
      <w:r w:rsidR="00CF16C6" w:rsidRPr="00D44526">
        <w:t xml:space="preserve">proposed expansion of the VEET scheme to include households and small and medium sized businesses suggests the net benefits under carbon pricing may be substantial. Estimates show that the net present value of benefits exceeds that of costs by a ratio of 2.7 to 3.1 for the worst and best options considered, respectively. </w:t>
      </w:r>
    </w:p>
    <w:p w:rsidR="004A1468" w:rsidRPr="00D44526" w:rsidRDefault="004A1468" w:rsidP="00B96C73">
      <w:pPr>
        <w:numPr>
          <w:ilvl w:val="0"/>
          <w:numId w:val="17"/>
        </w:numPr>
      </w:pPr>
      <w:r w:rsidRPr="00D44526">
        <w:rPr>
          <w:b/>
        </w:rPr>
        <w:t>The NSW Energy Savings Scheme (ESS)</w:t>
      </w:r>
      <w:r w:rsidRPr="00D44526">
        <w:t xml:space="preserve"> commenced in July 2009</w:t>
      </w:r>
      <w:r w:rsidR="008064A6">
        <w:t>,</w:t>
      </w:r>
      <w:r w:rsidRPr="00D44526">
        <w:t xml:space="preserve"> replacing the demand side abatement rule under the NSW/ACT Greenhouse Gas Abatement Scheme. The scheme is market-based with the majority of energy savings services being delivered by third party providers. It applies to electricity </w:t>
      </w:r>
      <w:r w:rsidR="005D69F7">
        <w:t>supplier</w:t>
      </w:r>
      <w:r w:rsidRPr="00D44526">
        <w:t>s and large wholesale purchasers of electricity. Energy savings measures can be delivered in the residential, commercial and industrial sectors.</w:t>
      </w:r>
    </w:p>
    <w:p w:rsidR="00C015AC" w:rsidRPr="00D44526" w:rsidRDefault="001E4903" w:rsidP="00D404FA">
      <w:pPr>
        <w:pStyle w:val="Heading2"/>
      </w:pPr>
      <w:bookmarkStart w:id="54" w:name="_Toc303670560"/>
      <w:bookmarkStart w:id="55" w:name="_Toc306808229"/>
      <w:r w:rsidRPr="00D44526">
        <w:t xml:space="preserve">An </w:t>
      </w:r>
      <w:r w:rsidR="00C015AC" w:rsidRPr="00D44526">
        <w:t xml:space="preserve">ACT </w:t>
      </w:r>
      <w:r w:rsidR="00A013B6">
        <w:t>c</w:t>
      </w:r>
      <w:r w:rsidR="00C813E5" w:rsidRPr="00D44526">
        <w:t>ertificate</w:t>
      </w:r>
      <w:r w:rsidR="00C813E5">
        <w:t>-</w:t>
      </w:r>
      <w:r w:rsidR="00C015AC" w:rsidRPr="00D44526">
        <w:t>based scheme</w:t>
      </w:r>
      <w:bookmarkEnd w:id="54"/>
      <w:bookmarkEnd w:id="55"/>
    </w:p>
    <w:p w:rsidR="00D32E7C" w:rsidRPr="00D44526" w:rsidRDefault="00D32E7C" w:rsidP="00D32E7C">
      <w:pPr>
        <w:rPr>
          <w:sz w:val="18"/>
          <w:szCs w:val="18"/>
          <w:lang w:eastAsia="en-AU"/>
        </w:rPr>
      </w:pPr>
      <w:r w:rsidRPr="00D44526">
        <w:rPr>
          <w:lang w:eastAsia="en-AU"/>
        </w:rPr>
        <w:t>According to Grattan Institute analysis, larger markets improve the trading efficiency and reduce the potential for market power that reduces productivity and innovation</w:t>
      </w:r>
      <w:r w:rsidRPr="00D44526">
        <w:rPr>
          <w:rStyle w:val="FootnoteReference"/>
          <w:rFonts w:cs="Calibri"/>
          <w:lang w:eastAsia="en-AU"/>
        </w:rPr>
        <w:footnoteReference w:id="26"/>
      </w:r>
      <w:r w:rsidRPr="00D44526">
        <w:rPr>
          <w:lang w:eastAsia="en-AU"/>
        </w:rPr>
        <w:t>. Market mechanisms dominated by a small number of buyers and/or sellers of certificates often result in illiquid markets.</w:t>
      </w:r>
      <w:r w:rsidRPr="00D44526">
        <w:t xml:space="preserve"> Given the small size of the ACT, the implementation of its own market-based scheme would involve significant costs.</w:t>
      </w:r>
    </w:p>
    <w:p w:rsidR="00A8227C" w:rsidRPr="00D44526" w:rsidRDefault="00693BCF" w:rsidP="00D44526">
      <w:r>
        <w:t>ESDD</w:t>
      </w:r>
      <w:r w:rsidR="00A8227C" w:rsidRPr="00D44526">
        <w:t xml:space="preserve"> has explored a range of options to promote energy efficiency in the ACT</w:t>
      </w:r>
      <w:r>
        <w:t>,</w:t>
      </w:r>
      <w:r w:rsidR="00A8227C" w:rsidRPr="00D44526">
        <w:t xml:space="preserve"> including joining </w:t>
      </w:r>
      <w:r w:rsidR="00B36A28" w:rsidRPr="00D44526">
        <w:t>or</w:t>
      </w:r>
      <w:r w:rsidR="00B36A28">
        <w:t xml:space="preserve"> leveraging</w:t>
      </w:r>
      <w:r w:rsidR="00A8227C" w:rsidRPr="00D44526">
        <w:t xml:space="preserve"> off the NSW Energy Savings Scheme (ESS) or the Victorian Energy Efficiency Target scheme (VEET). This reflects the Environment and Sustainable Development Directorate’s preference for using market-based instruments that deliver energy savings at the lowest cost and our desire for convergence, federally, of technical standards and rules for energy efficiency incentives in the national economy.</w:t>
      </w:r>
      <w:r w:rsidR="008E0F08">
        <w:t xml:space="preserve"> </w:t>
      </w:r>
      <w:r w:rsidR="00A8227C" w:rsidRPr="00D44526">
        <w:t>Neither the VEET nor ESS scheme options have been assessed as practicable in the short term</w:t>
      </w:r>
      <w:r w:rsidR="00DD5964" w:rsidRPr="00D44526">
        <w:t xml:space="preserve"> however,</w:t>
      </w:r>
      <w:r w:rsidR="00A8227C" w:rsidRPr="00D44526">
        <w:t xml:space="preserve"> due to</w:t>
      </w:r>
      <w:r w:rsidR="005E3F21">
        <w:t xml:space="preserve"> the largely non-industrial make-up of the ACT economy, </w:t>
      </w:r>
      <w:r w:rsidR="00A8227C" w:rsidRPr="00D44526">
        <w:t xml:space="preserve">a misalignment with technical energy efficiency opportunities in the ACT economy, or because of legislative or other barriers in those jurisdictions. </w:t>
      </w:r>
    </w:p>
    <w:p w:rsidR="00C015AC" w:rsidRPr="00D44526" w:rsidRDefault="001E4903" w:rsidP="00D404FA">
      <w:pPr>
        <w:pStyle w:val="Heading2"/>
      </w:pPr>
      <w:bookmarkStart w:id="56" w:name="_Toc303670561"/>
      <w:bookmarkStart w:id="57" w:name="_Toc306808230"/>
      <w:r w:rsidRPr="00D44526">
        <w:t xml:space="preserve">An </w:t>
      </w:r>
      <w:r w:rsidR="00C015AC" w:rsidRPr="00D44526">
        <w:t xml:space="preserve">ACT </w:t>
      </w:r>
      <w:r w:rsidR="00D32E7C">
        <w:t>supplier obligation</w:t>
      </w:r>
      <w:r w:rsidR="000653C6" w:rsidRPr="00D44526">
        <w:t xml:space="preserve"> energy </w:t>
      </w:r>
      <w:r w:rsidR="00D32E7C">
        <w:t xml:space="preserve">savings </w:t>
      </w:r>
      <w:r w:rsidR="00C015AC" w:rsidRPr="00D44526">
        <w:t>scheme</w:t>
      </w:r>
      <w:bookmarkEnd w:id="56"/>
      <w:bookmarkEnd w:id="57"/>
    </w:p>
    <w:p w:rsidR="007A2D8A" w:rsidRPr="00D44526" w:rsidRDefault="00D32E7C" w:rsidP="007A2D8A">
      <w:pPr>
        <w:rPr>
          <w:lang w:eastAsia="en-AU"/>
        </w:rPr>
      </w:pPr>
      <w:r>
        <w:t xml:space="preserve">The remaining </w:t>
      </w:r>
      <w:r w:rsidR="003621FF" w:rsidRPr="00D44526">
        <w:t xml:space="preserve">option for implementing </w:t>
      </w:r>
      <w:r>
        <w:t xml:space="preserve">a market-based </w:t>
      </w:r>
      <w:r w:rsidR="002D1321">
        <w:t>energy efficiency scheme</w:t>
      </w:r>
      <w:r w:rsidRPr="00D44526">
        <w:t xml:space="preserve"> </w:t>
      </w:r>
      <w:r w:rsidR="003621FF" w:rsidRPr="00D44526">
        <w:t xml:space="preserve">in the ACT is a non-certificate based scheme closely modelled on the REES operating in South Australia. </w:t>
      </w:r>
      <w:r w:rsidR="007A2D8A" w:rsidRPr="00D44526">
        <w:t xml:space="preserve">Although the REES is not </w:t>
      </w:r>
      <w:r w:rsidR="007A2D8A">
        <w:t>certificate</w:t>
      </w:r>
      <w:r w:rsidR="007A2D8A" w:rsidRPr="00D44526">
        <w:t xml:space="preserve">-based with regard to certificate trading, the scheme requires </w:t>
      </w:r>
      <w:r w:rsidR="007A2D8A">
        <w:t>supplier</w:t>
      </w:r>
      <w:r w:rsidR="007A2D8A" w:rsidRPr="00D44526">
        <w:t xml:space="preserve">s to be price competitive in the delivery of energy efficiency </w:t>
      </w:r>
      <w:r w:rsidR="007A2D8A">
        <w:t>outcomes</w:t>
      </w:r>
      <w:r w:rsidR="00693BCF">
        <w:t>,</w:t>
      </w:r>
      <w:r w:rsidR="007A2D8A" w:rsidRPr="00D44526">
        <w:t xml:space="preserve"> so as to minimise pass-through costs to their customers.</w:t>
      </w:r>
      <w:r w:rsidR="007A2D8A">
        <w:t xml:space="preserve"> In this sense it has the core element of a market-based scheme.</w:t>
      </w:r>
    </w:p>
    <w:p w:rsidR="007A2D8A" w:rsidRDefault="007A2D8A" w:rsidP="007A2D8A">
      <w:pPr>
        <w:rPr>
          <w:lang w:eastAsia="en-AU"/>
        </w:rPr>
      </w:pPr>
      <w:r w:rsidRPr="00D44526">
        <w:rPr>
          <w:i/>
          <w:lang w:eastAsia="en-AU"/>
        </w:rPr>
        <w:t>A Review of Market-based Schemes to Drive Energy Efficiency</w:t>
      </w:r>
      <w:r w:rsidRPr="00D44526">
        <w:rPr>
          <w:lang w:eastAsia="en-AU"/>
        </w:rPr>
        <w:t xml:space="preserve"> (2008) by the Centre for Energy and Environmental Markets (University of NSW) concluded that it is possible to have a scheme where the certificates are not tradeable, but is in all other respects the same.</w:t>
      </w:r>
      <w:r w:rsidR="008E0F08">
        <w:rPr>
          <w:lang w:eastAsia="en-AU"/>
        </w:rPr>
        <w:t xml:space="preserve"> Another example of a successful non-certificate based scheme is t</w:t>
      </w:r>
      <w:r w:rsidRPr="00D44526">
        <w:rPr>
          <w:lang w:eastAsia="en-AU"/>
        </w:rPr>
        <w:t xml:space="preserve">he UK </w:t>
      </w:r>
      <w:r>
        <w:rPr>
          <w:lang w:eastAsia="en-AU"/>
        </w:rPr>
        <w:t>Carbon Emission Reduction Target (CERT)</w:t>
      </w:r>
      <w:r w:rsidR="008E0F08">
        <w:rPr>
          <w:lang w:eastAsia="en-AU"/>
        </w:rPr>
        <w:t xml:space="preserve"> scheme.  A</w:t>
      </w:r>
      <w:r w:rsidRPr="00D44526">
        <w:rPr>
          <w:lang w:eastAsia="en-AU"/>
        </w:rPr>
        <w:t>rchitects</w:t>
      </w:r>
      <w:r w:rsidR="008E0F08">
        <w:rPr>
          <w:lang w:eastAsia="en-AU"/>
        </w:rPr>
        <w:t xml:space="preserve"> of the CERT</w:t>
      </w:r>
      <w:r w:rsidRPr="00D44526">
        <w:rPr>
          <w:lang w:eastAsia="en-AU"/>
        </w:rPr>
        <w:t xml:space="preserve"> decided against full trading because they found that no stakeholder was able to identify a specific type or mechanism for energy savings that would be more likely to be developed under a certificate-based scheme arrangement than under direct contracting with suppliers.</w:t>
      </w:r>
    </w:p>
    <w:p w:rsidR="003621FF" w:rsidRPr="00D44526" w:rsidRDefault="007A2D8A" w:rsidP="00D44526">
      <w:pPr>
        <w:rPr>
          <w:lang w:eastAsia="en-AU"/>
        </w:rPr>
      </w:pPr>
      <w:r w:rsidRPr="00D44526">
        <w:t>The REES scheme also has features relevant to the ACT Government’s policy objectives around providing support to</w:t>
      </w:r>
      <w:r w:rsidR="00FD759F">
        <w:t xml:space="preserve"> low-income households. A fixed </w:t>
      </w:r>
      <w:r w:rsidRPr="00D44526">
        <w:t>term REES-type scheme should also allow for a transfer to a national scheme, should that emerge, without having to address issues of the transfer of certificates between the two schemes.</w:t>
      </w:r>
    </w:p>
    <w:p w:rsidR="00674A4C" w:rsidRPr="00D44526" w:rsidRDefault="00674A4C" w:rsidP="00D44526">
      <w:r w:rsidRPr="00D44526">
        <w:rPr>
          <w:lang w:eastAsia="en-AU"/>
        </w:rPr>
        <w:t xml:space="preserve">Under the scheme, </w:t>
      </w:r>
      <w:r w:rsidR="005D69F7">
        <w:rPr>
          <w:lang w:eastAsia="en-AU"/>
        </w:rPr>
        <w:t>supplier</w:t>
      </w:r>
      <w:r w:rsidRPr="00D44526">
        <w:rPr>
          <w:lang w:eastAsia="en-AU"/>
        </w:rPr>
        <w:t>s will have incentives, through the abatement value created by energy efficiency activities, to seek out and overcome the normal barriers for consumers to installation of efficient products – such as lack of time, lack of information and structural barriers such as split incentives.</w:t>
      </w:r>
      <w:r w:rsidRPr="00D44526">
        <w:t xml:space="preserve"> The scheme will </w:t>
      </w:r>
      <w:r w:rsidR="001934BF" w:rsidRPr="00D44526">
        <w:t xml:space="preserve">overcome </w:t>
      </w:r>
      <w:r w:rsidRPr="00D44526">
        <w:t>the market failures outlined above in a number of ways.</w:t>
      </w:r>
    </w:p>
    <w:p w:rsidR="00D7171F" w:rsidRDefault="00674A4C" w:rsidP="004F7A03">
      <w:pPr>
        <w:pStyle w:val="Heading3"/>
        <w:rPr>
          <w:rStyle w:val="Heading3Char"/>
          <w:rFonts w:cs="Calibri"/>
          <w:b/>
          <w:sz w:val="22"/>
          <w:szCs w:val="22"/>
          <w:lang w:val="en-AU"/>
        </w:rPr>
      </w:pPr>
      <w:bookmarkStart w:id="58" w:name="_Toc303670562"/>
      <w:r w:rsidRPr="00814E9D">
        <w:t>Bounded rationality and organisational failures</w:t>
      </w:r>
      <w:bookmarkEnd w:id="58"/>
    </w:p>
    <w:p w:rsidR="00674A4C" w:rsidRPr="00D44526" w:rsidRDefault="005D69F7" w:rsidP="00D44526">
      <w:pPr>
        <w:rPr>
          <w:lang w:eastAsia="en-AU"/>
        </w:rPr>
      </w:pPr>
      <w:r>
        <w:rPr>
          <w:lang w:eastAsia="en-AU"/>
        </w:rPr>
        <w:t>Supplier</w:t>
      </w:r>
      <w:r w:rsidR="00674A4C" w:rsidRPr="00D44526">
        <w:rPr>
          <w:lang w:eastAsia="en-AU"/>
        </w:rPr>
        <w:t xml:space="preserve">s will have greater incentive under the scheme to seek emissions reductions where it </w:t>
      </w:r>
      <w:r w:rsidR="00EF3080">
        <w:rPr>
          <w:lang w:eastAsia="en-AU"/>
        </w:rPr>
        <w:t xml:space="preserve">is </w:t>
      </w:r>
      <w:r w:rsidR="00674A4C" w:rsidRPr="00D44526">
        <w:rPr>
          <w:lang w:eastAsia="en-AU"/>
        </w:rPr>
        <w:t xml:space="preserve">most cost effective to do so. In this regard, the problem of high discount rates and the bounded rationality of consumers may be overcome by </w:t>
      </w:r>
      <w:r>
        <w:rPr>
          <w:lang w:eastAsia="en-AU"/>
        </w:rPr>
        <w:t>supplier</w:t>
      </w:r>
      <w:r w:rsidR="00674A4C" w:rsidRPr="00D44526">
        <w:rPr>
          <w:lang w:eastAsia="en-AU"/>
        </w:rPr>
        <w:t>s offering inducements for the purchase and installation of energy efficient products.</w:t>
      </w:r>
    </w:p>
    <w:p w:rsidR="00D7171F" w:rsidRDefault="00674A4C" w:rsidP="004F7A03">
      <w:pPr>
        <w:pStyle w:val="Heading3"/>
        <w:rPr>
          <w:b/>
          <w:lang w:eastAsia="en-AU"/>
        </w:rPr>
      </w:pPr>
      <w:bookmarkStart w:id="59" w:name="_Toc303670563"/>
      <w:r w:rsidRPr="00814E9D">
        <w:t>Public good information, information spill-overs and information asymmetry</w:t>
      </w:r>
      <w:bookmarkEnd w:id="59"/>
      <w:r w:rsidRPr="00D44526">
        <w:rPr>
          <w:b/>
          <w:lang w:eastAsia="en-AU"/>
        </w:rPr>
        <w:t xml:space="preserve"> </w:t>
      </w:r>
    </w:p>
    <w:p w:rsidR="00674A4C" w:rsidRPr="00D44526" w:rsidRDefault="00674A4C" w:rsidP="00D44526">
      <w:pPr>
        <w:rPr>
          <w:lang w:eastAsia="en-AU"/>
        </w:rPr>
      </w:pPr>
      <w:r w:rsidRPr="00D44526">
        <w:rPr>
          <w:lang w:eastAsia="en-AU"/>
        </w:rPr>
        <w:t xml:space="preserve">It is anticipated that the proposed scheme </w:t>
      </w:r>
      <w:r w:rsidR="008E0F08" w:rsidRPr="00D44526">
        <w:rPr>
          <w:lang w:eastAsia="en-AU"/>
        </w:rPr>
        <w:t>w</w:t>
      </w:r>
      <w:r w:rsidR="008E0F08">
        <w:rPr>
          <w:lang w:eastAsia="en-AU"/>
        </w:rPr>
        <w:t>ill</w:t>
      </w:r>
      <w:r w:rsidR="008E0F08" w:rsidRPr="00D44526">
        <w:rPr>
          <w:lang w:eastAsia="en-AU"/>
        </w:rPr>
        <w:t xml:space="preserve"> </w:t>
      </w:r>
      <w:r w:rsidRPr="00D44526">
        <w:rPr>
          <w:lang w:eastAsia="en-AU"/>
        </w:rPr>
        <w:t xml:space="preserve">address information failures, as it will be in the </w:t>
      </w:r>
      <w:r w:rsidR="005D69F7">
        <w:rPr>
          <w:lang w:eastAsia="en-AU"/>
        </w:rPr>
        <w:t>supplier</w:t>
      </w:r>
      <w:r w:rsidRPr="00D44526">
        <w:rPr>
          <w:lang w:eastAsia="en-AU"/>
        </w:rPr>
        <w:t>’s interest to provide information around activities they wish to undertake on the behalf of consumers.</w:t>
      </w:r>
    </w:p>
    <w:p w:rsidR="00D7171F" w:rsidRDefault="00674A4C" w:rsidP="004F7A03">
      <w:pPr>
        <w:pStyle w:val="Heading3"/>
        <w:rPr>
          <w:b/>
        </w:rPr>
      </w:pPr>
      <w:bookmarkStart w:id="60" w:name="_Toc303670564"/>
      <w:r w:rsidRPr="00814E9D">
        <w:t>Principal</w:t>
      </w:r>
      <w:r w:rsidR="00CD46DA">
        <w:t>-</w:t>
      </w:r>
      <w:r w:rsidRPr="00814E9D">
        <w:t>agent problems</w:t>
      </w:r>
      <w:bookmarkEnd w:id="60"/>
      <w:r w:rsidRPr="00D44526">
        <w:rPr>
          <w:b/>
        </w:rPr>
        <w:t xml:space="preserve"> </w:t>
      </w:r>
    </w:p>
    <w:p w:rsidR="007861D4" w:rsidRPr="00D44526" w:rsidRDefault="00674A4C" w:rsidP="00D44526">
      <w:pPr>
        <w:rPr>
          <w:rFonts w:cs="Calibri"/>
          <w:lang w:eastAsia="en-AU"/>
        </w:rPr>
      </w:pPr>
      <w:r w:rsidRPr="00D44526">
        <w:rPr>
          <w:rFonts w:cs="Calibri"/>
          <w:lang w:eastAsia="en-AU"/>
        </w:rPr>
        <w:t xml:space="preserve">The scheme may also overcome the problem of split incentives, as the </w:t>
      </w:r>
      <w:r w:rsidR="005D69F7">
        <w:rPr>
          <w:rFonts w:cs="Calibri"/>
          <w:lang w:eastAsia="en-AU"/>
        </w:rPr>
        <w:t>supplier</w:t>
      </w:r>
      <w:r w:rsidRPr="00D44526">
        <w:rPr>
          <w:rFonts w:cs="Calibri"/>
          <w:lang w:eastAsia="en-AU"/>
        </w:rPr>
        <w:t xml:space="preserve"> may seek negotiations with landlords, bod</w:t>
      </w:r>
      <w:r w:rsidR="00CD46DA">
        <w:rPr>
          <w:rFonts w:cs="Calibri"/>
          <w:lang w:eastAsia="en-AU"/>
        </w:rPr>
        <w:t>ies</w:t>
      </w:r>
      <w:r w:rsidRPr="00D44526">
        <w:rPr>
          <w:rFonts w:cs="Calibri"/>
          <w:lang w:eastAsia="en-AU"/>
        </w:rPr>
        <w:t xml:space="preserve"> </w:t>
      </w:r>
      <w:r w:rsidR="008E0F08" w:rsidRPr="00D44526">
        <w:rPr>
          <w:rFonts w:cs="Calibri"/>
          <w:lang w:eastAsia="en-AU"/>
        </w:rPr>
        <w:t>corporate</w:t>
      </w:r>
      <w:r w:rsidRPr="00D44526">
        <w:rPr>
          <w:rFonts w:cs="Calibri"/>
          <w:lang w:eastAsia="en-AU"/>
        </w:rPr>
        <w:t xml:space="preserve"> o</w:t>
      </w:r>
      <w:r w:rsidR="008E0F08">
        <w:rPr>
          <w:rFonts w:cs="Calibri"/>
          <w:lang w:eastAsia="en-AU"/>
        </w:rPr>
        <w:t>r</w:t>
      </w:r>
      <w:r w:rsidRPr="00D44526">
        <w:rPr>
          <w:rFonts w:cs="Calibri"/>
          <w:lang w:eastAsia="en-AU"/>
        </w:rPr>
        <w:t xml:space="preserve"> building managers to implement abatement activities where cost effective – with landlords benefiting from capital improvements and tenants benefiting from reduced energy costs and amenity.</w:t>
      </w:r>
      <w:r w:rsidR="00C813E5">
        <w:rPr>
          <w:rFonts w:cs="Calibri"/>
          <w:lang w:eastAsia="en-AU"/>
        </w:rPr>
        <w:t xml:space="preserve"> In addition, suppliers may offer to finance initiatives up</w:t>
      </w:r>
      <w:r w:rsidR="00EF3080">
        <w:rPr>
          <w:rFonts w:cs="Calibri"/>
          <w:lang w:eastAsia="en-AU"/>
        </w:rPr>
        <w:t>-</w:t>
      </w:r>
      <w:r w:rsidR="00C813E5">
        <w:rPr>
          <w:rFonts w:cs="Calibri"/>
          <w:lang w:eastAsia="en-AU"/>
        </w:rPr>
        <w:t>front and seek repayment of costs over time, including through energy bills over the term of a lease.</w:t>
      </w:r>
    </w:p>
    <w:p w:rsidR="00D7171F" w:rsidRDefault="00D874EB" w:rsidP="004F7A03">
      <w:pPr>
        <w:pStyle w:val="Heading3"/>
        <w:rPr>
          <w:lang w:eastAsia="en-AU"/>
        </w:rPr>
      </w:pPr>
      <w:r w:rsidRPr="00D44526">
        <w:rPr>
          <w:lang w:eastAsia="en-AU"/>
        </w:rPr>
        <w:t>Early mover spill-overs</w:t>
      </w:r>
    </w:p>
    <w:p w:rsidR="002D18AC" w:rsidRDefault="00092B6A" w:rsidP="00D44526">
      <w:pPr>
        <w:rPr>
          <w:rFonts w:cs="Calibri"/>
        </w:rPr>
      </w:pPr>
      <w:r w:rsidRPr="00D44526">
        <w:rPr>
          <w:rFonts w:cs="Calibri"/>
        </w:rPr>
        <w:t>A greater interest in energy efficient products</w:t>
      </w:r>
      <w:r w:rsidR="001934BF" w:rsidRPr="00D44526">
        <w:rPr>
          <w:rFonts w:cs="Calibri"/>
        </w:rPr>
        <w:t xml:space="preserve"> by</w:t>
      </w:r>
      <w:r w:rsidRPr="00D44526">
        <w:rPr>
          <w:rFonts w:cs="Calibri"/>
        </w:rPr>
        <w:t xml:space="preserve"> both </w:t>
      </w:r>
      <w:r w:rsidR="005D69F7">
        <w:rPr>
          <w:rFonts w:cs="Calibri"/>
        </w:rPr>
        <w:t>supplier</w:t>
      </w:r>
      <w:r w:rsidRPr="00D44526">
        <w:rPr>
          <w:rFonts w:cs="Calibri"/>
        </w:rPr>
        <w:t xml:space="preserve">s and consumers may lead to </w:t>
      </w:r>
      <w:r w:rsidR="001934BF" w:rsidRPr="00D44526">
        <w:rPr>
          <w:rFonts w:cs="Calibri"/>
        </w:rPr>
        <w:t>e</w:t>
      </w:r>
      <w:r w:rsidRPr="00D44526">
        <w:rPr>
          <w:rFonts w:cs="Calibri"/>
        </w:rPr>
        <w:t>arly movers benefit</w:t>
      </w:r>
      <w:r w:rsidR="001934BF" w:rsidRPr="00D44526">
        <w:rPr>
          <w:rFonts w:cs="Calibri"/>
        </w:rPr>
        <w:t>ing</w:t>
      </w:r>
      <w:r w:rsidRPr="00D44526">
        <w:rPr>
          <w:rFonts w:cs="Calibri"/>
        </w:rPr>
        <w:t xml:space="preserve"> from early gains in the form of brand reputation, product recognition and early leads in market share. These benefits may provide sufficient incentives</w:t>
      </w:r>
      <w:r w:rsidR="001934BF" w:rsidRPr="00D44526">
        <w:rPr>
          <w:rFonts w:cs="Calibri"/>
        </w:rPr>
        <w:t xml:space="preserve"> for early movers</w:t>
      </w:r>
      <w:r w:rsidRPr="00D44526">
        <w:rPr>
          <w:rFonts w:cs="Calibri"/>
        </w:rPr>
        <w:t xml:space="preserve"> to bear the up</w:t>
      </w:r>
      <w:r w:rsidR="00EF3080">
        <w:rPr>
          <w:rFonts w:cs="Calibri"/>
        </w:rPr>
        <w:t>-</w:t>
      </w:r>
      <w:r w:rsidRPr="00D44526">
        <w:rPr>
          <w:rFonts w:cs="Calibri"/>
        </w:rPr>
        <w:t xml:space="preserve">front costs </w:t>
      </w:r>
      <w:r w:rsidR="008E0F08">
        <w:rPr>
          <w:rFonts w:cs="Calibri"/>
        </w:rPr>
        <w:t>where</w:t>
      </w:r>
      <w:r w:rsidR="008E0F08" w:rsidRPr="00D44526">
        <w:rPr>
          <w:rFonts w:cs="Calibri"/>
        </w:rPr>
        <w:t xml:space="preserve"> </w:t>
      </w:r>
      <w:r w:rsidRPr="00D44526">
        <w:rPr>
          <w:rFonts w:cs="Calibri"/>
        </w:rPr>
        <w:t>the remaining spill</w:t>
      </w:r>
      <w:r w:rsidR="001934BF" w:rsidRPr="00D44526">
        <w:rPr>
          <w:rFonts w:cs="Calibri"/>
        </w:rPr>
        <w:t>-</w:t>
      </w:r>
      <w:r w:rsidRPr="00D44526">
        <w:rPr>
          <w:rFonts w:cs="Calibri"/>
        </w:rPr>
        <w:t xml:space="preserve">overs are relatively small. </w:t>
      </w:r>
    </w:p>
    <w:p w:rsidR="00746F1E" w:rsidRPr="00C813E5" w:rsidRDefault="00473600" w:rsidP="005E7B16">
      <w:pPr>
        <w:pStyle w:val="Heading1"/>
      </w:pPr>
      <w:bookmarkStart w:id="61" w:name="_Toc303168465"/>
      <w:bookmarkStart w:id="62" w:name="_Toc303168509"/>
      <w:bookmarkStart w:id="63" w:name="_Toc303670565"/>
      <w:bookmarkStart w:id="64" w:name="_Toc306808231"/>
      <w:bookmarkEnd w:id="61"/>
      <w:bookmarkEnd w:id="62"/>
      <w:r>
        <w:t>Summary</w:t>
      </w:r>
      <w:r w:rsidR="00746F1E" w:rsidRPr="00C813E5">
        <w:t xml:space="preserve"> of the proposed </w:t>
      </w:r>
      <w:r w:rsidR="00C813E5">
        <w:t xml:space="preserve">ACT </w:t>
      </w:r>
      <w:r>
        <w:t xml:space="preserve">energy savings </w:t>
      </w:r>
      <w:r w:rsidR="00746F1E" w:rsidRPr="00C813E5">
        <w:t>scheme</w:t>
      </w:r>
      <w:bookmarkEnd w:id="63"/>
      <w:bookmarkEnd w:id="64"/>
    </w:p>
    <w:p w:rsidR="00EE6493" w:rsidRPr="00D44526" w:rsidRDefault="008C73B5" w:rsidP="00E97BF8">
      <w:r>
        <w:t>A</w:t>
      </w:r>
      <w:r w:rsidR="00BA680C" w:rsidRPr="00D44526">
        <w:t xml:space="preserve"> non-certificate based </w:t>
      </w:r>
      <w:r w:rsidR="005D69F7">
        <w:t>supplier</w:t>
      </w:r>
      <w:r w:rsidR="00BA680C" w:rsidRPr="00D44526">
        <w:t xml:space="preserve"> obligation </w:t>
      </w:r>
      <w:r w:rsidR="002D1321">
        <w:t>energy efficiency scheme</w:t>
      </w:r>
      <w:r w:rsidR="00BA680C" w:rsidRPr="00D44526">
        <w:t xml:space="preserve"> </w:t>
      </w:r>
      <w:r>
        <w:t xml:space="preserve">(the Scheme) is proposed to </w:t>
      </w:r>
      <w:r w:rsidR="00BA680C" w:rsidRPr="00D44526">
        <w:t>commenc</w:t>
      </w:r>
      <w:r>
        <w:t>e</w:t>
      </w:r>
      <w:r w:rsidR="00BA680C" w:rsidRPr="00D44526">
        <w:t xml:space="preserve"> </w:t>
      </w:r>
      <w:r>
        <w:t xml:space="preserve">in </w:t>
      </w:r>
      <w:r w:rsidRPr="00EA6D6B">
        <w:t xml:space="preserve">the ACT from </w:t>
      </w:r>
      <w:r w:rsidR="00BA680C" w:rsidRPr="00EA6D6B">
        <w:t xml:space="preserve">1 </w:t>
      </w:r>
      <w:r w:rsidR="00EA6D6B">
        <w:t>January 2013</w:t>
      </w:r>
      <w:r w:rsidR="00BA680C" w:rsidRPr="00D44526">
        <w:t xml:space="preserve">. This date corresponds to the intended commencement of the National Energy Customer Framework (NECF) and the proposed starting date for the Commonwealth’s </w:t>
      </w:r>
      <w:r w:rsidR="00CD46DA">
        <w:t>carbon pricing mechanism</w:t>
      </w:r>
      <w:r w:rsidR="00BA680C" w:rsidRPr="00D44526">
        <w:t>.</w:t>
      </w:r>
    </w:p>
    <w:p w:rsidR="00746F1E" w:rsidRPr="00D44526" w:rsidRDefault="008C73B5" w:rsidP="00E97BF8">
      <w:pPr>
        <w:rPr>
          <w:lang w:eastAsia="en-AU"/>
        </w:rPr>
      </w:pPr>
      <w:r>
        <w:rPr>
          <w:lang w:eastAsia="en-AU"/>
        </w:rPr>
        <w:t>T</w:t>
      </w:r>
      <w:r w:rsidR="00746F1E" w:rsidRPr="00D44526">
        <w:rPr>
          <w:lang w:eastAsia="en-AU"/>
        </w:rPr>
        <w:t xml:space="preserve">he </w:t>
      </w:r>
      <w:r w:rsidR="00CE6F1E">
        <w:rPr>
          <w:lang w:eastAsia="en-AU"/>
        </w:rPr>
        <w:t>S</w:t>
      </w:r>
      <w:r w:rsidR="00746F1E" w:rsidRPr="00D44526">
        <w:rPr>
          <w:lang w:eastAsia="en-AU"/>
        </w:rPr>
        <w:t xml:space="preserve">cheme is not intended to last indefinitely. The proposed </w:t>
      </w:r>
      <w:r w:rsidR="00CE6F1E">
        <w:rPr>
          <w:lang w:eastAsia="en-AU"/>
        </w:rPr>
        <w:t>S</w:t>
      </w:r>
      <w:r w:rsidR="00746F1E" w:rsidRPr="00D44526">
        <w:rPr>
          <w:lang w:eastAsia="en-AU"/>
        </w:rPr>
        <w:t>cheme would be a transitionary measure run in three year phases</w:t>
      </w:r>
      <w:r>
        <w:rPr>
          <w:lang w:eastAsia="en-AU"/>
        </w:rPr>
        <w:t>, subject to review.</w:t>
      </w:r>
      <w:r w:rsidR="00746F1E" w:rsidRPr="00D44526">
        <w:rPr>
          <w:lang w:eastAsia="en-AU"/>
        </w:rPr>
        <w:t xml:space="preserve"> The </w:t>
      </w:r>
      <w:r>
        <w:rPr>
          <w:lang w:eastAsia="en-AU"/>
        </w:rPr>
        <w:t>S</w:t>
      </w:r>
      <w:r w:rsidR="00746F1E" w:rsidRPr="00D44526">
        <w:rPr>
          <w:lang w:eastAsia="en-AU"/>
        </w:rPr>
        <w:t>cheme has been designed with</w:t>
      </w:r>
      <w:r>
        <w:rPr>
          <w:lang w:eastAsia="en-AU"/>
        </w:rPr>
        <w:t xml:space="preserve"> a</w:t>
      </w:r>
      <w:r w:rsidR="00746F1E" w:rsidRPr="00D44526">
        <w:rPr>
          <w:lang w:eastAsia="en-AU"/>
        </w:rPr>
        <w:t xml:space="preserve"> consideration of </w:t>
      </w:r>
      <w:r>
        <w:rPr>
          <w:lang w:eastAsia="en-AU"/>
        </w:rPr>
        <w:t xml:space="preserve">a potential future </w:t>
      </w:r>
      <w:r w:rsidR="00746F1E" w:rsidRPr="00D44526">
        <w:rPr>
          <w:lang w:eastAsia="en-AU"/>
        </w:rPr>
        <w:t xml:space="preserve">transition of all </w:t>
      </w:r>
      <w:r w:rsidR="00397427" w:rsidRPr="00D44526">
        <w:rPr>
          <w:lang w:eastAsia="en-AU"/>
        </w:rPr>
        <w:t>jurisdictions’</w:t>
      </w:r>
      <w:r w:rsidR="00746F1E" w:rsidRPr="00D44526">
        <w:rPr>
          <w:lang w:eastAsia="en-AU"/>
        </w:rPr>
        <w:t xml:space="preserve"> schemes to a national scheme</w:t>
      </w:r>
      <w:r w:rsidR="00CE6F1E">
        <w:rPr>
          <w:lang w:eastAsia="en-AU"/>
        </w:rPr>
        <w:t xml:space="preserve"> – should </w:t>
      </w:r>
      <w:r w:rsidR="00473600">
        <w:rPr>
          <w:lang w:eastAsia="en-AU"/>
        </w:rPr>
        <w:t>such a scheme be agreed by Commonwealth</w:t>
      </w:r>
      <w:r w:rsidR="008E0F08">
        <w:rPr>
          <w:lang w:eastAsia="en-AU"/>
        </w:rPr>
        <w:t>,</w:t>
      </w:r>
      <w:r w:rsidR="00473600">
        <w:rPr>
          <w:lang w:eastAsia="en-AU"/>
        </w:rPr>
        <w:t xml:space="preserve"> </w:t>
      </w:r>
      <w:r w:rsidR="008E0F08">
        <w:rPr>
          <w:lang w:eastAsia="en-AU"/>
        </w:rPr>
        <w:t>s</w:t>
      </w:r>
      <w:r w:rsidR="00473600">
        <w:rPr>
          <w:lang w:eastAsia="en-AU"/>
        </w:rPr>
        <w:t>tate and territory governments</w:t>
      </w:r>
      <w:r w:rsidR="00746F1E" w:rsidRPr="00D44526">
        <w:rPr>
          <w:lang w:eastAsia="en-AU"/>
        </w:rPr>
        <w:t xml:space="preserve">. </w:t>
      </w:r>
    </w:p>
    <w:p w:rsidR="00861FDA" w:rsidRDefault="00746F1E">
      <w:pPr>
        <w:rPr>
          <w:lang w:eastAsia="en-AU"/>
        </w:rPr>
      </w:pPr>
      <w:r w:rsidRPr="00D44526">
        <w:rPr>
          <w:lang w:eastAsia="en-AU"/>
        </w:rPr>
        <w:t xml:space="preserve">The proposed </w:t>
      </w:r>
      <w:r w:rsidR="00CE6F1E">
        <w:rPr>
          <w:lang w:eastAsia="en-AU"/>
        </w:rPr>
        <w:t>S</w:t>
      </w:r>
      <w:r w:rsidRPr="00D44526">
        <w:rPr>
          <w:lang w:eastAsia="en-AU"/>
        </w:rPr>
        <w:t>cheme is intended to be complementary to the proposed Commonwealth</w:t>
      </w:r>
      <w:r w:rsidR="00CD46DA">
        <w:rPr>
          <w:lang w:eastAsia="en-AU"/>
        </w:rPr>
        <w:t>’s</w:t>
      </w:r>
      <w:r w:rsidRPr="00D44526">
        <w:rPr>
          <w:lang w:eastAsia="en-AU"/>
        </w:rPr>
        <w:t xml:space="preserve"> </w:t>
      </w:r>
      <w:r w:rsidR="00690FAA" w:rsidRPr="00690FAA">
        <w:rPr>
          <w:i/>
          <w:lang w:eastAsia="en-AU"/>
        </w:rPr>
        <w:t>Clean Energy Future</w:t>
      </w:r>
      <w:r w:rsidRPr="00D44526">
        <w:rPr>
          <w:lang w:eastAsia="en-AU"/>
        </w:rPr>
        <w:t xml:space="preserve"> package, which will target major emitters of greenhouse gases – rather than households.</w:t>
      </w:r>
    </w:p>
    <w:p w:rsidR="00B74CDB" w:rsidRDefault="004F7A03">
      <w:pPr>
        <w:rPr>
          <w:lang w:eastAsia="en-AU"/>
        </w:rPr>
      </w:pPr>
      <w:r>
        <w:rPr>
          <w:lang w:eastAsia="en-AU"/>
        </w:rPr>
        <w:t xml:space="preserve">The overall Scheme design is based on the South Australian REES, with a number of significant </w:t>
      </w:r>
      <w:r w:rsidRPr="004A4A47">
        <w:rPr>
          <w:lang w:eastAsia="en-AU"/>
        </w:rPr>
        <w:t xml:space="preserve">differences (see </w:t>
      </w:r>
      <w:r w:rsidR="00B43B35">
        <w:fldChar w:fldCharType="begin"/>
      </w:r>
      <w:r w:rsidR="00B43B35">
        <w:instrText xml:space="preserve"> REF _Ref303923753 \h  \* MERGEFORMAT </w:instrText>
      </w:r>
      <w:r w:rsidR="00B43B35">
        <w:fldChar w:fldCharType="separate"/>
      </w:r>
      <w:r w:rsidR="00681D6A" w:rsidRPr="00681D6A">
        <w:rPr>
          <w:i/>
        </w:rPr>
        <w:t>Departures from REES model</w:t>
      </w:r>
      <w:r w:rsidR="00B43B35">
        <w:fldChar w:fldCharType="end"/>
      </w:r>
      <w:r w:rsidRPr="004A4A47">
        <w:rPr>
          <w:lang w:eastAsia="en-AU"/>
        </w:rPr>
        <w:t xml:space="preserve"> from page</w:t>
      </w:r>
      <w:r w:rsidR="00854A88" w:rsidRPr="004A4A47">
        <w:rPr>
          <w:lang w:eastAsia="en-AU"/>
        </w:rPr>
        <w:t xml:space="preserve"> </w:t>
      </w:r>
      <w:r w:rsidRPr="004A4A47">
        <w:rPr>
          <w:lang w:eastAsia="en-AU"/>
        </w:rPr>
        <w:fldChar w:fldCharType="begin"/>
      </w:r>
      <w:r w:rsidRPr="004A4A47">
        <w:rPr>
          <w:lang w:eastAsia="en-AU"/>
        </w:rPr>
        <w:instrText xml:space="preserve"> PAGEREF _Ref303923757 \h </w:instrText>
      </w:r>
      <w:r w:rsidRPr="004A4A47">
        <w:rPr>
          <w:lang w:eastAsia="en-AU"/>
        </w:rPr>
      </w:r>
      <w:r w:rsidRPr="004A4A47">
        <w:rPr>
          <w:lang w:eastAsia="en-AU"/>
        </w:rPr>
        <w:fldChar w:fldCharType="separate"/>
      </w:r>
      <w:r w:rsidR="00681D6A">
        <w:rPr>
          <w:noProof/>
          <w:lang w:eastAsia="en-AU"/>
        </w:rPr>
        <w:t>34</w:t>
      </w:r>
      <w:r w:rsidRPr="004A4A47">
        <w:rPr>
          <w:lang w:eastAsia="en-AU"/>
        </w:rPr>
        <w:fldChar w:fldCharType="end"/>
      </w:r>
      <w:r w:rsidRPr="004A4A47">
        <w:rPr>
          <w:lang w:eastAsia="en-AU"/>
        </w:rPr>
        <w:t>)</w:t>
      </w:r>
      <w:r w:rsidR="00B74CDB" w:rsidRPr="004A4A47">
        <w:rPr>
          <w:lang w:eastAsia="en-AU"/>
        </w:rPr>
        <w:t xml:space="preserve"> and utilises </w:t>
      </w:r>
      <w:r w:rsidR="00B74CDB">
        <w:rPr>
          <w:lang w:eastAsia="en-AU"/>
        </w:rPr>
        <w:t>the broad set of energy saving activities eligible under the VEET scheme</w:t>
      </w:r>
      <w:r>
        <w:rPr>
          <w:lang w:eastAsia="en-AU"/>
        </w:rPr>
        <w:t xml:space="preserve">. </w:t>
      </w:r>
    </w:p>
    <w:p w:rsidR="00861FDA" w:rsidRDefault="00CE6F1E">
      <w:pPr>
        <w:rPr>
          <w:lang w:eastAsia="en-AU"/>
        </w:rPr>
      </w:pPr>
      <w:r>
        <w:rPr>
          <w:lang w:eastAsia="en-AU"/>
        </w:rPr>
        <w:t xml:space="preserve">The </w:t>
      </w:r>
      <w:r w:rsidRPr="00EA6D6B">
        <w:rPr>
          <w:lang w:eastAsia="en-AU"/>
        </w:rPr>
        <w:t xml:space="preserve">Scheme </w:t>
      </w:r>
      <w:r w:rsidR="00473600" w:rsidRPr="00EA6D6B">
        <w:rPr>
          <w:lang w:eastAsia="en-AU"/>
        </w:rPr>
        <w:t>will commence with coverage of the ACT residential sector, and</w:t>
      </w:r>
      <w:r w:rsidR="00473600">
        <w:rPr>
          <w:lang w:eastAsia="en-AU"/>
        </w:rPr>
        <w:t xml:space="preserve"> </w:t>
      </w:r>
      <w:r w:rsidR="00EA6D6B">
        <w:rPr>
          <w:lang w:eastAsia="en-AU"/>
        </w:rPr>
        <w:t xml:space="preserve"> will include the </w:t>
      </w:r>
      <w:r w:rsidR="00473600">
        <w:rPr>
          <w:lang w:eastAsia="en-AU"/>
        </w:rPr>
        <w:t xml:space="preserve">small and medium-sized </w:t>
      </w:r>
      <w:r w:rsidR="00EA6D6B">
        <w:rPr>
          <w:lang w:eastAsia="en-AU"/>
        </w:rPr>
        <w:t xml:space="preserve">enterprise sector from the start date </w:t>
      </w:r>
      <w:r w:rsidR="00473600">
        <w:rPr>
          <w:lang w:eastAsia="en-AU"/>
        </w:rPr>
        <w:t xml:space="preserve">following a further regulatory impact assessment and </w:t>
      </w:r>
      <w:r w:rsidR="00473600" w:rsidRPr="00E97BF8">
        <w:rPr>
          <w:lang w:eastAsia="en-AU"/>
        </w:rPr>
        <w:t>the expansion of the VEET scheme to SMEs from 2012.</w:t>
      </w:r>
      <w:r w:rsidR="008C73B5">
        <w:rPr>
          <w:lang w:eastAsia="en-AU"/>
        </w:rPr>
        <w:t xml:space="preserve"> </w:t>
      </w:r>
      <w:r w:rsidR="00B74CDB">
        <w:rPr>
          <w:lang w:eastAsia="en-AU"/>
        </w:rPr>
        <w:t>A number of</w:t>
      </w:r>
      <w:r w:rsidR="008C73B5" w:rsidRPr="00D44526">
        <w:rPr>
          <w:lang w:eastAsia="en-AU"/>
        </w:rPr>
        <w:t xml:space="preserve"> </w:t>
      </w:r>
      <w:r w:rsidR="008C73B5">
        <w:rPr>
          <w:lang w:eastAsia="en-AU"/>
        </w:rPr>
        <w:t>S</w:t>
      </w:r>
      <w:r w:rsidR="008C73B5" w:rsidRPr="00D44526">
        <w:rPr>
          <w:lang w:eastAsia="en-AU"/>
        </w:rPr>
        <w:t xml:space="preserve">cheme design elements </w:t>
      </w:r>
      <w:r w:rsidR="008C73B5">
        <w:rPr>
          <w:lang w:eastAsia="en-AU"/>
        </w:rPr>
        <w:t xml:space="preserve">are </w:t>
      </w:r>
      <w:r w:rsidR="008C73B5" w:rsidRPr="00D44526">
        <w:rPr>
          <w:lang w:eastAsia="en-AU"/>
        </w:rPr>
        <w:t xml:space="preserve">able to be reset through a combination of </w:t>
      </w:r>
      <w:r w:rsidR="008C73B5">
        <w:rPr>
          <w:lang w:eastAsia="en-AU"/>
        </w:rPr>
        <w:t>regulations, n</w:t>
      </w:r>
      <w:r w:rsidR="008C73B5" w:rsidRPr="00D44526">
        <w:rPr>
          <w:lang w:eastAsia="en-AU"/>
        </w:rPr>
        <w:t xml:space="preserve">otifiable and </w:t>
      </w:r>
      <w:r w:rsidR="008C73B5">
        <w:rPr>
          <w:lang w:eastAsia="en-AU"/>
        </w:rPr>
        <w:t>d</w:t>
      </w:r>
      <w:r w:rsidR="008C73B5" w:rsidRPr="00D44526">
        <w:rPr>
          <w:lang w:eastAsia="en-AU"/>
        </w:rPr>
        <w:t xml:space="preserve">isallowable </w:t>
      </w:r>
      <w:r w:rsidR="008C73B5">
        <w:rPr>
          <w:lang w:eastAsia="en-AU"/>
        </w:rPr>
        <w:t>I</w:t>
      </w:r>
      <w:r w:rsidR="008C73B5" w:rsidRPr="00D44526">
        <w:rPr>
          <w:lang w:eastAsia="en-AU"/>
        </w:rPr>
        <w:t>nstruments.</w:t>
      </w:r>
    </w:p>
    <w:p w:rsidR="005656AF" w:rsidRPr="00E97BF8" w:rsidRDefault="00CE6F1E" w:rsidP="00E97BF8">
      <w:pPr>
        <w:rPr>
          <w:lang w:eastAsia="en-AU"/>
        </w:rPr>
      </w:pPr>
      <w:r>
        <w:rPr>
          <w:lang w:eastAsia="en-AU"/>
        </w:rPr>
        <w:t>The proposed Scheme</w:t>
      </w:r>
      <w:r w:rsidR="005656AF" w:rsidRPr="00E97BF8">
        <w:rPr>
          <w:lang w:eastAsia="en-AU"/>
        </w:rPr>
        <w:t xml:space="preserve"> will address the key objectives of the Government’s intervention </w:t>
      </w:r>
      <w:r w:rsidR="00F31214" w:rsidRPr="00E97BF8">
        <w:rPr>
          <w:lang w:eastAsia="en-AU"/>
        </w:rPr>
        <w:t>to overcome the</w:t>
      </w:r>
      <w:r>
        <w:rPr>
          <w:lang w:eastAsia="en-AU"/>
        </w:rPr>
        <w:t xml:space="preserve"> outlined market</w:t>
      </w:r>
      <w:r w:rsidR="00F31214" w:rsidRPr="00E97BF8">
        <w:rPr>
          <w:lang w:eastAsia="en-AU"/>
        </w:rPr>
        <w:t xml:space="preserve"> </w:t>
      </w:r>
      <w:r>
        <w:rPr>
          <w:lang w:eastAsia="en-AU"/>
        </w:rPr>
        <w:t>barriers</w:t>
      </w:r>
      <w:r w:rsidR="008C73B5">
        <w:rPr>
          <w:lang w:eastAsia="en-AU"/>
        </w:rPr>
        <w:t xml:space="preserve"> to improved energy efficiency in the Territory</w:t>
      </w:r>
      <w:r>
        <w:rPr>
          <w:lang w:eastAsia="en-AU"/>
        </w:rPr>
        <w:t>, as outlined below.</w:t>
      </w:r>
    </w:p>
    <w:p w:rsidR="00D7171F" w:rsidRDefault="005656AF" w:rsidP="004F7A03">
      <w:pPr>
        <w:pStyle w:val="Heading3"/>
        <w:rPr>
          <w:lang w:eastAsia="en-AU"/>
        </w:rPr>
      </w:pPr>
      <w:r w:rsidRPr="00D44526">
        <w:rPr>
          <w:lang w:eastAsia="en-AU"/>
        </w:rPr>
        <w:t>Encourage the efficient use of electricity and gas</w:t>
      </w:r>
    </w:p>
    <w:p w:rsidR="00861FDA" w:rsidRDefault="005656AF">
      <w:pPr>
        <w:rPr>
          <w:lang w:eastAsia="en-AU"/>
        </w:rPr>
      </w:pPr>
      <w:r w:rsidRPr="00D44526">
        <w:rPr>
          <w:lang w:eastAsia="en-AU"/>
        </w:rPr>
        <w:t xml:space="preserve">The proposed scheme seeks to increase the efficient use of electricity and natural gas in the ACT by incentivising </w:t>
      </w:r>
      <w:r w:rsidR="008C73B5">
        <w:rPr>
          <w:lang w:eastAsia="en-AU"/>
        </w:rPr>
        <w:t xml:space="preserve">electricity </w:t>
      </w:r>
      <w:r w:rsidR="005D69F7">
        <w:rPr>
          <w:lang w:eastAsia="en-AU"/>
        </w:rPr>
        <w:t>supplier</w:t>
      </w:r>
      <w:r w:rsidRPr="00D44526">
        <w:rPr>
          <w:lang w:eastAsia="en-AU"/>
        </w:rPr>
        <w:t>s to install efficient products or undertake activities.</w:t>
      </w:r>
    </w:p>
    <w:p w:rsidR="00861FDA" w:rsidRDefault="005656AF">
      <w:pPr>
        <w:rPr>
          <w:lang w:eastAsia="en-AU"/>
        </w:rPr>
      </w:pPr>
      <w:r w:rsidRPr="00D44526">
        <w:rPr>
          <w:lang w:eastAsia="en-AU"/>
        </w:rPr>
        <w:t>As identified in the VEET RIS, households are relatively homogenous with respect to their energy consumption patterns, and as such it is possible to make accurate predictions as to the full lifetime energy savings benefits of these activities across the entire household sector.</w:t>
      </w:r>
    </w:p>
    <w:p w:rsidR="00861FDA" w:rsidRDefault="00473600">
      <w:pPr>
        <w:rPr>
          <w:lang w:eastAsia="en-AU"/>
        </w:rPr>
      </w:pPr>
      <w:r>
        <w:rPr>
          <w:lang w:eastAsia="en-AU"/>
        </w:rPr>
        <w:t>The impact of a carbon price on energy consumption in the Territory has been modelled and this scheme is targeting savings over and above that level. W</w:t>
      </w:r>
      <w:r w:rsidR="005656AF" w:rsidRPr="00D44526">
        <w:rPr>
          <w:lang w:eastAsia="en-AU"/>
        </w:rPr>
        <w:t xml:space="preserve">hile some decrease in demand will occur due to increased energy prices as a result of the carbon price, this behaviour response is expected to be small – as </w:t>
      </w:r>
      <w:r>
        <w:rPr>
          <w:lang w:eastAsia="en-AU"/>
        </w:rPr>
        <w:t xml:space="preserve">a range of </w:t>
      </w:r>
      <w:r w:rsidR="005656AF" w:rsidRPr="00D44526">
        <w:rPr>
          <w:lang w:eastAsia="en-AU"/>
        </w:rPr>
        <w:t xml:space="preserve">underlying market failures identified previously </w:t>
      </w:r>
      <w:r>
        <w:rPr>
          <w:lang w:eastAsia="en-AU"/>
        </w:rPr>
        <w:t>will remain</w:t>
      </w:r>
      <w:r w:rsidR="005656AF" w:rsidRPr="00D44526">
        <w:rPr>
          <w:lang w:eastAsia="en-AU"/>
        </w:rPr>
        <w:t>.</w:t>
      </w:r>
    </w:p>
    <w:p w:rsidR="00D7171F" w:rsidRDefault="007A729B" w:rsidP="004F7A03">
      <w:pPr>
        <w:pStyle w:val="Heading3"/>
        <w:rPr>
          <w:lang w:eastAsia="en-AU"/>
        </w:rPr>
      </w:pPr>
      <w:r w:rsidRPr="00D44526">
        <w:rPr>
          <w:lang w:eastAsia="en-AU"/>
        </w:rPr>
        <w:t xml:space="preserve">Reduce </w:t>
      </w:r>
      <w:r w:rsidR="00564795" w:rsidRPr="00D44526">
        <w:rPr>
          <w:lang w:eastAsia="en-AU"/>
        </w:rPr>
        <w:t>GHG emissions</w:t>
      </w:r>
      <w:r w:rsidRPr="00D44526">
        <w:rPr>
          <w:lang w:eastAsia="en-AU"/>
        </w:rPr>
        <w:t xml:space="preserve"> associated with stationary energy use in the ACT</w:t>
      </w:r>
    </w:p>
    <w:p w:rsidR="00861FDA" w:rsidRDefault="007A729B">
      <w:pPr>
        <w:rPr>
          <w:lang w:eastAsia="en-AU"/>
        </w:rPr>
      </w:pPr>
      <w:r w:rsidRPr="00D44526">
        <w:rPr>
          <w:lang w:eastAsia="en-AU"/>
        </w:rPr>
        <w:t xml:space="preserve">The proposed </w:t>
      </w:r>
      <w:r w:rsidR="004B6078">
        <w:rPr>
          <w:lang w:eastAsia="en-AU"/>
        </w:rPr>
        <w:t>S</w:t>
      </w:r>
      <w:r w:rsidRPr="00D44526">
        <w:rPr>
          <w:lang w:eastAsia="en-AU"/>
        </w:rPr>
        <w:t xml:space="preserve">cheme </w:t>
      </w:r>
      <w:r w:rsidR="00564795" w:rsidRPr="00D44526">
        <w:rPr>
          <w:lang w:eastAsia="en-AU"/>
        </w:rPr>
        <w:t>will accelerate GHG</w:t>
      </w:r>
      <w:r w:rsidRPr="00D44526">
        <w:rPr>
          <w:lang w:eastAsia="en-AU"/>
        </w:rPr>
        <w:t xml:space="preserve"> </w:t>
      </w:r>
      <w:r w:rsidR="00564795" w:rsidRPr="00D44526">
        <w:rPr>
          <w:lang w:eastAsia="en-AU"/>
        </w:rPr>
        <w:t>emissions reductions</w:t>
      </w:r>
      <w:r w:rsidR="00AC43D9">
        <w:rPr>
          <w:lang w:eastAsia="en-AU"/>
        </w:rPr>
        <w:t xml:space="preserve"> in the Territory</w:t>
      </w:r>
      <w:r w:rsidR="00564795" w:rsidRPr="00D44526">
        <w:rPr>
          <w:lang w:eastAsia="en-AU"/>
        </w:rPr>
        <w:t>, by</w:t>
      </w:r>
      <w:r w:rsidRPr="00D44526">
        <w:rPr>
          <w:lang w:eastAsia="en-AU"/>
        </w:rPr>
        <w:t xml:space="preserve"> overcoming market failures to reduce</w:t>
      </w:r>
      <w:r w:rsidR="00564795" w:rsidRPr="00D44526">
        <w:rPr>
          <w:lang w:eastAsia="en-AU"/>
        </w:rPr>
        <w:t xml:space="preserve"> the demand for energy</w:t>
      </w:r>
      <w:r w:rsidRPr="00D44526">
        <w:rPr>
          <w:lang w:eastAsia="en-AU"/>
        </w:rPr>
        <w:t xml:space="preserve"> – which contributes significantly to </w:t>
      </w:r>
      <w:r w:rsidR="00AC43D9">
        <w:rPr>
          <w:lang w:eastAsia="en-AU"/>
        </w:rPr>
        <w:t xml:space="preserve">our greenhouse gas emissions </w:t>
      </w:r>
      <w:r w:rsidR="00AC43D9" w:rsidRPr="004A4A47">
        <w:rPr>
          <w:lang w:eastAsia="en-AU"/>
        </w:rPr>
        <w:t>profile</w:t>
      </w:r>
      <w:r w:rsidRPr="004A4A47">
        <w:rPr>
          <w:lang w:eastAsia="en-AU"/>
        </w:rPr>
        <w:t>.</w:t>
      </w:r>
      <w:r w:rsidR="00564795" w:rsidRPr="004A4A47">
        <w:rPr>
          <w:lang w:eastAsia="en-AU"/>
        </w:rPr>
        <w:t xml:space="preserve"> </w:t>
      </w:r>
      <w:r w:rsidR="00AC43D9" w:rsidRPr="004A4A47">
        <w:rPr>
          <w:lang w:eastAsia="en-AU"/>
        </w:rPr>
        <w:t xml:space="preserve">A summary of expected </w:t>
      </w:r>
      <w:r w:rsidR="00BD41FF" w:rsidRPr="004A4A47">
        <w:rPr>
          <w:lang w:eastAsia="en-AU"/>
        </w:rPr>
        <w:t xml:space="preserve">greenhouse gas savings resulting from the </w:t>
      </w:r>
      <w:r w:rsidR="004B6078">
        <w:rPr>
          <w:lang w:eastAsia="en-AU"/>
        </w:rPr>
        <w:t>S</w:t>
      </w:r>
      <w:r w:rsidR="00BD41FF" w:rsidRPr="004A4A47">
        <w:rPr>
          <w:lang w:eastAsia="en-AU"/>
        </w:rPr>
        <w:t xml:space="preserve">cheme are provided from page </w:t>
      </w:r>
      <w:r w:rsidR="00900285" w:rsidRPr="004A4A47">
        <w:rPr>
          <w:lang w:eastAsia="en-AU"/>
        </w:rPr>
        <w:fldChar w:fldCharType="begin"/>
      </w:r>
      <w:r w:rsidR="00900285" w:rsidRPr="004A4A47">
        <w:rPr>
          <w:lang w:eastAsia="en-AU"/>
        </w:rPr>
        <w:instrText xml:space="preserve"> PAGEREF _Ref303845751 \h </w:instrText>
      </w:r>
      <w:r w:rsidR="00900285" w:rsidRPr="004A4A47">
        <w:rPr>
          <w:lang w:eastAsia="en-AU"/>
        </w:rPr>
      </w:r>
      <w:r w:rsidR="00900285" w:rsidRPr="004A4A47">
        <w:rPr>
          <w:lang w:eastAsia="en-AU"/>
        </w:rPr>
        <w:fldChar w:fldCharType="separate"/>
      </w:r>
      <w:r w:rsidR="00681D6A">
        <w:rPr>
          <w:noProof/>
          <w:lang w:eastAsia="en-AU"/>
        </w:rPr>
        <w:t>56</w:t>
      </w:r>
      <w:r w:rsidR="00900285" w:rsidRPr="004A4A47">
        <w:rPr>
          <w:lang w:eastAsia="en-AU"/>
        </w:rPr>
        <w:fldChar w:fldCharType="end"/>
      </w:r>
      <w:r w:rsidR="00900285" w:rsidRPr="004A4A47">
        <w:rPr>
          <w:lang w:eastAsia="en-AU"/>
        </w:rPr>
        <w:t>.</w:t>
      </w:r>
    </w:p>
    <w:p w:rsidR="00D7171F" w:rsidRDefault="008B1035" w:rsidP="004F7A03">
      <w:pPr>
        <w:pStyle w:val="Heading3"/>
      </w:pPr>
      <w:r w:rsidRPr="00D44526">
        <w:rPr>
          <w:lang w:eastAsia="en-AU"/>
        </w:rPr>
        <w:t>R</w:t>
      </w:r>
      <w:r w:rsidR="005656AF" w:rsidRPr="00D44526">
        <w:t>educe household and business energy costs</w:t>
      </w:r>
    </w:p>
    <w:p w:rsidR="00861FDA" w:rsidRDefault="008039EF">
      <w:r w:rsidRPr="00D44526">
        <w:t xml:space="preserve">Energy efficiency measures often have a short pay-back period on their initial cost. Private investment in energy efficiency products and services by households and businesses lowers their energy consumption compared to doing </w:t>
      </w:r>
      <w:r w:rsidRPr="003A3281">
        <w:t>nothing. It also lower</w:t>
      </w:r>
      <w:r w:rsidR="003A3281">
        <w:t>s</w:t>
      </w:r>
      <w:r w:rsidRPr="003A3281">
        <w:t xml:space="preserve"> energy prices relative to business-as-usual </w:t>
      </w:r>
      <w:r w:rsidR="00AC43D9" w:rsidRPr="003A3281">
        <w:t xml:space="preserve">where </w:t>
      </w:r>
      <w:r w:rsidRPr="003A3281">
        <w:t>these activities lead to reductions in peak energy demand</w:t>
      </w:r>
      <w:r w:rsidR="007269FB">
        <w:t>,</w:t>
      </w:r>
      <w:r w:rsidRPr="003A3281">
        <w:t xml:space="preserve"> thereby allowing investment generation in network augmentation to be deferred or avoided. The cost saving from energy efficiency activities will be greater when there is some form of carbon pricing in the economy.</w:t>
      </w:r>
      <w:r w:rsidRPr="00D44526">
        <w:t xml:space="preserve"> </w:t>
      </w:r>
    </w:p>
    <w:p w:rsidR="004A4A47" w:rsidRPr="006B45F1" w:rsidRDefault="004A4A47" w:rsidP="004A4A47">
      <w:pPr>
        <w:rPr>
          <w:highlight w:val="green"/>
        </w:rPr>
      </w:pPr>
      <w:r>
        <w:t xml:space="preserve">Analysis undertaken to support </w:t>
      </w:r>
      <w:r w:rsidRPr="00D77982">
        <w:rPr>
          <w:i/>
        </w:rPr>
        <w:t>Weathering the Change Action Plan 2</w:t>
      </w:r>
      <w:r>
        <w:t xml:space="preserve"> demonstrates that e</w:t>
      </w:r>
      <w:r w:rsidRPr="00D44526">
        <w:t xml:space="preserve">nergy efficiency is the most cost-effective way for </w:t>
      </w:r>
      <w:r>
        <w:t>the Territory to abate</w:t>
      </w:r>
      <w:r w:rsidRPr="00D44526">
        <w:t xml:space="preserve"> greenhouse gas emissions in Australia.</w:t>
      </w:r>
      <w:r>
        <w:t xml:space="preserve"> </w:t>
      </w:r>
      <w:r w:rsidRPr="006B45F1">
        <w:t>Increasing energy efficiency will therefore reduce costs to the ACT community in meeting our legislated greenhouse gas reduction targets.</w:t>
      </w:r>
    </w:p>
    <w:p w:rsidR="00FD759F" w:rsidRPr="00CD19D4" w:rsidRDefault="008039EF">
      <w:r w:rsidRPr="00D44526">
        <w:t>A recent study on a proposed expansion of the VEET scheme to include households and small and medium sized businesses suggests the net benefits under carbon pricing may be substantial. Estimates show that the net present value of bene</w:t>
      </w:r>
      <w:r w:rsidRPr="00CD19D4">
        <w:t xml:space="preserve">fits exceeds that of costs by a ratio of 2.7 to 3.1 for the worst and best options considered, respectively. </w:t>
      </w:r>
      <w:r w:rsidR="004A4A47" w:rsidRPr="00CD19D4">
        <w:t>It is the Government’s intention to allow small to medium sized businesses to participate in the Scheme following the completion of a further regulatory impact assessment in 2012. This assessment will build on final policy decisions regarding the expansion of the VEET scheme expected to be announced by early 2012.</w:t>
      </w:r>
    </w:p>
    <w:p w:rsidR="00861FDA" w:rsidRDefault="00BD41FF">
      <w:pPr>
        <w:rPr>
          <w:i/>
        </w:rPr>
      </w:pPr>
      <w:r w:rsidRPr="00CD19D4">
        <w:rPr>
          <w:lang w:eastAsia="en-AU"/>
        </w:rPr>
        <w:t>A summary of expected energy cost savings</w:t>
      </w:r>
      <w:r w:rsidRPr="004A4A47">
        <w:rPr>
          <w:lang w:eastAsia="en-AU"/>
        </w:rPr>
        <w:t xml:space="preserve"> resulting from the</w:t>
      </w:r>
      <w:r w:rsidR="005E3F21" w:rsidRPr="004A4A47">
        <w:rPr>
          <w:lang w:eastAsia="en-AU"/>
        </w:rPr>
        <w:t xml:space="preserve"> S</w:t>
      </w:r>
      <w:r w:rsidRPr="004A4A47">
        <w:rPr>
          <w:lang w:eastAsia="en-AU"/>
        </w:rPr>
        <w:t>cheme</w:t>
      </w:r>
      <w:r w:rsidR="00CD19D4">
        <w:rPr>
          <w:lang w:eastAsia="en-AU"/>
        </w:rPr>
        <w:t>, based on household only participation,</w:t>
      </w:r>
      <w:r w:rsidRPr="004A4A47">
        <w:rPr>
          <w:lang w:eastAsia="en-AU"/>
        </w:rPr>
        <w:t xml:space="preserve"> is provided </w:t>
      </w:r>
      <w:r w:rsidR="00900285" w:rsidRPr="004A4A47">
        <w:rPr>
          <w:lang w:eastAsia="en-AU"/>
        </w:rPr>
        <w:t>on page</w:t>
      </w:r>
      <w:r w:rsidR="00DE62DA">
        <w:rPr>
          <w:lang w:eastAsia="en-AU"/>
        </w:rPr>
        <w:t xml:space="preserve"> </w:t>
      </w:r>
      <w:r w:rsidR="00DE62DA">
        <w:rPr>
          <w:lang w:eastAsia="en-AU"/>
        </w:rPr>
        <w:fldChar w:fldCharType="begin"/>
      </w:r>
      <w:r w:rsidR="00DE62DA">
        <w:rPr>
          <w:lang w:eastAsia="en-AU"/>
        </w:rPr>
        <w:instrText xml:space="preserve"> PAGEREF _Ref306802809 \h </w:instrText>
      </w:r>
      <w:r w:rsidR="00DE62DA">
        <w:rPr>
          <w:lang w:eastAsia="en-AU"/>
        </w:rPr>
      </w:r>
      <w:r w:rsidR="00DE62DA">
        <w:rPr>
          <w:lang w:eastAsia="en-AU"/>
        </w:rPr>
        <w:fldChar w:fldCharType="separate"/>
      </w:r>
      <w:r w:rsidR="00681D6A">
        <w:rPr>
          <w:noProof/>
          <w:lang w:eastAsia="en-AU"/>
        </w:rPr>
        <w:t>52</w:t>
      </w:r>
      <w:r w:rsidR="00DE62DA">
        <w:rPr>
          <w:lang w:eastAsia="en-AU"/>
        </w:rPr>
        <w:fldChar w:fldCharType="end"/>
      </w:r>
      <w:r w:rsidR="00900285" w:rsidRPr="004A4A47">
        <w:rPr>
          <w:lang w:eastAsia="en-AU"/>
        </w:rPr>
        <w:t>.</w:t>
      </w:r>
      <w:r w:rsidR="00CD19D4">
        <w:rPr>
          <w:lang w:eastAsia="en-AU"/>
        </w:rPr>
        <w:t xml:space="preserve"> A further RIS will be prepared outlining the impact of including ACT business participation later in 2012.</w:t>
      </w:r>
    </w:p>
    <w:p w:rsidR="00861FDA" w:rsidRDefault="008B1035">
      <w:pPr>
        <w:rPr>
          <w:lang w:eastAsia="en-AU"/>
        </w:rPr>
      </w:pPr>
      <w:r w:rsidRPr="00D44526">
        <w:rPr>
          <w:lang w:eastAsia="en-AU"/>
        </w:rPr>
        <w:t xml:space="preserve">The </w:t>
      </w:r>
      <w:r w:rsidR="003A3281">
        <w:rPr>
          <w:lang w:eastAsia="en-AU"/>
        </w:rPr>
        <w:t>ACT Government</w:t>
      </w:r>
      <w:r w:rsidRPr="00D44526">
        <w:rPr>
          <w:lang w:eastAsia="en-AU"/>
        </w:rPr>
        <w:t xml:space="preserve"> </w:t>
      </w:r>
      <w:r w:rsidR="003A3281">
        <w:rPr>
          <w:lang w:eastAsia="en-AU"/>
        </w:rPr>
        <w:t>has acknowledged</w:t>
      </w:r>
      <w:r w:rsidRPr="00D44526">
        <w:rPr>
          <w:lang w:eastAsia="en-AU"/>
        </w:rPr>
        <w:t xml:space="preserve"> that low-income households will be disproportionately im</w:t>
      </w:r>
      <w:r w:rsidR="00535295" w:rsidRPr="00D44526">
        <w:rPr>
          <w:lang w:eastAsia="en-AU"/>
        </w:rPr>
        <w:t>pacted by rising energy costs</w:t>
      </w:r>
      <w:r w:rsidR="003A3281">
        <w:rPr>
          <w:lang w:eastAsia="en-AU"/>
        </w:rPr>
        <w:t xml:space="preserve"> and has implemented </w:t>
      </w:r>
      <w:r w:rsidR="00C26C9F">
        <w:rPr>
          <w:lang w:eastAsia="en-AU"/>
        </w:rPr>
        <w:t>p</w:t>
      </w:r>
      <w:r w:rsidR="003A3281">
        <w:rPr>
          <w:lang w:eastAsia="en-AU"/>
        </w:rPr>
        <w:t>olicies to offset these rises</w:t>
      </w:r>
      <w:r w:rsidR="007269FB">
        <w:rPr>
          <w:lang w:eastAsia="en-AU"/>
        </w:rPr>
        <w:t>,</w:t>
      </w:r>
      <w:r w:rsidR="003A3281">
        <w:rPr>
          <w:lang w:eastAsia="en-AU"/>
        </w:rPr>
        <w:t xml:space="preserve"> including Concessions </w:t>
      </w:r>
      <w:r w:rsidR="007269FB">
        <w:rPr>
          <w:lang w:eastAsia="en-AU"/>
        </w:rPr>
        <w:t>P</w:t>
      </w:r>
      <w:r w:rsidR="003A3281">
        <w:rPr>
          <w:lang w:eastAsia="en-AU"/>
        </w:rPr>
        <w:t xml:space="preserve">rograms and a range of </w:t>
      </w:r>
      <w:r w:rsidR="007269FB">
        <w:rPr>
          <w:lang w:eastAsia="en-AU"/>
        </w:rPr>
        <w:t>O</w:t>
      </w:r>
      <w:r w:rsidR="003A3281">
        <w:rPr>
          <w:lang w:eastAsia="en-AU"/>
        </w:rPr>
        <w:t xml:space="preserve">utreach </w:t>
      </w:r>
      <w:r w:rsidR="007269FB">
        <w:rPr>
          <w:lang w:eastAsia="en-AU"/>
        </w:rPr>
        <w:t>P</w:t>
      </w:r>
      <w:r w:rsidR="003A3281">
        <w:rPr>
          <w:lang w:eastAsia="en-AU"/>
        </w:rPr>
        <w:t>rogram initiatives</w:t>
      </w:r>
      <w:r w:rsidR="00535295" w:rsidRPr="00D44526">
        <w:rPr>
          <w:lang w:eastAsia="en-AU"/>
        </w:rPr>
        <w:t>. These ‘</w:t>
      </w:r>
      <w:r w:rsidR="00535295" w:rsidRPr="00D44526">
        <w:t>priority households</w:t>
      </w:r>
      <w:r w:rsidR="00F12D31">
        <w:t>’</w:t>
      </w:r>
      <w:r w:rsidR="00535295" w:rsidRPr="00D44526">
        <w:t xml:space="preserve"> will be </w:t>
      </w:r>
      <w:r w:rsidR="003A3281">
        <w:t>net beneficiaries</w:t>
      </w:r>
      <w:r w:rsidR="00535295" w:rsidRPr="00D44526">
        <w:t xml:space="preserve"> </w:t>
      </w:r>
      <w:r w:rsidR="003A3281">
        <w:t>of the proposed S</w:t>
      </w:r>
      <w:r w:rsidR="00535295" w:rsidRPr="00D44526">
        <w:t xml:space="preserve">cheme as </w:t>
      </w:r>
      <w:r w:rsidR="005D69F7">
        <w:t>supplier</w:t>
      </w:r>
      <w:r w:rsidR="00AE0993" w:rsidRPr="00D44526">
        <w:t>s</w:t>
      </w:r>
      <w:r w:rsidR="00535295" w:rsidRPr="00D44526">
        <w:t xml:space="preserve"> will be obliged to deliver energy savings products and services</w:t>
      </w:r>
      <w:r w:rsidR="00AC43D9">
        <w:t xml:space="preserve"> to them</w:t>
      </w:r>
      <w:r w:rsidR="00535295" w:rsidRPr="00D44526">
        <w:t xml:space="preserve">. </w:t>
      </w:r>
      <w:r w:rsidR="005D69F7">
        <w:t>Supplier</w:t>
      </w:r>
      <w:r w:rsidR="00535295" w:rsidRPr="00D44526">
        <w:t xml:space="preserve">s </w:t>
      </w:r>
      <w:r w:rsidR="00AC43D9">
        <w:t xml:space="preserve">may </w:t>
      </w:r>
      <w:r w:rsidR="008D5A86">
        <w:t xml:space="preserve">need </w:t>
      </w:r>
      <w:r w:rsidR="008D5A86" w:rsidRPr="00D44526">
        <w:t>to</w:t>
      </w:r>
      <w:r w:rsidR="00535295" w:rsidRPr="00D44526">
        <w:t xml:space="preserve"> offer</w:t>
      </w:r>
      <w:r w:rsidR="00AC43D9">
        <w:t xml:space="preserve"> additional</w:t>
      </w:r>
      <w:r w:rsidR="00535295" w:rsidRPr="00D44526">
        <w:t xml:space="preserve"> incentives to priority households to the extent required to ensure their participation under the scheme. This may </w:t>
      </w:r>
      <w:r w:rsidR="005E3F21">
        <w:t>include</w:t>
      </w:r>
      <w:r w:rsidR="00535295" w:rsidRPr="00D44526">
        <w:t xml:space="preserve"> subsidised or free products and services or innovative financing packages</w:t>
      </w:r>
      <w:r w:rsidR="00AB4D55">
        <w:t>,</w:t>
      </w:r>
      <w:r w:rsidR="00535295" w:rsidRPr="00D44526">
        <w:t xml:space="preserve"> such as the ability to repay the cost of services through energy bills. The experience of the REES scheme is that targets </w:t>
      </w:r>
      <w:r w:rsidR="003A3281">
        <w:t xml:space="preserve">set </w:t>
      </w:r>
      <w:r w:rsidR="00535295" w:rsidRPr="00D44526">
        <w:t xml:space="preserve">for </w:t>
      </w:r>
      <w:r w:rsidR="003A3281">
        <w:t xml:space="preserve">engaging </w:t>
      </w:r>
      <w:r w:rsidR="00535295" w:rsidRPr="00D44526">
        <w:t xml:space="preserve">priority households have been </w:t>
      </w:r>
      <w:r w:rsidR="00837AF1">
        <w:t xml:space="preserve">significantly </w:t>
      </w:r>
      <w:r w:rsidR="00535295" w:rsidRPr="00D44526">
        <w:t>exceeded.</w:t>
      </w:r>
    </w:p>
    <w:p w:rsidR="00B96EC0" w:rsidRPr="002D400A" w:rsidRDefault="00FD1172" w:rsidP="002D400A">
      <w:r w:rsidRPr="00D44526">
        <w:t xml:space="preserve">It is </w:t>
      </w:r>
      <w:r w:rsidR="00AB4D55">
        <w:t>ESDD’s</w:t>
      </w:r>
      <w:r w:rsidR="00AB4D55" w:rsidRPr="00D44526">
        <w:t xml:space="preserve"> </w:t>
      </w:r>
      <w:r w:rsidRPr="00D44526">
        <w:t xml:space="preserve">preference that the legislation package be developed to include a degree of flexibility. This will allow the Minister </w:t>
      </w:r>
      <w:r w:rsidR="00837AF1">
        <w:t xml:space="preserve">and the </w:t>
      </w:r>
      <w:r w:rsidR="00AB4D55">
        <w:t>S</w:t>
      </w:r>
      <w:r w:rsidR="008C0D5D">
        <w:t>cheme A</w:t>
      </w:r>
      <w:r w:rsidR="00837AF1">
        <w:t xml:space="preserve">dministrator </w:t>
      </w:r>
      <w:r w:rsidRPr="00D44526">
        <w:t xml:space="preserve">to </w:t>
      </w:r>
      <w:r w:rsidR="00837AF1">
        <w:t>refine</w:t>
      </w:r>
      <w:r w:rsidRPr="00D44526">
        <w:t xml:space="preserve"> specific </w:t>
      </w:r>
      <w:r w:rsidR="00837AF1">
        <w:t>details of</w:t>
      </w:r>
      <w:r w:rsidRPr="00D44526">
        <w:t xml:space="preserve"> the Scheme as necessary through </w:t>
      </w:r>
      <w:r w:rsidR="00F12D31">
        <w:t>r</w:t>
      </w:r>
      <w:r w:rsidRPr="00D44526">
        <w:t xml:space="preserve">egulations, </w:t>
      </w:r>
      <w:r w:rsidR="00C26C9F">
        <w:t>or D</w:t>
      </w:r>
      <w:r w:rsidRPr="00D44526">
        <w:t xml:space="preserve">isallowable or </w:t>
      </w:r>
      <w:r w:rsidR="00DF0100">
        <w:t>Notifiable Instrument</w:t>
      </w:r>
      <w:r w:rsidRPr="00D44526">
        <w:t>s in response to change</w:t>
      </w:r>
      <w:r w:rsidR="00F12D31">
        <w:t>s</w:t>
      </w:r>
      <w:r w:rsidRPr="00D44526">
        <w:t xml:space="preserve"> in technological, social, economic or political considerations. This flexibility will be balanced against a degree of predictability for electricity </w:t>
      </w:r>
      <w:r w:rsidR="005D69F7">
        <w:t>supplier</w:t>
      </w:r>
      <w:r w:rsidRPr="00D44526">
        <w:t>s regarding their expected obligations under the Scheme, and the right of the</w:t>
      </w:r>
      <w:r w:rsidR="007B0D37">
        <w:t xml:space="preserve"> </w:t>
      </w:r>
      <w:r w:rsidR="005E3F21">
        <w:t>Legislative</w:t>
      </w:r>
      <w:r w:rsidRPr="00D44526">
        <w:t xml:space="preserve"> Assembly to deliberate on changes that may impose significant additional costs on electricity </w:t>
      </w:r>
      <w:r w:rsidR="005D69F7">
        <w:t>supplier</w:t>
      </w:r>
      <w:r w:rsidRPr="00D44526">
        <w:t>s, and therefore the ACT community.</w:t>
      </w:r>
    </w:p>
    <w:p w:rsidR="002D400A" w:rsidRPr="002D400A" w:rsidRDefault="002D400A" w:rsidP="00D404FA">
      <w:pPr>
        <w:pStyle w:val="Heading2"/>
      </w:pPr>
      <w:bookmarkStart w:id="65" w:name="_Toc306808232"/>
      <w:r>
        <w:t>Summary of ACT Scheme legislation</w:t>
      </w:r>
      <w:bookmarkEnd w:id="65"/>
    </w:p>
    <w:p w:rsidR="004F7A03" w:rsidRPr="004F7A03" w:rsidRDefault="004F7A03" w:rsidP="004F7A03">
      <w:pPr>
        <w:spacing w:before="120" w:after="120"/>
        <w:rPr>
          <w:rFonts w:cs="Calibri"/>
          <w:i/>
        </w:rPr>
      </w:pPr>
      <w:r w:rsidRPr="00BD41FF">
        <w:rPr>
          <w:rFonts w:cs="Calibri"/>
        </w:rPr>
        <w:t>The key concepts of</w:t>
      </w:r>
      <w:r>
        <w:rPr>
          <w:rFonts w:cs="Calibri"/>
        </w:rPr>
        <w:t xml:space="preserve"> </w:t>
      </w:r>
      <w:r w:rsidR="00C26C9F">
        <w:rPr>
          <w:rFonts w:cs="Calibri"/>
        </w:rPr>
        <w:t xml:space="preserve">the </w:t>
      </w:r>
      <w:r>
        <w:rPr>
          <w:rFonts w:cs="Calibri"/>
        </w:rPr>
        <w:t>proposed</w:t>
      </w:r>
      <w:r w:rsidRPr="00BD41FF">
        <w:rPr>
          <w:rFonts w:cs="Calibri"/>
        </w:rPr>
        <w:t xml:space="preserve"> Scheme are summarised below, and definitions and legislative mechanisms are </w:t>
      </w:r>
      <w:r w:rsidRPr="004A4A47">
        <w:rPr>
          <w:rFonts w:cs="Calibri"/>
        </w:rPr>
        <w:t xml:space="preserve">provided in </w:t>
      </w:r>
      <w:r w:rsidR="00B43B35">
        <w:fldChar w:fldCharType="begin"/>
      </w:r>
      <w:r w:rsidR="00B43B35">
        <w:instrText xml:space="preserve"> REF _Ref303783045 \h  \* MERGEFORMAT </w:instrText>
      </w:r>
      <w:r w:rsidR="00B43B35">
        <w:fldChar w:fldCharType="separate"/>
      </w:r>
      <w:r w:rsidR="00681D6A">
        <w:t xml:space="preserve">Table </w:t>
      </w:r>
      <w:r w:rsidR="00681D6A">
        <w:rPr>
          <w:noProof/>
        </w:rPr>
        <w:t>3</w:t>
      </w:r>
      <w:r w:rsidR="00681D6A">
        <w:t xml:space="preserve">: Key Scheme </w:t>
      </w:r>
      <w:r w:rsidR="00B43B35">
        <w:fldChar w:fldCharType="end"/>
      </w:r>
      <w:r w:rsidR="00C26C9F" w:rsidRPr="004A4A47">
        <w:t>concepts</w:t>
      </w:r>
      <w:r w:rsidRPr="004A4A47">
        <w:t xml:space="preserve"> (page </w:t>
      </w:r>
      <w:r w:rsidRPr="004A4A47">
        <w:fldChar w:fldCharType="begin"/>
      </w:r>
      <w:r w:rsidRPr="004A4A47">
        <w:instrText xml:space="preserve"> PAGEREF _Ref303923287 \h </w:instrText>
      </w:r>
      <w:r w:rsidRPr="004A4A47">
        <w:fldChar w:fldCharType="separate"/>
      </w:r>
      <w:r w:rsidR="00681D6A">
        <w:rPr>
          <w:noProof/>
        </w:rPr>
        <w:t>32</w:t>
      </w:r>
      <w:r w:rsidRPr="004A4A47">
        <w:fldChar w:fldCharType="end"/>
      </w:r>
      <w:r w:rsidRPr="004A4A47">
        <w:t>)</w:t>
      </w:r>
      <w:r w:rsidRPr="004A4A47">
        <w:rPr>
          <w:rFonts w:cs="Calibri"/>
          <w:b/>
          <w:i/>
        </w:rPr>
        <w:t>.</w:t>
      </w:r>
      <w:r w:rsidRPr="004A4A47">
        <w:rPr>
          <w:rFonts w:cs="Calibri"/>
          <w:i/>
        </w:rPr>
        <w:t xml:space="preserve"> </w:t>
      </w:r>
      <w:r w:rsidRPr="004A4A47">
        <w:rPr>
          <w:rFonts w:cs="Calibri"/>
        </w:rPr>
        <w:t>The</w:t>
      </w:r>
      <w:r w:rsidRPr="004F7A03">
        <w:rPr>
          <w:rFonts w:cs="Calibri"/>
        </w:rPr>
        <w:t xml:space="preserve"> following provides a high-level overview of the proposed Scheme.</w:t>
      </w:r>
    </w:p>
    <w:p w:rsidR="00B96EC0" w:rsidRPr="00D44526" w:rsidRDefault="00B96EC0" w:rsidP="00B96EC0">
      <w:pPr>
        <w:numPr>
          <w:ilvl w:val="0"/>
          <w:numId w:val="7"/>
        </w:numPr>
        <w:spacing w:before="240" w:after="240" w:line="240" w:lineRule="auto"/>
        <w:rPr>
          <w:rFonts w:cs="Calibri"/>
          <w:szCs w:val="24"/>
        </w:rPr>
      </w:pPr>
      <w:r w:rsidRPr="00D44526">
        <w:rPr>
          <w:rFonts w:cs="Calibri"/>
          <w:szCs w:val="24"/>
        </w:rPr>
        <w:t xml:space="preserve">A legislated requirement on electricity </w:t>
      </w:r>
      <w:r>
        <w:rPr>
          <w:rFonts w:cs="Calibri"/>
          <w:szCs w:val="24"/>
        </w:rPr>
        <w:t>supplier</w:t>
      </w:r>
      <w:r w:rsidRPr="00D44526">
        <w:rPr>
          <w:rFonts w:cs="Calibri"/>
          <w:szCs w:val="24"/>
        </w:rPr>
        <w:t>s in the ACT to achieve targets in relation to:</w:t>
      </w:r>
    </w:p>
    <w:p w:rsidR="00B96EC0" w:rsidRPr="00D44526" w:rsidRDefault="00B96EC0" w:rsidP="00B96EC0">
      <w:pPr>
        <w:numPr>
          <w:ilvl w:val="0"/>
          <w:numId w:val="8"/>
        </w:numPr>
        <w:spacing w:before="240" w:after="240" w:line="240" w:lineRule="auto"/>
        <w:rPr>
          <w:rFonts w:cs="Calibri"/>
          <w:szCs w:val="24"/>
        </w:rPr>
      </w:pPr>
      <w:r w:rsidRPr="00D44526">
        <w:rPr>
          <w:rFonts w:cs="Calibri"/>
          <w:szCs w:val="24"/>
        </w:rPr>
        <w:t>stationary energy emissions reduction within the ACT in tonnes CO</w:t>
      </w:r>
      <w:r w:rsidRPr="00D44526">
        <w:rPr>
          <w:rFonts w:cs="Calibri"/>
          <w:szCs w:val="24"/>
          <w:vertAlign w:val="subscript"/>
        </w:rPr>
        <w:t>2</w:t>
      </w:r>
      <w:r w:rsidRPr="00D44526">
        <w:rPr>
          <w:rFonts w:cs="Calibri"/>
          <w:szCs w:val="24"/>
        </w:rPr>
        <w:t>-e; and</w:t>
      </w:r>
    </w:p>
    <w:p w:rsidR="00B96EC0" w:rsidRPr="00D44526" w:rsidRDefault="00B96EC0" w:rsidP="006B45F1">
      <w:pPr>
        <w:keepLines/>
        <w:widowControl w:val="0"/>
        <w:numPr>
          <w:ilvl w:val="0"/>
          <w:numId w:val="8"/>
        </w:numPr>
        <w:spacing w:before="240" w:after="240" w:line="240" w:lineRule="auto"/>
        <w:ind w:left="714" w:hanging="357"/>
        <w:rPr>
          <w:rFonts w:cs="Calibri"/>
          <w:szCs w:val="24"/>
        </w:rPr>
      </w:pPr>
      <w:r w:rsidRPr="00D44526">
        <w:rPr>
          <w:rFonts w:cs="Calibri"/>
          <w:szCs w:val="24"/>
        </w:rPr>
        <w:t>stationary energy emissions reductions for priority (low-income) households in tonnes CO</w:t>
      </w:r>
      <w:r w:rsidRPr="00D44526">
        <w:rPr>
          <w:rFonts w:cs="Calibri"/>
          <w:szCs w:val="24"/>
          <w:vertAlign w:val="subscript"/>
        </w:rPr>
        <w:t>2</w:t>
      </w:r>
      <w:r w:rsidR="00FB5D13">
        <w:rPr>
          <w:rFonts w:cs="Calibri"/>
          <w:szCs w:val="24"/>
        </w:rPr>
        <w:noBreakHyphen/>
      </w:r>
      <w:r w:rsidRPr="00D44526">
        <w:rPr>
          <w:rFonts w:cs="Calibri"/>
          <w:szCs w:val="24"/>
        </w:rPr>
        <w:t>e.</w:t>
      </w:r>
    </w:p>
    <w:p w:rsidR="00B96EC0" w:rsidRPr="00D44526" w:rsidRDefault="00B96EC0" w:rsidP="00B96EC0">
      <w:pPr>
        <w:spacing w:before="240" w:after="240"/>
        <w:ind w:left="360"/>
        <w:rPr>
          <w:rFonts w:cs="Calibri"/>
          <w:szCs w:val="24"/>
        </w:rPr>
      </w:pPr>
      <w:r w:rsidRPr="00D44526">
        <w:rPr>
          <w:rFonts w:cs="Calibri"/>
          <w:szCs w:val="24"/>
        </w:rPr>
        <w:t xml:space="preserve">These are set for the </w:t>
      </w:r>
      <w:r w:rsidR="00C26C9F">
        <w:rPr>
          <w:rFonts w:cs="Calibri"/>
          <w:szCs w:val="24"/>
        </w:rPr>
        <w:t>S</w:t>
      </w:r>
      <w:r w:rsidRPr="00D44526">
        <w:rPr>
          <w:rFonts w:cs="Calibri"/>
          <w:szCs w:val="24"/>
        </w:rPr>
        <w:t xml:space="preserve">cheme as a whole and </w:t>
      </w:r>
      <w:r>
        <w:rPr>
          <w:rFonts w:cs="Calibri"/>
          <w:szCs w:val="24"/>
        </w:rPr>
        <w:t>supplier</w:t>
      </w:r>
      <w:r w:rsidRPr="00D44526">
        <w:rPr>
          <w:rFonts w:cs="Calibri"/>
          <w:szCs w:val="24"/>
        </w:rPr>
        <w:t>s on a pro rata basis in relation to energy sales market share.</w:t>
      </w:r>
    </w:p>
    <w:p w:rsidR="00B96EC0" w:rsidRDefault="00B96EC0" w:rsidP="00B96EC0">
      <w:pPr>
        <w:numPr>
          <w:ilvl w:val="0"/>
          <w:numId w:val="7"/>
        </w:numPr>
        <w:spacing w:before="240" w:after="240" w:line="240" w:lineRule="auto"/>
        <w:rPr>
          <w:rFonts w:cs="Calibri"/>
          <w:szCs w:val="24"/>
        </w:rPr>
      </w:pPr>
      <w:r>
        <w:t>Suppliers defined as being either Tier 1 or Tier 2, which will influence the way in which they must meet the above targets</w:t>
      </w:r>
      <w:r w:rsidR="003D208D">
        <w:t>.</w:t>
      </w:r>
    </w:p>
    <w:p w:rsidR="00B96EC0" w:rsidRDefault="00B96EC0" w:rsidP="00B96EC0">
      <w:pPr>
        <w:numPr>
          <w:ilvl w:val="0"/>
          <w:numId w:val="7"/>
        </w:numPr>
        <w:spacing w:before="240" w:after="240" w:line="240" w:lineRule="auto"/>
        <w:rPr>
          <w:rFonts w:cs="Calibri"/>
          <w:szCs w:val="24"/>
        </w:rPr>
      </w:pPr>
      <w:r w:rsidRPr="00D44526">
        <w:rPr>
          <w:rFonts w:cs="Calibri"/>
          <w:szCs w:val="24"/>
        </w:rPr>
        <w:t xml:space="preserve">Financial penalties applied to </w:t>
      </w:r>
      <w:r>
        <w:rPr>
          <w:rFonts w:cs="Calibri"/>
          <w:szCs w:val="24"/>
        </w:rPr>
        <w:t>supplier</w:t>
      </w:r>
      <w:r w:rsidRPr="00D44526">
        <w:rPr>
          <w:rFonts w:cs="Calibri"/>
          <w:szCs w:val="24"/>
        </w:rPr>
        <w:t>s for failure to ac</w:t>
      </w:r>
      <w:r>
        <w:rPr>
          <w:rFonts w:cs="Calibri"/>
          <w:szCs w:val="24"/>
        </w:rPr>
        <w:t>hieve legislated targets charged</w:t>
      </w:r>
      <w:r w:rsidRPr="00D44526">
        <w:rPr>
          <w:rFonts w:cs="Calibri"/>
          <w:szCs w:val="24"/>
        </w:rPr>
        <w:t xml:space="preserve"> in relation to tonnes CO</w:t>
      </w:r>
      <w:r w:rsidRPr="00D44526">
        <w:rPr>
          <w:rFonts w:cs="Calibri"/>
          <w:szCs w:val="24"/>
          <w:vertAlign w:val="subscript"/>
        </w:rPr>
        <w:t>2</w:t>
      </w:r>
      <w:r w:rsidRPr="00D44526">
        <w:rPr>
          <w:rFonts w:cs="Calibri"/>
          <w:szCs w:val="24"/>
        </w:rPr>
        <w:t>-e.</w:t>
      </w:r>
    </w:p>
    <w:p w:rsidR="00B96EC0" w:rsidRPr="00B96EC0" w:rsidRDefault="00B96EC0" w:rsidP="00B96EC0">
      <w:pPr>
        <w:pStyle w:val="ListParagraph"/>
        <w:numPr>
          <w:ilvl w:val="0"/>
          <w:numId w:val="7"/>
        </w:numPr>
      </w:pPr>
      <w:r w:rsidRPr="00D44526">
        <w:t xml:space="preserve">Any monies raised as a result of the </w:t>
      </w:r>
      <w:r w:rsidR="00C26C9F">
        <w:t xml:space="preserve">Scheme </w:t>
      </w:r>
      <w:r>
        <w:t>to</w:t>
      </w:r>
      <w:r w:rsidRPr="00D44526">
        <w:t xml:space="preserve"> be returned to government revenue and </w:t>
      </w:r>
      <w:r w:rsidRPr="00B96EC0">
        <w:rPr>
          <w:u w:val="single"/>
        </w:rPr>
        <w:t>must</w:t>
      </w:r>
      <w:r w:rsidRPr="00D44526">
        <w:t xml:space="preserve"> be re-allocated to projects or programs that meet the objectives of the Scheme (</w:t>
      </w:r>
      <w:r>
        <w:t xml:space="preserve">the </w:t>
      </w:r>
      <w:r w:rsidRPr="00D44526">
        <w:t xml:space="preserve">Objects of the Act). </w:t>
      </w:r>
    </w:p>
    <w:p w:rsidR="00B96EC0" w:rsidRPr="00D44526" w:rsidRDefault="00B96EC0" w:rsidP="00B96EC0">
      <w:pPr>
        <w:numPr>
          <w:ilvl w:val="0"/>
          <w:numId w:val="7"/>
        </w:numPr>
        <w:spacing w:before="240" w:after="240" w:line="240" w:lineRule="auto"/>
        <w:rPr>
          <w:rFonts w:cs="Calibri"/>
          <w:szCs w:val="24"/>
        </w:rPr>
      </w:pPr>
      <w:r w:rsidRPr="00D44526">
        <w:rPr>
          <w:rFonts w:cs="Calibri"/>
          <w:szCs w:val="24"/>
        </w:rPr>
        <w:t>Make good provisions</w:t>
      </w:r>
      <w:r w:rsidR="00AE494F">
        <w:rPr>
          <w:rFonts w:cs="Calibri"/>
          <w:szCs w:val="24"/>
        </w:rPr>
        <w:t>,</w:t>
      </w:r>
      <w:r w:rsidRPr="00D44526">
        <w:rPr>
          <w:rFonts w:cs="Calibri"/>
          <w:szCs w:val="24"/>
        </w:rPr>
        <w:t xml:space="preserve"> including a limited capacity for </w:t>
      </w:r>
      <w:r>
        <w:rPr>
          <w:rFonts w:cs="Calibri"/>
          <w:szCs w:val="24"/>
        </w:rPr>
        <w:t>supplier</w:t>
      </w:r>
      <w:r w:rsidRPr="00D44526">
        <w:rPr>
          <w:rFonts w:cs="Calibri"/>
          <w:szCs w:val="24"/>
        </w:rPr>
        <w:t>s to roll-over a minor shortfall to a following year.</w:t>
      </w:r>
    </w:p>
    <w:p w:rsidR="00B96EC0" w:rsidRPr="00D44526" w:rsidRDefault="00B96EC0" w:rsidP="00B96EC0">
      <w:pPr>
        <w:numPr>
          <w:ilvl w:val="0"/>
          <w:numId w:val="7"/>
        </w:numPr>
        <w:spacing w:before="240" w:after="240" w:line="240" w:lineRule="auto"/>
        <w:rPr>
          <w:rFonts w:cs="Calibri"/>
          <w:szCs w:val="24"/>
        </w:rPr>
      </w:pPr>
      <w:r w:rsidRPr="00D44526">
        <w:rPr>
          <w:rFonts w:cs="Calibri"/>
          <w:szCs w:val="24"/>
        </w:rPr>
        <w:t xml:space="preserve">A schedule of eligible activities deeming the extent to which activities contribute to meeting a </w:t>
      </w:r>
      <w:r>
        <w:rPr>
          <w:rFonts w:cs="Calibri"/>
          <w:szCs w:val="24"/>
        </w:rPr>
        <w:t>supplier</w:t>
      </w:r>
      <w:r w:rsidRPr="00D44526">
        <w:rPr>
          <w:rFonts w:cs="Calibri"/>
          <w:szCs w:val="24"/>
        </w:rPr>
        <w:t xml:space="preserve">’s targets, including a differentiated obligation for Tier 2 </w:t>
      </w:r>
      <w:r>
        <w:rPr>
          <w:rFonts w:cs="Calibri"/>
          <w:szCs w:val="24"/>
        </w:rPr>
        <w:t>supplier</w:t>
      </w:r>
      <w:r w:rsidRPr="00D44526">
        <w:rPr>
          <w:rFonts w:cs="Calibri"/>
          <w:szCs w:val="24"/>
        </w:rPr>
        <w:t>s.</w:t>
      </w:r>
    </w:p>
    <w:p w:rsidR="00B96EC0" w:rsidRPr="00D44526" w:rsidRDefault="00B96EC0" w:rsidP="00B96EC0">
      <w:pPr>
        <w:numPr>
          <w:ilvl w:val="0"/>
          <w:numId w:val="7"/>
        </w:numPr>
        <w:spacing w:before="240" w:after="240" w:line="240" w:lineRule="auto"/>
        <w:rPr>
          <w:rFonts w:cs="Calibri"/>
          <w:szCs w:val="24"/>
        </w:rPr>
      </w:pPr>
      <w:r w:rsidRPr="00D44526">
        <w:rPr>
          <w:rFonts w:cs="Calibri"/>
          <w:szCs w:val="24"/>
        </w:rPr>
        <w:t>A process to add activities to the schedule of deemed activities.</w:t>
      </w:r>
    </w:p>
    <w:p w:rsidR="00B96EC0" w:rsidRPr="00D44526" w:rsidRDefault="00B96EC0" w:rsidP="00B96EC0">
      <w:pPr>
        <w:numPr>
          <w:ilvl w:val="0"/>
          <w:numId w:val="7"/>
        </w:numPr>
        <w:spacing w:before="240" w:after="240" w:line="240" w:lineRule="auto"/>
        <w:rPr>
          <w:rFonts w:cs="Calibri"/>
          <w:szCs w:val="24"/>
        </w:rPr>
      </w:pPr>
      <w:r w:rsidRPr="00D44526">
        <w:rPr>
          <w:rFonts w:cs="Calibri"/>
          <w:szCs w:val="24"/>
        </w:rPr>
        <w:t xml:space="preserve">A process for </w:t>
      </w:r>
      <w:r>
        <w:rPr>
          <w:rFonts w:cs="Calibri"/>
          <w:szCs w:val="24"/>
        </w:rPr>
        <w:t>supplier</w:t>
      </w:r>
      <w:r w:rsidRPr="00D44526">
        <w:rPr>
          <w:rFonts w:cs="Calibri"/>
          <w:szCs w:val="24"/>
        </w:rPr>
        <w:t>s to apply to have project-based initiatives (not</w:t>
      </w:r>
      <w:r w:rsidRPr="00D44526">
        <w:rPr>
          <w:rFonts w:cs="Calibri"/>
          <w:szCs w:val="24"/>
        </w:rPr>
        <w:noBreakHyphen/>
        <w:t>deemed) contribute to meeting their targets.</w:t>
      </w:r>
    </w:p>
    <w:p w:rsidR="00B96EC0" w:rsidRPr="00D44526" w:rsidRDefault="00B96EC0" w:rsidP="00B96EC0">
      <w:pPr>
        <w:numPr>
          <w:ilvl w:val="0"/>
          <w:numId w:val="7"/>
        </w:numPr>
        <w:spacing w:before="240" w:after="240" w:line="240" w:lineRule="auto"/>
        <w:rPr>
          <w:rFonts w:cs="Calibri"/>
          <w:szCs w:val="24"/>
        </w:rPr>
      </w:pPr>
      <w:r w:rsidRPr="00D44526">
        <w:rPr>
          <w:rFonts w:cs="Calibri"/>
          <w:szCs w:val="24"/>
        </w:rPr>
        <w:t xml:space="preserve">A capacity for </w:t>
      </w:r>
      <w:r>
        <w:rPr>
          <w:rFonts w:cs="Calibri"/>
          <w:szCs w:val="24"/>
        </w:rPr>
        <w:t>supplier</w:t>
      </w:r>
      <w:r w:rsidRPr="00D44526">
        <w:rPr>
          <w:rFonts w:cs="Calibri"/>
          <w:szCs w:val="24"/>
        </w:rPr>
        <w:t>s to subcontract emissions reduction and audit activities.</w:t>
      </w:r>
    </w:p>
    <w:p w:rsidR="00B96EC0" w:rsidRPr="00D44526" w:rsidRDefault="00B96EC0" w:rsidP="00B96EC0">
      <w:pPr>
        <w:numPr>
          <w:ilvl w:val="0"/>
          <w:numId w:val="7"/>
        </w:numPr>
        <w:spacing w:before="240" w:after="240" w:line="240" w:lineRule="auto"/>
        <w:rPr>
          <w:rFonts w:cs="Calibri"/>
          <w:szCs w:val="24"/>
        </w:rPr>
      </w:pPr>
      <w:r w:rsidRPr="00D44526">
        <w:rPr>
          <w:rFonts w:cs="Calibri"/>
          <w:szCs w:val="24"/>
        </w:rPr>
        <w:t xml:space="preserve">A capacity for </w:t>
      </w:r>
      <w:r>
        <w:rPr>
          <w:rFonts w:cs="Calibri"/>
          <w:szCs w:val="24"/>
        </w:rPr>
        <w:t>supplier</w:t>
      </w:r>
      <w:r w:rsidRPr="00D44526">
        <w:rPr>
          <w:rFonts w:cs="Calibri"/>
          <w:szCs w:val="24"/>
        </w:rPr>
        <w:t>s to transfer ‘credits’.</w:t>
      </w:r>
    </w:p>
    <w:p w:rsidR="00B96EC0" w:rsidRPr="00D44526" w:rsidRDefault="00B96EC0" w:rsidP="00B96EC0">
      <w:pPr>
        <w:numPr>
          <w:ilvl w:val="0"/>
          <w:numId w:val="7"/>
        </w:numPr>
        <w:spacing w:before="240" w:after="240" w:line="240" w:lineRule="auto"/>
        <w:rPr>
          <w:rFonts w:cs="Calibri"/>
          <w:szCs w:val="24"/>
        </w:rPr>
      </w:pPr>
      <w:r w:rsidRPr="00D44526">
        <w:rPr>
          <w:rFonts w:cs="Calibri"/>
          <w:szCs w:val="24"/>
        </w:rPr>
        <w:t>Scheme administration by a statutory authority.</w:t>
      </w:r>
    </w:p>
    <w:p w:rsidR="00B96EC0" w:rsidRPr="00B96EC0" w:rsidRDefault="00B96EC0" w:rsidP="00B96EC0">
      <w:pPr>
        <w:numPr>
          <w:ilvl w:val="0"/>
          <w:numId w:val="7"/>
        </w:numPr>
        <w:spacing w:before="240" w:after="240" w:line="240" w:lineRule="auto"/>
        <w:rPr>
          <w:rFonts w:cs="Calibri"/>
          <w:szCs w:val="24"/>
        </w:rPr>
      </w:pPr>
      <w:r w:rsidRPr="00D44526">
        <w:rPr>
          <w:rFonts w:cs="Calibri"/>
          <w:szCs w:val="24"/>
        </w:rPr>
        <w:t xml:space="preserve">Annual reporting by </w:t>
      </w:r>
      <w:r>
        <w:rPr>
          <w:rFonts w:cs="Calibri"/>
          <w:szCs w:val="24"/>
        </w:rPr>
        <w:t>supplier</w:t>
      </w:r>
      <w:r w:rsidRPr="00D44526">
        <w:rPr>
          <w:rFonts w:cs="Calibri"/>
          <w:szCs w:val="24"/>
        </w:rPr>
        <w:t xml:space="preserve">s on their compliance with </w:t>
      </w:r>
      <w:r w:rsidR="00C26C9F">
        <w:rPr>
          <w:rFonts w:cs="Calibri"/>
          <w:szCs w:val="24"/>
        </w:rPr>
        <w:t>S</w:t>
      </w:r>
      <w:r w:rsidRPr="00D44526">
        <w:rPr>
          <w:rFonts w:cs="Calibri"/>
          <w:szCs w:val="24"/>
        </w:rPr>
        <w:t>cheme rules.</w:t>
      </w:r>
    </w:p>
    <w:p w:rsidR="00B96EC0" w:rsidRDefault="00B96EC0" w:rsidP="00433BC3">
      <w:pPr>
        <w:spacing w:before="120" w:after="120"/>
        <w:rPr>
          <w:rFonts w:cs="Calibri"/>
        </w:rPr>
      </w:pPr>
    </w:p>
    <w:p w:rsidR="00BB1B94" w:rsidRDefault="00BB1B94">
      <w:pPr>
        <w:spacing w:after="0" w:line="240" w:lineRule="auto"/>
        <w:rPr>
          <w:rFonts w:cs="Calibri"/>
          <w:b/>
          <w:bCs/>
          <w:i/>
          <w:iCs/>
          <w:sz w:val="28"/>
          <w:szCs w:val="28"/>
          <w:lang w:eastAsia="en-AU"/>
        </w:rPr>
      </w:pPr>
      <w:r>
        <w:rPr>
          <w:lang w:eastAsia="en-AU"/>
        </w:rPr>
        <w:br w:type="page"/>
      </w:r>
    </w:p>
    <w:p w:rsidR="002D400A" w:rsidRDefault="002D400A" w:rsidP="00D404FA">
      <w:pPr>
        <w:pStyle w:val="Heading2"/>
      </w:pPr>
      <w:bookmarkStart w:id="66" w:name="_Toc306808233"/>
      <w:r w:rsidRPr="002D400A">
        <w:t xml:space="preserve">Key </w:t>
      </w:r>
      <w:r>
        <w:t>Scheme c</w:t>
      </w:r>
      <w:r w:rsidRPr="002D400A">
        <w:t>oncepts</w:t>
      </w:r>
      <w:bookmarkEnd w:id="66"/>
    </w:p>
    <w:p w:rsidR="002D400A" w:rsidRDefault="002D400A" w:rsidP="00433BC3">
      <w:pPr>
        <w:spacing w:before="120" w:after="120"/>
        <w:rPr>
          <w:rFonts w:cs="Calibri"/>
        </w:rPr>
      </w:pPr>
      <w:r>
        <w:rPr>
          <w:rFonts w:cs="Calibri"/>
        </w:rPr>
        <w:t>The following table provides a summary of key concepts in the proposed legislation.</w:t>
      </w:r>
    </w:p>
    <w:p w:rsidR="00422AB6" w:rsidRDefault="00422AB6" w:rsidP="002D400A">
      <w:pPr>
        <w:pStyle w:val="Caption"/>
        <w:keepNext/>
      </w:pPr>
      <w:bookmarkStart w:id="67" w:name="_Ref303783051"/>
      <w:bookmarkStart w:id="68" w:name="_Ref303783045"/>
      <w:bookmarkStart w:id="69" w:name="_Ref303923287"/>
      <w:r>
        <w:t xml:space="preserve">Table </w:t>
      </w:r>
      <w:r w:rsidR="006F5BB0">
        <w:rPr>
          <w:noProof/>
        </w:rPr>
        <w:fldChar w:fldCharType="begin"/>
      </w:r>
      <w:r w:rsidR="006F5BB0">
        <w:rPr>
          <w:noProof/>
        </w:rPr>
        <w:instrText xml:space="preserve"> SEQ Table \* ARABIC </w:instrText>
      </w:r>
      <w:r w:rsidR="006F5BB0">
        <w:rPr>
          <w:noProof/>
        </w:rPr>
        <w:fldChar w:fldCharType="separate"/>
      </w:r>
      <w:r w:rsidR="00681D6A">
        <w:rPr>
          <w:noProof/>
        </w:rPr>
        <w:t>3</w:t>
      </w:r>
      <w:r w:rsidR="006F5BB0">
        <w:rPr>
          <w:noProof/>
        </w:rPr>
        <w:fldChar w:fldCharType="end"/>
      </w:r>
      <w:bookmarkEnd w:id="67"/>
      <w:r>
        <w:t xml:space="preserve">: Key Scheme </w:t>
      </w:r>
      <w:bookmarkEnd w:id="68"/>
      <w:r>
        <w:t>definitions and legislative mechanisms</w:t>
      </w:r>
      <w:bookmarkEnd w:id="69"/>
    </w:p>
    <w:tbl>
      <w:tblPr>
        <w:tblW w:w="907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18"/>
        <w:gridCol w:w="5670"/>
        <w:gridCol w:w="1984"/>
      </w:tblGrid>
      <w:tr w:rsidR="00422AB6" w:rsidRPr="004F7A03" w:rsidTr="004F7A03">
        <w:trPr>
          <w:trHeight w:val="255"/>
          <w:tblHeader/>
        </w:trPr>
        <w:tc>
          <w:tcPr>
            <w:tcW w:w="1418" w:type="dxa"/>
            <w:shd w:val="clear" w:color="auto" w:fill="F2F2F2" w:themeFill="background1" w:themeFillShade="F2"/>
            <w:tcMar>
              <w:top w:w="85" w:type="dxa"/>
              <w:bottom w:w="85" w:type="dxa"/>
            </w:tcMar>
            <w:hideMark/>
          </w:tcPr>
          <w:p w:rsidR="00422AB6" w:rsidRPr="004F7A03" w:rsidRDefault="00422AB6" w:rsidP="007F3E79">
            <w:pPr>
              <w:spacing w:after="0"/>
              <w:rPr>
                <w:rFonts w:asciiTheme="minorHAnsi" w:hAnsiTheme="minorHAnsi" w:cs="Calibri"/>
                <w:b/>
                <w:bCs/>
                <w:sz w:val="20"/>
                <w:szCs w:val="20"/>
                <w:highlight w:val="green"/>
              </w:rPr>
            </w:pPr>
            <w:r w:rsidRPr="004F7A03">
              <w:rPr>
                <w:rFonts w:asciiTheme="minorHAnsi" w:hAnsiTheme="minorHAnsi" w:cs="Calibri"/>
                <w:b/>
                <w:bCs/>
                <w:sz w:val="20"/>
                <w:szCs w:val="20"/>
              </w:rPr>
              <w:t>Concept</w:t>
            </w:r>
          </w:p>
        </w:tc>
        <w:tc>
          <w:tcPr>
            <w:tcW w:w="5670" w:type="dxa"/>
            <w:shd w:val="clear" w:color="auto" w:fill="F2F2F2" w:themeFill="background1" w:themeFillShade="F2"/>
            <w:tcMar>
              <w:top w:w="85" w:type="dxa"/>
              <w:bottom w:w="85" w:type="dxa"/>
            </w:tcMar>
            <w:hideMark/>
          </w:tcPr>
          <w:p w:rsidR="00422AB6" w:rsidRPr="004F7A03" w:rsidRDefault="00422AB6" w:rsidP="007F3E79">
            <w:pPr>
              <w:spacing w:after="0"/>
              <w:rPr>
                <w:rFonts w:asciiTheme="minorHAnsi" w:hAnsiTheme="minorHAnsi" w:cs="Calibri"/>
                <w:b/>
                <w:bCs/>
                <w:sz w:val="20"/>
                <w:szCs w:val="20"/>
              </w:rPr>
            </w:pPr>
            <w:r w:rsidRPr="004F7A03">
              <w:rPr>
                <w:rFonts w:asciiTheme="minorHAnsi" w:hAnsiTheme="minorHAnsi" w:cs="Calibri"/>
                <w:b/>
                <w:bCs/>
                <w:sz w:val="20"/>
                <w:szCs w:val="20"/>
              </w:rPr>
              <w:t>Definition</w:t>
            </w:r>
          </w:p>
        </w:tc>
        <w:tc>
          <w:tcPr>
            <w:tcW w:w="1984" w:type="dxa"/>
            <w:shd w:val="clear" w:color="auto" w:fill="F2F2F2" w:themeFill="background1" w:themeFillShade="F2"/>
            <w:tcMar>
              <w:top w:w="85" w:type="dxa"/>
              <w:bottom w:w="85" w:type="dxa"/>
            </w:tcMar>
            <w:hideMark/>
          </w:tcPr>
          <w:p w:rsidR="00422AB6" w:rsidRPr="004F7A03" w:rsidRDefault="00422AB6" w:rsidP="007F3E79">
            <w:pPr>
              <w:spacing w:after="0"/>
              <w:rPr>
                <w:rFonts w:asciiTheme="minorHAnsi" w:hAnsiTheme="minorHAnsi" w:cs="Calibri"/>
                <w:b/>
                <w:bCs/>
                <w:sz w:val="20"/>
                <w:szCs w:val="20"/>
              </w:rPr>
            </w:pPr>
            <w:r w:rsidRPr="004F7A03">
              <w:rPr>
                <w:rFonts w:asciiTheme="minorHAnsi" w:hAnsiTheme="minorHAnsi" w:cs="Calibri"/>
                <w:b/>
                <w:bCs/>
                <w:sz w:val="20"/>
                <w:szCs w:val="20"/>
              </w:rPr>
              <w:t>Mechanism</w:t>
            </w:r>
          </w:p>
        </w:tc>
      </w:tr>
      <w:tr w:rsidR="00422AB6" w:rsidRPr="004F7A03" w:rsidTr="004F7A03">
        <w:trPr>
          <w:cantSplit/>
          <w:trHeight w:val="510"/>
        </w:trPr>
        <w:tc>
          <w:tcPr>
            <w:tcW w:w="1418"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b/>
                <w:bCs/>
                <w:color w:val="000000"/>
                <w:sz w:val="20"/>
                <w:szCs w:val="20"/>
              </w:rPr>
            </w:pPr>
            <w:r w:rsidRPr="004F7A03">
              <w:rPr>
                <w:rFonts w:asciiTheme="minorHAnsi" w:hAnsiTheme="minorHAnsi" w:cs="Calibri"/>
                <w:b/>
                <w:bCs/>
                <w:color w:val="000000"/>
                <w:sz w:val="20"/>
                <w:szCs w:val="20"/>
              </w:rPr>
              <w:t>Tier 1 supplier</w:t>
            </w:r>
          </w:p>
        </w:tc>
        <w:tc>
          <w:tcPr>
            <w:tcW w:w="5670"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Electricity suppliers with annual electricity sales of 500,000</w:t>
            </w:r>
            <w:r w:rsidR="000E6646">
              <w:rPr>
                <w:rFonts w:asciiTheme="minorHAnsi" w:hAnsiTheme="minorHAnsi" w:cs="Calibri"/>
                <w:color w:val="000000"/>
                <w:sz w:val="20"/>
                <w:szCs w:val="20"/>
              </w:rPr>
              <w:t>MWh</w:t>
            </w:r>
            <w:r w:rsidRPr="004F7A03">
              <w:rPr>
                <w:rFonts w:asciiTheme="minorHAnsi" w:hAnsiTheme="minorHAnsi" w:cs="Calibri"/>
                <w:color w:val="000000"/>
                <w:sz w:val="20"/>
                <w:szCs w:val="20"/>
              </w:rPr>
              <w:t xml:space="preserve"> or greater to customers in the ACT in a compliance year</w:t>
            </w:r>
            <w:r w:rsidR="000C034B">
              <w:rPr>
                <w:rFonts w:asciiTheme="minorHAnsi" w:hAnsiTheme="minorHAnsi" w:cs="Calibri"/>
                <w:color w:val="000000"/>
                <w:sz w:val="20"/>
                <w:szCs w:val="20"/>
              </w:rPr>
              <w:t>.</w:t>
            </w:r>
          </w:p>
        </w:tc>
        <w:tc>
          <w:tcPr>
            <w:tcW w:w="1984"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Defined in Act</w:t>
            </w:r>
          </w:p>
        </w:tc>
      </w:tr>
      <w:tr w:rsidR="00422AB6" w:rsidRPr="004F7A03" w:rsidTr="004F7A03">
        <w:trPr>
          <w:cantSplit/>
          <w:trHeight w:val="510"/>
        </w:trPr>
        <w:tc>
          <w:tcPr>
            <w:tcW w:w="1418"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b/>
                <w:bCs/>
                <w:color w:val="000000"/>
                <w:sz w:val="20"/>
                <w:szCs w:val="20"/>
              </w:rPr>
            </w:pPr>
            <w:r w:rsidRPr="004F7A03">
              <w:rPr>
                <w:rFonts w:asciiTheme="minorHAnsi" w:hAnsiTheme="minorHAnsi" w:cs="Calibri"/>
                <w:b/>
                <w:bCs/>
                <w:color w:val="000000"/>
                <w:sz w:val="20"/>
                <w:szCs w:val="20"/>
              </w:rPr>
              <w:t>Tier 2 supplier</w:t>
            </w:r>
          </w:p>
        </w:tc>
        <w:tc>
          <w:tcPr>
            <w:tcW w:w="5670" w:type="dxa"/>
            <w:shd w:val="clear" w:color="auto" w:fill="FFFFFF" w:themeFill="background1"/>
            <w:tcMar>
              <w:top w:w="85" w:type="dxa"/>
              <w:bottom w:w="85" w:type="dxa"/>
            </w:tcMar>
            <w:hideMark/>
          </w:tcPr>
          <w:p w:rsidR="00422AB6" w:rsidRPr="004F7A03" w:rsidRDefault="00B36A28"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Electricity suppliers</w:t>
            </w:r>
            <w:r w:rsidR="00422AB6" w:rsidRPr="004F7A03">
              <w:rPr>
                <w:rFonts w:asciiTheme="minorHAnsi" w:hAnsiTheme="minorHAnsi" w:cs="Calibri"/>
                <w:color w:val="000000"/>
                <w:sz w:val="20"/>
                <w:szCs w:val="20"/>
              </w:rPr>
              <w:t xml:space="preserve"> with annual electricity sales of less than 500,000MWh to customers in the ACT in a compliance year</w:t>
            </w:r>
            <w:r w:rsidR="000C034B">
              <w:rPr>
                <w:rFonts w:asciiTheme="minorHAnsi" w:hAnsiTheme="minorHAnsi" w:cs="Calibri"/>
                <w:color w:val="000000"/>
                <w:sz w:val="20"/>
                <w:szCs w:val="20"/>
              </w:rPr>
              <w:t>.</w:t>
            </w:r>
          </w:p>
        </w:tc>
        <w:tc>
          <w:tcPr>
            <w:tcW w:w="1984"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Defined in Act</w:t>
            </w:r>
          </w:p>
        </w:tc>
      </w:tr>
      <w:tr w:rsidR="00422AB6" w:rsidRPr="004F7A03" w:rsidTr="004F7A03">
        <w:trPr>
          <w:cantSplit/>
          <w:trHeight w:val="765"/>
        </w:trPr>
        <w:tc>
          <w:tcPr>
            <w:tcW w:w="1418"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b/>
                <w:bCs/>
                <w:color w:val="000000"/>
                <w:sz w:val="20"/>
                <w:szCs w:val="20"/>
              </w:rPr>
            </w:pPr>
            <w:r w:rsidRPr="004F7A03">
              <w:rPr>
                <w:rFonts w:asciiTheme="minorHAnsi" w:hAnsiTheme="minorHAnsi" w:cs="Calibri"/>
                <w:b/>
                <w:bCs/>
                <w:color w:val="000000"/>
                <w:sz w:val="20"/>
                <w:szCs w:val="20"/>
              </w:rPr>
              <w:t>Energy savings target (EST)</w:t>
            </w:r>
          </w:p>
        </w:tc>
        <w:tc>
          <w:tcPr>
            <w:tcW w:w="5670"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The overall greenhouse gas reduction to be targeted during each year of the Scheme</w:t>
            </w:r>
            <w:r w:rsidR="00AE494F">
              <w:rPr>
                <w:rFonts w:asciiTheme="minorHAnsi" w:hAnsiTheme="minorHAnsi" w:cs="Calibri"/>
                <w:color w:val="000000"/>
                <w:sz w:val="20"/>
                <w:szCs w:val="20"/>
              </w:rPr>
              <w:t>,</w:t>
            </w:r>
            <w:r w:rsidRPr="004F7A03">
              <w:rPr>
                <w:rFonts w:asciiTheme="minorHAnsi" w:hAnsiTheme="minorHAnsi" w:cs="Calibri"/>
                <w:color w:val="000000"/>
                <w:sz w:val="20"/>
                <w:szCs w:val="20"/>
              </w:rPr>
              <w:t xml:space="preserve"> expressed as a percentage of total electricity sales in the ACT</w:t>
            </w:r>
            <w:r w:rsidR="000C034B">
              <w:rPr>
                <w:rFonts w:asciiTheme="minorHAnsi" w:hAnsiTheme="minorHAnsi" w:cs="Calibri"/>
                <w:color w:val="000000"/>
                <w:sz w:val="20"/>
                <w:szCs w:val="20"/>
              </w:rPr>
              <w:t>.</w:t>
            </w:r>
          </w:p>
        </w:tc>
        <w:tc>
          <w:tcPr>
            <w:tcW w:w="1984"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Set by Disallowable Instrument</w:t>
            </w:r>
          </w:p>
        </w:tc>
      </w:tr>
      <w:tr w:rsidR="00422AB6" w:rsidRPr="004F7A03" w:rsidTr="004F7A03">
        <w:trPr>
          <w:cantSplit/>
          <w:trHeight w:val="765"/>
        </w:trPr>
        <w:tc>
          <w:tcPr>
            <w:tcW w:w="1418"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b/>
                <w:bCs/>
                <w:color w:val="000000"/>
                <w:sz w:val="20"/>
                <w:szCs w:val="20"/>
              </w:rPr>
            </w:pPr>
            <w:r w:rsidRPr="004F7A03">
              <w:rPr>
                <w:rFonts w:asciiTheme="minorHAnsi" w:hAnsiTheme="minorHAnsi" w:cs="Calibri"/>
                <w:b/>
                <w:bCs/>
                <w:color w:val="000000"/>
                <w:sz w:val="20"/>
                <w:szCs w:val="20"/>
              </w:rPr>
              <w:t>Emissions Factor</w:t>
            </w:r>
          </w:p>
        </w:tc>
        <w:tc>
          <w:tcPr>
            <w:tcW w:w="5670" w:type="dxa"/>
            <w:shd w:val="clear" w:color="auto" w:fill="FFFFFF" w:themeFill="background1"/>
            <w:tcMar>
              <w:top w:w="85" w:type="dxa"/>
              <w:bottom w:w="85" w:type="dxa"/>
            </w:tcMar>
            <w:hideMark/>
          </w:tcPr>
          <w:p w:rsidR="00422AB6" w:rsidRPr="00F00371" w:rsidRDefault="00422AB6" w:rsidP="00F00371">
            <w:pPr>
              <w:autoSpaceDE w:val="0"/>
              <w:autoSpaceDN w:val="0"/>
              <w:adjustRightInd w:val="0"/>
              <w:spacing w:after="0" w:line="240" w:lineRule="auto"/>
              <w:rPr>
                <w:rFonts w:asciiTheme="minorHAnsi" w:hAnsiTheme="minorHAnsi" w:cs="Calibri"/>
                <w:sz w:val="20"/>
                <w:szCs w:val="20"/>
              </w:rPr>
            </w:pPr>
            <w:r w:rsidRPr="004F7A03">
              <w:rPr>
                <w:rFonts w:asciiTheme="minorHAnsi" w:hAnsiTheme="minorHAnsi" w:cs="Calibri"/>
                <w:sz w:val="20"/>
                <w:szCs w:val="20"/>
              </w:rPr>
              <w:t>The number of tonnes of carbon dioxide equivalent greenhouse gas emissions attributed to the</w:t>
            </w:r>
            <w:r w:rsidR="00F00371">
              <w:rPr>
                <w:rFonts w:asciiTheme="minorHAnsi" w:hAnsiTheme="minorHAnsi" w:cs="Calibri"/>
                <w:sz w:val="20"/>
                <w:szCs w:val="20"/>
              </w:rPr>
              <w:t xml:space="preserve"> </w:t>
            </w:r>
            <w:r w:rsidRPr="004F7A03">
              <w:rPr>
                <w:rFonts w:asciiTheme="minorHAnsi" w:hAnsiTheme="minorHAnsi" w:cs="Calibri"/>
                <w:sz w:val="20"/>
                <w:szCs w:val="20"/>
              </w:rPr>
              <w:t>consumption in the ACT of 1MWh of electricity</w:t>
            </w:r>
            <w:r w:rsidR="000C034B">
              <w:rPr>
                <w:rFonts w:asciiTheme="minorHAnsi" w:hAnsiTheme="minorHAnsi" w:cs="Calibri"/>
                <w:sz w:val="20"/>
                <w:szCs w:val="20"/>
              </w:rPr>
              <w:t>.</w:t>
            </w:r>
          </w:p>
        </w:tc>
        <w:tc>
          <w:tcPr>
            <w:tcW w:w="1984"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Set by Disallowable Instrument</w:t>
            </w:r>
          </w:p>
        </w:tc>
      </w:tr>
      <w:tr w:rsidR="00422AB6" w:rsidRPr="004F7A03" w:rsidTr="004F7A03">
        <w:trPr>
          <w:cantSplit/>
          <w:trHeight w:val="765"/>
        </w:trPr>
        <w:tc>
          <w:tcPr>
            <w:tcW w:w="1418"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b/>
                <w:bCs/>
                <w:color w:val="000000"/>
                <w:sz w:val="20"/>
                <w:szCs w:val="20"/>
              </w:rPr>
            </w:pPr>
            <w:r w:rsidRPr="004F7A03">
              <w:rPr>
                <w:rFonts w:asciiTheme="minorHAnsi" w:hAnsiTheme="minorHAnsi" w:cs="Calibri"/>
                <w:b/>
                <w:bCs/>
                <w:color w:val="000000"/>
                <w:sz w:val="20"/>
                <w:szCs w:val="20"/>
              </w:rPr>
              <w:t xml:space="preserve">Supplier Energy </w:t>
            </w:r>
            <w:r w:rsidR="000E6646">
              <w:rPr>
                <w:rFonts w:asciiTheme="minorHAnsi" w:hAnsiTheme="minorHAnsi" w:cs="Calibri"/>
                <w:b/>
                <w:bCs/>
                <w:color w:val="000000"/>
                <w:sz w:val="20"/>
                <w:szCs w:val="20"/>
              </w:rPr>
              <w:t>S</w:t>
            </w:r>
            <w:r w:rsidRPr="004F7A03">
              <w:rPr>
                <w:rFonts w:asciiTheme="minorHAnsi" w:hAnsiTheme="minorHAnsi" w:cs="Calibri"/>
                <w:b/>
                <w:bCs/>
                <w:color w:val="000000"/>
                <w:sz w:val="20"/>
                <w:szCs w:val="20"/>
              </w:rPr>
              <w:t>avings Obligation (SESO)</w:t>
            </w:r>
          </w:p>
        </w:tc>
        <w:tc>
          <w:tcPr>
            <w:tcW w:w="5670" w:type="dxa"/>
            <w:shd w:val="clear" w:color="auto" w:fill="FFFFFF" w:themeFill="background1"/>
            <w:tcMar>
              <w:top w:w="85" w:type="dxa"/>
              <w:bottom w:w="85" w:type="dxa"/>
            </w:tcMar>
            <w:hideMark/>
          </w:tcPr>
          <w:p w:rsidR="00422AB6" w:rsidRPr="004F7A03" w:rsidRDefault="00422AB6" w:rsidP="000C034B">
            <w:pPr>
              <w:spacing w:after="0"/>
              <w:rPr>
                <w:rFonts w:asciiTheme="minorHAnsi" w:hAnsiTheme="minorHAnsi" w:cs="Calibri"/>
                <w:sz w:val="20"/>
                <w:szCs w:val="20"/>
              </w:rPr>
            </w:pPr>
            <w:r w:rsidRPr="004F7A03">
              <w:rPr>
                <w:rFonts w:asciiTheme="minorHAnsi" w:hAnsiTheme="minorHAnsi" w:cs="Calibri"/>
                <w:color w:val="000000"/>
                <w:sz w:val="20"/>
                <w:szCs w:val="20"/>
              </w:rPr>
              <w:t>The amount of greenhouse abatement that must be achieved by a given supplier by undertaking eligible activities within the ACT in a given year expressed in tonnes CO</w:t>
            </w:r>
            <w:r w:rsidRPr="004F7A03">
              <w:rPr>
                <w:rFonts w:asciiTheme="minorHAnsi" w:hAnsiTheme="minorHAnsi" w:cs="Calibri"/>
                <w:color w:val="000000"/>
                <w:sz w:val="20"/>
                <w:szCs w:val="20"/>
                <w:vertAlign w:val="subscript"/>
              </w:rPr>
              <w:t>2</w:t>
            </w:r>
            <w:r w:rsidRPr="004F7A03">
              <w:rPr>
                <w:rFonts w:asciiTheme="minorHAnsi" w:hAnsiTheme="minorHAnsi" w:cs="Calibri"/>
                <w:color w:val="000000"/>
                <w:sz w:val="20"/>
                <w:szCs w:val="20"/>
              </w:rPr>
              <w:t>-e</w:t>
            </w:r>
            <w:r w:rsidR="000C034B">
              <w:rPr>
                <w:rFonts w:asciiTheme="minorHAnsi" w:hAnsiTheme="minorHAnsi" w:cs="Calibri"/>
                <w:color w:val="000000"/>
                <w:sz w:val="20"/>
                <w:szCs w:val="20"/>
              </w:rPr>
              <w:t>.</w:t>
            </w:r>
          </w:p>
          <w:p w:rsidR="00422AB6" w:rsidRPr="004F7A03" w:rsidRDefault="00422AB6" w:rsidP="007F3E79">
            <w:pPr>
              <w:jc w:val="center"/>
              <w:rPr>
                <w:rFonts w:asciiTheme="minorHAnsi" w:hAnsiTheme="minorHAnsi" w:cs="Calibri"/>
                <w:sz w:val="20"/>
                <w:szCs w:val="20"/>
              </w:rPr>
            </w:pPr>
            <w:r w:rsidRPr="004F7A03">
              <w:rPr>
                <w:rFonts w:asciiTheme="minorHAnsi" w:hAnsiTheme="minorHAnsi" w:cs="Calibri"/>
                <w:sz w:val="20"/>
                <w:szCs w:val="20"/>
              </w:rPr>
              <w:t>SESO = EST x (Electricity Sales x Emissions Factor)</w:t>
            </w:r>
          </w:p>
        </w:tc>
        <w:tc>
          <w:tcPr>
            <w:tcW w:w="1984"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Det</w:t>
            </w:r>
            <w:r w:rsidR="008C0D5D">
              <w:rPr>
                <w:rFonts w:asciiTheme="minorHAnsi" w:hAnsiTheme="minorHAnsi" w:cs="Calibri"/>
                <w:color w:val="000000"/>
                <w:sz w:val="20"/>
                <w:szCs w:val="20"/>
              </w:rPr>
              <w:t>ermined by supplier and Scheme A</w:t>
            </w:r>
            <w:r w:rsidRPr="004F7A03">
              <w:rPr>
                <w:rFonts w:asciiTheme="minorHAnsi" w:hAnsiTheme="minorHAnsi" w:cs="Calibri"/>
                <w:color w:val="000000"/>
                <w:sz w:val="20"/>
                <w:szCs w:val="20"/>
              </w:rPr>
              <w:t>dministrator by applying EST to supplier sales</w:t>
            </w:r>
          </w:p>
        </w:tc>
      </w:tr>
      <w:tr w:rsidR="00422AB6" w:rsidRPr="004F7A03" w:rsidTr="004F7A03">
        <w:trPr>
          <w:cantSplit/>
          <w:trHeight w:val="765"/>
        </w:trPr>
        <w:tc>
          <w:tcPr>
            <w:tcW w:w="1418"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b/>
                <w:bCs/>
                <w:color w:val="000000"/>
                <w:sz w:val="20"/>
                <w:szCs w:val="20"/>
              </w:rPr>
            </w:pPr>
            <w:r w:rsidRPr="004F7A03">
              <w:rPr>
                <w:rFonts w:asciiTheme="minorHAnsi" w:hAnsiTheme="minorHAnsi" w:cs="Calibri"/>
                <w:b/>
                <w:bCs/>
                <w:color w:val="000000"/>
                <w:sz w:val="20"/>
                <w:szCs w:val="20"/>
              </w:rPr>
              <w:t xml:space="preserve">Priority </w:t>
            </w:r>
            <w:r w:rsidR="000E6646">
              <w:rPr>
                <w:rFonts w:asciiTheme="minorHAnsi" w:hAnsiTheme="minorHAnsi" w:cs="Calibri"/>
                <w:b/>
                <w:bCs/>
                <w:color w:val="000000"/>
                <w:sz w:val="20"/>
                <w:szCs w:val="20"/>
              </w:rPr>
              <w:t>H</w:t>
            </w:r>
            <w:r w:rsidRPr="004F7A03">
              <w:rPr>
                <w:rFonts w:asciiTheme="minorHAnsi" w:hAnsiTheme="minorHAnsi" w:cs="Calibri"/>
                <w:b/>
                <w:bCs/>
                <w:color w:val="000000"/>
                <w:sz w:val="20"/>
                <w:szCs w:val="20"/>
              </w:rPr>
              <w:t xml:space="preserve">ouseholds </w:t>
            </w:r>
            <w:r w:rsidR="000E6646">
              <w:rPr>
                <w:rFonts w:asciiTheme="minorHAnsi" w:hAnsiTheme="minorHAnsi" w:cs="Calibri"/>
                <w:b/>
                <w:bCs/>
                <w:color w:val="000000"/>
                <w:sz w:val="20"/>
                <w:szCs w:val="20"/>
              </w:rPr>
              <w:t>T</w:t>
            </w:r>
            <w:r w:rsidRPr="004F7A03">
              <w:rPr>
                <w:rFonts w:asciiTheme="minorHAnsi" w:hAnsiTheme="minorHAnsi" w:cs="Calibri"/>
                <w:b/>
                <w:bCs/>
                <w:color w:val="000000"/>
                <w:sz w:val="20"/>
                <w:szCs w:val="20"/>
              </w:rPr>
              <w:t>arget (PHT)</w:t>
            </w:r>
          </w:p>
        </w:tc>
        <w:tc>
          <w:tcPr>
            <w:tcW w:w="5670" w:type="dxa"/>
            <w:shd w:val="clear" w:color="auto" w:fill="FFFFFF" w:themeFill="background1"/>
            <w:tcMar>
              <w:top w:w="85" w:type="dxa"/>
              <w:bottom w:w="85" w:type="dxa"/>
            </w:tcMar>
            <w:hideMark/>
          </w:tcPr>
          <w:p w:rsidR="00422AB6" w:rsidRPr="004F7A03" w:rsidRDefault="00422AB6" w:rsidP="007F3E79">
            <w:pPr>
              <w:autoSpaceDE w:val="0"/>
              <w:autoSpaceDN w:val="0"/>
              <w:adjustRightInd w:val="0"/>
              <w:spacing w:after="0" w:line="240" w:lineRule="auto"/>
              <w:rPr>
                <w:rFonts w:asciiTheme="minorHAnsi" w:hAnsiTheme="minorHAnsi" w:cs="Calibri"/>
                <w:sz w:val="20"/>
                <w:szCs w:val="20"/>
              </w:rPr>
            </w:pPr>
            <w:r w:rsidRPr="004F7A03">
              <w:rPr>
                <w:rFonts w:asciiTheme="minorHAnsi" w:hAnsiTheme="minorHAnsi" w:cs="Calibri"/>
                <w:sz w:val="20"/>
                <w:szCs w:val="20"/>
              </w:rPr>
              <w:t>The total reduction in greenhouse gas emissions to be achieved by tier 1 electricity suppliers undertaking eligible activities at priority households in a compliance period, expressed as a percentage of the supplier’s energy savings obligation of tier 1 electricity suppliers in the ACT.</w:t>
            </w:r>
          </w:p>
        </w:tc>
        <w:tc>
          <w:tcPr>
            <w:tcW w:w="1984"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Set by Disallowable Instrument</w:t>
            </w:r>
          </w:p>
        </w:tc>
      </w:tr>
      <w:tr w:rsidR="00422AB6" w:rsidRPr="004F7A03" w:rsidTr="004F7A03">
        <w:trPr>
          <w:cantSplit/>
          <w:trHeight w:val="510"/>
        </w:trPr>
        <w:tc>
          <w:tcPr>
            <w:tcW w:w="1418"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b/>
                <w:bCs/>
                <w:color w:val="000000"/>
                <w:sz w:val="20"/>
                <w:szCs w:val="20"/>
              </w:rPr>
            </w:pPr>
            <w:r w:rsidRPr="004F7A03">
              <w:rPr>
                <w:rFonts w:asciiTheme="minorHAnsi" w:hAnsiTheme="minorHAnsi" w:cs="Calibri"/>
                <w:b/>
                <w:bCs/>
                <w:color w:val="000000"/>
                <w:sz w:val="20"/>
                <w:szCs w:val="20"/>
              </w:rPr>
              <w:t xml:space="preserve">Supplier </w:t>
            </w:r>
            <w:r w:rsidR="000E6646">
              <w:rPr>
                <w:rFonts w:asciiTheme="minorHAnsi" w:hAnsiTheme="minorHAnsi" w:cs="Calibri"/>
                <w:b/>
                <w:bCs/>
                <w:color w:val="000000"/>
                <w:sz w:val="20"/>
                <w:szCs w:val="20"/>
              </w:rPr>
              <w:t>P</w:t>
            </w:r>
            <w:r w:rsidRPr="004F7A03">
              <w:rPr>
                <w:rFonts w:asciiTheme="minorHAnsi" w:hAnsiTheme="minorHAnsi" w:cs="Calibri"/>
                <w:b/>
                <w:bCs/>
                <w:color w:val="000000"/>
                <w:sz w:val="20"/>
                <w:szCs w:val="20"/>
              </w:rPr>
              <w:t xml:space="preserve">riority </w:t>
            </w:r>
            <w:r w:rsidR="000E6646">
              <w:rPr>
                <w:rFonts w:asciiTheme="minorHAnsi" w:hAnsiTheme="minorHAnsi" w:cs="Calibri"/>
                <w:b/>
                <w:bCs/>
                <w:color w:val="000000"/>
                <w:sz w:val="20"/>
                <w:szCs w:val="20"/>
              </w:rPr>
              <w:t>H</w:t>
            </w:r>
            <w:r w:rsidRPr="004F7A03">
              <w:rPr>
                <w:rFonts w:asciiTheme="minorHAnsi" w:hAnsiTheme="minorHAnsi" w:cs="Calibri"/>
                <w:b/>
                <w:bCs/>
                <w:color w:val="000000"/>
                <w:sz w:val="20"/>
                <w:szCs w:val="20"/>
              </w:rPr>
              <w:t>ouseholds Obligation (SPHO)</w:t>
            </w:r>
          </w:p>
        </w:tc>
        <w:tc>
          <w:tcPr>
            <w:tcW w:w="5670" w:type="dxa"/>
            <w:shd w:val="clear" w:color="auto" w:fill="FFFFFF" w:themeFill="background1"/>
            <w:tcMar>
              <w:top w:w="85" w:type="dxa"/>
              <w:bottom w:w="85" w:type="dxa"/>
            </w:tcMar>
            <w:hideMark/>
          </w:tcPr>
          <w:p w:rsidR="00422AB6" w:rsidRPr="004F7A03" w:rsidRDefault="00422AB6" w:rsidP="000C034B">
            <w:pPr>
              <w:spacing w:after="0"/>
              <w:rPr>
                <w:rFonts w:asciiTheme="minorHAnsi" w:hAnsiTheme="minorHAnsi" w:cs="Calibri"/>
                <w:sz w:val="20"/>
                <w:szCs w:val="20"/>
              </w:rPr>
            </w:pPr>
            <w:r w:rsidRPr="004F7A03">
              <w:rPr>
                <w:rFonts w:asciiTheme="minorHAnsi" w:hAnsiTheme="minorHAnsi" w:cs="Calibri"/>
                <w:color w:val="000000"/>
                <w:sz w:val="20"/>
                <w:szCs w:val="20"/>
              </w:rPr>
              <w:t>The amount of greenhouse abatement that must be achieved by a given supplier at priority group households by undertaking eligible activities within the ACT in a given year expressed in tonnes CO2-e</w:t>
            </w:r>
            <w:r w:rsidR="000C034B">
              <w:rPr>
                <w:rFonts w:asciiTheme="minorHAnsi" w:hAnsiTheme="minorHAnsi" w:cs="Calibri"/>
                <w:color w:val="000000"/>
                <w:sz w:val="20"/>
                <w:szCs w:val="20"/>
              </w:rPr>
              <w:t>.</w:t>
            </w:r>
          </w:p>
          <w:p w:rsidR="00422AB6" w:rsidRPr="004F7A03" w:rsidRDefault="00422AB6" w:rsidP="007F3E79">
            <w:pPr>
              <w:jc w:val="center"/>
              <w:rPr>
                <w:rFonts w:asciiTheme="minorHAnsi" w:hAnsiTheme="minorHAnsi" w:cs="Calibri"/>
                <w:sz w:val="20"/>
                <w:szCs w:val="20"/>
              </w:rPr>
            </w:pPr>
            <w:r w:rsidRPr="004F7A03">
              <w:rPr>
                <w:rFonts w:asciiTheme="minorHAnsi" w:hAnsiTheme="minorHAnsi" w:cs="Calibri"/>
                <w:sz w:val="20"/>
                <w:szCs w:val="20"/>
              </w:rPr>
              <w:t>SPHO = SESO x PHT</w:t>
            </w:r>
          </w:p>
        </w:tc>
        <w:tc>
          <w:tcPr>
            <w:tcW w:w="1984"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 xml:space="preserve">Determined by supplier and Scheme </w:t>
            </w:r>
            <w:r w:rsidR="008C0D5D">
              <w:rPr>
                <w:rFonts w:asciiTheme="minorHAnsi" w:hAnsiTheme="minorHAnsi" w:cs="Calibri"/>
                <w:color w:val="000000"/>
                <w:sz w:val="20"/>
                <w:szCs w:val="20"/>
              </w:rPr>
              <w:t>A</w:t>
            </w:r>
            <w:r w:rsidRPr="004F7A03">
              <w:rPr>
                <w:rFonts w:asciiTheme="minorHAnsi" w:hAnsiTheme="minorHAnsi" w:cs="Calibri"/>
                <w:color w:val="000000"/>
                <w:sz w:val="20"/>
                <w:szCs w:val="20"/>
              </w:rPr>
              <w:t>dministrator by applying PHT to SESO</w:t>
            </w:r>
          </w:p>
        </w:tc>
      </w:tr>
      <w:tr w:rsidR="00422AB6" w:rsidRPr="004F7A03" w:rsidTr="004F7A03">
        <w:trPr>
          <w:cantSplit/>
          <w:trHeight w:val="510"/>
        </w:trPr>
        <w:tc>
          <w:tcPr>
            <w:tcW w:w="1418"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b/>
                <w:bCs/>
                <w:color w:val="000000"/>
                <w:sz w:val="20"/>
                <w:szCs w:val="20"/>
              </w:rPr>
            </w:pPr>
            <w:r w:rsidRPr="004F7A03">
              <w:rPr>
                <w:rFonts w:asciiTheme="minorHAnsi" w:hAnsiTheme="minorHAnsi" w:cs="Calibri"/>
                <w:b/>
                <w:bCs/>
                <w:color w:val="000000"/>
                <w:sz w:val="20"/>
                <w:szCs w:val="20"/>
              </w:rPr>
              <w:t>Eligible activities</w:t>
            </w:r>
          </w:p>
        </w:tc>
        <w:tc>
          <w:tcPr>
            <w:tcW w:w="5670"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An energy saving activity a relevant entity may undertake to meet their energy savings target</w:t>
            </w:r>
            <w:r w:rsidR="000C034B">
              <w:rPr>
                <w:rFonts w:asciiTheme="minorHAnsi" w:hAnsiTheme="minorHAnsi" w:cs="Calibri"/>
                <w:color w:val="000000"/>
                <w:sz w:val="20"/>
                <w:szCs w:val="20"/>
              </w:rPr>
              <w:t>.</w:t>
            </w:r>
          </w:p>
        </w:tc>
        <w:tc>
          <w:tcPr>
            <w:tcW w:w="1984"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 xml:space="preserve">Defined by </w:t>
            </w:r>
            <w:r w:rsidR="00DF0100">
              <w:rPr>
                <w:rFonts w:asciiTheme="minorHAnsi" w:hAnsiTheme="minorHAnsi" w:cs="Calibri"/>
                <w:color w:val="000000"/>
                <w:sz w:val="20"/>
                <w:szCs w:val="20"/>
              </w:rPr>
              <w:t>Notifiable Instrument</w:t>
            </w:r>
          </w:p>
        </w:tc>
      </w:tr>
      <w:tr w:rsidR="00422AB6" w:rsidRPr="004F7A03" w:rsidTr="004F7A03">
        <w:trPr>
          <w:cantSplit/>
          <w:trHeight w:val="510"/>
        </w:trPr>
        <w:tc>
          <w:tcPr>
            <w:tcW w:w="1418"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b/>
                <w:bCs/>
                <w:color w:val="000000"/>
                <w:sz w:val="20"/>
                <w:szCs w:val="20"/>
              </w:rPr>
            </w:pPr>
            <w:r w:rsidRPr="004F7A03">
              <w:rPr>
                <w:rFonts w:asciiTheme="minorHAnsi" w:hAnsiTheme="minorHAnsi" w:cs="Calibri"/>
                <w:b/>
                <w:bCs/>
                <w:color w:val="000000"/>
                <w:sz w:val="20"/>
                <w:szCs w:val="20"/>
              </w:rPr>
              <w:t>Abatement factor</w:t>
            </w:r>
          </w:p>
        </w:tc>
        <w:tc>
          <w:tcPr>
            <w:tcW w:w="5670" w:type="dxa"/>
            <w:shd w:val="clear" w:color="auto" w:fill="FFFFFF" w:themeFill="background1"/>
            <w:tcMar>
              <w:top w:w="85" w:type="dxa"/>
              <w:bottom w:w="85" w:type="dxa"/>
            </w:tcMar>
            <w:hideMark/>
          </w:tcPr>
          <w:p w:rsidR="00422AB6" w:rsidRPr="004F7A03" w:rsidRDefault="00422AB6" w:rsidP="007F3E79">
            <w:pPr>
              <w:autoSpaceDE w:val="0"/>
              <w:autoSpaceDN w:val="0"/>
              <w:adjustRightInd w:val="0"/>
              <w:spacing w:after="0" w:line="240" w:lineRule="auto"/>
              <w:rPr>
                <w:rFonts w:asciiTheme="minorHAnsi" w:hAnsiTheme="minorHAnsi" w:cs="Calibri"/>
                <w:sz w:val="20"/>
                <w:szCs w:val="20"/>
              </w:rPr>
            </w:pPr>
            <w:r w:rsidRPr="004F7A03">
              <w:rPr>
                <w:rFonts w:asciiTheme="minorHAnsi" w:hAnsiTheme="minorHAnsi" w:cs="Calibri"/>
                <w:sz w:val="20"/>
                <w:szCs w:val="20"/>
              </w:rPr>
              <w:t>The number of tonnes of carbon dioxide equivalent emissions that an eligible activity is taken to save.</w:t>
            </w:r>
          </w:p>
        </w:tc>
        <w:tc>
          <w:tcPr>
            <w:tcW w:w="1984"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 xml:space="preserve">Defined by </w:t>
            </w:r>
            <w:r w:rsidR="00DF0100">
              <w:rPr>
                <w:rFonts w:asciiTheme="minorHAnsi" w:hAnsiTheme="minorHAnsi" w:cs="Calibri"/>
                <w:color w:val="000000"/>
                <w:sz w:val="20"/>
                <w:szCs w:val="20"/>
              </w:rPr>
              <w:t>Notifiable Instrument</w:t>
            </w:r>
          </w:p>
        </w:tc>
      </w:tr>
      <w:tr w:rsidR="00422AB6" w:rsidRPr="004F7A03" w:rsidTr="004F7A03">
        <w:trPr>
          <w:cantSplit/>
          <w:trHeight w:val="510"/>
        </w:trPr>
        <w:tc>
          <w:tcPr>
            <w:tcW w:w="1418"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b/>
                <w:bCs/>
                <w:color w:val="000000"/>
                <w:sz w:val="20"/>
                <w:szCs w:val="20"/>
              </w:rPr>
            </w:pPr>
            <w:r w:rsidRPr="004F7A03">
              <w:rPr>
                <w:rFonts w:asciiTheme="minorHAnsi" w:hAnsiTheme="minorHAnsi" w:cs="Calibri"/>
                <w:b/>
                <w:bCs/>
                <w:color w:val="000000"/>
                <w:sz w:val="20"/>
                <w:szCs w:val="20"/>
              </w:rPr>
              <w:t>Priority households</w:t>
            </w:r>
          </w:p>
        </w:tc>
        <w:tc>
          <w:tcPr>
            <w:tcW w:w="5670"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Low</w:t>
            </w:r>
            <w:r w:rsidR="000E6646">
              <w:rPr>
                <w:rFonts w:asciiTheme="minorHAnsi" w:hAnsiTheme="minorHAnsi" w:cs="Calibri"/>
                <w:color w:val="000000"/>
                <w:sz w:val="20"/>
                <w:szCs w:val="20"/>
              </w:rPr>
              <w:t>-</w:t>
            </w:r>
            <w:r w:rsidRPr="004F7A03">
              <w:rPr>
                <w:rFonts w:asciiTheme="minorHAnsi" w:hAnsiTheme="minorHAnsi" w:cs="Calibri"/>
                <w:color w:val="000000"/>
                <w:sz w:val="20"/>
                <w:szCs w:val="20"/>
              </w:rPr>
              <w:t>income households that meet a set of criteria as determined by the Minister</w:t>
            </w:r>
            <w:r w:rsidR="000C034B">
              <w:rPr>
                <w:rFonts w:asciiTheme="minorHAnsi" w:hAnsiTheme="minorHAnsi" w:cs="Calibri"/>
                <w:color w:val="000000"/>
                <w:sz w:val="20"/>
                <w:szCs w:val="20"/>
              </w:rPr>
              <w:t>.</w:t>
            </w:r>
          </w:p>
        </w:tc>
        <w:tc>
          <w:tcPr>
            <w:tcW w:w="1984"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 xml:space="preserve">Defined in Act, with provision to define further households by regulation </w:t>
            </w:r>
          </w:p>
        </w:tc>
      </w:tr>
      <w:tr w:rsidR="00422AB6" w:rsidRPr="004F7A03" w:rsidTr="004F7A03">
        <w:trPr>
          <w:cantSplit/>
          <w:trHeight w:val="3165"/>
        </w:trPr>
        <w:tc>
          <w:tcPr>
            <w:tcW w:w="1418" w:type="dxa"/>
            <w:shd w:val="clear" w:color="auto" w:fill="FFFFFF" w:themeFill="background1"/>
            <w:tcMar>
              <w:top w:w="85" w:type="dxa"/>
              <w:bottom w:w="85" w:type="dxa"/>
            </w:tcMar>
            <w:hideMark/>
          </w:tcPr>
          <w:p w:rsidR="00422AB6" w:rsidRPr="004F7A03" w:rsidRDefault="00422AB6" w:rsidP="008C0D5D">
            <w:pPr>
              <w:spacing w:after="0"/>
              <w:rPr>
                <w:rFonts w:asciiTheme="minorHAnsi" w:hAnsiTheme="minorHAnsi" w:cs="Calibri"/>
                <w:b/>
                <w:bCs/>
                <w:color w:val="000000"/>
                <w:sz w:val="20"/>
                <w:szCs w:val="20"/>
                <w:highlight w:val="green"/>
              </w:rPr>
            </w:pPr>
            <w:r w:rsidRPr="004F7A03">
              <w:rPr>
                <w:rFonts w:asciiTheme="minorHAnsi" w:hAnsiTheme="minorHAnsi" w:cs="Calibri"/>
                <w:b/>
                <w:bCs/>
                <w:color w:val="000000"/>
                <w:sz w:val="20"/>
                <w:szCs w:val="20"/>
              </w:rPr>
              <w:t xml:space="preserve">Scheme </w:t>
            </w:r>
            <w:r w:rsidR="008C0D5D">
              <w:rPr>
                <w:rFonts w:asciiTheme="minorHAnsi" w:hAnsiTheme="minorHAnsi" w:cs="Calibri"/>
                <w:b/>
                <w:bCs/>
                <w:color w:val="000000"/>
                <w:sz w:val="20"/>
                <w:szCs w:val="20"/>
              </w:rPr>
              <w:t>A</w:t>
            </w:r>
            <w:r w:rsidRPr="004F7A03">
              <w:rPr>
                <w:rFonts w:asciiTheme="minorHAnsi" w:hAnsiTheme="minorHAnsi" w:cs="Calibri"/>
                <w:b/>
                <w:bCs/>
                <w:color w:val="000000"/>
                <w:sz w:val="20"/>
                <w:szCs w:val="20"/>
              </w:rPr>
              <w:t>dministrator</w:t>
            </w:r>
          </w:p>
        </w:tc>
        <w:tc>
          <w:tcPr>
            <w:tcW w:w="5670"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An external body appointed by the Minister, who is responsible for:</w:t>
            </w:r>
          </w:p>
          <w:p w:rsidR="00422AB6" w:rsidRPr="004F7A03" w:rsidRDefault="00422AB6" w:rsidP="00B96C73">
            <w:pPr>
              <w:pStyle w:val="ListParagraph"/>
              <w:numPr>
                <w:ilvl w:val="0"/>
                <w:numId w:val="27"/>
              </w:numPr>
              <w:autoSpaceDE w:val="0"/>
              <w:autoSpaceDN w:val="0"/>
              <w:adjustRightInd w:val="0"/>
              <w:spacing w:after="0" w:line="240" w:lineRule="auto"/>
              <w:ind w:left="360"/>
              <w:rPr>
                <w:rFonts w:asciiTheme="minorHAnsi" w:hAnsiTheme="minorHAnsi" w:cs="Calibri"/>
                <w:sz w:val="20"/>
                <w:szCs w:val="20"/>
              </w:rPr>
            </w:pPr>
            <w:r w:rsidRPr="004F7A03">
              <w:rPr>
                <w:rFonts w:asciiTheme="minorHAnsi" w:hAnsiTheme="minorHAnsi" w:cs="Calibri"/>
                <w:sz w:val="20"/>
                <w:szCs w:val="20"/>
              </w:rPr>
              <w:t>establishing reporting and record keeping requirements for electricity suppliers;</w:t>
            </w:r>
          </w:p>
          <w:p w:rsidR="00422AB6" w:rsidRPr="004F7A03" w:rsidRDefault="00422AB6" w:rsidP="00B96C73">
            <w:pPr>
              <w:pStyle w:val="ListParagraph"/>
              <w:numPr>
                <w:ilvl w:val="0"/>
                <w:numId w:val="27"/>
              </w:numPr>
              <w:autoSpaceDE w:val="0"/>
              <w:autoSpaceDN w:val="0"/>
              <w:adjustRightInd w:val="0"/>
              <w:spacing w:after="0" w:line="240" w:lineRule="auto"/>
              <w:ind w:left="360"/>
              <w:rPr>
                <w:rFonts w:asciiTheme="minorHAnsi" w:hAnsiTheme="minorHAnsi" w:cs="Calibri"/>
                <w:sz w:val="20"/>
                <w:szCs w:val="20"/>
              </w:rPr>
            </w:pPr>
            <w:r w:rsidRPr="004F7A03">
              <w:rPr>
                <w:rFonts w:asciiTheme="minorHAnsi" w:hAnsiTheme="minorHAnsi" w:cs="Calibri"/>
                <w:sz w:val="20"/>
                <w:szCs w:val="20"/>
              </w:rPr>
              <w:t>determining electricity suppliers’ compliance with the</w:t>
            </w:r>
          </w:p>
          <w:p w:rsidR="00422AB6" w:rsidRPr="004F7A03" w:rsidRDefault="00422AB6" w:rsidP="007F3E79">
            <w:pPr>
              <w:pStyle w:val="ListParagraph"/>
              <w:autoSpaceDE w:val="0"/>
              <w:autoSpaceDN w:val="0"/>
              <w:adjustRightInd w:val="0"/>
              <w:spacing w:after="0" w:line="240" w:lineRule="auto"/>
              <w:ind w:left="360"/>
              <w:rPr>
                <w:rFonts w:asciiTheme="minorHAnsi" w:hAnsiTheme="minorHAnsi" w:cs="Calibri"/>
                <w:sz w:val="20"/>
                <w:szCs w:val="20"/>
              </w:rPr>
            </w:pPr>
            <w:r w:rsidRPr="004F7A03">
              <w:rPr>
                <w:rFonts w:asciiTheme="minorHAnsi" w:hAnsiTheme="minorHAnsi" w:cs="Calibri"/>
                <w:sz w:val="20"/>
                <w:szCs w:val="20"/>
              </w:rPr>
              <w:t>supplier’s energy savings obligations;</w:t>
            </w:r>
          </w:p>
          <w:p w:rsidR="00422AB6" w:rsidRPr="004F7A03" w:rsidRDefault="00422AB6" w:rsidP="00B96C73">
            <w:pPr>
              <w:pStyle w:val="ListParagraph"/>
              <w:numPr>
                <w:ilvl w:val="0"/>
                <w:numId w:val="27"/>
              </w:numPr>
              <w:autoSpaceDE w:val="0"/>
              <w:autoSpaceDN w:val="0"/>
              <w:adjustRightInd w:val="0"/>
              <w:spacing w:after="0" w:line="240" w:lineRule="auto"/>
              <w:ind w:left="360"/>
              <w:rPr>
                <w:rFonts w:asciiTheme="minorHAnsi" w:hAnsiTheme="minorHAnsi" w:cs="Calibri"/>
                <w:sz w:val="20"/>
                <w:szCs w:val="20"/>
              </w:rPr>
            </w:pPr>
            <w:r w:rsidRPr="004F7A03">
              <w:rPr>
                <w:rFonts w:asciiTheme="minorHAnsi" w:hAnsiTheme="minorHAnsi" w:cs="Calibri"/>
                <w:sz w:val="20"/>
                <w:szCs w:val="20"/>
              </w:rPr>
              <w:t>approving acquisition of abatement factors;</w:t>
            </w:r>
          </w:p>
          <w:p w:rsidR="00422AB6" w:rsidRPr="004F7A03" w:rsidRDefault="00422AB6" w:rsidP="00B96C73">
            <w:pPr>
              <w:pStyle w:val="ListParagraph"/>
              <w:numPr>
                <w:ilvl w:val="0"/>
                <w:numId w:val="27"/>
              </w:numPr>
              <w:autoSpaceDE w:val="0"/>
              <w:autoSpaceDN w:val="0"/>
              <w:adjustRightInd w:val="0"/>
              <w:spacing w:after="0" w:line="240" w:lineRule="auto"/>
              <w:ind w:left="360"/>
              <w:rPr>
                <w:rFonts w:asciiTheme="minorHAnsi" w:hAnsiTheme="minorHAnsi" w:cs="Calibri"/>
                <w:sz w:val="20"/>
                <w:szCs w:val="20"/>
              </w:rPr>
            </w:pPr>
            <w:r w:rsidRPr="004F7A03">
              <w:rPr>
                <w:rFonts w:asciiTheme="minorHAnsi" w:hAnsiTheme="minorHAnsi" w:cs="Calibri"/>
                <w:sz w:val="20"/>
                <w:szCs w:val="20"/>
              </w:rPr>
              <w:t>approving codes of practice;</w:t>
            </w:r>
          </w:p>
          <w:p w:rsidR="00422AB6" w:rsidRPr="004F7A03" w:rsidRDefault="00422AB6" w:rsidP="00B96C73">
            <w:pPr>
              <w:pStyle w:val="ListParagraph"/>
              <w:numPr>
                <w:ilvl w:val="0"/>
                <w:numId w:val="27"/>
              </w:numPr>
              <w:autoSpaceDE w:val="0"/>
              <w:autoSpaceDN w:val="0"/>
              <w:adjustRightInd w:val="0"/>
              <w:spacing w:after="0" w:line="240" w:lineRule="auto"/>
              <w:ind w:left="360"/>
              <w:rPr>
                <w:rFonts w:asciiTheme="minorHAnsi" w:hAnsiTheme="minorHAnsi" w:cs="Calibri"/>
                <w:sz w:val="20"/>
                <w:szCs w:val="20"/>
              </w:rPr>
            </w:pPr>
            <w:r w:rsidRPr="004F7A03">
              <w:rPr>
                <w:rFonts w:asciiTheme="minorHAnsi" w:hAnsiTheme="minorHAnsi" w:cs="Calibri"/>
                <w:sz w:val="20"/>
                <w:szCs w:val="20"/>
              </w:rPr>
              <w:t>preparing annual reports;</w:t>
            </w:r>
          </w:p>
          <w:p w:rsidR="00422AB6" w:rsidRPr="004F7A03" w:rsidRDefault="00422AB6" w:rsidP="00B96C73">
            <w:pPr>
              <w:pStyle w:val="ListParagraph"/>
              <w:numPr>
                <w:ilvl w:val="0"/>
                <w:numId w:val="27"/>
              </w:numPr>
              <w:autoSpaceDE w:val="0"/>
              <w:autoSpaceDN w:val="0"/>
              <w:adjustRightInd w:val="0"/>
              <w:spacing w:after="0" w:line="240" w:lineRule="auto"/>
              <w:ind w:left="360"/>
              <w:rPr>
                <w:rFonts w:asciiTheme="minorHAnsi" w:hAnsiTheme="minorHAnsi" w:cs="Calibri"/>
                <w:sz w:val="20"/>
                <w:szCs w:val="20"/>
              </w:rPr>
            </w:pPr>
            <w:r w:rsidRPr="004F7A03">
              <w:rPr>
                <w:rFonts w:asciiTheme="minorHAnsi" w:hAnsiTheme="minorHAnsi" w:cs="Calibri"/>
                <w:sz w:val="20"/>
                <w:szCs w:val="20"/>
              </w:rPr>
              <w:t>reporting to the Minister, at the Minister’s request, on anything relating to the operation or administration of this Act; and</w:t>
            </w:r>
          </w:p>
          <w:p w:rsidR="00422AB6" w:rsidRPr="004F7A03" w:rsidRDefault="00422AB6" w:rsidP="00B96C73">
            <w:pPr>
              <w:pStyle w:val="ListParagraph"/>
              <w:numPr>
                <w:ilvl w:val="0"/>
                <w:numId w:val="27"/>
              </w:numPr>
              <w:autoSpaceDE w:val="0"/>
              <w:autoSpaceDN w:val="0"/>
              <w:adjustRightInd w:val="0"/>
              <w:spacing w:after="0" w:line="240" w:lineRule="auto"/>
              <w:ind w:left="360"/>
              <w:rPr>
                <w:rFonts w:asciiTheme="minorHAnsi" w:hAnsiTheme="minorHAnsi" w:cs="Calibri"/>
                <w:sz w:val="20"/>
                <w:szCs w:val="20"/>
              </w:rPr>
            </w:pPr>
            <w:r w:rsidRPr="004F7A03">
              <w:rPr>
                <w:rFonts w:asciiTheme="minorHAnsi" w:hAnsiTheme="minorHAnsi" w:cs="Calibri"/>
                <w:sz w:val="20"/>
                <w:szCs w:val="20"/>
              </w:rPr>
              <w:t>establishing and administering the energy efficiency fund.</w:t>
            </w:r>
          </w:p>
        </w:tc>
        <w:tc>
          <w:tcPr>
            <w:tcW w:w="1984"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 xml:space="preserve">Role of the </w:t>
            </w:r>
            <w:r w:rsidR="008C0D5D">
              <w:rPr>
                <w:rFonts w:asciiTheme="minorHAnsi" w:hAnsiTheme="minorHAnsi" w:cs="Calibri"/>
                <w:color w:val="000000"/>
                <w:sz w:val="20"/>
                <w:szCs w:val="20"/>
              </w:rPr>
              <w:t>A</w:t>
            </w:r>
            <w:r w:rsidRPr="004F7A03">
              <w:rPr>
                <w:rFonts w:asciiTheme="minorHAnsi" w:hAnsiTheme="minorHAnsi" w:cs="Calibri"/>
                <w:color w:val="000000"/>
                <w:sz w:val="20"/>
                <w:szCs w:val="20"/>
              </w:rPr>
              <w:t>dministrator broadly defined in Act</w:t>
            </w:r>
          </w:p>
          <w:p w:rsidR="00422AB6" w:rsidRPr="004F7A03" w:rsidRDefault="00422AB6" w:rsidP="007F3E79">
            <w:pPr>
              <w:spacing w:after="0"/>
              <w:rPr>
                <w:rFonts w:asciiTheme="minorHAnsi" w:hAnsiTheme="minorHAnsi" w:cs="Calibri"/>
                <w:color w:val="000000"/>
                <w:sz w:val="20"/>
                <w:szCs w:val="20"/>
              </w:rPr>
            </w:pPr>
          </w:p>
          <w:p w:rsidR="00422AB6" w:rsidRPr="004F7A03" w:rsidRDefault="008C0D5D" w:rsidP="007F3E79">
            <w:pPr>
              <w:spacing w:after="0"/>
              <w:rPr>
                <w:rFonts w:asciiTheme="minorHAnsi" w:hAnsiTheme="minorHAnsi" w:cs="Calibri"/>
                <w:color w:val="000000"/>
                <w:sz w:val="20"/>
                <w:szCs w:val="20"/>
              </w:rPr>
            </w:pPr>
            <w:r>
              <w:rPr>
                <w:rFonts w:asciiTheme="minorHAnsi" w:hAnsiTheme="minorHAnsi" w:cs="Calibri"/>
                <w:color w:val="000000"/>
                <w:sz w:val="20"/>
                <w:szCs w:val="20"/>
              </w:rPr>
              <w:t>The identity of the A</w:t>
            </w:r>
            <w:r w:rsidR="00422AB6" w:rsidRPr="004F7A03">
              <w:rPr>
                <w:rFonts w:asciiTheme="minorHAnsi" w:hAnsiTheme="minorHAnsi" w:cs="Calibri"/>
                <w:color w:val="000000"/>
                <w:sz w:val="20"/>
                <w:szCs w:val="20"/>
              </w:rPr>
              <w:t>dministrator will be set by appointment</w:t>
            </w:r>
          </w:p>
          <w:p w:rsidR="00422AB6" w:rsidRPr="004F7A03" w:rsidRDefault="00422AB6" w:rsidP="007F3E79">
            <w:pPr>
              <w:spacing w:after="0"/>
              <w:rPr>
                <w:rFonts w:asciiTheme="minorHAnsi" w:hAnsiTheme="minorHAnsi" w:cs="Calibri"/>
                <w:color w:val="000000"/>
                <w:sz w:val="20"/>
                <w:szCs w:val="20"/>
                <w:highlight w:val="yellow"/>
              </w:rPr>
            </w:pPr>
          </w:p>
        </w:tc>
      </w:tr>
      <w:tr w:rsidR="00422AB6" w:rsidRPr="004F7A03" w:rsidTr="004F7A03">
        <w:trPr>
          <w:cantSplit/>
          <w:trHeight w:val="510"/>
        </w:trPr>
        <w:tc>
          <w:tcPr>
            <w:tcW w:w="1418"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b/>
                <w:bCs/>
                <w:color w:val="000000"/>
                <w:sz w:val="20"/>
                <w:szCs w:val="20"/>
                <w:highlight w:val="green"/>
              </w:rPr>
            </w:pPr>
            <w:r w:rsidRPr="004F7A03">
              <w:rPr>
                <w:rFonts w:asciiTheme="minorHAnsi" w:hAnsiTheme="minorHAnsi" w:cs="Calibri"/>
                <w:b/>
                <w:bCs/>
                <w:color w:val="000000"/>
                <w:sz w:val="20"/>
                <w:szCs w:val="20"/>
              </w:rPr>
              <w:t>Compliance plan</w:t>
            </w:r>
          </w:p>
        </w:tc>
        <w:tc>
          <w:tcPr>
            <w:tcW w:w="5670" w:type="dxa"/>
            <w:shd w:val="clear" w:color="auto" w:fill="FFFFFF" w:themeFill="background1"/>
            <w:tcMar>
              <w:top w:w="85" w:type="dxa"/>
              <w:bottom w:w="85" w:type="dxa"/>
            </w:tcMar>
            <w:hideMark/>
          </w:tcPr>
          <w:p w:rsidR="00422AB6" w:rsidRPr="004F7A03" w:rsidRDefault="00422AB6" w:rsidP="008C0D5D">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 xml:space="preserve">A report issued by each ACT electricity supplier to the Scheme </w:t>
            </w:r>
            <w:r w:rsidR="008C0D5D">
              <w:rPr>
                <w:rFonts w:asciiTheme="minorHAnsi" w:hAnsiTheme="minorHAnsi" w:cs="Calibri"/>
                <w:color w:val="000000"/>
                <w:sz w:val="20"/>
                <w:szCs w:val="20"/>
              </w:rPr>
              <w:t>A</w:t>
            </w:r>
            <w:r w:rsidRPr="004F7A03">
              <w:rPr>
                <w:rFonts w:asciiTheme="minorHAnsi" w:hAnsiTheme="minorHAnsi" w:cs="Calibri"/>
                <w:color w:val="000000"/>
                <w:sz w:val="20"/>
                <w:szCs w:val="20"/>
              </w:rPr>
              <w:t>dministrator demonstrating, in advance of a compliance year, how they intend to comply with the Scheme’s requirements</w:t>
            </w:r>
            <w:r w:rsidR="000C034B">
              <w:rPr>
                <w:rFonts w:asciiTheme="minorHAnsi" w:hAnsiTheme="minorHAnsi" w:cs="Calibri"/>
                <w:color w:val="000000"/>
                <w:sz w:val="20"/>
                <w:szCs w:val="20"/>
              </w:rPr>
              <w:t>.</w:t>
            </w:r>
          </w:p>
        </w:tc>
        <w:tc>
          <w:tcPr>
            <w:tcW w:w="1984" w:type="dxa"/>
            <w:shd w:val="clear" w:color="auto" w:fill="FFFFFF" w:themeFill="background1"/>
            <w:tcMar>
              <w:top w:w="85" w:type="dxa"/>
              <w:bottom w:w="85" w:type="dxa"/>
            </w:tcMar>
            <w:hideMark/>
          </w:tcPr>
          <w:p w:rsidR="00422AB6" w:rsidRPr="004F7A03" w:rsidRDefault="008C0D5D" w:rsidP="007F3E79">
            <w:pPr>
              <w:spacing w:after="0"/>
              <w:rPr>
                <w:rFonts w:asciiTheme="minorHAnsi" w:hAnsiTheme="minorHAnsi" w:cs="Calibri"/>
                <w:color w:val="000000"/>
                <w:sz w:val="20"/>
                <w:szCs w:val="20"/>
              </w:rPr>
            </w:pPr>
            <w:r>
              <w:rPr>
                <w:rFonts w:asciiTheme="minorHAnsi" w:hAnsiTheme="minorHAnsi" w:cs="Calibri"/>
                <w:color w:val="000000"/>
                <w:sz w:val="20"/>
                <w:szCs w:val="20"/>
              </w:rPr>
              <w:t>Act provides the ability for A</w:t>
            </w:r>
            <w:r w:rsidR="00422AB6" w:rsidRPr="004F7A03">
              <w:rPr>
                <w:rFonts w:asciiTheme="minorHAnsi" w:hAnsiTheme="minorHAnsi" w:cs="Calibri"/>
                <w:color w:val="000000"/>
                <w:sz w:val="20"/>
                <w:szCs w:val="20"/>
              </w:rPr>
              <w:t>dministrator to define supplier reporting requirements</w:t>
            </w:r>
          </w:p>
        </w:tc>
      </w:tr>
      <w:tr w:rsidR="00422AB6" w:rsidRPr="004F7A03" w:rsidTr="004F7A03">
        <w:trPr>
          <w:cantSplit/>
          <w:trHeight w:val="510"/>
        </w:trPr>
        <w:tc>
          <w:tcPr>
            <w:tcW w:w="1418"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b/>
                <w:bCs/>
                <w:color w:val="000000"/>
                <w:sz w:val="20"/>
                <w:szCs w:val="20"/>
              </w:rPr>
            </w:pPr>
            <w:r w:rsidRPr="004F7A03">
              <w:rPr>
                <w:rFonts w:asciiTheme="minorHAnsi" w:hAnsiTheme="minorHAnsi" w:cs="Calibri"/>
                <w:b/>
                <w:bCs/>
                <w:color w:val="000000"/>
                <w:sz w:val="20"/>
                <w:szCs w:val="20"/>
              </w:rPr>
              <w:t>Annual report</w:t>
            </w:r>
          </w:p>
        </w:tc>
        <w:tc>
          <w:tcPr>
            <w:tcW w:w="5670" w:type="dxa"/>
            <w:shd w:val="clear" w:color="auto" w:fill="FFFFFF" w:themeFill="background1"/>
            <w:tcMar>
              <w:top w:w="85" w:type="dxa"/>
              <w:bottom w:w="85" w:type="dxa"/>
            </w:tcMar>
            <w:hideMark/>
          </w:tcPr>
          <w:p w:rsidR="00422AB6" w:rsidRPr="004F7A03" w:rsidRDefault="00422AB6" w:rsidP="008C0D5D">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 xml:space="preserve">A report issued by the Scheme </w:t>
            </w:r>
            <w:r w:rsidR="008C0D5D">
              <w:rPr>
                <w:rFonts w:asciiTheme="minorHAnsi" w:hAnsiTheme="minorHAnsi" w:cs="Calibri"/>
                <w:color w:val="000000"/>
                <w:sz w:val="20"/>
                <w:szCs w:val="20"/>
              </w:rPr>
              <w:t>A</w:t>
            </w:r>
            <w:r w:rsidRPr="004F7A03">
              <w:rPr>
                <w:rFonts w:asciiTheme="minorHAnsi" w:hAnsiTheme="minorHAnsi" w:cs="Calibri"/>
                <w:color w:val="000000"/>
                <w:sz w:val="20"/>
                <w:szCs w:val="20"/>
              </w:rPr>
              <w:t>dministrator on overall Scheme compliance and operation</w:t>
            </w:r>
            <w:r w:rsidR="000C034B">
              <w:rPr>
                <w:rFonts w:asciiTheme="minorHAnsi" w:hAnsiTheme="minorHAnsi" w:cs="Calibri"/>
                <w:color w:val="000000"/>
                <w:sz w:val="20"/>
                <w:szCs w:val="20"/>
              </w:rPr>
              <w:t>.</w:t>
            </w:r>
          </w:p>
        </w:tc>
        <w:tc>
          <w:tcPr>
            <w:tcW w:w="1984"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Defined in Act</w:t>
            </w:r>
          </w:p>
        </w:tc>
      </w:tr>
      <w:tr w:rsidR="00422AB6" w:rsidRPr="004F7A03" w:rsidTr="004F7A03">
        <w:trPr>
          <w:cantSplit/>
          <w:trHeight w:val="255"/>
        </w:trPr>
        <w:tc>
          <w:tcPr>
            <w:tcW w:w="1418"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b/>
                <w:color w:val="000000"/>
                <w:sz w:val="20"/>
                <w:szCs w:val="20"/>
              </w:rPr>
            </w:pPr>
            <w:r w:rsidRPr="004F7A03">
              <w:rPr>
                <w:rFonts w:asciiTheme="minorHAnsi" w:hAnsiTheme="minorHAnsi" w:cs="Calibri"/>
                <w:b/>
                <w:color w:val="000000"/>
                <w:sz w:val="20"/>
                <w:szCs w:val="20"/>
              </w:rPr>
              <w:t> Shortfall penalty</w:t>
            </w:r>
          </w:p>
        </w:tc>
        <w:tc>
          <w:tcPr>
            <w:tcW w:w="5670" w:type="dxa"/>
            <w:shd w:val="clear" w:color="auto" w:fill="FFFFFF" w:themeFill="background1"/>
            <w:tcMar>
              <w:top w:w="85" w:type="dxa"/>
              <w:bottom w:w="85" w:type="dxa"/>
            </w:tcMar>
            <w:hideMark/>
          </w:tcPr>
          <w:p w:rsidR="00422AB6" w:rsidRPr="00315479" w:rsidRDefault="00422AB6" w:rsidP="007F3E79">
            <w:pPr>
              <w:autoSpaceDE w:val="0"/>
              <w:autoSpaceDN w:val="0"/>
              <w:adjustRightInd w:val="0"/>
              <w:spacing w:after="0" w:line="240" w:lineRule="auto"/>
              <w:rPr>
                <w:rFonts w:asciiTheme="minorHAnsi" w:hAnsiTheme="minorHAnsi" w:cs="Calibri"/>
                <w:sz w:val="20"/>
                <w:szCs w:val="20"/>
              </w:rPr>
            </w:pPr>
            <w:r w:rsidRPr="00315479">
              <w:rPr>
                <w:rFonts w:asciiTheme="minorHAnsi" w:hAnsiTheme="minorHAnsi" w:cs="Calibri"/>
                <w:sz w:val="20"/>
                <w:szCs w:val="20"/>
              </w:rPr>
              <w:t>The penalty a supplier is liable to pay for not achieving their SESO or SPHO</w:t>
            </w:r>
            <w:r w:rsidR="000C034B" w:rsidRPr="00315479">
              <w:rPr>
                <w:rFonts w:asciiTheme="minorHAnsi" w:hAnsiTheme="minorHAnsi" w:cs="Calibri"/>
                <w:sz w:val="20"/>
                <w:szCs w:val="20"/>
              </w:rPr>
              <w:t>.</w:t>
            </w:r>
          </w:p>
          <w:p w:rsidR="00422AB6" w:rsidRPr="00315479" w:rsidRDefault="00422AB6" w:rsidP="007F3E79">
            <w:pPr>
              <w:autoSpaceDE w:val="0"/>
              <w:autoSpaceDN w:val="0"/>
              <w:adjustRightInd w:val="0"/>
              <w:spacing w:after="0" w:line="240" w:lineRule="auto"/>
              <w:rPr>
                <w:rFonts w:asciiTheme="minorHAnsi" w:hAnsiTheme="minorHAnsi" w:cs="Calibri"/>
                <w:sz w:val="20"/>
                <w:szCs w:val="20"/>
              </w:rPr>
            </w:pPr>
            <w:r w:rsidRPr="00315479">
              <w:rPr>
                <w:rFonts w:asciiTheme="minorHAnsi" w:hAnsiTheme="minorHAnsi" w:cs="Calibri"/>
                <w:sz w:val="20"/>
                <w:szCs w:val="20"/>
              </w:rPr>
              <w:t>The shortfall penalty is $</w:t>
            </w:r>
            <w:r w:rsidR="004A4A47" w:rsidRPr="00315479">
              <w:rPr>
                <w:rFonts w:asciiTheme="minorHAnsi" w:hAnsiTheme="minorHAnsi" w:cs="Calibri"/>
                <w:sz w:val="20"/>
                <w:szCs w:val="20"/>
              </w:rPr>
              <w:t>7</w:t>
            </w:r>
            <w:r w:rsidRPr="00315479">
              <w:rPr>
                <w:rFonts w:asciiTheme="minorHAnsi" w:hAnsiTheme="minorHAnsi" w:cs="Calibri"/>
                <w:sz w:val="20"/>
                <w:szCs w:val="20"/>
              </w:rPr>
              <w:t>0 per tonne of carbon dioxide equivalent greenhouse gas emissions in the shortfall.</w:t>
            </w:r>
          </w:p>
          <w:p w:rsidR="00422AB6" w:rsidRPr="00315479" w:rsidRDefault="00422AB6" w:rsidP="007F3E79">
            <w:pPr>
              <w:autoSpaceDE w:val="0"/>
              <w:autoSpaceDN w:val="0"/>
              <w:adjustRightInd w:val="0"/>
              <w:spacing w:after="0" w:line="240" w:lineRule="auto"/>
              <w:rPr>
                <w:rFonts w:asciiTheme="minorHAnsi" w:hAnsiTheme="minorHAnsi" w:cs="Calibri"/>
                <w:sz w:val="20"/>
                <w:szCs w:val="20"/>
              </w:rPr>
            </w:pPr>
            <w:r w:rsidRPr="00315479">
              <w:rPr>
                <w:rFonts w:asciiTheme="minorHAnsi" w:hAnsiTheme="minorHAnsi" w:cs="Calibri"/>
                <w:sz w:val="20"/>
                <w:szCs w:val="20"/>
              </w:rPr>
              <w:t>In the first 6 months of the Scheme 50% of this shortfall may be carried forward into the next compliance period. In subsequent years 10% may be carried forward, excluding in the final year when no shortfall may be carried forward.</w:t>
            </w:r>
          </w:p>
        </w:tc>
        <w:tc>
          <w:tcPr>
            <w:tcW w:w="1984"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 xml:space="preserve">Defined in Act </w:t>
            </w:r>
          </w:p>
        </w:tc>
      </w:tr>
      <w:tr w:rsidR="00422AB6" w:rsidRPr="004F7A03" w:rsidTr="004F7A03">
        <w:trPr>
          <w:cantSplit/>
          <w:trHeight w:val="255"/>
        </w:trPr>
        <w:tc>
          <w:tcPr>
            <w:tcW w:w="1418"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b/>
                <w:bCs/>
                <w:color w:val="000000"/>
                <w:sz w:val="20"/>
                <w:szCs w:val="20"/>
              </w:rPr>
            </w:pPr>
            <w:r w:rsidRPr="004F7A03">
              <w:rPr>
                <w:rFonts w:asciiTheme="minorHAnsi" w:hAnsiTheme="minorHAnsi" w:cs="Calibri"/>
                <w:b/>
                <w:bCs/>
                <w:color w:val="000000"/>
                <w:sz w:val="20"/>
                <w:szCs w:val="20"/>
              </w:rPr>
              <w:t xml:space="preserve">Energy </w:t>
            </w:r>
            <w:r w:rsidR="008C5AF7">
              <w:rPr>
                <w:rFonts w:asciiTheme="minorHAnsi" w:hAnsiTheme="minorHAnsi" w:cs="Calibri"/>
                <w:b/>
                <w:bCs/>
                <w:color w:val="000000"/>
                <w:sz w:val="20"/>
                <w:szCs w:val="20"/>
              </w:rPr>
              <w:t>S</w:t>
            </w:r>
            <w:r w:rsidRPr="004F7A03">
              <w:rPr>
                <w:rFonts w:asciiTheme="minorHAnsi" w:hAnsiTheme="minorHAnsi" w:cs="Calibri"/>
                <w:b/>
                <w:bCs/>
                <w:color w:val="000000"/>
                <w:sz w:val="20"/>
                <w:szCs w:val="20"/>
              </w:rPr>
              <w:t xml:space="preserve">avings </w:t>
            </w:r>
            <w:r w:rsidR="008C5AF7">
              <w:rPr>
                <w:rFonts w:asciiTheme="minorHAnsi" w:hAnsiTheme="minorHAnsi" w:cs="Calibri"/>
                <w:b/>
                <w:bCs/>
                <w:color w:val="000000"/>
                <w:sz w:val="20"/>
                <w:szCs w:val="20"/>
              </w:rPr>
              <w:t>C</w:t>
            </w:r>
            <w:r w:rsidRPr="004F7A03">
              <w:rPr>
                <w:rFonts w:asciiTheme="minorHAnsi" w:hAnsiTheme="minorHAnsi" w:cs="Calibri"/>
                <w:b/>
                <w:bCs/>
                <w:color w:val="000000"/>
                <w:sz w:val="20"/>
                <w:szCs w:val="20"/>
              </w:rPr>
              <w:t>ontribution (ESC)</w:t>
            </w:r>
          </w:p>
        </w:tc>
        <w:tc>
          <w:tcPr>
            <w:tcW w:w="5670" w:type="dxa"/>
            <w:shd w:val="clear" w:color="auto" w:fill="FFFFFF" w:themeFill="background1"/>
            <w:tcMar>
              <w:top w:w="85" w:type="dxa"/>
              <w:bottom w:w="85" w:type="dxa"/>
            </w:tcMar>
            <w:hideMark/>
          </w:tcPr>
          <w:p w:rsidR="00422AB6" w:rsidRPr="00315479" w:rsidRDefault="00422AB6" w:rsidP="00CF3C47">
            <w:pPr>
              <w:spacing w:after="0"/>
              <w:rPr>
                <w:rFonts w:asciiTheme="minorHAnsi" w:hAnsiTheme="minorHAnsi" w:cs="Calibri"/>
                <w:sz w:val="20"/>
                <w:szCs w:val="20"/>
              </w:rPr>
            </w:pPr>
            <w:r w:rsidRPr="00315479">
              <w:rPr>
                <w:rFonts w:asciiTheme="minorHAnsi" w:hAnsiTheme="minorHAnsi" w:cs="Calibri"/>
                <w:color w:val="000000"/>
                <w:sz w:val="20"/>
                <w:szCs w:val="20"/>
              </w:rPr>
              <w:t xml:space="preserve">The fee a Tier 2 supplier may pay to meet a </w:t>
            </w:r>
            <w:r w:rsidR="00D62237" w:rsidRPr="00315479">
              <w:rPr>
                <w:rFonts w:asciiTheme="minorHAnsi" w:hAnsiTheme="minorHAnsi" w:cs="Calibri"/>
                <w:color w:val="000000"/>
                <w:sz w:val="20"/>
                <w:szCs w:val="20"/>
              </w:rPr>
              <w:t>SESO</w:t>
            </w:r>
            <w:r w:rsidRPr="00315479">
              <w:rPr>
                <w:rFonts w:asciiTheme="minorHAnsi" w:hAnsiTheme="minorHAnsi" w:cs="Calibri"/>
                <w:color w:val="000000"/>
                <w:sz w:val="20"/>
                <w:szCs w:val="20"/>
              </w:rPr>
              <w:t>, if they choose not to undertake energy savings activities</w:t>
            </w:r>
            <w:r w:rsidR="00D62237" w:rsidRPr="00315479">
              <w:rPr>
                <w:rFonts w:asciiTheme="minorHAnsi" w:hAnsiTheme="minorHAnsi" w:cs="Calibri"/>
                <w:color w:val="000000"/>
                <w:sz w:val="20"/>
                <w:szCs w:val="20"/>
              </w:rPr>
              <w:t xml:space="preserve"> </w:t>
            </w:r>
            <w:r w:rsidRPr="00315479">
              <w:rPr>
                <w:rFonts w:asciiTheme="minorHAnsi" w:hAnsiTheme="minorHAnsi" w:cs="Calibri"/>
                <w:sz w:val="20"/>
                <w:szCs w:val="20"/>
              </w:rPr>
              <w:t>for a compliance</w:t>
            </w:r>
            <w:r w:rsidR="00D62237" w:rsidRPr="00315479">
              <w:rPr>
                <w:rFonts w:asciiTheme="minorHAnsi" w:hAnsiTheme="minorHAnsi" w:cs="Calibri"/>
                <w:sz w:val="20"/>
                <w:szCs w:val="20"/>
              </w:rPr>
              <w:t xml:space="preserve"> period</w:t>
            </w:r>
            <w:r w:rsidRPr="00315479">
              <w:rPr>
                <w:rFonts w:asciiTheme="minorHAnsi" w:hAnsiTheme="minorHAnsi" w:cs="Calibri"/>
                <w:sz w:val="20"/>
                <w:szCs w:val="20"/>
              </w:rPr>
              <w:t>, expressed as an amount in dollars per tonne of carbon dioxide equivalent greenhouse gas emissions</w:t>
            </w:r>
            <w:r w:rsidR="00D62237" w:rsidRPr="00315479">
              <w:rPr>
                <w:rFonts w:asciiTheme="minorHAnsi" w:hAnsiTheme="minorHAnsi" w:cs="Calibri"/>
                <w:sz w:val="20"/>
                <w:szCs w:val="20"/>
              </w:rPr>
              <w:t>. This is set at $</w:t>
            </w:r>
            <w:r w:rsidR="00CF3C47" w:rsidRPr="00315479">
              <w:rPr>
                <w:rFonts w:asciiTheme="minorHAnsi" w:hAnsiTheme="minorHAnsi" w:cs="Calibri"/>
                <w:sz w:val="20"/>
                <w:szCs w:val="20"/>
              </w:rPr>
              <w:t>37</w:t>
            </w:r>
            <w:r w:rsidR="00D62237" w:rsidRPr="00315479">
              <w:rPr>
                <w:rFonts w:asciiTheme="minorHAnsi" w:hAnsiTheme="minorHAnsi" w:cs="Calibri"/>
                <w:sz w:val="20"/>
                <w:szCs w:val="20"/>
              </w:rPr>
              <w:t>/t CO2-e.</w:t>
            </w:r>
          </w:p>
        </w:tc>
        <w:tc>
          <w:tcPr>
            <w:tcW w:w="1984"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highlight w:val="yellow"/>
              </w:rPr>
            </w:pPr>
            <w:r w:rsidRPr="004F7A03">
              <w:rPr>
                <w:rFonts w:asciiTheme="minorHAnsi" w:hAnsiTheme="minorHAnsi" w:cs="Calibri"/>
                <w:color w:val="000000"/>
                <w:sz w:val="20"/>
                <w:szCs w:val="20"/>
              </w:rPr>
              <w:t>Defined by Disallowable Instrument</w:t>
            </w:r>
          </w:p>
        </w:tc>
      </w:tr>
      <w:tr w:rsidR="00422AB6" w:rsidRPr="004F7A03" w:rsidTr="004F7A03">
        <w:trPr>
          <w:cantSplit/>
          <w:trHeight w:val="255"/>
        </w:trPr>
        <w:tc>
          <w:tcPr>
            <w:tcW w:w="1418" w:type="dxa"/>
            <w:shd w:val="clear" w:color="auto" w:fill="FFFFFF" w:themeFill="background1"/>
            <w:tcMar>
              <w:top w:w="85" w:type="dxa"/>
              <w:bottom w:w="85" w:type="dxa"/>
            </w:tcMar>
            <w:hideMark/>
          </w:tcPr>
          <w:p w:rsidR="00422AB6" w:rsidRPr="00CD19D4" w:rsidRDefault="00422AB6" w:rsidP="007F3E79">
            <w:pPr>
              <w:spacing w:after="0"/>
              <w:rPr>
                <w:rFonts w:asciiTheme="minorHAnsi" w:hAnsiTheme="minorHAnsi" w:cs="Calibri"/>
                <w:b/>
                <w:bCs/>
                <w:color w:val="000000"/>
                <w:sz w:val="20"/>
                <w:szCs w:val="20"/>
              </w:rPr>
            </w:pPr>
            <w:r w:rsidRPr="00CD19D4">
              <w:rPr>
                <w:rFonts w:asciiTheme="minorHAnsi" w:hAnsiTheme="minorHAnsi" w:cs="Calibri"/>
                <w:b/>
                <w:bCs/>
                <w:color w:val="000000"/>
                <w:sz w:val="20"/>
                <w:szCs w:val="20"/>
              </w:rPr>
              <w:t>Fund</w:t>
            </w:r>
            <w:r w:rsidR="00CD19D4" w:rsidRPr="00CD19D4">
              <w:rPr>
                <w:rFonts w:asciiTheme="minorHAnsi" w:hAnsiTheme="minorHAnsi" w:cs="Calibri"/>
                <w:b/>
                <w:bCs/>
                <w:color w:val="000000"/>
                <w:sz w:val="20"/>
                <w:szCs w:val="20"/>
              </w:rPr>
              <w:t>s</w:t>
            </w:r>
          </w:p>
        </w:tc>
        <w:tc>
          <w:tcPr>
            <w:tcW w:w="5670" w:type="dxa"/>
            <w:shd w:val="clear" w:color="auto" w:fill="FFFFFF" w:themeFill="background1"/>
            <w:tcMar>
              <w:top w:w="85" w:type="dxa"/>
              <w:bottom w:w="85" w:type="dxa"/>
            </w:tcMar>
            <w:hideMark/>
          </w:tcPr>
          <w:p w:rsidR="000C034B" w:rsidRPr="00CD19D4" w:rsidRDefault="00422AB6" w:rsidP="00CD19D4">
            <w:pPr>
              <w:pStyle w:val="ListParagraph"/>
              <w:autoSpaceDE w:val="0"/>
              <w:autoSpaceDN w:val="0"/>
              <w:adjustRightInd w:val="0"/>
              <w:spacing w:after="0" w:line="240" w:lineRule="auto"/>
              <w:ind w:left="0"/>
            </w:pPr>
            <w:r w:rsidRPr="00CD19D4">
              <w:rPr>
                <w:rFonts w:asciiTheme="minorHAnsi" w:hAnsiTheme="minorHAnsi" w:cs="Calibri"/>
                <w:sz w:val="20"/>
                <w:szCs w:val="20"/>
              </w:rPr>
              <w:t xml:space="preserve">Any energy savings contribution </w:t>
            </w:r>
            <w:r w:rsidR="00CD19D4" w:rsidRPr="00CD19D4">
              <w:rPr>
                <w:rFonts w:asciiTheme="minorHAnsi" w:hAnsiTheme="minorHAnsi" w:cs="Calibri"/>
                <w:sz w:val="20"/>
                <w:szCs w:val="20"/>
              </w:rPr>
              <w:t>paid by Tier 2 suppliers</w:t>
            </w:r>
            <w:r w:rsidRPr="00CD19D4">
              <w:rPr>
                <w:rFonts w:asciiTheme="minorHAnsi" w:hAnsiTheme="minorHAnsi" w:cs="Calibri"/>
                <w:sz w:val="20"/>
                <w:szCs w:val="20"/>
              </w:rPr>
              <w:t xml:space="preserve"> must be paid </w:t>
            </w:r>
            <w:r w:rsidR="00CD19D4" w:rsidRPr="00CD19D4">
              <w:rPr>
                <w:rFonts w:asciiTheme="minorHAnsi" w:hAnsiTheme="minorHAnsi" w:cs="Calibri"/>
                <w:sz w:val="20"/>
                <w:szCs w:val="20"/>
              </w:rPr>
              <w:t>to government, and these funds must be used to support initiatives of undertake activities consistent with the objects of the Act.</w:t>
            </w:r>
          </w:p>
        </w:tc>
        <w:tc>
          <w:tcPr>
            <w:tcW w:w="1984" w:type="dxa"/>
            <w:shd w:val="clear" w:color="auto" w:fill="FFFFFF" w:themeFill="background1"/>
            <w:tcMar>
              <w:top w:w="85" w:type="dxa"/>
              <w:bottom w:w="85" w:type="dxa"/>
            </w:tcMar>
            <w:hideMark/>
          </w:tcPr>
          <w:p w:rsidR="00422AB6" w:rsidRPr="00CD19D4" w:rsidRDefault="00422AB6" w:rsidP="00CD19D4">
            <w:pPr>
              <w:spacing w:after="0"/>
              <w:rPr>
                <w:rFonts w:asciiTheme="minorHAnsi" w:hAnsiTheme="minorHAnsi" w:cs="Calibri"/>
                <w:color w:val="000000"/>
                <w:sz w:val="20"/>
                <w:szCs w:val="20"/>
              </w:rPr>
            </w:pPr>
            <w:r w:rsidRPr="00CD19D4">
              <w:rPr>
                <w:rFonts w:asciiTheme="minorHAnsi" w:hAnsiTheme="minorHAnsi" w:cs="Calibri"/>
                <w:color w:val="000000"/>
                <w:sz w:val="20"/>
                <w:szCs w:val="20"/>
              </w:rPr>
              <w:t>Defined in Act</w:t>
            </w:r>
            <w:r w:rsidR="000C034B" w:rsidRPr="00CD19D4">
              <w:rPr>
                <w:rFonts w:asciiTheme="minorHAnsi" w:hAnsiTheme="minorHAnsi" w:cs="Calibri"/>
                <w:color w:val="000000"/>
                <w:sz w:val="20"/>
                <w:szCs w:val="20"/>
              </w:rPr>
              <w:t xml:space="preserve"> </w:t>
            </w:r>
          </w:p>
        </w:tc>
      </w:tr>
      <w:tr w:rsidR="00422AB6" w:rsidRPr="004F7A03" w:rsidTr="004F7A03">
        <w:trPr>
          <w:cantSplit/>
          <w:trHeight w:val="255"/>
        </w:trPr>
        <w:tc>
          <w:tcPr>
            <w:tcW w:w="1418"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b/>
                <w:bCs/>
                <w:color w:val="000000"/>
                <w:sz w:val="20"/>
                <w:szCs w:val="20"/>
              </w:rPr>
            </w:pPr>
            <w:r w:rsidRPr="004F7A03">
              <w:rPr>
                <w:rFonts w:asciiTheme="minorHAnsi" w:hAnsiTheme="minorHAnsi" w:cs="Calibri"/>
                <w:b/>
                <w:bCs/>
                <w:color w:val="000000"/>
                <w:sz w:val="20"/>
                <w:szCs w:val="20"/>
              </w:rPr>
              <w:t>Scheme review</w:t>
            </w:r>
          </w:p>
        </w:tc>
        <w:tc>
          <w:tcPr>
            <w:tcW w:w="5670" w:type="dxa"/>
            <w:shd w:val="clear" w:color="auto" w:fill="FFFFFF" w:themeFill="background1"/>
            <w:tcMar>
              <w:top w:w="85" w:type="dxa"/>
              <w:bottom w:w="85" w:type="dxa"/>
            </w:tcMar>
            <w:hideMark/>
          </w:tcPr>
          <w:p w:rsidR="00422AB6" w:rsidRPr="004F7A03" w:rsidRDefault="00422AB6" w:rsidP="007F3E79">
            <w:pPr>
              <w:autoSpaceDE w:val="0"/>
              <w:autoSpaceDN w:val="0"/>
              <w:adjustRightInd w:val="0"/>
              <w:spacing w:after="0" w:line="240" w:lineRule="auto"/>
              <w:rPr>
                <w:rFonts w:asciiTheme="minorHAnsi" w:hAnsiTheme="minorHAnsi" w:cs="Calibri"/>
                <w:sz w:val="20"/>
                <w:szCs w:val="20"/>
              </w:rPr>
            </w:pPr>
            <w:r w:rsidRPr="004F7A03">
              <w:rPr>
                <w:rFonts w:asciiTheme="minorHAnsi" w:hAnsiTheme="minorHAnsi" w:cs="Calibri"/>
                <w:sz w:val="20"/>
                <w:szCs w:val="20"/>
              </w:rPr>
              <w:t>The Minister must commence a review of the operation of the Act in January 2014 to consider the operation of the Act after 2015</w:t>
            </w:r>
            <w:r w:rsidR="000C034B">
              <w:rPr>
                <w:rFonts w:asciiTheme="minorHAnsi" w:hAnsiTheme="minorHAnsi" w:cs="Calibri"/>
                <w:sz w:val="20"/>
                <w:szCs w:val="20"/>
              </w:rPr>
              <w:t>.</w:t>
            </w:r>
          </w:p>
        </w:tc>
        <w:tc>
          <w:tcPr>
            <w:tcW w:w="1984" w:type="dxa"/>
            <w:shd w:val="clear" w:color="auto" w:fill="FFFFFF" w:themeFill="background1"/>
            <w:tcMar>
              <w:top w:w="85" w:type="dxa"/>
              <w:bottom w:w="85" w:type="dxa"/>
            </w:tcMar>
            <w:hideMark/>
          </w:tcPr>
          <w:p w:rsidR="00422AB6" w:rsidRPr="004F7A03" w:rsidRDefault="00422AB6" w:rsidP="007F3E79">
            <w:pPr>
              <w:spacing w:after="0"/>
              <w:rPr>
                <w:rFonts w:asciiTheme="minorHAnsi" w:hAnsiTheme="minorHAnsi" w:cs="Calibri"/>
                <w:color w:val="000000"/>
                <w:sz w:val="20"/>
                <w:szCs w:val="20"/>
              </w:rPr>
            </w:pPr>
            <w:r w:rsidRPr="004F7A03">
              <w:rPr>
                <w:rFonts w:asciiTheme="minorHAnsi" w:hAnsiTheme="minorHAnsi" w:cs="Calibri"/>
                <w:color w:val="000000"/>
                <w:sz w:val="20"/>
                <w:szCs w:val="20"/>
              </w:rPr>
              <w:t>Defined in Act</w:t>
            </w:r>
          </w:p>
        </w:tc>
      </w:tr>
    </w:tbl>
    <w:p w:rsidR="004F7A03" w:rsidRPr="004F7A03" w:rsidRDefault="004F7A03" w:rsidP="00D404FA">
      <w:pPr>
        <w:pStyle w:val="Heading2"/>
      </w:pPr>
      <w:bookmarkStart w:id="70" w:name="_Ref303923753"/>
      <w:bookmarkStart w:id="71" w:name="_Ref303923757"/>
      <w:bookmarkStart w:id="72" w:name="_Toc306808234"/>
      <w:r w:rsidRPr="004F7A03">
        <w:t>Departures from REES model</w:t>
      </w:r>
      <w:bookmarkEnd w:id="70"/>
      <w:bookmarkEnd w:id="71"/>
      <w:bookmarkEnd w:id="72"/>
    </w:p>
    <w:p w:rsidR="004F7A03" w:rsidRPr="004F7A03" w:rsidRDefault="004F7A03" w:rsidP="004F7A03">
      <w:pPr>
        <w:rPr>
          <w:rFonts w:cs="Calibri"/>
          <w:szCs w:val="24"/>
        </w:rPr>
      </w:pPr>
      <w:r w:rsidRPr="004F7A03">
        <w:rPr>
          <w:rFonts w:cs="Calibri"/>
          <w:szCs w:val="24"/>
        </w:rPr>
        <w:t xml:space="preserve">While the outlined Scheme has been largely modelled on the South Australian Residential Energy Efficiency Scheme, it differs on two key points – the exclusion of a requirement for suppliers to undertake energy audits and the establishment of differential obligations for Tier 1 and Tier 2 </w:t>
      </w:r>
      <w:r w:rsidR="00FF666F">
        <w:rPr>
          <w:rFonts w:cs="Calibri"/>
          <w:szCs w:val="24"/>
        </w:rPr>
        <w:t>suppliers</w:t>
      </w:r>
      <w:r w:rsidRPr="004F7A03">
        <w:rPr>
          <w:rFonts w:cs="Calibri"/>
          <w:szCs w:val="24"/>
        </w:rPr>
        <w:t>.</w:t>
      </w:r>
    </w:p>
    <w:p w:rsidR="004F7A03" w:rsidRPr="004F7A03" w:rsidRDefault="004F7A03" w:rsidP="004F7A03">
      <w:pPr>
        <w:pStyle w:val="Heading3"/>
      </w:pPr>
      <w:r w:rsidRPr="004F7A03">
        <w:t>Exclusion of the requirement for suppliers to undertake energy audits</w:t>
      </w:r>
    </w:p>
    <w:p w:rsidR="004F7A03" w:rsidRPr="004F7A03" w:rsidRDefault="004F7A03" w:rsidP="004F7A03">
      <w:pPr>
        <w:rPr>
          <w:rFonts w:cs="Calibri"/>
          <w:szCs w:val="24"/>
        </w:rPr>
      </w:pPr>
      <w:r w:rsidRPr="004F7A03">
        <w:rPr>
          <w:rFonts w:cs="Calibri"/>
          <w:szCs w:val="24"/>
        </w:rPr>
        <w:t>A key aspect of the REES is the requirement that suppliers meet targets for provision of energy efficiency audits in all households and in low-income households, in addition to meeting greenhouse gas reduction targets.</w:t>
      </w:r>
    </w:p>
    <w:p w:rsidR="004F7A03" w:rsidRPr="004F7A03" w:rsidRDefault="00E4489C" w:rsidP="004F7A03">
      <w:pPr>
        <w:spacing w:before="360" w:after="120"/>
        <w:rPr>
          <w:rFonts w:cs="Calibri"/>
          <w:szCs w:val="24"/>
        </w:rPr>
      </w:pPr>
      <w:r>
        <w:rPr>
          <w:rFonts w:cs="Calibri"/>
          <w:szCs w:val="24"/>
        </w:rPr>
        <w:t>ESDD</w:t>
      </w:r>
      <w:r w:rsidR="004F7A03" w:rsidRPr="004F7A03">
        <w:rPr>
          <w:rFonts w:cs="Calibri"/>
          <w:szCs w:val="24"/>
        </w:rPr>
        <w:t xml:space="preserve"> notes that the requirement for priority group household audits was developed to address a principal outcome required of the </w:t>
      </w:r>
      <w:r>
        <w:rPr>
          <w:rFonts w:cs="Calibri"/>
          <w:szCs w:val="24"/>
        </w:rPr>
        <w:t>S</w:t>
      </w:r>
      <w:r w:rsidR="004F7A03" w:rsidRPr="004F7A03">
        <w:rPr>
          <w:rFonts w:cs="Calibri"/>
          <w:szCs w:val="24"/>
        </w:rPr>
        <w:t xml:space="preserve">cheme: </w:t>
      </w:r>
      <w:r w:rsidR="004F7A03" w:rsidRPr="004F7A03">
        <w:rPr>
          <w:rFonts w:cs="Calibri"/>
        </w:rPr>
        <w:t>to increase social equity by providing opportunities for vulnerable households to lower energy use and costs.</w:t>
      </w:r>
      <w:r w:rsidR="004F7A03" w:rsidRPr="004F7A03">
        <w:rPr>
          <w:rFonts w:cs="Calibri"/>
          <w:szCs w:val="24"/>
        </w:rPr>
        <w:t xml:space="preserve"> The Directorate has a number of concerns regarding the setting of a specific audit target, these include:</w:t>
      </w:r>
    </w:p>
    <w:p w:rsidR="004F7A03" w:rsidRPr="004F7A03" w:rsidRDefault="004F7A03" w:rsidP="004F7A03">
      <w:pPr>
        <w:numPr>
          <w:ilvl w:val="0"/>
          <w:numId w:val="23"/>
        </w:numPr>
        <w:spacing w:after="120" w:line="240" w:lineRule="auto"/>
        <w:ind w:left="714" w:hanging="357"/>
        <w:rPr>
          <w:rFonts w:cs="Calibri"/>
          <w:szCs w:val="24"/>
        </w:rPr>
      </w:pPr>
      <w:r w:rsidRPr="004F7A03">
        <w:rPr>
          <w:rFonts w:cs="Calibri"/>
          <w:szCs w:val="24"/>
        </w:rPr>
        <w:t>a number of existing programs that target low-income households and provide an audit function currently exist in the ACT;</w:t>
      </w:r>
    </w:p>
    <w:p w:rsidR="004F7A03" w:rsidRPr="004F7A03" w:rsidRDefault="004F7A03" w:rsidP="004F7A03">
      <w:pPr>
        <w:numPr>
          <w:ilvl w:val="0"/>
          <w:numId w:val="23"/>
        </w:numPr>
        <w:spacing w:after="120" w:line="240" w:lineRule="auto"/>
        <w:ind w:left="714" w:hanging="357"/>
        <w:rPr>
          <w:rFonts w:cs="Calibri"/>
          <w:szCs w:val="24"/>
        </w:rPr>
      </w:pPr>
      <w:r w:rsidRPr="004F7A03">
        <w:rPr>
          <w:rFonts w:cs="Calibri"/>
        </w:rPr>
        <w:t>audits do not necessarily lead to emissions reductions and savings for households, rather implementation of efficiency actions do;</w:t>
      </w:r>
    </w:p>
    <w:p w:rsidR="004F7A03" w:rsidRPr="004F7A03" w:rsidRDefault="004F7A03" w:rsidP="004F7A03">
      <w:pPr>
        <w:numPr>
          <w:ilvl w:val="0"/>
          <w:numId w:val="23"/>
        </w:numPr>
        <w:spacing w:after="120" w:line="240" w:lineRule="auto"/>
        <w:ind w:left="714" w:hanging="357"/>
        <w:rPr>
          <w:rFonts w:cs="Calibri"/>
          <w:szCs w:val="24"/>
        </w:rPr>
      </w:pPr>
      <w:r w:rsidRPr="004F7A03">
        <w:rPr>
          <w:rFonts w:cs="Calibri"/>
          <w:szCs w:val="24"/>
        </w:rPr>
        <w:t xml:space="preserve">placing more restrictions than essential on suppliers increases the delivery and reporting complexity of the </w:t>
      </w:r>
      <w:r w:rsidR="007D5396">
        <w:rPr>
          <w:rFonts w:cs="Calibri"/>
          <w:szCs w:val="24"/>
        </w:rPr>
        <w:t>S</w:t>
      </w:r>
      <w:r w:rsidRPr="004F7A03">
        <w:rPr>
          <w:rFonts w:cs="Calibri"/>
          <w:szCs w:val="24"/>
        </w:rPr>
        <w:t>cheme, and may not allow suppliers to reduce emissions in the most cost-effective way; and</w:t>
      </w:r>
    </w:p>
    <w:p w:rsidR="004F7A03" w:rsidRPr="004F7A03" w:rsidRDefault="004F7A03" w:rsidP="004F7A03">
      <w:pPr>
        <w:numPr>
          <w:ilvl w:val="0"/>
          <w:numId w:val="23"/>
        </w:numPr>
        <w:spacing w:after="120" w:line="240" w:lineRule="auto"/>
        <w:ind w:left="714" w:hanging="357"/>
        <w:rPr>
          <w:rFonts w:cs="Calibri"/>
          <w:szCs w:val="24"/>
        </w:rPr>
      </w:pPr>
      <w:r w:rsidRPr="004F7A03">
        <w:rPr>
          <w:rFonts w:cs="Calibri"/>
          <w:szCs w:val="24"/>
        </w:rPr>
        <w:t xml:space="preserve">a requirement to carry out audits is not specified under the Victorian or NSW </w:t>
      </w:r>
      <w:r w:rsidR="002D1321">
        <w:rPr>
          <w:rFonts w:cs="Calibri"/>
          <w:szCs w:val="24"/>
        </w:rPr>
        <w:t>energy efficiency scheme</w:t>
      </w:r>
      <w:r w:rsidRPr="004F7A03">
        <w:rPr>
          <w:rFonts w:cs="Calibri"/>
          <w:szCs w:val="24"/>
        </w:rPr>
        <w:t>s – which may increase the difficulty in eventual alignment with a national scheme.</w:t>
      </w:r>
    </w:p>
    <w:p w:rsidR="004F7A03" w:rsidRPr="004F7A03" w:rsidRDefault="004F7A03" w:rsidP="004F7A03">
      <w:r w:rsidRPr="00FB5D13">
        <w:t xml:space="preserve">Opportunities therefore exist for </w:t>
      </w:r>
      <w:r w:rsidR="00FB5D13" w:rsidRPr="00FB5D13">
        <w:t xml:space="preserve">suppliers </w:t>
      </w:r>
      <w:r w:rsidRPr="00FB5D13">
        <w:t xml:space="preserve">to coordinate with existing energy audit providers through the existing HEAT and Outreach programs in the ACT. However, as the targets for energy efficiency increase over the Scheme’s duration, it is anticipated the suppliers will build their own energy audit capability as an integrated part of their service offering to the ACT community. </w:t>
      </w:r>
    </w:p>
    <w:p w:rsidR="004F7A03" w:rsidRPr="004F7A03" w:rsidRDefault="004F7A03" w:rsidP="004F7A03">
      <w:pPr>
        <w:pStyle w:val="Heading3"/>
      </w:pPr>
      <w:r w:rsidRPr="004F7A03">
        <w:t xml:space="preserve">Definition of Tier 1 and Tier 2 </w:t>
      </w:r>
      <w:r w:rsidR="00FF666F">
        <w:t>supplier</w:t>
      </w:r>
      <w:r w:rsidRPr="004F7A03">
        <w:t>s</w:t>
      </w:r>
    </w:p>
    <w:p w:rsidR="004F7A03" w:rsidRPr="004F7A03" w:rsidRDefault="004F7A03" w:rsidP="00FB5D13">
      <w:pPr>
        <w:rPr>
          <w:noProof/>
        </w:rPr>
      </w:pPr>
      <w:r w:rsidRPr="004F7A03">
        <w:rPr>
          <w:noProof/>
        </w:rPr>
        <w:t xml:space="preserve">One of the key barriers to new entrants in our electricity retail market is the administration cost of complying with local legilsation and licence conditions compared to the low sales volumes (because of our small </w:t>
      </w:r>
      <w:r w:rsidR="00FB5D13">
        <w:rPr>
          <w:noProof/>
        </w:rPr>
        <w:t>size</w:t>
      </w:r>
      <w:r w:rsidRPr="004F7A03">
        <w:rPr>
          <w:noProof/>
        </w:rPr>
        <w:t xml:space="preserve">) and margins (because of our effective price regulation system) that are avaliable.  </w:t>
      </w:r>
    </w:p>
    <w:p w:rsidR="004F7A03" w:rsidRPr="004F7A03" w:rsidRDefault="004F7A03" w:rsidP="00FB5D13">
      <w:pPr>
        <w:rPr>
          <w:noProof/>
        </w:rPr>
      </w:pPr>
      <w:r w:rsidRPr="004F7A03">
        <w:rPr>
          <w:noProof/>
        </w:rPr>
        <w:t>The Scheme will seek to avoid imposing substant</w:t>
      </w:r>
      <w:r w:rsidR="00CB709B">
        <w:rPr>
          <w:noProof/>
        </w:rPr>
        <w:t>i</w:t>
      </w:r>
      <w:r w:rsidRPr="004F7A03">
        <w:rPr>
          <w:noProof/>
        </w:rPr>
        <w:t>al new adninistrative burdens on small suppliers and new market entrants by allowing them to discharge their obligations through a Energy Savings Contribution equal to the expected marginal cost of participation in the Scheme.</w:t>
      </w:r>
    </w:p>
    <w:p w:rsidR="004F7A03" w:rsidRPr="004F7A03" w:rsidRDefault="004F7A03" w:rsidP="00FB5D13">
      <w:pPr>
        <w:rPr>
          <w:noProof/>
        </w:rPr>
      </w:pPr>
      <w:r w:rsidRPr="004F7A03">
        <w:rPr>
          <w:noProof/>
        </w:rPr>
        <w:t xml:space="preserve">These issues and the </w:t>
      </w:r>
      <w:r w:rsidRPr="00CF3C47">
        <w:rPr>
          <w:noProof/>
        </w:rPr>
        <w:t xml:space="preserve">Government’s proposed design response are discussed further on pages </w:t>
      </w:r>
      <w:r w:rsidRPr="00CF3C47">
        <w:rPr>
          <w:noProof/>
        </w:rPr>
        <w:fldChar w:fldCharType="begin"/>
      </w:r>
      <w:r w:rsidRPr="00CF3C47">
        <w:rPr>
          <w:noProof/>
        </w:rPr>
        <w:instrText xml:space="preserve"> PAGEREF _Ref303922983 \h </w:instrText>
      </w:r>
      <w:r w:rsidRPr="00CF3C47">
        <w:rPr>
          <w:noProof/>
        </w:rPr>
      </w:r>
      <w:r w:rsidRPr="00CF3C47">
        <w:rPr>
          <w:noProof/>
        </w:rPr>
        <w:fldChar w:fldCharType="separate"/>
      </w:r>
      <w:r w:rsidR="00681D6A">
        <w:rPr>
          <w:noProof/>
        </w:rPr>
        <w:t>37</w:t>
      </w:r>
      <w:r w:rsidRPr="00CF3C47">
        <w:rPr>
          <w:noProof/>
        </w:rPr>
        <w:fldChar w:fldCharType="end"/>
      </w:r>
      <w:r w:rsidRPr="00CF3C47">
        <w:rPr>
          <w:noProof/>
        </w:rPr>
        <w:t xml:space="preserve"> and </w:t>
      </w:r>
      <w:r w:rsidRPr="00CF3C47">
        <w:rPr>
          <w:noProof/>
        </w:rPr>
        <w:fldChar w:fldCharType="begin"/>
      </w:r>
      <w:r w:rsidRPr="00CF3C47">
        <w:rPr>
          <w:noProof/>
        </w:rPr>
        <w:instrText xml:space="preserve"> PAGEREF _Ref303922992 \h </w:instrText>
      </w:r>
      <w:r w:rsidRPr="00CF3C47">
        <w:rPr>
          <w:noProof/>
        </w:rPr>
      </w:r>
      <w:r w:rsidRPr="00CF3C47">
        <w:rPr>
          <w:noProof/>
        </w:rPr>
        <w:fldChar w:fldCharType="separate"/>
      </w:r>
      <w:r w:rsidR="00681D6A">
        <w:rPr>
          <w:noProof/>
        </w:rPr>
        <w:t>39</w:t>
      </w:r>
      <w:r w:rsidRPr="00CF3C47">
        <w:rPr>
          <w:noProof/>
        </w:rPr>
        <w:fldChar w:fldCharType="end"/>
      </w:r>
      <w:r w:rsidRPr="00CF3C47">
        <w:rPr>
          <w:noProof/>
        </w:rPr>
        <w:t xml:space="preserve">.  </w:t>
      </w:r>
      <w:r w:rsidR="00B43B35">
        <w:fldChar w:fldCharType="begin"/>
      </w:r>
      <w:r w:rsidR="00B43B35">
        <w:instrText xml:space="preserve"> REF _Ref303923190 \h  \* MERGEFORMAT </w:instrText>
      </w:r>
      <w:r w:rsidR="00B43B35">
        <w:fldChar w:fldCharType="separate"/>
      </w:r>
      <w:r w:rsidR="00681D6A" w:rsidRPr="004F7A03">
        <w:t xml:space="preserve">Table </w:t>
      </w:r>
      <w:r w:rsidR="00681D6A">
        <w:t>4</w:t>
      </w:r>
      <w:r w:rsidR="00B43B35">
        <w:fldChar w:fldCharType="end"/>
      </w:r>
      <w:r w:rsidRPr="00CF3C47">
        <w:rPr>
          <w:noProof/>
        </w:rPr>
        <w:t xml:space="preserve"> provides definitions of Tier 1 and Tier 2 </w:t>
      </w:r>
      <w:r w:rsidR="00FF666F" w:rsidRPr="00CF3C47">
        <w:rPr>
          <w:noProof/>
        </w:rPr>
        <w:t>supplier</w:t>
      </w:r>
      <w:r w:rsidRPr="00CF3C47">
        <w:rPr>
          <w:noProof/>
        </w:rPr>
        <w:t>s for the purposes of the Scheme. The Directorate considers it unlikely</w:t>
      </w:r>
      <w:r w:rsidRPr="004F7A03">
        <w:rPr>
          <w:noProof/>
        </w:rPr>
        <w:t xml:space="preserve"> that a supplier would cross this threshhold over the first period of the </w:t>
      </w:r>
      <w:r w:rsidR="008624C8">
        <w:rPr>
          <w:noProof/>
        </w:rPr>
        <w:t>S</w:t>
      </w:r>
      <w:r w:rsidRPr="004F7A03">
        <w:rPr>
          <w:noProof/>
        </w:rPr>
        <w:t>cheme given the large gap that currently exist</w:t>
      </w:r>
      <w:r w:rsidR="008624C8">
        <w:rPr>
          <w:noProof/>
        </w:rPr>
        <w:t>s</w:t>
      </w:r>
      <w:r w:rsidRPr="004F7A03">
        <w:rPr>
          <w:noProof/>
        </w:rPr>
        <w:t xml:space="preserve"> between suppliers around this threshold. This will ensure clarity for market participants on their obligations within the </w:t>
      </w:r>
      <w:r w:rsidR="007D5396">
        <w:rPr>
          <w:noProof/>
        </w:rPr>
        <w:t>S</w:t>
      </w:r>
      <w:r w:rsidRPr="004F7A03">
        <w:rPr>
          <w:noProof/>
        </w:rPr>
        <w:t>cheme.</w:t>
      </w:r>
    </w:p>
    <w:p w:rsidR="004F7A03" w:rsidRPr="004F7A03" w:rsidRDefault="004F7A03" w:rsidP="004F7A03">
      <w:pPr>
        <w:pStyle w:val="Caption"/>
        <w:keepNext/>
        <w:rPr>
          <w:rFonts w:cs="Calibri"/>
          <w:noProof/>
        </w:rPr>
      </w:pPr>
      <w:bookmarkStart w:id="73" w:name="_Ref303923190"/>
      <w:r w:rsidRPr="004F7A03">
        <w:t xml:space="preserve">Table </w:t>
      </w:r>
      <w:r w:rsidR="006F5BB0">
        <w:rPr>
          <w:noProof/>
        </w:rPr>
        <w:fldChar w:fldCharType="begin"/>
      </w:r>
      <w:r w:rsidR="006F5BB0">
        <w:rPr>
          <w:noProof/>
        </w:rPr>
        <w:instrText xml:space="preserve"> SEQ Table \* ARABIC </w:instrText>
      </w:r>
      <w:r w:rsidR="006F5BB0">
        <w:rPr>
          <w:noProof/>
        </w:rPr>
        <w:fldChar w:fldCharType="separate"/>
      </w:r>
      <w:r w:rsidR="00681D6A">
        <w:rPr>
          <w:noProof/>
        </w:rPr>
        <w:t>4</w:t>
      </w:r>
      <w:r w:rsidR="006F5BB0">
        <w:rPr>
          <w:noProof/>
        </w:rPr>
        <w:fldChar w:fldCharType="end"/>
      </w:r>
      <w:bookmarkEnd w:id="73"/>
      <w:r w:rsidRPr="004F7A03">
        <w:t>: Summary of supplier obligations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3827"/>
      </w:tblGrid>
      <w:tr w:rsidR="004F7A03" w:rsidRPr="004F7A03" w:rsidTr="00BF415A">
        <w:trPr>
          <w:cantSplit/>
        </w:trPr>
        <w:tc>
          <w:tcPr>
            <w:tcW w:w="1526" w:type="dxa"/>
            <w:shd w:val="clear" w:color="auto" w:fill="F2F2F2" w:themeFill="background1" w:themeFillShade="F2"/>
          </w:tcPr>
          <w:p w:rsidR="004F7A03" w:rsidRPr="004F7A03" w:rsidRDefault="004F7A03" w:rsidP="00BF415A">
            <w:pPr>
              <w:keepNext/>
              <w:spacing w:before="60" w:after="60"/>
              <w:rPr>
                <w:rFonts w:cs="Calibri"/>
                <w:b/>
                <w:noProof/>
              </w:rPr>
            </w:pPr>
            <w:r w:rsidRPr="004F7A03">
              <w:rPr>
                <w:rFonts w:cs="Calibri"/>
                <w:b/>
                <w:noProof/>
              </w:rPr>
              <w:t>Entity</w:t>
            </w:r>
          </w:p>
        </w:tc>
        <w:tc>
          <w:tcPr>
            <w:tcW w:w="2268" w:type="dxa"/>
            <w:shd w:val="clear" w:color="auto" w:fill="F2F2F2" w:themeFill="background1" w:themeFillShade="F2"/>
          </w:tcPr>
          <w:p w:rsidR="004F7A03" w:rsidRPr="004F7A03" w:rsidRDefault="004F7A03" w:rsidP="00BF415A">
            <w:pPr>
              <w:keepNext/>
              <w:spacing w:before="60" w:after="60"/>
              <w:rPr>
                <w:rFonts w:cs="Calibri"/>
                <w:b/>
                <w:noProof/>
              </w:rPr>
            </w:pPr>
            <w:r w:rsidRPr="004F7A03">
              <w:rPr>
                <w:rFonts w:cs="Calibri"/>
                <w:b/>
                <w:noProof/>
              </w:rPr>
              <w:t>Theshhold for participation</w:t>
            </w:r>
          </w:p>
        </w:tc>
        <w:tc>
          <w:tcPr>
            <w:tcW w:w="1559" w:type="dxa"/>
            <w:shd w:val="clear" w:color="auto" w:fill="F2F2F2" w:themeFill="background1" w:themeFillShade="F2"/>
          </w:tcPr>
          <w:p w:rsidR="004F7A03" w:rsidRPr="004F7A03" w:rsidRDefault="004F7A03" w:rsidP="00BF415A">
            <w:pPr>
              <w:keepNext/>
              <w:spacing w:before="60" w:after="60"/>
              <w:rPr>
                <w:rFonts w:cs="Calibri"/>
                <w:b/>
                <w:noProof/>
              </w:rPr>
            </w:pPr>
            <w:r w:rsidRPr="004F7A03">
              <w:rPr>
                <w:rFonts w:cs="Calibri"/>
                <w:b/>
                <w:noProof/>
              </w:rPr>
              <w:t>Number of ACT suppliers</w:t>
            </w:r>
          </w:p>
        </w:tc>
        <w:tc>
          <w:tcPr>
            <w:tcW w:w="3827" w:type="dxa"/>
            <w:shd w:val="clear" w:color="auto" w:fill="F2F2F2" w:themeFill="background1" w:themeFillShade="F2"/>
          </w:tcPr>
          <w:p w:rsidR="004F7A03" w:rsidRPr="004F7A03" w:rsidRDefault="004F7A03" w:rsidP="00BF415A">
            <w:pPr>
              <w:keepNext/>
              <w:spacing w:before="60" w:after="60"/>
              <w:rPr>
                <w:rFonts w:cs="Calibri"/>
                <w:b/>
                <w:noProof/>
              </w:rPr>
            </w:pPr>
            <w:r w:rsidRPr="004F7A03">
              <w:rPr>
                <w:rFonts w:cs="Calibri"/>
                <w:b/>
                <w:noProof/>
              </w:rPr>
              <w:t>Obligation</w:t>
            </w:r>
          </w:p>
        </w:tc>
      </w:tr>
      <w:tr w:rsidR="004F7A03" w:rsidRPr="004F7A03" w:rsidTr="00BF415A">
        <w:trPr>
          <w:cantSplit/>
        </w:trPr>
        <w:tc>
          <w:tcPr>
            <w:tcW w:w="1526" w:type="dxa"/>
          </w:tcPr>
          <w:p w:rsidR="004F7A03" w:rsidRPr="004F7A03" w:rsidRDefault="004F7A03" w:rsidP="00BF415A">
            <w:pPr>
              <w:keepNext/>
              <w:spacing w:before="60" w:after="60"/>
              <w:rPr>
                <w:rFonts w:cs="Calibri"/>
                <w:noProof/>
              </w:rPr>
            </w:pPr>
            <w:r w:rsidRPr="004F7A03">
              <w:rPr>
                <w:rFonts w:cs="Calibri"/>
                <w:noProof/>
              </w:rPr>
              <w:t>Tier 1 supplier</w:t>
            </w:r>
          </w:p>
        </w:tc>
        <w:tc>
          <w:tcPr>
            <w:tcW w:w="2268" w:type="dxa"/>
          </w:tcPr>
          <w:p w:rsidR="004F7A03" w:rsidRPr="004F7A03" w:rsidRDefault="004F7A03" w:rsidP="00BF415A">
            <w:pPr>
              <w:keepNext/>
              <w:spacing w:before="60" w:after="60"/>
              <w:rPr>
                <w:rFonts w:cs="Calibri"/>
                <w:noProof/>
              </w:rPr>
            </w:pPr>
            <w:r w:rsidRPr="004F7A03">
              <w:rPr>
                <w:rFonts w:cs="Calibri"/>
                <w:noProof/>
              </w:rPr>
              <w:t>500, 000</w:t>
            </w:r>
            <w:r w:rsidR="000E6646">
              <w:rPr>
                <w:rFonts w:cs="Calibri"/>
                <w:noProof/>
              </w:rPr>
              <w:t>MWh</w:t>
            </w:r>
            <w:r w:rsidRPr="004F7A03">
              <w:rPr>
                <w:rFonts w:cs="Calibri"/>
                <w:noProof/>
              </w:rPr>
              <w:t xml:space="preserve"> annual sales or greater</w:t>
            </w:r>
          </w:p>
        </w:tc>
        <w:tc>
          <w:tcPr>
            <w:tcW w:w="1559" w:type="dxa"/>
          </w:tcPr>
          <w:p w:rsidR="004F7A03" w:rsidRPr="004F7A03" w:rsidRDefault="004F7A03" w:rsidP="00BF415A">
            <w:pPr>
              <w:keepNext/>
              <w:spacing w:before="60" w:after="60"/>
              <w:rPr>
                <w:rFonts w:cs="Calibri"/>
                <w:noProof/>
              </w:rPr>
            </w:pPr>
            <w:r w:rsidRPr="004F7A03">
              <w:rPr>
                <w:rFonts w:cs="Calibri"/>
                <w:noProof/>
              </w:rPr>
              <w:t>1</w:t>
            </w:r>
          </w:p>
        </w:tc>
        <w:tc>
          <w:tcPr>
            <w:tcW w:w="3827" w:type="dxa"/>
          </w:tcPr>
          <w:p w:rsidR="004F7A03" w:rsidRDefault="004F7A03" w:rsidP="00BF415A">
            <w:pPr>
              <w:keepNext/>
              <w:spacing w:before="60" w:after="60"/>
              <w:rPr>
                <w:rFonts w:cs="Calibri"/>
                <w:noProof/>
              </w:rPr>
            </w:pPr>
            <w:r w:rsidRPr="004F7A03">
              <w:rPr>
                <w:rFonts w:cs="Calibri"/>
                <w:noProof/>
              </w:rPr>
              <w:t>Must undertake eligible activities</w:t>
            </w:r>
          </w:p>
          <w:p w:rsidR="00911137" w:rsidRPr="004F7A03" w:rsidRDefault="00911137" w:rsidP="00BF415A">
            <w:pPr>
              <w:keepNext/>
              <w:spacing w:before="60" w:after="60"/>
              <w:rPr>
                <w:rFonts w:cs="Calibri"/>
                <w:noProof/>
              </w:rPr>
            </w:pPr>
            <w:r>
              <w:rPr>
                <w:rFonts w:cs="Calibri"/>
                <w:noProof/>
              </w:rPr>
              <w:t>Must ach</w:t>
            </w:r>
            <w:r w:rsidR="00572FA9">
              <w:rPr>
                <w:rFonts w:cs="Calibri"/>
                <w:noProof/>
              </w:rPr>
              <w:t>ie</w:t>
            </w:r>
            <w:r>
              <w:rPr>
                <w:rFonts w:cs="Calibri"/>
                <w:noProof/>
              </w:rPr>
              <w:t>ve Priority Household Target</w:t>
            </w:r>
          </w:p>
        </w:tc>
      </w:tr>
      <w:tr w:rsidR="004F7A03" w:rsidRPr="004F7A03" w:rsidTr="00BF415A">
        <w:trPr>
          <w:cantSplit/>
        </w:trPr>
        <w:tc>
          <w:tcPr>
            <w:tcW w:w="1526" w:type="dxa"/>
          </w:tcPr>
          <w:p w:rsidR="004F7A03" w:rsidRPr="004F7A03" w:rsidRDefault="004F7A03" w:rsidP="00BF415A">
            <w:pPr>
              <w:keepNext/>
              <w:spacing w:before="60" w:after="60"/>
              <w:rPr>
                <w:rFonts w:cs="Calibri"/>
                <w:noProof/>
              </w:rPr>
            </w:pPr>
            <w:r w:rsidRPr="004F7A03">
              <w:rPr>
                <w:rFonts w:cs="Calibri"/>
                <w:noProof/>
              </w:rPr>
              <w:t>Tier 2 supplier</w:t>
            </w:r>
          </w:p>
        </w:tc>
        <w:tc>
          <w:tcPr>
            <w:tcW w:w="2268" w:type="dxa"/>
          </w:tcPr>
          <w:p w:rsidR="004F7A03" w:rsidRPr="004F7A03" w:rsidRDefault="004F7A03" w:rsidP="00BF415A">
            <w:pPr>
              <w:keepNext/>
              <w:spacing w:before="60" w:after="60"/>
              <w:rPr>
                <w:rFonts w:cs="Calibri"/>
                <w:noProof/>
              </w:rPr>
            </w:pPr>
            <w:r w:rsidRPr="004F7A03">
              <w:rPr>
                <w:rFonts w:cs="Calibri"/>
                <w:noProof/>
              </w:rPr>
              <w:t>&lt; 500,000</w:t>
            </w:r>
            <w:r w:rsidR="000E6646">
              <w:rPr>
                <w:rFonts w:cs="Calibri"/>
                <w:noProof/>
              </w:rPr>
              <w:t>MWh</w:t>
            </w:r>
            <w:r w:rsidRPr="004F7A03">
              <w:rPr>
                <w:rFonts w:cs="Calibri"/>
                <w:noProof/>
              </w:rPr>
              <w:t xml:space="preserve"> annual sales</w:t>
            </w:r>
          </w:p>
        </w:tc>
        <w:tc>
          <w:tcPr>
            <w:tcW w:w="1559" w:type="dxa"/>
          </w:tcPr>
          <w:p w:rsidR="004F7A03" w:rsidRPr="004F7A03" w:rsidRDefault="004F7A03" w:rsidP="00BF415A">
            <w:pPr>
              <w:keepNext/>
              <w:spacing w:before="60" w:after="60"/>
              <w:rPr>
                <w:rFonts w:cs="Calibri"/>
                <w:noProof/>
              </w:rPr>
            </w:pPr>
            <w:r w:rsidRPr="004F7A03">
              <w:rPr>
                <w:rFonts w:cs="Calibri"/>
                <w:noProof/>
              </w:rPr>
              <w:t>18</w:t>
            </w:r>
          </w:p>
        </w:tc>
        <w:tc>
          <w:tcPr>
            <w:tcW w:w="3827" w:type="dxa"/>
          </w:tcPr>
          <w:p w:rsidR="004F7A03" w:rsidRPr="004F7A03" w:rsidRDefault="004F7A03" w:rsidP="00BF415A">
            <w:pPr>
              <w:keepNext/>
              <w:spacing w:before="60" w:after="60"/>
              <w:rPr>
                <w:rFonts w:cs="Calibri"/>
                <w:noProof/>
              </w:rPr>
            </w:pPr>
            <w:r w:rsidRPr="004F7A03">
              <w:rPr>
                <w:rFonts w:cs="Calibri"/>
                <w:noProof/>
              </w:rPr>
              <w:t>May undertake eligible activities and/or make energy savings contribution</w:t>
            </w:r>
          </w:p>
        </w:tc>
      </w:tr>
    </w:tbl>
    <w:p w:rsidR="007F3E79" w:rsidRPr="007F3E79" w:rsidRDefault="007F3E79" w:rsidP="00D404FA">
      <w:pPr>
        <w:pStyle w:val="Heading2"/>
      </w:pPr>
      <w:bookmarkStart w:id="74" w:name="_Toc303670572"/>
      <w:bookmarkStart w:id="75" w:name="_Ref303841393"/>
      <w:bookmarkStart w:id="76" w:name="_Ref303841396"/>
      <w:bookmarkStart w:id="77" w:name="_Toc306808235"/>
      <w:r w:rsidRPr="007F3E79">
        <w:t>Achievement of social equity objectives</w:t>
      </w:r>
      <w:bookmarkEnd w:id="74"/>
      <w:bookmarkEnd w:id="75"/>
      <w:bookmarkEnd w:id="76"/>
      <w:bookmarkEnd w:id="77"/>
      <w:r w:rsidRPr="007F3E79">
        <w:t xml:space="preserve"> </w:t>
      </w:r>
    </w:p>
    <w:p w:rsidR="007F3E79" w:rsidRPr="007F3E79" w:rsidRDefault="007F3E79" w:rsidP="007F3E79">
      <w:r w:rsidRPr="007F3E79">
        <w:t xml:space="preserve">Another important aspect of the </w:t>
      </w:r>
      <w:r w:rsidR="007D5396">
        <w:t>S</w:t>
      </w:r>
      <w:r w:rsidRPr="007F3E79">
        <w:t>cheme is a requirement that energy efficiency activities be undertaken in vulnerable households to increase their opportunity to lower energy use and costs.</w:t>
      </w:r>
    </w:p>
    <w:p w:rsidR="007F3E79" w:rsidRPr="007F3E79" w:rsidRDefault="007F3E79" w:rsidP="004F7A03">
      <w:pPr>
        <w:pStyle w:val="Heading3"/>
      </w:pPr>
      <w:r w:rsidRPr="007F3E79">
        <w:t xml:space="preserve">Defining </w:t>
      </w:r>
      <w:r w:rsidR="00625F5B">
        <w:t>Priority Households</w:t>
      </w:r>
    </w:p>
    <w:p w:rsidR="007F3E79" w:rsidRPr="007F3E79" w:rsidRDefault="007F3E79" w:rsidP="007F3E79">
      <w:pPr>
        <w:rPr>
          <w:lang w:eastAsia="en-AU"/>
        </w:rPr>
      </w:pPr>
      <w:r w:rsidRPr="007F3E79">
        <w:rPr>
          <w:lang w:eastAsia="en-AU"/>
        </w:rPr>
        <w:t xml:space="preserve">Under the REES, the determination of those households which fall within the category of priority group households is specified in the Regulations, which provide that </w:t>
      </w:r>
      <w:r w:rsidRPr="007F3E79">
        <w:rPr>
          <w:b/>
          <w:bCs/>
          <w:i/>
          <w:iCs/>
          <w:lang w:eastAsia="en-AU"/>
        </w:rPr>
        <w:t xml:space="preserve">priority group household </w:t>
      </w:r>
      <w:r w:rsidRPr="007F3E79">
        <w:rPr>
          <w:i/>
          <w:iCs/>
          <w:lang w:eastAsia="en-AU"/>
        </w:rPr>
        <w:t xml:space="preserve">means residential premises in which a person resides who— </w:t>
      </w:r>
    </w:p>
    <w:p w:rsidR="007F3E79" w:rsidRPr="007F3E79" w:rsidRDefault="007F3E79" w:rsidP="00B96C73">
      <w:pPr>
        <w:pStyle w:val="ListParagraph"/>
        <w:numPr>
          <w:ilvl w:val="0"/>
          <w:numId w:val="22"/>
        </w:numPr>
        <w:rPr>
          <w:lang w:eastAsia="en-AU"/>
        </w:rPr>
      </w:pPr>
      <w:r w:rsidRPr="007F3E79">
        <w:rPr>
          <w:i/>
          <w:iCs/>
          <w:lang w:eastAsia="en-AU"/>
        </w:rPr>
        <w:t xml:space="preserve">is the holder of a current pensioner concession card issued by the Commonwealth Government; or </w:t>
      </w:r>
    </w:p>
    <w:p w:rsidR="007F3E79" w:rsidRPr="007F3E79" w:rsidRDefault="007F3E79" w:rsidP="00B96C73">
      <w:pPr>
        <w:pStyle w:val="ListParagraph"/>
        <w:numPr>
          <w:ilvl w:val="0"/>
          <w:numId w:val="22"/>
        </w:numPr>
        <w:rPr>
          <w:lang w:eastAsia="en-AU"/>
        </w:rPr>
      </w:pPr>
      <w:r w:rsidRPr="007F3E79">
        <w:rPr>
          <w:i/>
          <w:iCs/>
          <w:lang w:eastAsia="en-AU"/>
        </w:rPr>
        <w:t xml:space="preserve">is the holder of a current TPI Gold Repatriation Health Card issued by the Commonwealth Government; or </w:t>
      </w:r>
    </w:p>
    <w:p w:rsidR="007F3E79" w:rsidRPr="007F3E79" w:rsidRDefault="007F3E79" w:rsidP="00B96C73">
      <w:pPr>
        <w:pStyle w:val="ListParagraph"/>
        <w:numPr>
          <w:ilvl w:val="0"/>
          <w:numId w:val="22"/>
        </w:numPr>
        <w:rPr>
          <w:lang w:eastAsia="en-AU"/>
        </w:rPr>
      </w:pPr>
      <w:r w:rsidRPr="007F3E79">
        <w:rPr>
          <w:i/>
          <w:iCs/>
          <w:lang w:eastAsia="en-AU"/>
        </w:rPr>
        <w:t xml:space="preserve">is the holder of a current War Widows Gold Repatriation Health Card issued by the Commonwealth Government; or </w:t>
      </w:r>
    </w:p>
    <w:p w:rsidR="007F3E79" w:rsidRPr="007F3E79" w:rsidRDefault="007F3E79" w:rsidP="00B96C73">
      <w:pPr>
        <w:pStyle w:val="ListParagraph"/>
        <w:numPr>
          <w:ilvl w:val="0"/>
          <w:numId w:val="22"/>
        </w:numPr>
        <w:rPr>
          <w:lang w:eastAsia="en-AU"/>
        </w:rPr>
      </w:pPr>
      <w:r w:rsidRPr="007F3E79">
        <w:rPr>
          <w:i/>
          <w:iCs/>
          <w:lang w:eastAsia="en-AU"/>
        </w:rPr>
        <w:t xml:space="preserve">is the holder of a current Gold Repatriation Health Card (EDA) issued by the Commonwealth Government; or </w:t>
      </w:r>
    </w:p>
    <w:p w:rsidR="007F3E79" w:rsidRPr="007F3E79" w:rsidRDefault="007F3E79" w:rsidP="00B96C73">
      <w:pPr>
        <w:pStyle w:val="ListParagraph"/>
        <w:numPr>
          <w:ilvl w:val="0"/>
          <w:numId w:val="22"/>
        </w:numPr>
        <w:rPr>
          <w:lang w:eastAsia="en-AU"/>
        </w:rPr>
      </w:pPr>
      <w:r w:rsidRPr="007F3E79">
        <w:rPr>
          <w:i/>
          <w:iCs/>
          <w:lang w:eastAsia="en-AU"/>
        </w:rPr>
        <w:t xml:space="preserve">is the holder of a current Health Care Card (including a Low Income Health Care Card) issued by the Commonwealth Government; and/or </w:t>
      </w:r>
    </w:p>
    <w:p w:rsidR="007F3E79" w:rsidRPr="007F3E79" w:rsidRDefault="007F3E79" w:rsidP="00B96C73">
      <w:pPr>
        <w:pStyle w:val="ListParagraph"/>
        <w:numPr>
          <w:ilvl w:val="0"/>
          <w:numId w:val="22"/>
        </w:numPr>
        <w:rPr>
          <w:lang w:eastAsia="en-AU"/>
        </w:rPr>
      </w:pPr>
      <w:r w:rsidRPr="007F3E79">
        <w:rPr>
          <w:i/>
          <w:iCs/>
          <w:lang w:eastAsia="en-AU"/>
        </w:rPr>
        <w:t xml:space="preserve">is a recipient of the South Australian Government Energy Concession; or </w:t>
      </w:r>
    </w:p>
    <w:p w:rsidR="007F3E79" w:rsidRPr="007F3E79" w:rsidRDefault="007F3E79" w:rsidP="00B96C73">
      <w:pPr>
        <w:pStyle w:val="ListParagraph"/>
        <w:numPr>
          <w:ilvl w:val="0"/>
          <w:numId w:val="22"/>
        </w:numPr>
      </w:pPr>
      <w:r w:rsidRPr="007F3E79">
        <w:rPr>
          <w:lang w:eastAsia="en-AU"/>
        </w:rPr>
        <w:t>falls within a class of persons who are experiencing hardship determined or approved by the Commission for the purposes of these regulations.</w:t>
      </w:r>
    </w:p>
    <w:p w:rsidR="007F3E79" w:rsidRPr="007F3E79" w:rsidRDefault="007F3E79" w:rsidP="007F3E79">
      <w:pPr>
        <w:rPr>
          <w:lang w:eastAsia="en-AU"/>
        </w:rPr>
      </w:pPr>
      <w:r w:rsidRPr="007F3E79">
        <w:rPr>
          <w:lang w:eastAsia="en-AU"/>
        </w:rPr>
        <w:t>Of the 81,217 energy efficiency activities undertaken by oblig</w:t>
      </w:r>
      <w:r w:rsidR="007C39B4">
        <w:rPr>
          <w:lang w:eastAsia="en-AU"/>
        </w:rPr>
        <w:t>ated</w:t>
      </w:r>
      <w:r w:rsidRPr="007F3E79">
        <w:rPr>
          <w:lang w:eastAsia="en-AU"/>
        </w:rPr>
        <w:t xml:space="preserve"> suppliers under the REES in 2010, 32</w:t>
      </w:r>
      <w:r w:rsidR="007D5396">
        <w:rPr>
          <w:lang w:eastAsia="en-AU"/>
        </w:rPr>
        <w:t> per cent</w:t>
      </w:r>
      <w:r w:rsidRPr="007F3E79">
        <w:rPr>
          <w:lang w:eastAsia="en-AU"/>
        </w:rPr>
        <w:t xml:space="preserve"> (51.1</w:t>
      </w:r>
      <w:r w:rsidR="007D5396">
        <w:rPr>
          <w:lang w:eastAsia="en-AU"/>
        </w:rPr>
        <w:t> per cent</w:t>
      </w:r>
      <w:r w:rsidRPr="007F3E79">
        <w:rPr>
          <w:lang w:eastAsia="en-AU"/>
        </w:rPr>
        <w:t xml:space="preserve"> in 2009) were conducted in priority group households.  In terms of greenhouse gas emission reductions (tCO2-e), 31</w:t>
      </w:r>
      <w:r w:rsidR="007D5396">
        <w:rPr>
          <w:lang w:eastAsia="en-AU"/>
        </w:rPr>
        <w:t> per cent</w:t>
      </w:r>
      <w:r w:rsidRPr="007F3E79">
        <w:rPr>
          <w:lang w:eastAsia="en-AU"/>
        </w:rPr>
        <w:t xml:space="preserve"> (40.5</w:t>
      </w:r>
      <w:r w:rsidR="007D5396">
        <w:rPr>
          <w:lang w:eastAsia="en-AU"/>
        </w:rPr>
        <w:t> per cent</w:t>
      </w:r>
      <w:r w:rsidRPr="007F3E79">
        <w:rPr>
          <w:lang w:eastAsia="en-AU"/>
        </w:rPr>
        <w:t xml:space="preserve"> in 2009) is attributable to activities conducted in priority group households, against the target of 35</w:t>
      </w:r>
      <w:r w:rsidR="007D5396">
        <w:rPr>
          <w:lang w:eastAsia="en-AU"/>
        </w:rPr>
        <w:t> per cent</w:t>
      </w:r>
      <w:r w:rsidRPr="007F3E79">
        <w:rPr>
          <w:lang w:eastAsia="en-AU"/>
        </w:rPr>
        <w:t>. The target for</w:t>
      </w:r>
      <w:r w:rsidR="007D5396">
        <w:rPr>
          <w:lang w:eastAsia="en-AU"/>
        </w:rPr>
        <w:t> </w:t>
      </w:r>
      <w:r w:rsidRPr="007F3E79">
        <w:rPr>
          <w:lang w:eastAsia="en-AU"/>
        </w:rPr>
        <w:t>2010 was well exceeded</w:t>
      </w:r>
      <w:r w:rsidR="007C39B4">
        <w:rPr>
          <w:lang w:eastAsia="en-AU"/>
        </w:rPr>
        <w:t>,</w:t>
      </w:r>
      <w:r w:rsidRPr="007F3E79">
        <w:rPr>
          <w:lang w:eastAsia="en-AU"/>
        </w:rPr>
        <w:t xml:space="preserve"> with suppliers utilising 30,680 tCO2-e of available priority group excess from the 2009 year to meet 2010 priority group targets. </w:t>
      </w:r>
    </w:p>
    <w:p w:rsidR="007F3E79" w:rsidRPr="007F3E79" w:rsidRDefault="007F3E79" w:rsidP="007F3E79">
      <w:r w:rsidRPr="007F3E79">
        <w:rPr>
          <w:lang w:eastAsia="en-AU"/>
        </w:rPr>
        <w:t>The 35</w:t>
      </w:r>
      <w:r w:rsidR="007D5396">
        <w:rPr>
          <w:lang w:eastAsia="en-AU"/>
        </w:rPr>
        <w:t> per cent</w:t>
      </w:r>
      <w:r w:rsidRPr="007F3E79">
        <w:rPr>
          <w:lang w:eastAsia="en-AU"/>
        </w:rPr>
        <w:t xml:space="preserve"> target set under the scheme </w:t>
      </w:r>
      <w:r w:rsidRPr="007F3E79">
        <w:t>is based on the number of South Australian households which would fall within the definition of priority group household (given the likely cross-over in relation to the qualifying criteria, with a single household potentially meeting multiple criteria).</w:t>
      </w:r>
    </w:p>
    <w:p w:rsidR="007F3E79" w:rsidRPr="007F3E79" w:rsidRDefault="007F3E79" w:rsidP="007F3E79">
      <w:pPr>
        <w:rPr>
          <w:rFonts w:cs="Calibri"/>
          <w:szCs w:val="24"/>
        </w:rPr>
      </w:pPr>
      <w:r w:rsidRPr="007F3E79">
        <w:rPr>
          <w:rFonts w:cs="Calibri"/>
          <w:szCs w:val="24"/>
        </w:rPr>
        <w:t xml:space="preserve">The following groups were identified through consultation for potential inclusion in the </w:t>
      </w:r>
      <w:r w:rsidR="0083360D">
        <w:rPr>
          <w:rFonts w:cs="Calibri"/>
          <w:szCs w:val="24"/>
        </w:rPr>
        <w:t xml:space="preserve">ACT </w:t>
      </w:r>
      <w:r w:rsidR="007D5396">
        <w:rPr>
          <w:rFonts w:cs="Calibri"/>
          <w:szCs w:val="24"/>
        </w:rPr>
        <w:t>S</w:t>
      </w:r>
      <w:r w:rsidRPr="007F3E79">
        <w:rPr>
          <w:rFonts w:cs="Calibri"/>
          <w:szCs w:val="24"/>
        </w:rPr>
        <w:t xml:space="preserve">cheme: </w:t>
      </w:r>
    </w:p>
    <w:p w:rsidR="007F3E79" w:rsidRPr="007F3E79" w:rsidRDefault="007F3E79" w:rsidP="00B96C73">
      <w:pPr>
        <w:numPr>
          <w:ilvl w:val="0"/>
          <w:numId w:val="19"/>
        </w:numPr>
        <w:rPr>
          <w:rFonts w:cs="Calibri"/>
          <w:szCs w:val="24"/>
        </w:rPr>
      </w:pPr>
      <w:r w:rsidRPr="007F3E79">
        <w:rPr>
          <w:rFonts w:cs="Calibri"/>
          <w:szCs w:val="24"/>
        </w:rPr>
        <w:t>recipients of Energy Concessions (currently open to holders of Centrelink Pensioner Concession Cards, Centrelink Low Income Health Care Cards and Veteran’s Affairs Pensioner Concession Cards);</w:t>
      </w:r>
    </w:p>
    <w:p w:rsidR="007F3E79" w:rsidRPr="007F3E79" w:rsidRDefault="007F3E79" w:rsidP="00B96C73">
      <w:pPr>
        <w:numPr>
          <w:ilvl w:val="0"/>
          <w:numId w:val="19"/>
        </w:numPr>
        <w:rPr>
          <w:rFonts w:cs="Calibri"/>
          <w:szCs w:val="24"/>
        </w:rPr>
      </w:pPr>
      <w:r w:rsidRPr="007F3E79">
        <w:rPr>
          <w:rFonts w:cs="Calibri"/>
          <w:szCs w:val="24"/>
        </w:rPr>
        <w:t>holders of a Department of Veterans’ Affairs card, TPI gold repatriation health care card, war widows repatriation health care card, or the gold repatriation health care card;</w:t>
      </w:r>
    </w:p>
    <w:p w:rsidR="007F3E79" w:rsidRPr="007F3E79" w:rsidRDefault="007F3E79" w:rsidP="00B96C73">
      <w:pPr>
        <w:numPr>
          <w:ilvl w:val="0"/>
          <w:numId w:val="19"/>
        </w:numPr>
        <w:rPr>
          <w:rFonts w:cs="Calibri"/>
          <w:b/>
          <w:szCs w:val="24"/>
        </w:rPr>
      </w:pPr>
      <w:r w:rsidRPr="007F3E79">
        <w:rPr>
          <w:rFonts w:cs="Calibri"/>
          <w:szCs w:val="24"/>
        </w:rPr>
        <w:t>low</w:t>
      </w:r>
      <w:r w:rsidR="0083360D">
        <w:rPr>
          <w:rFonts w:cs="Calibri"/>
          <w:szCs w:val="24"/>
        </w:rPr>
        <w:t>-</w:t>
      </w:r>
      <w:r w:rsidRPr="007F3E79">
        <w:rPr>
          <w:rFonts w:cs="Calibri"/>
          <w:szCs w:val="24"/>
        </w:rPr>
        <w:t>income home owners who do not qualify for the above Energy Concession;</w:t>
      </w:r>
    </w:p>
    <w:p w:rsidR="007F3E79" w:rsidRPr="007F3E79" w:rsidRDefault="007F3E79" w:rsidP="00B96C73">
      <w:pPr>
        <w:numPr>
          <w:ilvl w:val="0"/>
          <w:numId w:val="19"/>
        </w:numPr>
        <w:rPr>
          <w:rFonts w:cs="Calibri"/>
          <w:b/>
          <w:szCs w:val="24"/>
        </w:rPr>
      </w:pPr>
      <w:r w:rsidRPr="007F3E79">
        <w:rPr>
          <w:rFonts w:cs="Calibri"/>
          <w:szCs w:val="24"/>
        </w:rPr>
        <w:t>households accessing utility providers’ hardship programs;</w:t>
      </w:r>
    </w:p>
    <w:p w:rsidR="007F3E79" w:rsidRPr="007F3E79" w:rsidRDefault="007F3E79" w:rsidP="00B96C73">
      <w:pPr>
        <w:numPr>
          <w:ilvl w:val="0"/>
          <w:numId w:val="19"/>
        </w:numPr>
        <w:rPr>
          <w:rFonts w:cs="Calibri"/>
          <w:b/>
          <w:szCs w:val="24"/>
        </w:rPr>
      </w:pPr>
      <w:r w:rsidRPr="007F3E79">
        <w:rPr>
          <w:rFonts w:cs="Calibri"/>
          <w:szCs w:val="24"/>
        </w:rPr>
        <w:t>households accessing ACAT-EW assistance;</w:t>
      </w:r>
    </w:p>
    <w:p w:rsidR="007F3E79" w:rsidRPr="007F3E79" w:rsidRDefault="007F3E79" w:rsidP="00B96C73">
      <w:pPr>
        <w:numPr>
          <w:ilvl w:val="0"/>
          <w:numId w:val="19"/>
        </w:numPr>
        <w:rPr>
          <w:rFonts w:cs="Calibri"/>
          <w:b/>
          <w:szCs w:val="24"/>
        </w:rPr>
      </w:pPr>
      <w:r w:rsidRPr="007F3E79">
        <w:rPr>
          <w:rFonts w:cs="Calibri"/>
          <w:szCs w:val="24"/>
        </w:rPr>
        <w:t>customers with mental health issues;</w:t>
      </w:r>
    </w:p>
    <w:p w:rsidR="007F3E79" w:rsidRPr="007F3E79" w:rsidRDefault="007F3E79" w:rsidP="00B96C73">
      <w:pPr>
        <w:numPr>
          <w:ilvl w:val="0"/>
          <w:numId w:val="19"/>
        </w:numPr>
        <w:rPr>
          <w:rFonts w:cs="Calibri"/>
          <w:szCs w:val="24"/>
        </w:rPr>
      </w:pPr>
      <w:r w:rsidRPr="007F3E79">
        <w:rPr>
          <w:rFonts w:cs="Calibri"/>
          <w:szCs w:val="24"/>
        </w:rPr>
        <w:t>households renting in the private rental market; and</w:t>
      </w:r>
    </w:p>
    <w:p w:rsidR="007F3E79" w:rsidRPr="007F3E79" w:rsidRDefault="007F3E79" w:rsidP="00B96C73">
      <w:pPr>
        <w:numPr>
          <w:ilvl w:val="0"/>
          <w:numId w:val="19"/>
        </w:numPr>
        <w:rPr>
          <w:rFonts w:cs="Calibri"/>
          <w:b/>
          <w:szCs w:val="24"/>
        </w:rPr>
      </w:pPr>
      <w:r w:rsidRPr="007F3E79">
        <w:rPr>
          <w:rFonts w:cs="Calibri"/>
          <w:szCs w:val="24"/>
        </w:rPr>
        <w:t>customers living in poor housing stock (</w:t>
      </w:r>
      <w:r w:rsidR="00B36A28" w:rsidRPr="007F3E79">
        <w:rPr>
          <w:rFonts w:cs="Calibri"/>
          <w:szCs w:val="24"/>
        </w:rPr>
        <w:t>i.e.</w:t>
      </w:r>
      <w:r w:rsidRPr="007F3E79">
        <w:rPr>
          <w:rFonts w:cs="Calibri"/>
          <w:szCs w:val="24"/>
        </w:rPr>
        <w:t xml:space="preserve"> ACT houses which have less than a two star rating).</w:t>
      </w:r>
    </w:p>
    <w:p w:rsidR="007F3E79" w:rsidRPr="007F3E79" w:rsidRDefault="007F3E79" w:rsidP="007F3E79">
      <w:r w:rsidRPr="007F3E79">
        <w:rPr>
          <w:szCs w:val="24"/>
        </w:rPr>
        <w:t xml:space="preserve">The above list has been developed recognising that </w:t>
      </w:r>
      <w:r w:rsidRPr="007F3E79">
        <w:t>priority group households should not be narrowly defined, and should include all households where the major source of income is a pension or benefit from Centrelink. Further, identifying a wide range of customers eligible for priority group household status may improve</w:t>
      </w:r>
      <w:r w:rsidR="0083360D">
        <w:t xml:space="preserve"> a</w:t>
      </w:r>
      <w:r w:rsidRPr="007F3E79">
        <w:t xml:space="preserve"> supplier’s ability to identify and hence engage with vulnerable households.</w:t>
      </w:r>
    </w:p>
    <w:p w:rsidR="007F3E79" w:rsidRPr="007F3E79" w:rsidRDefault="007F3E79" w:rsidP="007F3E79">
      <w:pPr>
        <w:rPr>
          <w:szCs w:val="24"/>
        </w:rPr>
      </w:pPr>
      <w:r w:rsidRPr="007F3E79">
        <w:rPr>
          <w:szCs w:val="24"/>
        </w:rPr>
        <w:t xml:space="preserve">Whilst the </w:t>
      </w:r>
      <w:r w:rsidR="001D17AD">
        <w:rPr>
          <w:szCs w:val="24"/>
        </w:rPr>
        <w:t>ESDD</w:t>
      </w:r>
      <w:r w:rsidR="001D17AD" w:rsidRPr="007F3E79">
        <w:rPr>
          <w:szCs w:val="24"/>
        </w:rPr>
        <w:t xml:space="preserve"> </w:t>
      </w:r>
      <w:r w:rsidRPr="007F3E79">
        <w:rPr>
          <w:szCs w:val="24"/>
        </w:rPr>
        <w:t xml:space="preserve">acknowledges the validity of including the identified groups in the priority target under the </w:t>
      </w:r>
      <w:r w:rsidR="001D17AD">
        <w:rPr>
          <w:szCs w:val="24"/>
        </w:rPr>
        <w:t>S</w:t>
      </w:r>
      <w:r w:rsidRPr="007F3E79">
        <w:rPr>
          <w:szCs w:val="24"/>
        </w:rPr>
        <w:t xml:space="preserve">cheme, and ensuring the definition is broad, there are practical limits set by the accurate identification and verification of these households. Particular difficulty may be encountered by suppliers, for example, in identifying and verifying low-income home owners who do not qualify for other concessions. Creating a verification mechanism for these categories may add to the cost of compliance for suppliers as well as to the overall administration of the </w:t>
      </w:r>
      <w:r w:rsidR="007D5396">
        <w:rPr>
          <w:szCs w:val="24"/>
        </w:rPr>
        <w:t>S</w:t>
      </w:r>
      <w:r w:rsidRPr="007F3E79">
        <w:rPr>
          <w:szCs w:val="24"/>
        </w:rPr>
        <w:t>cheme.</w:t>
      </w:r>
    </w:p>
    <w:p w:rsidR="007F3E79" w:rsidRPr="007F3E79" w:rsidRDefault="00625F5B" w:rsidP="007F3E79">
      <w:r>
        <w:t xml:space="preserve">A significant amount of work remains to identify groups in need in the community and it is important therefore that the Scheme maintains a degree of flexibility over these definitions so that they can be broadened, and new groups added over time. </w:t>
      </w:r>
      <w:r w:rsidR="007F3E79" w:rsidRPr="007F3E79">
        <w:t>It is proposed that the defined priority households under the Scheme legislation initially include the following groups</w:t>
      </w:r>
      <w:r>
        <w:t xml:space="preserve">, with the Minister having the power to expand this definition by </w:t>
      </w:r>
      <w:r w:rsidR="007D5396">
        <w:t>r</w:t>
      </w:r>
      <w:r>
        <w:t xml:space="preserve">egulation in the future as the </w:t>
      </w:r>
      <w:r w:rsidR="007D5396">
        <w:t>S</w:t>
      </w:r>
      <w:r>
        <w:t xml:space="preserve">cheme develops. </w:t>
      </w:r>
    </w:p>
    <w:p w:rsidR="007F3E79" w:rsidRPr="00625F5B" w:rsidRDefault="007F3E79" w:rsidP="00B96C73">
      <w:pPr>
        <w:pStyle w:val="ListParagraph"/>
        <w:numPr>
          <w:ilvl w:val="0"/>
          <w:numId w:val="28"/>
        </w:numPr>
      </w:pPr>
      <w:r w:rsidRPr="00625F5B">
        <w:t xml:space="preserve">a recipient of an Energy </w:t>
      </w:r>
      <w:r w:rsidR="00B36A28" w:rsidRPr="00625F5B">
        <w:t>Concession;</w:t>
      </w:r>
      <w:r w:rsidR="00B36A28">
        <w:t xml:space="preserve"> or</w:t>
      </w:r>
      <w:r w:rsidRPr="00625F5B">
        <w:t xml:space="preserve"> </w:t>
      </w:r>
    </w:p>
    <w:p w:rsidR="007F3E79" w:rsidRPr="00625F5B" w:rsidRDefault="007F3E79" w:rsidP="00B96C73">
      <w:pPr>
        <w:pStyle w:val="ListParagraph"/>
        <w:numPr>
          <w:ilvl w:val="0"/>
          <w:numId w:val="28"/>
        </w:numPr>
      </w:pPr>
      <w:r w:rsidRPr="00625F5B">
        <w:t>a holder of a Commonwealth pensioner concession card or health care card; or</w:t>
      </w:r>
    </w:p>
    <w:p w:rsidR="007F3E79" w:rsidRPr="00625F5B" w:rsidRDefault="007F3E79" w:rsidP="00B96C73">
      <w:pPr>
        <w:pStyle w:val="ListParagraph"/>
        <w:numPr>
          <w:ilvl w:val="0"/>
          <w:numId w:val="28"/>
        </w:numPr>
      </w:pPr>
      <w:r w:rsidRPr="00625F5B">
        <w:t xml:space="preserve">a holder of a Department of Veterans’ Affairs card, TPI gold repatriation health care card, war widows repatriation health care card, or </w:t>
      </w:r>
      <w:r w:rsidR="001D17AD">
        <w:t>a</w:t>
      </w:r>
      <w:r w:rsidRPr="00625F5B">
        <w:t xml:space="preserve"> gold repatriation health care card. </w:t>
      </w:r>
    </w:p>
    <w:p w:rsidR="00625F5B" w:rsidRPr="006A56FF" w:rsidRDefault="00625F5B" w:rsidP="004F7A03">
      <w:pPr>
        <w:pStyle w:val="Heading3"/>
      </w:pPr>
      <w:r w:rsidRPr="006A56FF">
        <w:t>Setting the Priority Household Target (PHT)</w:t>
      </w:r>
    </w:p>
    <w:p w:rsidR="006A56FF" w:rsidRPr="006A56FF" w:rsidRDefault="00625F5B" w:rsidP="007F3E79">
      <w:r w:rsidRPr="006A56FF">
        <w:t xml:space="preserve">The establishment of a PHT, being the </w:t>
      </w:r>
      <w:r w:rsidR="006A56FF" w:rsidRPr="006A56FF">
        <w:t xml:space="preserve">minimum </w:t>
      </w:r>
      <w:r w:rsidRPr="006A56FF">
        <w:t>proportion of energy savings tha</w:t>
      </w:r>
      <w:r w:rsidR="007D5396">
        <w:t>t</w:t>
      </w:r>
      <w:r w:rsidRPr="006A56FF">
        <w:t xml:space="preserve"> must </w:t>
      </w:r>
      <w:r w:rsidR="007D5396">
        <w:t xml:space="preserve">be </w:t>
      </w:r>
      <w:r w:rsidRPr="006A56FF">
        <w:t>achieve</w:t>
      </w:r>
      <w:r w:rsidR="007D5396">
        <w:t>d</w:t>
      </w:r>
      <w:r w:rsidRPr="006A56FF">
        <w:t xml:space="preserve"> in low</w:t>
      </w:r>
      <w:r w:rsidR="001D17AD">
        <w:t>-</w:t>
      </w:r>
      <w:r w:rsidRPr="006A56FF">
        <w:t>income or other disadvantaged households</w:t>
      </w:r>
      <w:r w:rsidR="00F236BE" w:rsidRPr="006A56FF">
        <w:t xml:space="preserve"> in a given year</w:t>
      </w:r>
      <w:r w:rsidRPr="006A56FF">
        <w:t xml:space="preserve">, is a key </w:t>
      </w:r>
      <w:r w:rsidR="006A56FF" w:rsidRPr="006A56FF">
        <w:t>S</w:t>
      </w:r>
      <w:r w:rsidRPr="006A56FF">
        <w:t xml:space="preserve">cheme parameter. </w:t>
      </w:r>
    </w:p>
    <w:p w:rsidR="00625F5B" w:rsidRPr="006A56FF" w:rsidRDefault="006A56FF" w:rsidP="007F3E79">
      <w:r w:rsidRPr="00B74AA4">
        <w:t xml:space="preserve">It is important to note that modelling of the </w:t>
      </w:r>
      <w:r w:rsidR="007D5396" w:rsidRPr="00B74AA4">
        <w:t>S</w:t>
      </w:r>
      <w:r w:rsidRPr="00B74AA4">
        <w:t xml:space="preserve">cheme, presented from page </w:t>
      </w:r>
      <w:r w:rsidRPr="00B74AA4">
        <w:fldChar w:fldCharType="begin"/>
      </w:r>
      <w:r w:rsidRPr="00B74AA4">
        <w:instrText xml:space="preserve"> PAGEREF _Ref303839344 \h </w:instrText>
      </w:r>
      <w:r w:rsidRPr="00B74AA4">
        <w:fldChar w:fldCharType="separate"/>
      </w:r>
      <w:r w:rsidR="00681D6A">
        <w:rPr>
          <w:noProof/>
        </w:rPr>
        <w:t>46</w:t>
      </w:r>
      <w:r w:rsidRPr="00B74AA4">
        <w:fldChar w:fldCharType="end"/>
      </w:r>
      <w:r w:rsidRPr="00B74AA4">
        <w:t>, indicates the Scheme has a positive net present value</w:t>
      </w:r>
      <w:r w:rsidR="004B77C0">
        <w:t>,</w:t>
      </w:r>
      <w:r w:rsidRPr="00B74AA4">
        <w:t xml:space="preserve"> meaning that there are net </w:t>
      </w:r>
      <w:r w:rsidR="00B74AA4" w:rsidRPr="00B74AA4">
        <w:t xml:space="preserve">economic </w:t>
      </w:r>
      <w:r w:rsidRPr="00B74AA4">
        <w:t xml:space="preserve">benefits from the </w:t>
      </w:r>
      <w:r w:rsidR="007D5396" w:rsidRPr="00B74AA4">
        <w:t>S</w:t>
      </w:r>
      <w:r w:rsidRPr="00B74AA4">
        <w:t xml:space="preserve">cheme to be shared by all Territory households. </w:t>
      </w:r>
      <w:r w:rsidR="00625F5B" w:rsidRPr="00B74AA4">
        <w:t>Given</w:t>
      </w:r>
      <w:r w:rsidR="00625F5B" w:rsidRPr="006A56FF">
        <w:t xml:space="preserve"> the costs of the </w:t>
      </w:r>
      <w:r w:rsidR="007D5396">
        <w:t>S</w:t>
      </w:r>
      <w:r w:rsidR="00625F5B" w:rsidRPr="006A56FF">
        <w:t>cheme will ultimately be passed through to all energy users in the Territory, a high PHT ensures that these households will benefit disproportionately from the Scheme. Conversely, a low PHT may result in these households not being effectively targeted</w:t>
      </w:r>
      <w:r w:rsidR="004B77C0">
        <w:t>,</w:t>
      </w:r>
      <w:r w:rsidR="0015789E" w:rsidRPr="006A56FF">
        <w:t xml:space="preserve"> resulting in them facing a disproportionate cost burden. </w:t>
      </w:r>
    </w:p>
    <w:p w:rsidR="00F236BE" w:rsidRPr="006A56FF" w:rsidRDefault="007F3E79" w:rsidP="007F3E79">
      <w:r w:rsidRPr="006A56FF">
        <w:t xml:space="preserve">A review of the monthly claims for energy concessions from July 2010 to June 2011 from energy </w:t>
      </w:r>
      <w:r w:rsidR="00FF666F">
        <w:t>suppli</w:t>
      </w:r>
      <w:r w:rsidRPr="006A56FF">
        <w:t>ers showed the maximum number of claims in any one month to be 27,395</w:t>
      </w:r>
      <w:r w:rsidRPr="006A56FF">
        <w:rPr>
          <w:vertAlign w:val="superscript"/>
        </w:rPr>
        <w:footnoteReference w:id="27"/>
      </w:r>
      <w:r w:rsidRPr="006A56FF">
        <w:t>. As the number of rateable residential properties was 136,658</w:t>
      </w:r>
      <w:r w:rsidRPr="006A56FF">
        <w:rPr>
          <w:vertAlign w:val="superscript"/>
        </w:rPr>
        <w:footnoteReference w:id="28"/>
      </w:r>
      <w:r w:rsidRPr="006A56FF">
        <w:t xml:space="preserve"> at 30 June 2011, the Directorate estimates that at least 20</w:t>
      </w:r>
      <w:r w:rsidR="007D5396">
        <w:t> per cent</w:t>
      </w:r>
      <w:r w:rsidRPr="006A56FF">
        <w:t xml:space="preserve"> of ACT households would be eligible for Priority Household status.</w:t>
      </w:r>
      <w:r w:rsidR="00F236BE" w:rsidRPr="006A56FF">
        <w:t xml:space="preserve"> </w:t>
      </w:r>
      <w:r w:rsidR="00C332D1" w:rsidRPr="006A56FF">
        <w:t xml:space="preserve">This analysis indicates that a PHT set just above </w:t>
      </w:r>
      <w:r w:rsidR="00F236BE" w:rsidRPr="006A56FF">
        <w:t>the proportion of households claiming energy concessions</w:t>
      </w:r>
      <w:r w:rsidR="00C332D1" w:rsidRPr="006A56FF">
        <w:t xml:space="preserve"> would achieve the objective of ensuring priority households are effectively targeted under the </w:t>
      </w:r>
      <w:r w:rsidR="007D5396">
        <w:t>S</w:t>
      </w:r>
      <w:r w:rsidR="00C332D1" w:rsidRPr="006A56FF">
        <w:t xml:space="preserve">cheme, while not otherwise distorting the </w:t>
      </w:r>
      <w:r w:rsidR="007D5396">
        <w:t>S</w:t>
      </w:r>
      <w:r w:rsidR="00C332D1" w:rsidRPr="006A56FF">
        <w:t xml:space="preserve">cheme in a manner that materially decreases its overall cost-effectiveness. </w:t>
      </w:r>
    </w:p>
    <w:p w:rsidR="007F3E79" w:rsidRDefault="00F236BE" w:rsidP="007F3E79">
      <w:r w:rsidRPr="006A56FF">
        <w:t>Specifically, a target of 25 per cent is proposed</w:t>
      </w:r>
      <w:r w:rsidR="006A56FF" w:rsidRPr="006A56FF">
        <w:t xml:space="preserve"> for the first period of the </w:t>
      </w:r>
      <w:r w:rsidR="007D5396">
        <w:t>S</w:t>
      </w:r>
      <w:r w:rsidR="006A56FF" w:rsidRPr="006A56FF">
        <w:t>cheme, reflecting the initial definition of priority group households that will apply to that period</w:t>
      </w:r>
      <w:r w:rsidRPr="006A56FF">
        <w:t xml:space="preserve">. This target is seen as the </w:t>
      </w:r>
      <w:r w:rsidR="006A56FF" w:rsidRPr="006A56FF">
        <w:t xml:space="preserve">minimum level that will ensure that priority group households benefit disproportionately from the </w:t>
      </w:r>
      <w:r w:rsidR="007D5396">
        <w:t>S</w:t>
      </w:r>
      <w:r w:rsidR="006A56FF" w:rsidRPr="006A56FF">
        <w:t>cheme. This target and the priority group definition will be reviewed by the Directorate over the course of 2012 with a view to expanding both in futur</w:t>
      </w:r>
      <w:r w:rsidR="006A56FF" w:rsidRPr="00315479">
        <w:t>e years.</w:t>
      </w:r>
      <w:r w:rsidR="00B74AA4" w:rsidRPr="00315479">
        <w:t xml:space="preserve"> The additional costs associated with securing low-income household participation in the Scheme have been factored into Scheme modelling.</w:t>
      </w:r>
    </w:p>
    <w:p w:rsidR="00253B7C" w:rsidRPr="00D44526" w:rsidRDefault="0080544E" w:rsidP="00D404FA">
      <w:pPr>
        <w:pStyle w:val="Heading2"/>
      </w:pPr>
      <w:bookmarkStart w:id="78" w:name="_Toc303670568"/>
      <w:bookmarkStart w:id="79" w:name="_Ref303847249"/>
      <w:bookmarkStart w:id="80" w:name="_Ref303847252"/>
      <w:bookmarkStart w:id="81" w:name="_Ref303922980"/>
      <w:bookmarkStart w:id="82" w:name="_Ref303922983"/>
      <w:bookmarkStart w:id="83" w:name="_Toc306808236"/>
      <w:r>
        <w:t>Minimising impacts on</w:t>
      </w:r>
      <w:r w:rsidR="00253B7C">
        <w:t xml:space="preserve"> c</w:t>
      </w:r>
      <w:r w:rsidR="00253B7C" w:rsidRPr="00D44526">
        <w:t>ompetition</w:t>
      </w:r>
      <w:bookmarkEnd w:id="78"/>
      <w:bookmarkEnd w:id="79"/>
      <w:bookmarkEnd w:id="80"/>
      <w:bookmarkEnd w:id="81"/>
      <w:bookmarkEnd w:id="82"/>
      <w:bookmarkEnd w:id="83"/>
    </w:p>
    <w:p w:rsidR="00F651DD" w:rsidRDefault="00F651DD" w:rsidP="00253B7C">
      <w:pPr>
        <w:rPr>
          <w:rFonts w:cs="Calibri"/>
          <w:szCs w:val="24"/>
        </w:rPr>
      </w:pPr>
      <w:r>
        <w:rPr>
          <w:rFonts w:cs="Calibri"/>
          <w:szCs w:val="24"/>
        </w:rPr>
        <w:t xml:space="preserve">While the </w:t>
      </w:r>
      <w:r w:rsidR="00FB5D13">
        <w:rPr>
          <w:rFonts w:cs="Calibri"/>
          <w:szCs w:val="24"/>
        </w:rPr>
        <w:t>Scheme will stimulate</w:t>
      </w:r>
      <w:r w:rsidR="00AD034B">
        <w:rPr>
          <w:rFonts w:cs="Calibri"/>
          <w:szCs w:val="24"/>
        </w:rPr>
        <w:t xml:space="preserve"> a broad range of electricity and gas saving activities, obligations will be imposed only on electricity suppliers </w:t>
      </w:r>
      <w:r>
        <w:rPr>
          <w:rFonts w:cs="Calibri"/>
          <w:szCs w:val="24"/>
        </w:rPr>
        <w:t>in relation to their electricity sales</w:t>
      </w:r>
      <w:r w:rsidR="00AD034B">
        <w:rPr>
          <w:rFonts w:cs="Calibri"/>
          <w:szCs w:val="24"/>
        </w:rPr>
        <w:t xml:space="preserve">. </w:t>
      </w:r>
      <w:r>
        <w:rPr>
          <w:rFonts w:cs="Calibri"/>
          <w:szCs w:val="24"/>
        </w:rPr>
        <w:t>This therefore relates a supplier’s obligation to their capacity to pass-through costs through higher electricity retail prices.</w:t>
      </w:r>
    </w:p>
    <w:p w:rsidR="00AD034B" w:rsidRDefault="00F651DD" w:rsidP="00253B7C">
      <w:pPr>
        <w:rPr>
          <w:noProof/>
        </w:rPr>
      </w:pPr>
      <w:r>
        <w:rPr>
          <w:rFonts w:cs="Calibri"/>
          <w:szCs w:val="24"/>
        </w:rPr>
        <w:t>While r</w:t>
      </w:r>
      <w:r w:rsidR="00AD034B">
        <w:rPr>
          <w:rFonts w:cs="Calibri"/>
          <w:szCs w:val="24"/>
        </w:rPr>
        <w:t xml:space="preserve">equiring gas suppliers to </w:t>
      </w:r>
      <w:r w:rsidR="00AD034B" w:rsidRPr="00E12B08">
        <w:rPr>
          <w:rFonts w:cs="Calibri"/>
          <w:szCs w:val="24"/>
        </w:rPr>
        <w:t>participat</w:t>
      </w:r>
      <w:r w:rsidR="00AD034B">
        <w:rPr>
          <w:rFonts w:cs="Calibri"/>
          <w:szCs w:val="24"/>
        </w:rPr>
        <w:t xml:space="preserve">e in the </w:t>
      </w:r>
      <w:r w:rsidR="00824884">
        <w:rPr>
          <w:rFonts w:cs="Calibri"/>
          <w:szCs w:val="24"/>
        </w:rPr>
        <w:t>S</w:t>
      </w:r>
      <w:r w:rsidR="00AD034B">
        <w:rPr>
          <w:rFonts w:cs="Calibri"/>
          <w:szCs w:val="24"/>
        </w:rPr>
        <w:t>cheme</w:t>
      </w:r>
      <w:r w:rsidR="00AC0525">
        <w:rPr>
          <w:rFonts w:cs="Calibri"/>
          <w:szCs w:val="24"/>
        </w:rPr>
        <w:t xml:space="preserve"> has some policy benefits</w:t>
      </w:r>
      <w:r w:rsidR="00AD034B">
        <w:rPr>
          <w:rFonts w:cs="Calibri"/>
          <w:szCs w:val="24"/>
        </w:rPr>
        <w:t xml:space="preserve">, </w:t>
      </w:r>
      <w:r>
        <w:rPr>
          <w:rFonts w:cs="Calibri"/>
          <w:szCs w:val="24"/>
        </w:rPr>
        <w:t xml:space="preserve">it has been determined that this </w:t>
      </w:r>
      <w:r w:rsidR="00AD034B">
        <w:rPr>
          <w:rFonts w:cs="Calibri"/>
          <w:szCs w:val="24"/>
        </w:rPr>
        <w:t xml:space="preserve">creates </w:t>
      </w:r>
      <w:r w:rsidR="00AD034B" w:rsidRPr="00E12B08">
        <w:rPr>
          <w:rFonts w:cs="Calibri"/>
          <w:szCs w:val="24"/>
        </w:rPr>
        <w:t>unnecessary administrative and compliance burden</w:t>
      </w:r>
      <w:r w:rsidR="00AD034B">
        <w:rPr>
          <w:rFonts w:cs="Calibri"/>
          <w:szCs w:val="24"/>
        </w:rPr>
        <w:t>s</w:t>
      </w:r>
      <w:r w:rsidR="00AD034B" w:rsidRPr="00E12B08">
        <w:rPr>
          <w:rFonts w:cs="Calibri"/>
          <w:szCs w:val="24"/>
        </w:rPr>
        <w:t xml:space="preserve"> for both the </w:t>
      </w:r>
      <w:r w:rsidR="00824884">
        <w:rPr>
          <w:rFonts w:cs="Calibri"/>
          <w:szCs w:val="24"/>
        </w:rPr>
        <w:t>S</w:t>
      </w:r>
      <w:r w:rsidR="008C0D5D">
        <w:rPr>
          <w:rFonts w:cs="Calibri"/>
          <w:szCs w:val="24"/>
        </w:rPr>
        <w:t>cheme A</w:t>
      </w:r>
      <w:r w:rsidR="00AD034B">
        <w:rPr>
          <w:rFonts w:cs="Calibri"/>
          <w:szCs w:val="24"/>
        </w:rPr>
        <w:t>dministrator</w:t>
      </w:r>
      <w:r w:rsidR="00AD034B" w:rsidRPr="00E12B08">
        <w:rPr>
          <w:rFonts w:cs="Calibri"/>
          <w:szCs w:val="24"/>
        </w:rPr>
        <w:t xml:space="preserve"> and gas </w:t>
      </w:r>
      <w:r w:rsidR="00FF666F">
        <w:rPr>
          <w:rFonts w:cs="Calibri"/>
          <w:szCs w:val="24"/>
        </w:rPr>
        <w:t>suppli</w:t>
      </w:r>
      <w:r w:rsidR="00AD034B" w:rsidRPr="00E12B08">
        <w:rPr>
          <w:rFonts w:cs="Calibri"/>
          <w:szCs w:val="24"/>
        </w:rPr>
        <w:t>ers (for whom energy efficiency opportunities are comparatively limited)</w:t>
      </w:r>
      <w:r w:rsidR="00AD034B">
        <w:rPr>
          <w:rFonts w:cs="Calibri"/>
          <w:szCs w:val="24"/>
        </w:rPr>
        <w:t xml:space="preserve"> and thus increase</w:t>
      </w:r>
      <w:r>
        <w:rPr>
          <w:rFonts w:cs="Calibri"/>
          <w:szCs w:val="24"/>
        </w:rPr>
        <w:t>s</w:t>
      </w:r>
      <w:r w:rsidR="00AD034B">
        <w:rPr>
          <w:rFonts w:cs="Calibri"/>
          <w:szCs w:val="24"/>
        </w:rPr>
        <w:t xml:space="preserve"> the overall cost of the Scheme</w:t>
      </w:r>
      <w:r w:rsidR="00AD034B" w:rsidRPr="00E12B08">
        <w:rPr>
          <w:rFonts w:cs="Calibri"/>
          <w:szCs w:val="24"/>
        </w:rPr>
        <w:t>.</w:t>
      </w:r>
      <w:r w:rsidR="00AD034B">
        <w:rPr>
          <w:rFonts w:cs="Calibri"/>
          <w:szCs w:val="24"/>
        </w:rPr>
        <w:t xml:space="preserve"> The Directorate has not been made aware</w:t>
      </w:r>
      <w:r w:rsidR="00AC0525">
        <w:rPr>
          <w:rFonts w:cs="Calibri"/>
          <w:szCs w:val="24"/>
        </w:rPr>
        <w:t>, through our consultations,</w:t>
      </w:r>
      <w:r w:rsidR="00AD034B">
        <w:rPr>
          <w:rFonts w:cs="Calibri"/>
          <w:szCs w:val="24"/>
        </w:rPr>
        <w:t xml:space="preserve"> of any</w:t>
      </w:r>
      <w:r w:rsidR="00D62437">
        <w:rPr>
          <w:rFonts w:cs="Calibri"/>
          <w:szCs w:val="24"/>
        </w:rPr>
        <w:t xml:space="preserve"> material</w:t>
      </w:r>
      <w:r w:rsidR="00AD034B">
        <w:rPr>
          <w:rFonts w:cs="Calibri"/>
          <w:szCs w:val="24"/>
        </w:rPr>
        <w:t xml:space="preserve"> benefits</w:t>
      </w:r>
      <w:r w:rsidR="00AC0525">
        <w:rPr>
          <w:rFonts w:cs="Calibri"/>
          <w:szCs w:val="24"/>
        </w:rPr>
        <w:t xml:space="preserve"> </w:t>
      </w:r>
      <w:r w:rsidR="00AD034B">
        <w:rPr>
          <w:rFonts w:cs="Calibri"/>
          <w:szCs w:val="24"/>
        </w:rPr>
        <w:t>that may result on extending the obligation to gas suppliers</w:t>
      </w:r>
      <w:r>
        <w:rPr>
          <w:rFonts w:cs="Calibri"/>
          <w:szCs w:val="24"/>
        </w:rPr>
        <w:t xml:space="preserve"> in the ACT</w:t>
      </w:r>
      <w:r w:rsidR="00AD034B">
        <w:rPr>
          <w:rFonts w:cs="Calibri"/>
          <w:szCs w:val="24"/>
        </w:rPr>
        <w:t>.</w:t>
      </w:r>
    </w:p>
    <w:p w:rsidR="00253B7C" w:rsidRPr="00D44526" w:rsidRDefault="00F651DD" w:rsidP="00253B7C">
      <w:r>
        <w:t>In designing</w:t>
      </w:r>
      <w:r w:rsidR="00253B7C" w:rsidRPr="00D44526">
        <w:t xml:space="preserve"> an </w:t>
      </w:r>
      <w:r w:rsidR="002D1321">
        <w:t>energy efficiency scheme</w:t>
      </w:r>
      <w:r>
        <w:t>, ESD</w:t>
      </w:r>
      <w:r w:rsidR="00D62437">
        <w:t>D</w:t>
      </w:r>
      <w:r w:rsidR="00253B7C" w:rsidRPr="00D44526">
        <w:t xml:space="preserve"> has </w:t>
      </w:r>
      <w:r>
        <w:t xml:space="preserve">carefully </w:t>
      </w:r>
      <w:r w:rsidR="00253B7C" w:rsidRPr="00D44526">
        <w:t xml:space="preserve">considered possible impacts on </w:t>
      </w:r>
      <w:r>
        <w:t xml:space="preserve">electricity retail market </w:t>
      </w:r>
      <w:r w:rsidR="00253B7C" w:rsidRPr="00D44526">
        <w:t xml:space="preserve">competition, taking into account the unique nature of the ACT electricity retail market. </w:t>
      </w:r>
    </w:p>
    <w:p w:rsidR="00D04187" w:rsidRDefault="00253B7C" w:rsidP="00D04187">
      <w:pPr>
        <w:pStyle w:val="ListParagraph"/>
        <w:keepNext/>
        <w:ind w:left="0"/>
        <w:rPr>
          <w:noProof/>
        </w:rPr>
      </w:pPr>
      <w:r w:rsidRPr="00D44526">
        <w:t xml:space="preserve">Competition issues are quite different for the ACT Scheme compared to similar schemes in Victoria, New South Wales and South Australia. </w:t>
      </w:r>
      <w:r w:rsidR="00D04187">
        <w:rPr>
          <w:noProof/>
        </w:rPr>
        <w:t>The ACT electricity retail market is heavily concentrated</w:t>
      </w:r>
      <w:r w:rsidR="00D62437">
        <w:rPr>
          <w:noProof/>
        </w:rPr>
        <w:t>,</w:t>
      </w:r>
      <w:r w:rsidR="00D04187">
        <w:rPr>
          <w:noProof/>
        </w:rPr>
        <w:t xml:space="preserve"> with a single supplier accounting for over 80</w:t>
      </w:r>
      <w:r w:rsidR="00824884">
        <w:rPr>
          <w:noProof/>
        </w:rPr>
        <w:t> per </w:t>
      </w:r>
      <w:r w:rsidR="00D04187">
        <w:rPr>
          <w:noProof/>
        </w:rPr>
        <w:t>cent of annual electricity sales. While the ACT community currently enjoys relatively low retail electricity prices and high rates of customer satisfaction, the Government recognises that over the long</w:t>
      </w:r>
      <w:r w:rsidR="00824884">
        <w:rPr>
          <w:noProof/>
        </w:rPr>
        <w:t xml:space="preserve"> term</w:t>
      </w:r>
      <w:r w:rsidR="00D04187">
        <w:rPr>
          <w:noProof/>
        </w:rPr>
        <w:t xml:space="preserve"> a vibrant and competitive electricity market will deliver lower pricing and more innovative products.</w:t>
      </w:r>
    </w:p>
    <w:p w:rsidR="00253B7C" w:rsidRDefault="00253B7C" w:rsidP="00253B7C">
      <w:r w:rsidRPr="00D44526">
        <w:t>The ACT has</w:t>
      </w:r>
      <w:r w:rsidRPr="00D44526">
        <w:rPr>
          <w:noProof/>
        </w:rPr>
        <w:t xml:space="preserve"> one large electricity </w:t>
      </w:r>
      <w:r>
        <w:rPr>
          <w:noProof/>
        </w:rPr>
        <w:t>supplier</w:t>
      </w:r>
      <w:r w:rsidRPr="00D44526">
        <w:rPr>
          <w:noProof/>
        </w:rPr>
        <w:t xml:space="preserve"> (Tier 1) </w:t>
      </w:r>
      <w:r w:rsidRPr="00D62237">
        <w:rPr>
          <w:noProof/>
        </w:rPr>
        <w:t>and 1</w:t>
      </w:r>
      <w:r w:rsidR="00D62237" w:rsidRPr="00D62237">
        <w:rPr>
          <w:noProof/>
        </w:rPr>
        <w:t>8</w:t>
      </w:r>
      <w:r w:rsidRPr="00D62237">
        <w:rPr>
          <w:noProof/>
        </w:rPr>
        <w:t xml:space="preserve"> smaller</w:t>
      </w:r>
      <w:r w:rsidRPr="00D44526">
        <w:rPr>
          <w:noProof/>
        </w:rPr>
        <w:t xml:space="preserve"> </w:t>
      </w:r>
      <w:r>
        <w:rPr>
          <w:noProof/>
        </w:rPr>
        <w:t>supplier</w:t>
      </w:r>
      <w:r w:rsidRPr="00D44526">
        <w:rPr>
          <w:noProof/>
        </w:rPr>
        <w:t xml:space="preserve">s (Tier 2) licenced to retail </w:t>
      </w:r>
      <w:r w:rsidR="00FF666F">
        <w:rPr>
          <w:noProof/>
        </w:rPr>
        <w:t xml:space="preserve">electricity </w:t>
      </w:r>
      <w:r w:rsidRPr="00D44526">
        <w:rPr>
          <w:noProof/>
        </w:rPr>
        <w:t xml:space="preserve">in the ACT. </w:t>
      </w:r>
    </w:p>
    <w:p w:rsidR="00253B7C" w:rsidRPr="00F6509F" w:rsidRDefault="00253B7C" w:rsidP="00253B7C">
      <w:pPr>
        <w:rPr>
          <w:rFonts w:cs="Calibri"/>
        </w:rPr>
      </w:pPr>
      <w:r w:rsidRPr="00D44526">
        <w:rPr>
          <w:rFonts w:cs="Calibri"/>
          <w:noProof/>
        </w:rPr>
        <w:t xml:space="preserve">The inclusion of a low participation threshold was considered during the development of the </w:t>
      </w:r>
      <w:r w:rsidR="00824884">
        <w:rPr>
          <w:rFonts w:cs="Calibri"/>
          <w:noProof/>
        </w:rPr>
        <w:t>S</w:t>
      </w:r>
      <w:r w:rsidRPr="00D44526">
        <w:rPr>
          <w:rFonts w:cs="Calibri"/>
          <w:noProof/>
        </w:rPr>
        <w:t>cheme</w:t>
      </w:r>
      <w:r w:rsidR="00824884">
        <w:rPr>
          <w:rFonts w:cs="Calibri"/>
          <w:noProof/>
        </w:rPr>
        <w:t>.</w:t>
      </w:r>
      <w:r w:rsidRPr="00D44526">
        <w:rPr>
          <w:rFonts w:cs="Calibri"/>
          <w:noProof/>
        </w:rPr>
        <w:t xml:space="preserve"> </w:t>
      </w:r>
      <w:r w:rsidR="00824884">
        <w:rPr>
          <w:rFonts w:cs="Calibri"/>
          <w:noProof/>
        </w:rPr>
        <w:t>H</w:t>
      </w:r>
      <w:r w:rsidRPr="00D44526">
        <w:rPr>
          <w:rFonts w:cs="Calibri"/>
          <w:noProof/>
        </w:rPr>
        <w:t>owever, based on feedback rec</w:t>
      </w:r>
      <w:r w:rsidR="00D62437">
        <w:rPr>
          <w:rFonts w:cs="Calibri"/>
          <w:noProof/>
        </w:rPr>
        <w:t>ei</w:t>
      </w:r>
      <w:r w:rsidRPr="00D44526">
        <w:rPr>
          <w:rFonts w:cs="Calibri"/>
          <w:noProof/>
        </w:rPr>
        <w:t xml:space="preserve">ved from </w:t>
      </w:r>
      <w:r>
        <w:rPr>
          <w:rFonts w:cs="Calibri"/>
          <w:noProof/>
        </w:rPr>
        <w:t xml:space="preserve">a number of </w:t>
      </w:r>
      <w:r w:rsidR="00F651DD">
        <w:rPr>
          <w:rFonts w:cs="Calibri"/>
          <w:noProof/>
        </w:rPr>
        <w:t>suppliers through the consultation period</w:t>
      </w:r>
      <w:r w:rsidRPr="00D44526">
        <w:rPr>
          <w:rFonts w:cs="Calibri"/>
          <w:noProof/>
        </w:rPr>
        <w:t xml:space="preserve">, it is proposed this not be included in the final </w:t>
      </w:r>
      <w:r w:rsidR="00D62437">
        <w:rPr>
          <w:rFonts w:cs="Calibri"/>
          <w:noProof/>
        </w:rPr>
        <w:t>S</w:t>
      </w:r>
      <w:r w:rsidRPr="00D44526">
        <w:rPr>
          <w:rFonts w:cs="Calibri"/>
          <w:noProof/>
        </w:rPr>
        <w:t xml:space="preserve">cheme </w:t>
      </w:r>
      <w:r w:rsidRPr="00D44526">
        <w:rPr>
          <w:rFonts w:cs="Calibri"/>
        </w:rPr>
        <w:t xml:space="preserve">due to concerns that setting a threshold entry level would provide a competitive advantage to </w:t>
      </w:r>
      <w:r w:rsidR="00F651DD">
        <w:rPr>
          <w:rFonts w:cs="Calibri"/>
        </w:rPr>
        <w:t xml:space="preserve">Tier 2 </w:t>
      </w:r>
      <w:r>
        <w:rPr>
          <w:rFonts w:cs="Calibri"/>
        </w:rPr>
        <w:t>supplier</w:t>
      </w:r>
      <w:r w:rsidRPr="00D44526">
        <w:rPr>
          <w:rFonts w:cs="Calibri"/>
        </w:rPr>
        <w:t>s below the threshold, which in tur</w:t>
      </w:r>
      <w:r w:rsidR="00F651DD">
        <w:rPr>
          <w:rFonts w:cs="Calibri"/>
        </w:rPr>
        <w:t>n would disadvantage Tier 2</w:t>
      </w:r>
      <w:r w:rsidRPr="00D44526">
        <w:rPr>
          <w:rFonts w:cs="Calibri"/>
        </w:rPr>
        <w:t xml:space="preserve"> </w:t>
      </w:r>
      <w:r>
        <w:rPr>
          <w:rFonts w:cs="Calibri"/>
        </w:rPr>
        <w:t>supplier</w:t>
      </w:r>
      <w:r w:rsidRPr="00D44526">
        <w:rPr>
          <w:rFonts w:cs="Calibri"/>
        </w:rPr>
        <w:t>s above the threshold and compromise competition in the ACT.</w:t>
      </w:r>
    </w:p>
    <w:p w:rsidR="00253B7C" w:rsidRDefault="00253B7C" w:rsidP="00253B7C">
      <w:r w:rsidRPr="00D44526">
        <w:t xml:space="preserve">The overall impact of the </w:t>
      </w:r>
      <w:r>
        <w:t>S</w:t>
      </w:r>
      <w:r w:rsidRPr="00D44526">
        <w:t>cheme</w:t>
      </w:r>
      <w:r>
        <w:t>’s</w:t>
      </w:r>
      <w:r w:rsidRPr="00D44526">
        <w:t xml:space="preserve"> design </w:t>
      </w:r>
      <w:r>
        <w:t>balances:</w:t>
      </w:r>
    </w:p>
    <w:p w:rsidR="00253B7C" w:rsidRDefault="00253B7C" w:rsidP="00B96C73">
      <w:pPr>
        <w:numPr>
          <w:ilvl w:val="0"/>
          <w:numId w:val="20"/>
        </w:numPr>
      </w:pPr>
      <w:r>
        <w:t>the need to provide a level playing field for all market competitors;</w:t>
      </w:r>
    </w:p>
    <w:p w:rsidR="00253B7C" w:rsidRDefault="00253B7C" w:rsidP="00B96C73">
      <w:pPr>
        <w:numPr>
          <w:ilvl w:val="0"/>
          <w:numId w:val="20"/>
        </w:numPr>
      </w:pPr>
      <w:r>
        <w:t>the need to minimises distortions and perverse competition outcomes; and</w:t>
      </w:r>
    </w:p>
    <w:p w:rsidR="00253B7C" w:rsidRDefault="00253B7C" w:rsidP="00B96C73">
      <w:pPr>
        <w:numPr>
          <w:ilvl w:val="0"/>
          <w:numId w:val="20"/>
        </w:numPr>
      </w:pPr>
      <w:r>
        <w:t xml:space="preserve">the need to ensure that smaller suppliers are not prohibited, due to compliance burdens, from developing their ACT customer base – it is recognised that smaller market participants will lack economies of scale required to support efficient scheme participation. </w:t>
      </w:r>
    </w:p>
    <w:p w:rsidR="00253B7C" w:rsidRDefault="00253B7C" w:rsidP="00253B7C">
      <w:r>
        <w:t>The proposed approach to resolve these conflicting requirements is to:</w:t>
      </w:r>
    </w:p>
    <w:p w:rsidR="00253B7C" w:rsidRDefault="00253B7C" w:rsidP="00B96C73">
      <w:pPr>
        <w:numPr>
          <w:ilvl w:val="0"/>
          <w:numId w:val="21"/>
        </w:numPr>
      </w:pPr>
      <w:r>
        <w:t xml:space="preserve">ensure an equal opportunity for all suppliers to participate in the </w:t>
      </w:r>
      <w:r w:rsidR="00824884">
        <w:t>S</w:t>
      </w:r>
      <w:r>
        <w:t>cheme;</w:t>
      </w:r>
    </w:p>
    <w:p w:rsidR="00253B7C" w:rsidRDefault="00253B7C" w:rsidP="00B96C73">
      <w:pPr>
        <w:numPr>
          <w:ilvl w:val="0"/>
          <w:numId w:val="21"/>
        </w:numPr>
      </w:pPr>
      <w:r>
        <w:t xml:space="preserve">create financial liabilities under the </w:t>
      </w:r>
      <w:r w:rsidR="00824884">
        <w:t>S</w:t>
      </w:r>
      <w:r>
        <w:t>cheme directly proportional to each supplier’s capacity to pass through costs (electricity retail market share);</w:t>
      </w:r>
    </w:p>
    <w:p w:rsidR="00253B7C" w:rsidRDefault="00253B7C" w:rsidP="00B96C73">
      <w:pPr>
        <w:numPr>
          <w:ilvl w:val="0"/>
          <w:numId w:val="21"/>
        </w:numPr>
      </w:pPr>
      <w:r>
        <w:t xml:space="preserve">provide additional flexibility for Tier 2 suppliers to ‘opt in’ to a simplified obligation that limits and caps administration burdens and transaction costs at </w:t>
      </w:r>
      <w:r w:rsidR="009D4F39">
        <w:t xml:space="preserve">a rate that reflects </w:t>
      </w:r>
      <w:r>
        <w:t xml:space="preserve">the </w:t>
      </w:r>
      <w:r w:rsidR="009D4F39">
        <w:t>average cost of participating in the Scheme</w:t>
      </w:r>
      <w:r>
        <w:t xml:space="preserve"> </w:t>
      </w:r>
      <w:r w:rsidR="009D4F39">
        <w:t xml:space="preserve">for </w:t>
      </w:r>
      <w:r w:rsidR="00D62437">
        <w:t>a</w:t>
      </w:r>
      <w:r>
        <w:t xml:space="preserve"> Tier 1 supplier</w:t>
      </w:r>
      <w:r w:rsidR="00824884">
        <w:t>.</w:t>
      </w:r>
    </w:p>
    <w:p w:rsidR="002D400A" w:rsidRPr="00F651DD" w:rsidRDefault="002D400A" w:rsidP="004F7A03">
      <w:pPr>
        <w:pStyle w:val="Heading3"/>
      </w:pPr>
      <w:bookmarkStart w:id="84" w:name="_Ref303922992"/>
      <w:r w:rsidRPr="00F651DD">
        <w:t xml:space="preserve">Differential obligation for Tier 2 </w:t>
      </w:r>
      <w:r w:rsidR="00FF666F">
        <w:t>suppli</w:t>
      </w:r>
      <w:r w:rsidRPr="00F651DD">
        <w:t>ers</w:t>
      </w:r>
      <w:bookmarkEnd w:id="84"/>
    </w:p>
    <w:p w:rsidR="00316A3A" w:rsidRPr="00F651DD" w:rsidRDefault="00316A3A" w:rsidP="00253B7C">
      <w:pPr>
        <w:rPr>
          <w:rFonts w:cs="Calibri"/>
          <w:noProof/>
        </w:rPr>
      </w:pPr>
      <w:r w:rsidRPr="00F651DD">
        <w:rPr>
          <w:rFonts w:cs="Calibri"/>
          <w:noProof/>
        </w:rPr>
        <w:t xml:space="preserve">As outlined previously, </w:t>
      </w:r>
      <w:r w:rsidR="00F651DD">
        <w:rPr>
          <w:rFonts w:cs="Calibri"/>
          <w:noProof/>
        </w:rPr>
        <w:t>Tier 2</w:t>
      </w:r>
      <w:r w:rsidR="00253B7C" w:rsidRPr="00F651DD">
        <w:rPr>
          <w:rFonts w:cs="Calibri"/>
          <w:noProof/>
        </w:rPr>
        <w:t xml:space="preserve"> suppliers will</w:t>
      </w:r>
      <w:r w:rsidRPr="00F651DD">
        <w:rPr>
          <w:rFonts w:cs="Calibri"/>
          <w:noProof/>
        </w:rPr>
        <w:t xml:space="preserve"> have the opportunity to</w:t>
      </w:r>
      <w:r w:rsidR="00253B7C" w:rsidRPr="00F651DD">
        <w:rPr>
          <w:rFonts w:cs="Calibri"/>
          <w:noProof/>
        </w:rPr>
        <w:t xml:space="preserve"> pay a</w:t>
      </w:r>
      <w:r w:rsidRPr="00F651DD">
        <w:rPr>
          <w:rFonts w:cs="Calibri"/>
          <w:noProof/>
        </w:rPr>
        <w:t>n Energy Savings Contribution (ESC)</w:t>
      </w:r>
      <w:r w:rsidR="00253B7C" w:rsidRPr="00F651DD">
        <w:rPr>
          <w:rFonts w:cs="Calibri"/>
          <w:noProof/>
        </w:rPr>
        <w:t xml:space="preserve"> </w:t>
      </w:r>
      <w:r w:rsidRPr="00F651DD">
        <w:rPr>
          <w:rFonts w:cs="Calibri"/>
          <w:noProof/>
        </w:rPr>
        <w:t xml:space="preserve">in place of compliance with the </w:t>
      </w:r>
      <w:r w:rsidR="00824884">
        <w:rPr>
          <w:rFonts w:cs="Calibri"/>
          <w:noProof/>
        </w:rPr>
        <w:t>S</w:t>
      </w:r>
      <w:r w:rsidRPr="00F651DD">
        <w:rPr>
          <w:rFonts w:cs="Calibri"/>
          <w:noProof/>
        </w:rPr>
        <w:t>cheme through the undertaking of energy efficiency activities.</w:t>
      </w:r>
      <w:r w:rsidR="00F651DD">
        <w:rPr>
          <w:rFonts w:cs="Calibri"/>
          <w:noProof/>
        </w:rPr>
        <w:t xml:space="preserve"> These funds, estimated at approximately 15 per cent of total </w:t>
      </w:r>
      <w:r w:rsidR="00824884">
        <w:rPr>
          <w:rFonts w:cs="Calibri"/>
          <w:noProof/>
        </w:rPr>
        <w:t>s</w:t>
      </w:r>
      <w:r w:rsidR="00F651DD">
        <w:rPr>
          <w:rFonts w:cs="Calibri"/>
          <w:noProof/>
        </w:rPr>
        <w:t>upplier costs, can then be used by Government to augment Scheme activit</w:t>
      </w:r>
      <w:r w:rsidR="00FA33BB">
        <w:rPr>
          <w:rFonts w:cs="Calibri"/>
          <w:noProof/>
        </w:rPr>
        <w:t>i</w:t>
      </w:r>
      <w:r w:rsidR="00F651DD">
        <w:rPr>
          <w:rFonts w:cs="Calibri"/>
          <w:noProof/>
        </w:rPr>
        <w:t xml:space="preserve">es by, for example, providing further rebates, or </w:t>
      </w:r>
      <w:r w:rsidR="00824884">
        <w:rPr>
          <w:rFonts w:cs="Calibri"/>
          <w:noProof/>
        </w:rPr>
        <w:t>demonstrating innovative</w:t>
      </w:r>
      <w:r w:rsidR="00F651DD">
        <w:rPr>
          <w:rFonts w:cs="Calibri"/>
          <w:noProof/>
        </w:rPr>
        <w:t xml:space="preserve"> projects.</w:t>
      </w:r>
    </w:p>
    <w:p w:rsidR="00BF415A" w:rsidRDefault="00BF415A" w:rsidP="00BF415A">
      <w:r>
        <w:t xml:space="preserve">To avoid favouring either Tier 1 or Tier 2 suppliers, the ESC rate for Tier 2 suppliers should be set at the </w:t>
      </w:r>
      <w:r w:rsidR="009D4F39">
        <w:t>average</w:t>
      </w:r>
      <w:r>
        <w:t xml:space="preserve"> cost of Tier 1 compliance. </w:t>
      </w:r>
      <w:r w:rsidR="00AC0525" w:rsidRPr="00AC0525">
        <w:t>This in turn must be</w:t>
      </w:r>
      <w:r w:rsidRPr="00AC0525">
        <w:t xml:space="preserve"> equal to or less than the shortfall penalty rate. Marginal cost rates are discussed in </w:t>
      </w:r>
      <w:r w:rsidR="00B43B35">
        <w:fldChar w:fldCharType="begin"/>
      </w:r>
      <w:r w:rsidR="00B43B35">
        <w:instrText xml:space="preserve"> REF _Ref303795588 \h  \* MERGEFORMAT </w:instrText>
      </w:r>
      <w:r w:rsidR="00B43B35">
        <w:fldChar w:fldCharType="separate"/>
      </w:r>
      <w:r w:rsidR="00681D6A" w:rsidRPr="00681D6A">
        <w:rPr>
          <w:i/>
        </w:rPr>
        <w:t>Scheme targets and Impacts</w:t>
      </w:r>
      <w:r w:rsidR="00B43B35">
        <w:fldChar w:fldCharType="end"/>
      </w:r>
      <w:r w:rsidRPr="00AC0525">
        <w:t xml:space="preserve"> from page </w:t>
      </w:r>
      <w:r w:rsidRPr="00AC0525">
        <w:fldChar w:fldCharType="begin"/>
      </w:r>
      <w:r w:rsidRPr="00AC0525">
        <w:instrText xml:space="preserve"> PAGEREF _Ref303795588 \h </w:instrText>
      </w:r>
      <w:r w:rsidRPr="00AC0525">
        <w:fldChar w:fldCharType="separate"/>
      </w:r>
      <w:r w:rsidR="00681D6A">
        <w:rPr>
          <w:noProof/>
        </w:rPr>
        <w:t>44</w:t>
      </w:r>
      <w:r w:rsidRPr="00AC0525">
        <w:fldChar w:fldCharType="end"/>
      </w:r>
      <w:r w:rsidRPr="00AC0525">
        <w:t>.</w:t>
      </w:r>
    </w:p>
    <w:p w:rsidR="00253B7C" w:rsidRPr="00F6509F" w:rsidRDefault="00253B7C" w:rsidP="00253B7C">
      <w:pPr>
        <w:rPr>
          <w:rFonts w:cs="Calibri"/>
          <w:noProof/>
        </w:rPr>
      </w:pPr>
      <w:r>
        <w:t xml:space="preserve">It is expected that </w:t>
      </w:r>
      <w:r w:rsidRPr="00AC0525">
        <w:t xml:space="preserve">this approach will provide a strong incentive for all suppliers to participate in the </w:t>
      </w:r>
      <w:r w:rsidR="00824884" w:rsidRPr="00AC0525">
        <w:t>S</w:t>
      </w:r>
      <w:r w:rsidRPr="00AC0525">
        <w:t>cheme to the extent that implementation costs are lower than the shortfall penalty</w:t>
      </w:r>
      <w:r w:rsidR="00AC0525" w:rsidRPr="00AC0525">
        <w:t>, or for Tier 2 suppliers,</w:t>
      </w:r>
      <w:r w:rsidRPr="00AC0525">
        <w:t xml:space="preserve"> </w:t>
      </w:r>
      <w:r w:rsidR="00095F70">
        <w:t>E</w:t>
      </w:r>
      <w:r w:rsidRPr="00AC0525">
        <w:t xml:space="preserve">nergy </w:t>
      </w:r>
      <w:r w:rsidR="00095F70">
        <w:t>S</w:t>
      </w:r>
      <w:r w:rsidRPr="00AC0525">
        <w:t xml:space="preserve">avings </w:t>
      </w:r>
      <w:r w:rsidR="00095F70">
        <w:t>C</w:t>
      </w:r>
      <w:r w:rsidRPr="00AC0525">
        <w:t>ontributions rates.</w:t>
      </w:r>
    </w:p>
    <w:p w:rsidR="00BF415A" w:rsidRDefault="00253B7C" w:rsidP="00253B7C">
      <w:r w:rsidRPr="00D44526">
        <w:rPr>
          <w:noProof/>
        </w:rPr>
        <w:t xml:space="preserve">Reservation </w:t>
      </w:r>
      <w:r w:rsidRPr="00D44526">
        <w:t xml:space="preserve">about the inclusion of a differentiated obligation under the </w:t>
      </w:r>
      <w:r w:rsidR="00824884">
        <w:t>S</w:t>
      </w:r>
      <w:r w:rsidRPr="00D44526">
        <w:t xml:space="preserve">cheme was expressed during consultation, as it was suggested it would impose an inequitable risk to Tier 1 </w:t>
      </w:r>
      <w:r>
        <w:t>supplier</w:t>
      </w:r>
      <w:r w:rsidRPr="00D44526">
        <w:t xml:space="preserve">s who must pay shortfall penalties. This position was underpinned by two observations – the recent shortage of certificates under the NSW scheme (which has modest targets and a more diversified market), and the significant experience Tier 2 </w:t>
      </w:r>
      <w:r>
        <w:t>supplier</w:t>
      </w:r>
      <w:r w:rsidRPr="00D44526">
        <w:t xml:space="preserve">s in the ACT have in operating under energy efficiency schemes in other jurisdictions. </w:t>
      </w:r>
      <w:r w:rsidR="00AC0525" w:rsidRPr="00315479">
        <w:t xml:space="preserve">However it is important to note that where ESC rates are equal to actual costs for a Tier 1 </w:t>
      </w:r>
      <w:r w:rsidR="003D120E">
        <w:t>supplier</w:t>
      </w:r>
      <w:r w:rsidR="00AC0525" w:rsidRPr="00315479">
        <w:t>, no party should be favoured. The ESC is also set by instrument and can be adjusted in the future should a substantial gap emerge between ex ant</w:t>
      </w:r>
      <w:r w:rsidR="001375ED">
        <w:t>e and ex post compliance costs.</w:t>
      </w:r>
    </w:p>
    <w:p w:rsidR="00DB21BC" w:rsidRPr="008F1468" w:rsidRDefault="00DB21BC" w:rsidP="00DB21BC">
      <w:pPr>
        <w:rPr>
          <w:noProof/>
        </w:rPr>
      </w:pPr>
      <w:r>
        <w:rPr>
          <w:noProof/>
        </w:rPr>
        <w:t>This approach is supported by feedback from Tier 2 suppliers during the consulation process</w:t>
      </w:r>
      <w:r w:rsidR="007B192D">
        <w:rPr>
          <w:noProof/>
        </w:rPr>
        <w:t>,</w:t>
      </w:r>
      <w:r>
        <w:rPr>
          <w:noProof/>
        </w:rPr>
        <w:t xml:space="preserve"> who broadly supported a differential obligation in the form of an Energy Savings Contributions regime.</w:t>
      </w:r>
    </w:p>
    <w:p w:rsidR="00253B7C" w:rsidRDefault="00253B7C" w:rsidP="00253B7C">
      <w:pPr>
        <w:rPr>
          <w:noProof/>
        </w:rPr>
      </w:pPr>
      <w:r w:rsidRPr="00D44526">
        <w:rPr>
          <w:noProof/>
        </w:rPr>
        <w:t xml:space="preserve">Tier 1 </w:t>
      </w:r>
      <w:r>
        <w:rPr>
          <w:noProof/>
        </w:rPr>
        <w:t>supplier</w:t>
      </w:r>
      <w:r w:rsidRPr="00D44526">
        <w:rPr>
          <w:noProof/>
        </w:rPr>
        <w:t xml:space="preserve">s’ required participation </w:t>
      </w:r>
      <w:r w:rsidR="00BF415A">
        <w:rPr>
          <w:noProof/>
        </w:rPr>
        <w:t xml:space="preserve">burden </w:t>
      </w:r>
      <w:r w:rsidRPr="00D44526">
        <w:rPr>
          <w:noProof/>
        </w:rPr>
        <w:t xml:space="preserve">is </w:t>
      </w:r>
      <w:r w:rsidR="00BF415A">
        <w:rPr>
          <w:noProof/>
        </w:rPr>
        <w:t xml:space="preserve">also </w:t>
      </w:r>
      <w:r w:rsidRPr="00D44526">
        <w:rPr>
          <w:noProof/>
        </w:rPr>
        <w:t>expected to be offset by a potential marketing advantage in that they will</w:t>
      </w:r>
      <w:r>
        <w:rPr>
          <w:noProof/>
        </w:rPr>
        <w:t xml:space="preserve">, over time, build the capapcity </w:t>
      </w:r>
      <w:r w:rsidRPr="00D44526">
        <w:rPr>
          <w:noProof/>
        </w:rPr>
        <w:t xml:space="preserve">to offer </w:t>
      </w:r>
      <w:r>
        <w:rPr>
          <w:noProof/>
        </w:rPr>
        <w:t xml:space="preserve">high-value </w:t>
      </w:r>
      <w:r w:rsidRPr="00D44526">
        <w:rPr>
          <w:noProof/>
        </w:rPr>
        <w:t xml:space="preserve">services to lower a household’s energy use.  </w:t>
      </w:r>
      <w:r>
        <w:rPr>
          <w:noProof/>
        </w:rPr>
        <w:t>Community demand for such services may also</w:t>
      </w:r>
      <w:r w:rsidRPr="00D44526">
        <w:rPr>
          <w:noProof/>
        </w:rPr>
        <w:t xml:space="preserve"> lead to smaller </w:t>
      </w:r>
      <w:r>
        <w:rPr>
          <w:noProof/>
        </w:rPr>
        <w:t>supplier</w:t>
      </w:r>
      <w:r w:rsidRPr="00D44526">
        <w:rPr>
          <w:noProof/>
        </w:rPr>
        <w:t xml:space="preserve">s participating more fully in the </w:t>
      </w:r>
      <w:r w:rsidR="007C245E">
        <w:rPr>
          <w:noProof/>
        </w:rPr>
        <w:t>S</w:t>
      </w:r>
      <w:r w:rsidRPr="00D44526">
        <w:rPr>
          <w:noProof/>
        </w:rPr>
        <w:t>cheme</w:t>
      </w:r>
      <w:r w:rsidR="00BF415A">
        <w:rPr>
          <w:noProof/>
        </w:rPr>
        <w:t xml:space="preserve"> than estimated within the Scheme modelling</w:t>
      </w:r>
      <w:r w:rsidRPr="00D44526">
        <w:rPr>
          <w:noProof/>
        </w:rPr>
        <w:t xml:space="preserve">. </w:t>
      </w:r>
    </w:p>
    <w:p w:rsidR="00253B7C" w:rsidRPr="00AC0525" w:rsidRDefault="00253B7C" w:rsidP="00253B7C">
      <w:pPr>
        <w:rPr>
          <w:noProof/>
        </w:rPr>
      </w:pPr>
      <w:r w:rsidRPr="00D44526">
        <w:rPr>
          <w:noProof/>
        </w:rPr>
        <w:t xml:space="preserve">The Minister is also required under the legislation to consider any competition implications when </w:t>
      </w:r>
      <w:r w:rsidRPr="00AC0525">
        <w:rPr>
          <w:noProof/>
        </w:rPr>
        <w:t>making a declaration of an activity or target under the Scheme.</w:t>
      </w:r>
    </w:p>
    <w:p w:rsidR="00DF63A6" w:rsidRDefault="00DF63A6" w:rsidP="00DF63A6">
      <w:pPr>
        <w:pStyle w:val="Heading3"/>
        <w:rPr>
          <w:noProof/>
        </w:rPr>
      </w:pPr>
      <w:r w:rsidRPr="00AC0525">
        <w:rPr>
          <w:noProof/>
        </w:rPr>
        <w:t>Pass-through of costs</w:t>
      </w:r>
    </w:p>
    <w:p w:rsidR="0005184B" w:rsidRPr="00DE62DA" w:rsidRDefault="0005184B" w:rsidP="0005184B">
      <w:pPr>
        <w:rPr>
          <w:rFonts w:cs="Calibri"/>
          <w:lang w:eastAsia="en-AU"/>
        </w:rPr>
      </w:pPr>
      <w:r w:rsidRPr="00DE62DA">
        <w:rPr>
          <w:rFonts w:cs="Calibri"/>
          <w:lang w:eastAsia="en-AU"/>
        </w:rPr>
        <w:t xml:space="preserve">An </w:t>
      </w:r>
      <w:r w:rsidRPr="006B3E5D">
        <w:rPr>
          <w:rFonts w:cs="Calibri"/>
          <w:lang w:eastAsia="en-AU"/>
        </w:rPr>
        <w:t xml:space="preserve">adjustment to the Transition Franchise Tariff (TFT) rate </w:t>
      </w:r>
      <w:r w:rsidR="00DB21BC" w:rsidRPr="006B3E5D">
        <w:rPr>
          <w:rFonts w:cs="Calibri"/>
          <w:lang w:eastAsia="en-AU"/>
        </w:rPr>
        <w:t>may</w:t>
      </w:r>
      <w:r w:rsidR="00955575">
        <w:rPr>
          <w:rFonts w:cs="Calibri"/>
          <w:lang w:eastAsia="en-AU"/>
        </w:rPr>
        <w:t xml:space="preserve"> be made to allow the pass through of costs </w:t>
      </w:r>
      <w:r w:rsidRPr="006B3E5D">
        <w:rPr>
          <w:rFonts w:cs="Calibri"/>
          <w:lang w:eastAsia="en-AU"/>
        </w:rPr>
        <w:t xml:space="preserve">from 1 </w:t>
      </w:r>
      <w:r w:rsidR="006B3E5D" w:rsidRPr="006B3E5D">
        <w:rPr>
          <w:rFonts w:cs="Calibri"/>
          <w:lang w:eastAsia="en-AU"/>
        </w:rPr>
        <w:t>January</w:t>
      </w:r>
      <w:r w:rsidR="006B3E5D">
        <w:rPr>
          <w:rFonts w:cs="Calibri"/>
          <w:lang w:eastAsia="en-AU"/>
        </w:rPr>
        <w:t xml:space="preserve"> 2013 </w:t>
      </w:r>
      <w:r w:rsidRPr="00DE62DA">
        <w:rPr>
          <w:rFonts w:cs="Calibri"/>
          <w:lang w:eastAsia="en-AU"/>
        </w:rPr>
        <w:t xml:space="preserve">equal to the expected cost to the Tier 1 supplier of complying with the </w:t>
      </w:r>
      <w:r w:rsidR="007B192D">
        <w:rPr>
          <w:rFonts w:cs="Calibri"/>
          <w:lang w:eastAsia="en-AU"/>
        </w:rPr>
        <w:t>S</w:t>
      </w:r>
      <w:r w:rsidRPr="00DE62DA">
        <w:rPr>
          <w:rFonts w:cs="Calibri"/>
          <w:lang w:eastAsia="en-AU"/>
        </w:rPr>
        <w:t xml:space="preserve">cheme. It is expected that all suppliers will adjust their market contract rates to an equal extent to recover their costs. Future reviews of regulated electricity pricing will include an </w:t>
      </w:r>
      <w:r w:rsidRPr="00A22A08">
        <w:rPr>
          <w:rFonts w:cs="Calibri"/>
          <w:lang w:eastAsia="en-AU"/>
        </w:rPr>
        <w:t xml:space="preserve">assessment of </w:t>
      </w:r>
      <w:r w:rsidRPr="00A22A08">
        <w:rPr>
          <w:rFonts w:cs="Calibri"/>
          <w:i/>
          <w:lang w:eastAsia="en-AU"/>
        </w:rPr>
        <w:t>ex post</w:t>
      </w:r>
      <w:r w:rsidRPr="00A22A08">
        <w:rPr>
          <w:rFonts w:cs="Calibri"/>
          <w:lang w:eastAsia="en-AU"/>
        </w:rPr>
        <w:t xml:space="preserve"> costs to </w:t>
      </w:r>
      <w:r w:rsidR="00D6475A" w:rsidRPr="00A22A08">
        <w:rPr>
          <w:rFonts w:cs="Calibri"/>
          <w:lang w:eastAsia="en-AU"/>
        </w:rPr>
        <w:t>ActewAGL</w:t>
      </w:r>
      <w:r w:rsidR="00A22A08" w:rsidRPr="00A22A08">
        <w:rPr>
          <w:rFonts w:cs="Calibri"/>
          <w:lang w:eastAsia="en-AU"/>
        </w:rPr>
        <w:t xml:space="preserve"> Retail</w:t>
      </w:r>
      <w:r w:rsidRPr="00A22A08">
        <w:rPr>
          <w:rFonts w:cs="Calibri"/>
          <w:lang w:eastAsia="en-AU"/>
        </w:rPr>
        <w:t xml:space="preserve"> and this may flow through an equalisation of the Energy Savings Contribution rate for Tier 2 Suppliers. Overall it has been determined that this approach will provide a sufficient ongoing incentive to both </w:t>
      </w:r>
      <w:r w:rsidR="00D6475A" w:rsidRPr="00A22A08">
        <w:rPr>
          <w:rFonts w:cs="Calibri"/>
          <w:lang w:eastAsia="en-AU"/>
        </w:rPr>
        <w:t>ActewAGL</w:t>
      </w:r>
      <w:r w:rsidRPr="00A22A08">
        <w:rPr>
          <w:rFonts w:cs="Calibri"/>
          <w:lang w:eastAsia="en-AU"/>
        </w:rPr>
        <w:t xml:space="preserve"> </w:t>
      </w:r>
      <w:r w:rsidR="00A22A08" w:rsidRPr="00A22A08">
        <w:rPr>
          <w:rFonts w:cs="Calibri"/>
          <w:lang w:eastAsia="en-AU"/>
        </w:rPr>
        <w:t xml:space="preserve">Retail </w:t>
      </w:r>
      <w:r w:rsidRPr="00A22A08">
        <w:rPr>
          <w:rFonts w:cs="Calibri"/>
          <w:lang w:eastAsia="en-AU"/>
        </w:rPr>
        <w:t>and Tier 2 suppliers</w:t>
      </w:r>
      <w:r w:rsidR="00315479" w:rsidRPr="00A22A08">
        <w:rPr>
          <w:rFonts w:cs="Calibri"/>
          <w:lang w:eastAsia="en-AU"/>
        </w:rPr>
        <w:t xml:space="preserve"> to</w:t>
      </w:r>
      <w:r w:rsidRPr="00A22A08">
        <w:rPr>
          <w:rFonts w:cs="Calibri"/>
          <w:lang w:eastAsia="en-AU"/>
        </w:rPr>
        <w:t xml:space="preserve"> reduce</w:t>
      </w:r>
      <w:r w:rsidRPr="00DE62DA">
        <w:rPr>
          <w:rFonts w:cs="Calibri"/>
          <w:lang w:eastAsia="en-AU"/>
        </w:rPr>
        <w:t xml:space="preserve"> their costs of compliance.</w:t>
      </w:r>
    </w:p>
    <w:p w:rsidR="00DF63A6" w:rsidRDefault="00DF63A6" w:rsidP="008F1468">
      <w:pPr>
        <w:rPr>
          <w:noProof/>
        </w:rPr>
      </w:pPr>
      <w:r w:rsidRPr="00DE62DA">
        <w:rPr>
          <w:rFonts w:cs="Calibri"/>
        </w:rPr>
        <w:t xml:space="preserve">In </w:t>
      </w:r>
      <w:r w:rsidRPr="00DE62DA">
        <w:rPr>
          <w:noProof/>
        </w:rPr>
        <w:t>order to ensure reasonable incentive exists for Tier 1 suppliers to undertake abatement activities, rather than opting to pay a shortfall penalty, the penalty for not achieving abatement by undertaking sufficient activities will be set at $</w:t>
      </w:r>
      <w:r w:rsidR="00655ED1" w:rsidRPr="00DE62DA">
        <w:rPr>
          <w:noProof/>
        </w:rPr>
        <w:t>7</w:t>
      </w:r>
      <w:r w:rsidRPr="00DE62DA">
        <w:rPr>
          <w:noProof/>
        </w:rPr>
        <w:t>0 per tonne CO2-e. It is intended that the shortfall penalty may be passed through to consumers</w:t>
      </w:r>
      <w:r w:rsidR="00655ED1" w:rsidRPr="00DE62DA">
        <w:rPr>
          <w:noProof/>
        </w:rPr>
        <w:t xml:space="preserve"> through the TFT only where that is determined by the ICRC to represent the lowest cost option </w:t>
      </w:r>
      <w:r w:rsidR="00655ED1" w:rsidRPr="00A22A08">
        <w:rPr>
          <w:noProof/>
        </w:rPr>
        <w:t xml:space="preserve">for </w:t>
      </w:r>
      <w:r w:rsidR="00D6475A" w:rsidRPr="00A22A08">
        <w:rPr>
          <w:noProof/>
        </w:rPr>
        <w:t>ActewAG</w:t>
      </w:r>
      <w:r w:rsidR="00655ED1" w:rsidRPr="00A22A08">
        <w:rPr>
          <w:noProof/>
        </w:rPr>
        <w:t xml:space="preserve">L </w:t>
      </w:r>
      <w:r w:rsidR="00A22A08" w:rsidRPr="00A22A08">
        <w:rPr>
          <w:noProof/>
        </w:rPr>
        <w:t xml:space="preserve">Retail </w:t>
      </w:r>
      <w:r w:rsidR="00655ED1" w:rsidRPr="00A22A08">
        <w:rPr>
          <w:noProof/>
        </w:rPr>
        <w:t>to comply with the Scheme. Should this situation arise, other policy parameters such</w:t>
      </w:r>
      <w:r w:rsidR="00655ED1" w:rsidRPr="00DE62DA">
        <w:rPr>
          <w:noProof/>
        </w:rPr>
        <w:t xml:space="preserve"> as </w:t>
      </w:r>
      <w:r w:rsidR="007B192D">
        <w:rPr>
          <w:noProof/>
        </w:rPr>
        <w:t>S</w:t>
      </w:r>
      <w:r w:rsidR="00655ED1" w:rsidRPr="00DE62DA">
        <w:rPr>
          <w:noProof/>
        </w:rPr>
        <w:t xml:space="preserve">cheme targets and the scope of eligible activities may be reviewed to ensure </w:t>
      </w:r>
      <w:r w:rsidR="007B192D">
        <w:rPr>
          <w:noProof/>
        </w:rPr>
        <w:t xml:space="preserve">the </w:t>
      </w:r>
      <w:r w:rsidR="00655ED1" w:rsidRPr="00DE62DA">
        <w:rPr>
          <w:noProof/>
        </w:rPr>
        <w:t>Scheme is operating efficiently and as intended.</w:t>
      </w:r>
      <w:r w:rsidRPr="008F1468">
        <w:rPr>
          <w:noProof/>
        </w:rPr>
        <w:t xml:space="preserve"> </w:t>
      </w:r>
    </w:p>
    <w:p w:rsidR="00DB21BC" w:rsidRPr="008F1468" w:rsidRDefault="00DB21BC" w:rsidP="008F1468">
      <w:pPr>
        <w:rPr>
          <w:noProof/>
        </w:rPr>
      </w:pPr>
      <w:r>
        <w:rPr>
          <w:noProof/>
        </w:rPr>
        <w:t>This approach is supported by feedback from Tier 2 suppliers during the consul</w:t>
      </w:r>
      <w:r w:rsidR="007B192D">
        <w:rPr>
          <w:noProof/>
        </w:rPr>
        <w:t>t</w:t>
      </w:r>
      <w:r>
        <w:rPr>
          <w:noProof/>
        </w:rPr>
        <w:t xml:space="preserve">ation process who argued for a ‘set change’ in the </w:t>
      </w:r>
      <w:r w:rsidRPr="006B3E5D">
        <w:rPr>
          <w:noProof/>
        </w:rPr>
        <w:t>TFT to ensure all market participants are able to recover costs.</w:t>
      </w:r>
    </w:p>
    <w:p w:rsidR="00BF415A" w:rsidRDefault="00BF415A" w:rsidP="00BF415A">
      <w:pPr>
        <w:pStyle w:val="Heading3"/>
        <w:rPr>
          <w:noProof/>
        </w:rPr>
      </w:pPr>
      <w:r>
        <w:rPr>
          <w:noProof/>
        </w:rPr>
        <w:t>Priority household targets</w:t>
      </w:r>
    </w:p>
    <w:p w:rsidR="00BF415A" w:rsidRDefault="00BF415A" w:rsidP="008F1468">
      <w:pPr>
        <w:rPr>
          <w:noProof/>
        </w:rPr>
      </w:pPr>
      <w:r w:rsidRPr="00F651DD">
        <w:t>It is essential to meeting the</w:t>
      </w:r>
      <w:r>
        <w:t xml:space="preserve"> objectives of the </w:t>
      </w:r>
      <w:r w:rsidR="007C245E">
        <w:t>S</w:t>
      </w:r>
      <w:r>
        <w:t xml:space="preserve">cheme that, at a minimum, Tier 1 suppliers </w:t>
      </w:r>
      <w:r w:rsidR="007C245E">
        <w:t xml:space="preserve">direct </w:t>
      </w:r>
      <w:r>
        <w:t xml:space="preserve">energy saving activities at priority group households. If not, the </w:t>
      </w:r>
      <w:r w:rsidR="007C245E">
        <w:t>S</w:t>
      </w:r>
      <w:r>
        <w:t xml:space="preserve">cheme creates the risk of compounding existing social inequities and sensitivities to expected future energy price rises. For this reason it is proposed that an additional shortfall penalty be set in relation to a supplier’s priority household target. The rate will be set at the same rate as the shortfall penalty to send a clear message that meeting the priority household target is an essential component of </w:t>
      </w:r>
      <w:r w:rsidR="007B192D">
        <w:t xml:space="preserve">the </w:t>
      </w:r>
      <w:r>
        <w:t>Scheme’s obligations. This is the approach adopted under the South Australian REES – where suppliers have consistently exceeded their priority household targets.</w:t>
      </w:r>
    </w:p>
    <w:p w:rsidR="00AD034B" w:rsidRPr="00AD034B" w:rsidRDefault="00AD034B" w:rsidP="00D404FA">
      <w:pPr>
        <w:pStyle w:val="Heading2"/>
      </w:pPr>
      <w:bookmarkStart w:id="85" w:name="_Toc306808237"/>
      <w:r w:rsidRPr="00AD034B">
        <w:t>Supporting a broad range of energy saving activities</w:t>
      </w:r>
      <w:bookmarkEnd w:id="85"/>
      <w:r w:rsidRPr="00AD034B">
        <w:t xml:space="preserve"> </w:t>
      </w:r>
    </w:p>
    <w:p w:rsidR="00AD034B" w:rsidRPr="00D44526" w:rsidRDefault="00AD034B" w:rsidP="00AD034B">
      <w:r w:rsidRPr="00D44526">
        <w:t xml:space="preserve">There are two </w:t>
      </w:r>
      <w:r w:rsidR="00196A93">
        <w:t xml:space="preserve">main </w:t>
      </w:r>
      <w:r w:rsidRPr="00D44526">
        <w:t xml:space="preserve">approaches </w:t>
      </w:r>
      <w:r w:rsidR="00196A93">
        <w:t>to determining</w:t>
      </w:r>
      <w:r w:rsidRPr="00D44526">
        <w:t xml:space="preserve"> the abatement achieved by </w:t>
      </w:r>
      <w:r>
        <w:t>supplier</w:t>
      </w:r>
      <w:r w:rsidRPr="00D44526">
        <w:t xml:space="preserve">s in order to meet their target – project based assessment or the deemed </w:t>
      </w:r>
      <w:r w:rsidR="00494B42">
        <w:t>activity</w:t>
      </w:r>
      <w:r w:rsidRPr="00D44526">
        <w:t xml:space="preserve"> approach. </w:t>
      </w:r>
      <w:r>
        <w:t xml:space="preserve">Both of these will </w:t>
      </w:r>
      <w:r w:rsidR="007B192D">
        <w:t xml:space="preserve">be </w:t>
      </w:r>
      <w:r>
        <w:t xml:space="preserve">able to be pursued in the Territory’s </w:t>
      </w:r>
      <w:r w:rsidR="007C245E">
        <w:t>S</w:t>
      </w:r>
      <w:r>
        <w:t>cheme.</w:t>
      </w:r>
    </w:p>
    <w:p w:rsidR="00196A93" w:rsidRDefault="00196A93" w:rsidP="00196A93">
      <w:pPr>
        <w:pStyle w:val="Heading3"/>
      </w:pPr>
      <w:r>
        <w:t>Project-based assessment</w:t>
      </w:r>
    </w:p>
    <w:p w:rsidR="00AD034B" w:rsidRDefault="00AD034B" w:rsidP="00AD034B">
      <w:r w:rsidRPr="00D44526">
        <w:t xml:space="preserve">A project-based assessment approach would require </w:t>
      </w:r>
      <w:r>
        <w:t>supplier</w:t>
      </w:r>
      <w:r w:rsidRPr="00D44526">
        <w:t xml:space="preserve">s to approach the project </w:t>
      </w:r>
      <w:r w:rsidR="008C0D5D">
        <w:t>Administrator</w:t>
      </w:r>
      <w:r w:rsidRPr="00D44526">
        <w:t xml:space="preserve"> or Government with proposed activities and an appropriate abatement </w:t>
      </w:r>
      <w:r w:rsidR="00196A93">
        <w:t xml:space="preserve">calculation </w:t>
      </w:r>
      <w:r w:rsidRPr="00D44526">
        <w:t xml:space="preserve">methodology. To support their project ideas, energy </w:t>
      </w:r>
      <w:r>
        <w:t>supplier</w:t>
      </w:r>
      <w:r w:rsidRPr="00D44526">
        <w:t xml:space="preserve">s would need to provide supporting data and information </w:t>
      </w:r>
      <w:r>
        <w:t>on how greenhouse gas reductions would be measured</w:t>
      </w:r>
      <w:r w:rsidRPr="00D44526">
        <w:t>. The proposals and supporting evidence would then be reviewed on a case</w:t>
      </w:r>
      <w:r w:rsidR="007B192D">
        <w:t>-</w:t>
      </w:r>
      <w:r w:rsidRPr="00D44526">
        <w:t xml:space="preserve">by-case basis and be either approved, amended or rejected. This </w:t>
      </w:r>
      <w:r>
        <w:t xml:space="preserve">process </w:t>
      </w:r>
      <w:r w:rsidRPr="00D44526">
        <w:t>would require</w:t>
      </w:r>
      <w:r>
        <w:t xml:space="preserve"> both the</w:t>
      </w:r>
      <w:r w:rsidRPr="00D44526">
        <w:t xml:space="preserve"> </w:t>
      </w:r>
      <w:r>
        <w:t xml:space="preserve">supplier and </w:t>
      </w:r>
      <w:r w:rsidR="008C0D5D">
        <w:t>Administrator</w:t>
      </w:r>
      <w:r w:rsidRPr="00D44526">
        <w:t xml:space="preserve"> to invest significant time and resources in developing these activities.</w:t>
      </w:r>
      <w:r>
        <w:t xml:space="preserve"> The upside is that project-based approaches provide a highly flexible and potentially low-cost way of generating required abatement. Projects may include large-scale projects such as high-density residential base-building upgrades</w:t>
      </w:r>
      <w:r w:rsidR="00B24B51">
        <w:t>,</w:t>
      </w:r>
      <w:r>
        <w:t xml:space="preserve"> or broad-based behaviour change programs that are accompanied by smart meters or other incentives for households. </w:t>
      </w:r>
    </w:p>
    <w:p w:rsidR="00196A93" w:rsidRPr="00D44526" w:rsidRDefault="00196A93" w:rsidP="00196A93">
      <w:pPr>
        <w:pStyle w:val="Heading3"/>
      </w:pPr>
      <w:r>
        <w:t>Deemed activity approach</w:t>
      </w:r>
    </w:p>
    <w:p w:rsidR="00AD034B" w:rsidRPr="00D44526" w:rsidRDefault="00AD034B" w:rsidP="00AD034B">
      <w:pPr>
        <w:rPr>
          <w:color w:val="F79646"/>
        </w:rPr>
      </w:pPr>
      <w:r>
        <w:t>A</w:t>
      </w:r>
      <w:r w:rsidRPr="00D44526">
        <w:t xml:space="preserve"> dee</w:t>
      </w:r>
      <w:r>
        <w:t>med</w:t>
      </w:r>
      <w:r w:rsidR="00196A93">
        <w:t xml:space="preserve"> activity</w:t>
      </w:r>
      <w:r w:rsidRPr="00D44526">
        <w:t xml:space="preserve"> approach</w:t>
      </w:r>
      <w:r>
        <w:t xml:space="preserve"> allows suppliers to generate abatement from a predetermined </w:t>
      </w:r>
      <w:r w:rsidRPr="00D44526">
        <w:t xml:space="preserve">list of prescribed ‘eligible activities’. </w:t>
      </w:r>
      <w:r w:rsidR="002C60A9">
        <w:t xml:space="preserve">The level of abatement for each activity is deemed in advance and published online. </w:t>
      </w:r>
      <w:r w:rsidRPr="00D44526">
        <w:t>The benefit</w:t>
      </w:r>
      <w:r>
        <w:t>s</w:t>
      </w:r>
      <w:r w:rsidRPr="00D44526">
        <w:t xml:space="preserve"> of this approach</w:t>
      </w:r>
      <w:r>
        <w:t xml:space="preserve"> are </w:t>
      </w:r>
      <w:r w:rsidRPr="00D44526">
        <w:t>the reduced costs</w:t>
      </w:r>
      <w:r>
        <w:t xml:space="preserve"> for suppliers that may be associated with developing abatement project measurement methodologies</w:t>
      </w:r>
      <w:r w:rsidR="00494B42">
        <w:t>,</w:t>
      </w:r>
      <w:r>
        <w:t xml:space="preserve"> as well as providing a high degree of certainty for planning purposes</w:t>
      </w:r>
      <w:r w:rsidR="002C60A9">
        <w:t>.</w:t>
      </w:r>
    </w:p>
    <w:p w:rsidR="00AD034B" w:rsidRDefault="00AD034B" w:rsidP="00AD034B">
      <w:pPr>
        <w:rPr>
          <w:szCs w:val="24"/>
        </w:rPr>
      </w:pPr>
      <w:r w:rsidRPr="00D44526">
        <w:rPr>
          <w:szCs w:val="24"/>
        </w:rPr>
        <w:t xml:space="preserve">An important consideration in the design of the </w:t>
      </w:r>
      <w:r w:rsidR="007C245E">
        <w:rPr>
          <w:szCs w:val="24"/>
        </w:rPr>
        <w:t>S</w:t>
      </w:r>
      <w:r w:rsidRPr="00D44526">
        <w:rPr>
          <w:szCs w:val="24"/>
        </w:rPr>
        <w:t>cheme is its compatibility with other jurisdictions</w:t>
      </w:r>
      <w:r w:rsidR="00494B42">
        <w:rPr>
          <w:szCs w:val="24"/>
        </w:rPr>
        <w:t>’</w:t>
      </w:r>
      <w:r w:rsidRPr="00D44526">
        <w:rPr>
          <w:szCs w:val="24"/>
        </w:rPr>
        <w:t xml:space="preserve"> energy efficiency schemes – as this will provide simplicity for </w:t>
      </w:r>
      <w:r>
        <w:rPr>
          <w:szCs w:val="24"/>
        </w:rPr>
        <w:t>supplier</w:t>
      </w:r>
      <w:r w:rsidRPr="00D44526">
        <w:rPr>
          <w:szCs w:val="24"/>
        </w:rPr>
        <w:t>s and facilitate a transition to a national scheme. Specifically, the measures developed under</w:t>
      </w:r>
      <w:r w:rsidR="007C245E">
        <w:rPr>
          <w:szCs w:val="24"/>
        </w:rPr>
        <w:t xml:space="preserve"> the</w:t>
      </w:r>
      <w:r w:rsidRPr="00D44526">
        <w:rPr>
          <w:szCs w:val="24"/>
        </w:rPr>
        <w:t xml:space="preserve"> proposed </w:t>
      </w:r>
      <w:r w:rsidR="00494B42">
        <w:rPr>
          <w:szCs w:val="24"/>
        </w:rPr>
        <w:t>S</w:t>
      </w:r>
      <w:r w:rsidRPr="00D44526">
        <w:rPr>
          <w:szCs w:val="24"/>
        </w:rPr>
        <w:t>cheme for the ACT</w:t>
      </w:r>
      <w:r w:rsidR="007C245E">
        <w:rPr>
          <w:szCs w:val="24"/>
        </w:rPr>
        <w:t xml:space="preserve"> reflect </w:t>
      </w:r>
      <w:r w:rsidRPr="00D44526">
        <w:rPr>
          <w:szCs w:val="24"/>
        </w:rPr>
        <w:t xml:space="preserve">closely the prescribed measures under the VEET. This is due to the extensive and comprehensive work that </w:t>
      </w:r>
      <w:r w:rsidRPr="00512869">
        <w:rPr>
          <w:szCs w:val="24"/>
        </w:rPr>
        <w:t>has been undertaken by Victoria and the recognised success of the Victorian scheme</w:t>
      </w:r>
      <w:r w:rsidR="00BD15F2">
        <w:rPr>
          <w:szCs w:val="24"/>
        </w:rPr>
        <w:t xml:space="preserve"> in developing a comprehensive set of measures that have relatively low transaction costs. In </w:t>
      </w:r>
      <w:r w:rsidRPr="00512869">
        <w:rPr>
          <w:szCs w:val="24"/>
        </w:rPr>
        <w:t xml:space="preserve">addition, the ACT will be able to piggy-back off the extension of the VEET scheme to SMEs in </w:t>
      </w:r>
      <w:r w:rsidR="00512869">
        <w:rPr>
          <w:szCs w:val="24"/>
        </w:rPr>
        <w:t xml:space="preserve">Victoria in </w:t>
      </w:r>
      <w:r w:rsidRPr="00512869">
        <w:rPr>
          <w:szCs w:val="24"/>
        </w:rPr>
        <w:t>2012.</w:t>
      </w:r>
      <w:r w:rsidR="002C60A9">
        <w:rPr>
          <w:szCs w:val="24"/>
        </w:rPr>
        <w:t xml:space="preserve"> </w:t>
      </w:r>
    </w:p>
    <w:p w:rsidR="002C60A9" w:rsidRPr="00D44526" w:rsidRDefault="002C60A9" w:rsidP="00AD034B">
      <w:pPr>
        <w:rPr>
          <w:szCs w:val="24"/>
        </w:rPr>
      </w:pPr>
      <w:r>
        <w:rPr>
          <w:szCs w:val="24"/>
        </w:rPr>
        <w:t xml:space="preserve">Abatement values for the ACT Scheme have been recalculated to correspond to a better understanding of likely abatement against the ACT’s </w:t>
      </w:r>
      <w:r w:rsidR="00494B42">
        <w:rPr>
          <w:szCs w:val="24"/>
        </w:rPr>
        <w:t>‘</w:t>
      </w:r>
      <w:r>
        <w:rPr>
          <w:szCs w:val="24"/>
        </w:rPr>
        <w:t>business as usual</w:t>
      </w:r>
      <w:r w:rsidR="00494B42">
        <w:rPr>
          <w:szCs w:val="24"/>
        </w:rPr>
        <w:t>’</w:t>
      </w:r>
      <w:r>
        <w:rPr>
          <w:szCs w:val="24"/>
        </w:rPr>
        <w:t xml:space="preserve"> emissions trajectory, climatic differences and the lower emissions intensity of electricity supplied to the ACT compared to Victoria.</w:t>
      </w:r>
      <w:r w:rsidR="00D32623">
        <w:rPr>
          <w:szCs w:val="24"/>
        </w:rPr>
        <w:t xml:space="preserve"> The ACT’s abatement factors also take into account projected decreasing emissions factors, compared to Victoria, which uses a static emissions factor.</w:t>
      </w:r>
      <w:r w:rsidR="00E67970">
        <w:rPr>
          <w:szCs w:val="24"/>
        </w:rPr>
        <w:t xml:space="preserve"> A comparison of ACT and Victorian abatement factors is provided in </w:t>
      </w:r>
      <w:r w:rsidR="00E67970">
        <w:rPr>
          <w:szCs w:val="24"/>
        </w:rPr>
        <w:fldChar w:fldCharType="begin"/>
      </w:r>
      <w:r w:rsidR="00E67970">
        <w:rPr>
          <w:szCs w:val="24"/>
        </w:rPr>
        <w:instrText xml:space="preserve"> REF _Ref303877727 \h </w:instrText>
      </w:r>
      <w:r w:rsidR="00E67970">
        <w:rPr>
          <w:szCs w:val="24"/>
        </w:rPr>
      </w:r>
      <w:r w:rsidR="00E67970">
        <w:rPr>
          <w:szCs w:val="24"/>
        </w:rPr>
        <w:fldChar w:fldCharType="separate"/>
      </w:r>
      <w:r w:rsidR="00681D6A" w:rsidRPr="00D32623">
        <w:t xml:space="preserve">Table </w:t>
      </w:r>
      <w:r w:rsidR="00681D6A">
        <w:rPr>
          <w:noProof/>
        </w:rPr>
        <w:t>5</w:t>
      </w:r>
      <w:r w:rsidR="00E67970">
        <w:rPr>
          <w:szCs w:val="24"/>
        </w:rPr>
        <w:fldChar w:fldCharType="end"/>
      </w:r>
      <w:r w:rsidR="00E67970">
        <w:rPr>
          <w:szCs w:val="24"/>
        </w:rPr>
        <w:t>.</w:t>
      </w:r>
    </w:p>
    <w:p w:rsidR="0080544E" w:rsidRPr="0080544E" w:rsidRDefault="00AD034B" w:rsidP="004F7A03">
      <w:pPr>
        <w:pStyle w:val="Heading3"/>
      </w:pPr>
      <w:r w:rsidRPr="0080544E">
        <w:t xml:space="preserve">Comparison of measures </w:t>
      </w:r>
    </w:p>
    <w:p w:rsidR="007C245E" w:rsidRDefault="00E67970" w:rsidP="00FB5D13">
      <w:r w:rsidRPr="006E133C">
        <w:t>A detailed summary of t</w:t>
      </w:r>
      <w:r w:rsidR="0080544E" w:rsidRPr="006E133C">
        <w:t xml:space="preserve">he abatement measures included in the model </w:t>
      </w:r>
      <w:r w:rsidR="00D10916">
        <w:t>is</w:t>
      </w:r>
      <w:r w:rsidR="0080544E" w:rsidRPr="006E133C">
        <w:t xml:space="preserve"> listed in </w:t>
      </w:r>
      <w:r w:rsidR="00B43B35">
        <w:fldChar w:fldCharType="begin"/>
      </w:r>
      <w:r w:rsidR="00B43B35">
        <w:instrText xml:space="preserve"> REF _Ref303873889 \h  \* MERGEFORMAT </w:instrText>
      </w:r>
      <w:r w:rsidR="00B43B35">
        <w:fldChar w:fldCharType="separate"/>
      </w:r>
      <w:r w:rsidR="00681D6A" w:rsidRPr="00681D6A">
        <w:rPr>
          <w:i/>
        </w:rPr>
        <w:t>Appendix A – Summary of Eligible Activities</w:t>
      </w:r>
      <w:r w:rsidR="00B43B35">
        <w:fldChar w:fldCharType="end"/>
      </w:r>
      <w:bookmarkStart w:id="86" w:name="_Ref303865424"/>
      <w:r w:rsidRPr="006E133C">
        <w:t>.</w:t>
      </w:r>
    </w:p>
    <w:p w:rsidR="004A2D09" w:rsidRDefault="00684442" w:rsidP="00FB5D13">
      <w:r w:rsidRPr="00BD6AD3">
        <w:t xml:space="preserve">This set of measures </w:t>
      </w:r>
      <w:r w:rsidRPr="00690FAA">
        <w:t xml:space="preserve">concentrates on where the greatest potential benefit can be gained – for example, in areas such as space heating and cooling, water heating and lighting. </w:t>
      </w:r>
      <w:r w:rsidR="004A2D09">
        <w:fldChar w:fldCharType="begin"/>
      </w:r>
      <w:r w:rsidR="004A2D09">
        <w:instrText xml:space="preserve"> REF _Ref303953416 \h </w:instrText>
      </w:r>
      <w:r w:rsidR="004A2D09">
        <w:fldChar w:fldCharType="separate"/>
      </w:r>
      <w:r w:rsidR="00681D6A">
        <w:t xml:space="preserve">Figure </w:t>
      </w:r>
      <w:r w:rsidR="00681D6A">
        <w:rPr>
          <w:noProof/>
        </w:rPr>
        <w:t>8</w:t>
      </w:r>
      <w:r w:rsidR="004A2D09">
        <w:fldChar w:fldCharType="end"/>
      </w:r>
      <w:r w:rsidR="004A2D09">
        <w:t xml:space="preserve"> illustrates the major uses </w:t>
      </w:r>
      <w:r w:rsidR="001F2F34">
        <w:t>for</w:t>
      </w:r>
      <w:r w:rsidR="004A2D09">
        <w:t xml:space="preserve"> energy in the Territory</w:t>
      </w:r>
      <w:r w:rsidR="004513A9">
        <w:t>,</w:t>
      </w:r>
      <w:r w:rsidR="004A2D09">
        <w:t xml:space="preserve"> including the high proportion of</w:t>
      </w:r>
      <w:r w:rsidR="001F2F34">
        <w:t xml:space="preserve"> </w:t>
      </w:r>
      <w:r w:rsidR="004A2D09">
        <w:t xml:space="preserve">both electricity and gas </w:t>
      </w:r>
      <w:r w:rsidR="001F2F34">
        <w:t xml:space="preserve">used </w:t>
      </w:r>
      <w:r w:rsidR="004A2D09">
        <w:t>for space heating, and the large proportion of electricity used for domestic appliances and lighting.</w:t>
      </w:r>
    </w:p>
    <w:p w:rsidR="004A2D09" w:rsidRDefault="004A2D09" w:rsidP="004A2D09">
      <w:pPr>
        <w:pStyle w:val="Caption"/>
      </w:pPr>
      <w:bookmarkStart w:id="87" w:name="_Ref303953416"/>
      <w:r>
        <w:t xml:space="preserve">Figure </w:t>
      </w:r>
      <w:r w:rsidR="006F5BB0">
        <w:rPr>
          <w:noProof/>
        </w:rPr>
        <w:fldChar w:fldCharType="begin"/>
      </w:r>
      <w:r w:rsidR="006F5BB0">
        <w:rPr>
          <w:noProof/>
        </w:rPr>
        <w:instrText xml:space="preserve"> SEQ Figure \* ARABIC </w:instrText>
      </w:r>
      <w:r w:rsidR="006F5BB0">
        <w:rPr>
          <w:noProof/>
        </w:rPr>
        <w:fldChar w:fldCharType="separate"/>
      </w:r>
      <w:r w:rsidR="00681D6A">
        <w:rPr>
          <w:noProof/>
        </w:rPr>
        <w:t>8</w:t>
      </w:r>
      <w:r w:rsidR="006F5BB0">
        <w:rPr>
          <w:noProof/>
        </w:rPr>
        <w:fldChar w:fldCharType="end"/>
      </w:r>
      <w:bookmarkEnd w:id="87"/>
      <w:r>
        <w:t>: Summary of energy consumption in the ACT by end-use category</w:t>
      </w:r>
    </w:p>
    <w:p w:rsidR="004A2D09" w:rsidRDefault="006D6234" w:rsidP="00FB5D13">
      <w:r w:rsidRPr="003A52A1">
        <w:rPr>
          <w:noProof/>
          <w:lang w:eastAsia="en-AU"/>
        </w:rPr>
        <w:drawing>
          <wp:inline distT="0" distB="0" distL="0" distR="0">
            <wp:extent cx="6038850" cy="2238375"/>
            <wp:effectExtent l="0" t="0" r="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8850" cy="2238375"/>
                    </a:xfrm>
                    <a:prstGeom prst="rect">
                      <a:avLst/>
                    </a:prstGeom>
                    <a:noFill/>
                    <a:ln>
                      <a:noFill/>
                    </a:ln>
                  </pic:spPr>
                </pic:pic>
              </a:graphicData>
            </a:graphic>
          </wp:inline>
        </w:drawing>
      </w:r>
    </w:p>
    <w:p w:rsidR="004A2D09" w:rsidRDefault="004A2D09" w:rsidP="00FB5D13"/>
    <w:p w:rsidR="00911718" w:rsidRDefault="0080544E" w:rsidP="00FB5D13">
      <w:r w:rsidRPr="00D44526">
        <w:t xml:space="preserve">It should be noted that the lists of activities identified would not be permanently fixed. The emergence of new or improved information on the performance of products, or of consumer behaviour, would influence the consideration of including new activities in the </w:t>
      </w:r>
      <w:r w:rsidR="004513A9">
        <w:t>S</w:t>
      </w:r>
      <w:r w:rsidRPr="00D44526">
        <w:t xml:space="preserve">cheme – including a capacity for </w:t>
      </w:r>
      <w:r>
        <w:t>supplier</w:t>
      </w:r>
      <w:r w:rsidRPr="00D44526">
        <w:t xml:space="preserve">s to propose project-based measures if this proves to be cost-effective for them. </w:t>
      </w:r>
      <w:r>
        <w:t>While the ACT build</w:t>
      </w:r>
      <w:r w:rsidR="002C60A9">
        <w:t>s on</w:t>
      </w:r>
      <w:r>
        <w:t xml:space="preserve"> Victoria’s measures assessment methodology, the ACT will also have the flexibility to adopt measures based on its own assessment processes. </w:t>
      </w:r>
    </w:p>
    <w:p w:rsidR="00911718" w:rsidRDefault="00911718" w:rsidP="00FB5D13"/>
    <w:p w:rsidR="00684442" w:rsidRDefault="00684442" w:rsidP="00911718">
      <w:pPr>
        <w:pStyle w:val="Caption"/>
        <w:keepNext/>
      </w:pPr>
      <w:bookmarkStart w:id="88" w:name="_Ref303877727"/>
      <w:bookmarkStart w:id="89" w:name="_Ref303935041"/>
      <w:bookmarkEnd w:id="86"/>
      <w:r w:rsidRPr="00D32623">
        <w:t xml:space="preserve">Table </w:t>
      </w:r>
      <w:r w:rsidR="006F5BB0">
        <w:rPr>
          <w:noProof/>
        </w:rPr>
        <w:fldChar w:fldCharType="begin"/>
      </w:r>
      <w:r w:rsidR="006F5BB0">
        <w:rPr>
          <w:noProof/>
        </w:rPr>
        <w:instrText xml:space="preserve"> SEQ Table \* ARABIC </w:instrText>
      </w:r>
      <w:r w:rsidR="006F5BB0">
        <w:rPr>
          <w:noProof/>
        </w:rPr>
        <w:fldChar w:fldCharType="separate"/>
      </w:r>
      <w:r w:rsidR="00681D6A">
        <w:rPr>
          <w:noProof/>
        </w:rPr>
        <w:t>5</w:t>
      </w:r>
      <w:r w:rsidR="006F5BB0">
        <w:rPr>
          <w:noProof/>
        </w:rPr>
        <w:fldChar w:fldCharType="end"/>
      </w:r>
      <w:bookmarkEnd w:id="88"/>
      <w:r w:rsidRPr="00D32623">
        <w:t>: Comparison of ACT and VIC lifetime abatement achieved by measure</w:t>
      </w:r>
      <w:bookmarkEnd w:id="89"/>
      <w:r w:rsidR="00AD334F">
        <w:t xml:space="preserve"> </w:t>
      </w:r>
    </w:p>
    <w:tbl>
      <w:tblPr>
        <w:tblStyle w:val="EPLTablePlain"/>
        <w:tblW w:w="92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44"/>
        <w:gridCol w:w="2320"/>
        <w:gridCol w:w="2241"/>
      </w:tblGrid>
      <w:tr w:rsidR="0080544E" w:rsidRPr="0080544E" w:rsidTr="00814E9D">
        <w:trPr>
          <w:cnfStyle w:val="100000000000" w:firstRow="1" w:lastRow="0" w:firstColumn="0" w:lastColumn="0" w:oddVBand="0" w:evenVBand="0" w:oddHBand="0" w:evenHBand="0" w:firstRowFirstColumn="0" w:firstRowLastColumn="0" w:lastRowFirstColumn="0" w:lastRowLastColumn="0"/>
          <w:trHeight w:val="765"/>
        </w:trPr>
        <w:tc>
          <w:tcPr>
            <w:tcW w:w="4644" w:type="dxa"/>
            <w:shd w:val="clear" w:color="auto" w:fill="F2F2F2" w:themeFill="background1" w:themeFillShade="F2"/>
            <w:noWrap/>
            <w:hideMark/>
          </w:tcPr>
          <w:p w:rsidR="0080544E" w:rsidRPr="0080544E" w:rsidRDefault="0080544E" w:rsidP="0080544E">
            <w:pPr>
              <w:pStyle w:val="TableMain"/>
              <w:rPr>
                <w:color w:val="auto"/>
                <w:sz w:val="16"/>
                <w:szCs w:val="16"/>
              </w:rPr>
            </w:pPr>
            <w:r w:rsidRPr="0080544E">
              <w:rPr>
                <w:color w:val="auto"/>
                <w:sz w:val="16"/>
                <w:szCs w:val="16"/>
              </w:rPr>
              <w:t>Measure Name</w:t>
            </w:r>
          </w:p>
        </w:tc>
        <w:tc>
          <w:tcPr>
            <w:tcW w:w="2320" w:type="dxa"/>
            <w:shd w:val="clear" w:color="auto" w:fill="F2F2F2" w:themeFill="background1" w:themeFillShade="F2"/>
            <w:hideMark/>
          </w:tcPr>
          <w:p w:rsidR="0080544E" w:rsidRPr="0080544E" w:rsidRDefault="0080544E" w:rsidP="0080544E">
            <w:pPr>
              <w:pStyle w:val="TableMain"/>
              <w:jc w:val="center"/>
              <w:rPr>
                <w:color w:val="auto"/>
                <w:sz w:val="16"/>
                <w:szCs w:val="16"/>
              </w:rPr>
            </w:pPr>
            <w:r w:rsidRPr="0080544E">
              <w:rPr>
                <w:color w:val="auto"/>
                <w:sz w:val="16"/>
                <w:szCs w:val="16"/>
              </w:rPr>
              <w:t>ACT average program lifetime abatement factor</w:t>
            </w:r>
            <w:r w:rsidRPr="0080544E">
              <w:rPr>
                <w:b w:val="0"/>
                <w:sz w:val="16"/>
                <w:szCs w:val="16"/>
              </w:rPr>
              <w:br/>
            </w:r>
            <w:r w:rsidRPr="0080544E">
              <w:rPr>
                <w:color w:val="auto"/>
                <w:sz w:val="16"/>
                <w:szCs w:val="16"/>
              </w:rPr>
              <w:t>(tCO2-e/unit)</w:t>
            </w:r>
            <w:r w:rsidR="00AD334F">
              <w:rPr>
                <w:color w:val="auto"/>
                <w:sz w:val="16"/>
                <w:szCs w:val="16"/>
              </w:rPr>
              <w:t>*</w:t>
            </w:r>
          </w:p>
        </w:tc>
        <w:tc>
          <w:tcPr>
            <w:tcW w:w="2241" w:type="dxa"/>
            <w:shd w:val="clear" w:color="auto" w:fill="F2F2F2" w:themeFill="background1" w:themeFillShade="F2"/>
            <w:hideMark/>
          </w:tcPr>
          <w:p w:rsidR="0080544E" w:rsidRPr="0080544E" w:rsidRDefault="0080544E" w:rsidP="0080544E">
            <w:pPr>
              <w:pStyle w:val="TableMain"/>
              <w:jc w:val="center"/>
              <w:rPr>
                <w:color w:val="auto"/>
                <w:sz w:val="16"/>
                <w:szCs w:val="16"/>
              </w:rPr>
            </w:pPr>
            <w:r w:rsidRPr="0080544E">
              <w:rPr>
                <w:color w:val="auto"/>
                <w:sz w:val="16"/>
                <w:szCs w:val="16"/>
              </w:rPr>
              <w:t>VIC average program lifetime abatement factor</w:t>
            </w:r>
            <w:r w:rsidRPr="0080544E">
              <w:rPr>
                <w:b w:val="0"/>
                <w:sz w:val="16"/>
                <w:szCs w:val="16"/>
              </w:rPr>
              <w:br/>
            </w:r>
            <w:r w:rsidRPr="0080544E">
              <w:rPr>
                <w:color w:val="auto"/>
                <w:sz w:val="16"/>
                <w:szCs w:val="16"/>
              </w:rPr>
              <w:t>(tCO2-e/unit)</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Install insulation onto an uninsulated ceiling</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0.136</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0.219</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Install insulation into an uninsulated external wall cavity</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0.097</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0.103</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Weather proofing and air sealing</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4.290</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3.198</w:t>
            </w:r>
          </w:p>
        </w:tc>
      </w:tr>
      <w:tr w:rsidR="0080544E" w:rsidRPr="003824EB" w:rsidTr="00814E9D">
        <w:trPr>
          <w:trHeight w:val="255"/>
        </w:trPr>
        <w:tc>
          <w:tcPr>
            <w:tcW w:w="4644" w:type="dxa"/>
            <w:shd w:val="clear" w:color="auto" w:fill="FFFFFF" w:themeFill="background1"/>
            <w:noWrap/>
            <w:hideMark/>
          </w:tcPr>
          <w:p w:rsidR="0080544E" w:rsidRPr="003824EB" w:rsidRDefault="00164A8D" w:rsidP="0080544E">
            <w:pPr>
              <w:pStyle w:val="TableMain"/>
              <w:rPr>
                <w:sz w:val="16"/>
                <w:szCs w:val="16"/>
              </w:rPr>
            </w:pPr>
            <w:r>
              <w:rPr>
                <w:sz w:val="16"/>
                <w:szCs w:val="16"/>
              </w:rPr>
              <w:t>Replace S</w:t>
            </w:r>
            <w:r w:rsidR="0080544E" w:rsidRPr="003824EB">
              <w:rPr>
                <w:sz w:val="16"/>
                <w:szCs w:val="16"/>
              </w:rPr>
              <w:t>G window with new DG window</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0.288</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0.335</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Install window film to SG window</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0.081</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0.060</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Retrofit DG to an existing SG window</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0.193</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0.181</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Replace central elec</w:t>
            </w:r>
            <w:r w:rsidR="004513A9">
              <w:rPr>
                <w:sz w:val="16"/>
                <w:szCs w:val="16"/>
              </w:rPr>
              <w:t>tric</w:t>
            </w:r>
            <w:r w:rsidRPr="003824EB">
              <w:rPr>
                <w:sz w:val="16"/>
                <w:szCs w:val="16"/>
              </w:rPr>
              <w:t xml:space="preserve"> resistive heating with HE central ducted gas</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95.471</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158.600</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Install new HE room reverse-cycle air conditioner</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1.147</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3.200</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Replace &amp; upgrade ducting for existing gas ducted heater</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11.758</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14.246</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HE gas ducted replaces existing gas ducted heating</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10.272</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9.502</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 xml:space="preserve">Replace </w:t>
            </w:r>
            <w:r w:rsidR="00B36A28" w:rsidRPr="003824EB">
              <w:rPr>
                <w:sz w:val="16"/>
                <w:szCs w:val="16"/>
              </w:rPr>
              <w:t>an</w:t>
            </w:r>
            <w:r w:rsidRPr="003824EB">
              <w:rPr>
                <w:sz w:val="16"/>
                <w:szCs w:val="16"/>
              </w:rPr>
              <w:t xml:space="preserve"> existing shower rose with a low flow shower rose</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1.869</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2.070</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Elec</w:t>
            </w:r>
            <w:r w:rsidR="004513A9">
              <w:rPr>
                <w:sz w:val="16"/>
                <w:szCs w:val="16"/>
              </w:rPr>
              <w:t>tric</w:t>
            </w:r>
            <w:r w:rsidRPr="003824EB">
              <w:rPr>
                <w:sz w:val="16"/>
                <w:szCs w:val="16"/>
              </w:rPr>
              <w:t xml:space="preserve"> storage HW replaced with gas storage HW</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17.756</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34.058</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Elec</w:t>
            </w:r>
            <w:r w:rsidR="004513A9">
              <w:rPr>
                <w:sz w:val="16"/>
                <w:szCs w:val="16"/>
              </w:rPr>
              <w:t>tric</w:t>
            </w:r>
            <w:r w:rsidRPr="003824EB">
              <w:rPr>
                <w:sz w:val="16"/>
                <w:szCs w:val="16"/>
              </w:rPr>
              <w:t xml:space="preserve"> storage HW replaced with gas instantaneous HW</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18.482</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34.058</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Elec</w:t>
            </w:r>
            <w:r w:rsidR="004513A9">
              <w:rPr>
                <w:sz w:val="16"/>
                <w:szCs w:val="16"/>
              </w:rPr>
              <w:t>tric</w:t>
            </w:r>
            <w:r w:rsidRPr="003824EB">
              <w:rPr>
                <w:sz w:val="16"/>
                <w:szCs w:val="16"/>
              </w:rPr>
              <w:t xml:space="preserve"> storage replaced with solar gas-boosted</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25.374</w:t>
            </w:r>
          </w:p>
        </w:tc>
        <w:tc>
          <w:tcPr>
            <w:tcW w:w="2241" w:type="dxa"/>
            <w:shd w:val="clear" w:color="auto" w:fill="FFFFFF" w:themeFill="background1"/>
            <w:noWrap/>
            <w:hideMark/>
          </w:tcPr>
          <w:p w:rsidR="0080544E" w:rsidRDefault="0080544E" w:rsidP="0080544E">
            <w:pPr>
              <w:pStyle w:val="TableMain"/>
              <w:jc w:val="center"/>
              <w:rPr>
                <w:sz w:val="16"/>
                <w:szCs w:val="16"/>
              </w:rPr>
            </w:pPr>
            <w:r>
              <w:rPr>
                <w:sz w:val="16"/>
                <w:szCs w:val="16"/>
              </w:rPr>
              <w:t>14.858 (class 1 bldg)</w:t>
            </w:r>
          </w:p>
          <w:p w:rsidR="0080544E" w:rsidRPr="003824EB" w:rsidRDefault="0080544E" w:rsidP="0080544E">
            <w:pPr>
              <w:pStyle w:val="TableMain"/>
              <w:jc w:val="center"/>
              <w:rPr>
                <w:sz w:val="16"/>
                <w:szCs w:val="16"/>
              </w:rPr>
            </w:pPr>
            <w:r w:rsidRPr="003824EB">
              <w:rPr>
                <w:sz w:val="16"/>
                <w:szCs w:val="16"/>
              </w:rPr>
              <w:t>51.416 (class 2</w:t>
            </w:r>
            <w:r>
              <w:rPr>
                <w:sz w:val="16"/>
                <w:szCs w:val="16"/>
              </w:rPr>
              <w:t xml:space="preserve"> bldg</w:t>
            </w:r>
            <w:r w:rsidRPr="003824EB">
              <w:rPr>
                <w:sz w:val="16"/>
                <w:szCs w:val="16"/>
              </w:rPr>
              <w:t>)</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Solar retrofit to existing elec</w:t>
            </w:r>
            <w:r w:rsidR="004513A9">
              <w:rPr>
                <w:sz w:val="16"/>
                <w:szCs w:val="16"/>
              </w:rPr>
              <w:t>tric</w:t>
            </w:r>
            <w:r w:rsidRPr="003824EB">
              <w:rPr>
                <w:sz w:val="16"/>
                <w:szCs w:val="16"/>
              </w:rPr>
              <w:t xml:space="preserve"> storage</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10.923</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19.996</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Elec</w:t>
            </w:r>
            <w:r w:rsidR="004513A9">
              <w:rPr>
                <w:sz w:val="16"/>
                <w:szCs w:val="16"/>
              </w:rPr>
              <w:t>tric</w:t>
            </w:r>
            <w:r w:rsidRPr="003824EB">
              <w:rPr>
                <w:sz w:val="16"/>
                <w:szCs w:val="16"/>
              </w:rPr>
              <w:t xml:space="preserve"> storage replaced with heat pump</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12.506</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n/a</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Existing gas storage WH replaced with solar gas-boosted</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12.235</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8.775</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Install a solar pre</w:t>
            </w:r>
            <w:r w:rsidR="004513A9">
              <w:rPr>
                <w:sz w:val="16"/>
                <w:szCs w:val="16"/>
              </w:rPr>
              <w:t>-</w:t>
            </w:r>
            <w:r w:rsidRPr="003824EB">
              <w:rPr>
                <w:sz w:val="16"/>
                <w:szCs w:val="16"/>
              </w:rPr>
              <w:t>heater on a mains gas HW heater</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5.289</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3.510</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Replace incandescent with CFL equivalent</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0.154</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0.215</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Replace 50W QH with LED equivalent (direct replacement)</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0.238</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n/a</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Replace 50W QH with CFL equivalent (direct replacement)</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0.210</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0.263</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Replace 50W QH with CFL equivalent (fitting change)</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0.205</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0.375</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Retirement of Pre-96 refrigerators</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1.908</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2.490</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 xml:space="preserve">Installation of standby power </w:t>
            </w:r>
            <w:r w:rsidR="004513A9">
              <w:rPr>
                <w:sz w:val="16"/>
                <w:szCs w:val="16"/>
              </w:rPr>
              <w:t>c</w:t>
            </w:r>
            <w:r w:rsidRPr="003824EB">
              <w:rPr>
                <w:sz w:val="16"/>
                <w:szCs w:val="16"/>
              </w:rPr>
              <w:t>ontroller</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1.299</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1.980</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HE freezer purchase</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1.250</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n/a</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HE refrigerator purchase</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1.258</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1.905</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HE heat pump clothes dryer purchase</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1.574</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2.552</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Installation of HE gas clothes dryer</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1.695</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3.026</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HE television purchase</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1.196</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2.208</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HE dishwasher purchase</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0.131</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0.200</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HE clothes washer purchase</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0.805</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1.228</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HE pool pump</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2.847</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3.932</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 xml:space="preserve">Installation of </w:t>
            </w:r>
            <w:r w:rsidR="004513A9">
              <w:rPr>
                <w:sz w:val="16"/>
                <w:szCs w:val="16"/>
              </w:rPr>
              <w:t>in-</w:t>
            </w:r>
            <w:r w:rsidRPr="003824EB">
              <w:rPr>
                <w:sz w:val="16"/>
                <w:szCs w:val="16"/>
              </w:rPr>
              <w:t>home display</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1.091</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n/a</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Top up insulation in a poorly insulated ceiling</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n/a</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2.770</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Install underfloor insulation to uninsulated floor</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n/a</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12.398</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HE gas ducted new home</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n/a</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4.007</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HE gas ducted replaces existing central elec</w:t>
            </w:r>
            <w:r w:rsidR="004513A9">
              <w:rPr>
                <w:sz w:val="16"/>
                <w:szCs w:val="16"/>
              </w:rPr>
              <w:t>tric</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n/a</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158.611</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HE ducted RAC replaces existing central elec</w:t>
            </w:r>
            <w:r w:rsidR="004513A9">
              <w:rPr>
                <w:sz w:val="16"/>
                <w:szCs w:val="16"/>
              </w:rPr>
              <w:t>tric</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n/a</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126.233</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HE ducted RAC replaces existing ducted RAC</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n/a</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6.607</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HE gas room heater replaces existing gas heater</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n/a</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1.646</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Ducted evaporative replaces room AC</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n/a</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5.730</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Ducted evaporative replaces ducted AC</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n/a</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11.048</w:t>
            </w:r>
          </w:p>
        </w:tc>
      </w:tr>
      <w:tr w:rsidR="0080544E" w:rsidRPr="003824EB" w:rsidTr="00814E9D">
        <w:trPr>
          <w:trHeight w:val="255"/>
        </w:trPr>
        <w:tc>
          <w:tcPr>
            <w:tcW w:w="4644" w:type="dxa"/>
            <w:shd w:val="clear" w:color="auto" w:fill="FFFFFF" w:themeFill="background1"/>
            <w:noWrap/>
            <w:hideMark/>
          </w:tcPr>
          <w:p w:rsidR="0080544E" w:rsidRPr="003824EB" w:rsidRDefault="0080544E" w:rsidP="0080544E">
            <w:pPr>
              <w:pStyle w:val="TableMain"/>
              <w:rPr>
                <w:sz w:val="16"/>
                <w:szCs w:val="16"/>
              </w:rPr>
            </w:pPr>
            <w:r w:rsidRPr="003824EB">
              <w:rPr>
                <w:sz w:val="16"/>
                <w:szCs w:val="16"/>
              </w:rPr>
              <w:t>Elec</w:t>
            </w:r>
            <w:r w:rsidR="004513A9">
              <w:rPr>
                <w:sz w:val="16"/>
                <w:szCs w:val="16"/>
              </w:rPr>
              <w:t>tric</w:t>
            </w:r>
            <w:r w:rsidRPr="003824EB">
              <w:rPr>
                <w:sz w:val="16"/>
                <w:szCs w:val="16"/>
              </w:rPr>
              <w:t xml:space="preserve"> storage WH replaced with solar elec</w:t>
            </w:r>
            <w:r w:rsidR="004513A9">
              <w:rPr>
                <w:sz w:val="16"/>
                <w:szCs w:val="16"/>
              </w:rPr>
              <w:t>tric</w:t>
            </w:r>
            <w:r w:rsidRPr="003824EB">
              <w:rPr>
                <w:sz w:val="16"/>
                <w:szCs w:val="16"/>
              </w:rPr>
              <w:t>-boosted WH</w:t>
            </w:r>
          </w:p>
        </w:tc>
        <w:tc>
          <w:tcPr>
            <w:tcW w:w="2320"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n/a</w:t>
            </w:r>
          </w:p>
        </w:tc>
        <w:tc>
          <w:tcPr>
            <w:tcW w:w="2241" w:type="dxa"/>
            <w:shd w:val="clear" w:color="auto" w:fill="FFFFFF" w:themeFill="background1"/>
            <w:noWrap/>
            <w:hideMark/>
          </w:tcPr>
          <w:p w:rsidR="0080544E" w:rsidRPr="003824EB" w:rsidRDefault="0080544E" w:rsidP="0080544E">
            <w:pPr>
              <w:pStyle w:val="TableMain"/>
              <w:jc w:val="center"/>
              <w:rPr>
                <w:sz w:val="16"/>
                <w:szCs w:val="16"/>
              </w:rPr>
            </w:pPr>
            <w:r w:rsidRPr="003824EB">
              <w:rPr>
                <w:sz w:val="16"/>
                <w:szCs w:val="16"/>
              </w:rPr>
              <w:t>45.743</w:t>
            </w:r>
          </w:p>
        </w:tc>
      </w:tr>
    </w:tbl>
    <w:p w:rsidR="00AD334F" w:rsidRPr="00CC335D" w:rsidRDefault="00AD334F" w:rsidP="00AD334F">
      <w:pPr>
        <w:rPr>
          <w:i/>
          <w:sz w:val="20"/>
          <w:szCs w:val="20"/>
        </w:rPr>
      </w:pPr>
      <w:r w:rsidRPr="00CC335D">
        <w:rPr>
          <w:i/>
          <w:sz w:val="20"/>
          <w:szCs w:val="20"/>
        </w:rPr>
        <w:t>* Abatement factors for measures marked n/a are subject to further assessment</w:t>
      </w:r>
    </w:p>
    <w:p w:rsidR="0080544E" w:rsidRDefault="0080544E" w:rsidP="0080544E">
      <w:pPr>
        <w:pStyle w:val="BodyText"/>
      </w:pPr>
    </w:p>
    <w:p w:rsidR="0080544E" w:rsidRDefault="0080544E" w:rsidP="00AD034B">
      <w:pPr>
        <w:spacing w:before="120" w:after="120"/>
        <w:rPr>
          <w:rFonts w:cs="Calibri"/>
          <w:b/>
          <w:highlight w:val="green"/>
        </w:rPr>
      </w:pPr>
    </w:p>
    <w:p w:rsidR="00636FCD" w:rsidRPr="00C813E5" w:rsidRDefault="00636FCD" w:rsidP="005E7B16">
      <w:pPr>
        <w:pStyle w:val="Heading1"/>
      </w:pPr>
      <w:bookmarkStart w:id="90" w:name="_Ref303795588"/>
      <w:bookmarkStart w:id="91" w:name="_Ref303795593"/>
      <w:bookmarkStart w:id="92" w:name="_Toc306808238"/>
      <w:r>
        <w:t xml:space="preserve">Scheme targets and </w:t>
      </w:r>
      <w:r w:rsidR="00253B7C">
        <w:t>I</w:t>
      </w:r>
      <w:r>
        <w:t>mpacts</w:t>
      </w:r>
      <w:bookmarkEnd w:id="90"/>
      <w:bookmarkEnd w:id="91"/>
      <w:bookmarkEnd w:id="92"/>
    </w:p>
    <w:p w:rsidR="00253B7C" w:rsidRPr="00D44526" w:rsidRDefault="00253B7C" w:rsidP="00253B7C">
      <w:pPr>
        <w:rPr>
          <w:lang w:eastAsia="en-AU"/>
        </w:rPr>
      </w:pPr>
      <w:r w:rsidRPr="00D44526">
        <w:rPr>
          <w:lang w:eastAsia="en-AU"/>
        </w:rPr>
        <w:t xml:space="preserve">The </w:t>
      </w:r>
      <w:r w:rsidR="002C635D">
        <w:rPr>
          <w:lang w:eastAsia="en-AU"/>
        </w:rPr>
        <w:t>S</w:t>
      </w:r>
      <w:r w:rsidRPr="00D44526">
        <w:rPr>
          <w:lang w:eastAsia="en-AU"/>
        </w:rPr>
        <w:t>cheme is expected to have an impact on the following key stakeholders:</w:t>
      </w:r>
    </w:p>
    <w:p w:rsidR="00253B7C" w:rsidRDefault="00253B7C" w:rsidP="00B96C73">
      <w:pPr>
        <w:numPr>
          <w:ilvl w:val="0"/>
          <w:numId w:val="18"/>
        </w:numPr>
        <w:rPr>
          <w:lang w:eastAsia="en-AU"/>
        </w:rPr>
      </w:pPr>
      <w:r>
        <w:rPr>
          <w:lang w:eastAsia="en-AU"/>
        </w:rPr>
        <w:t>h</w:t>
      </w:r>
      <w:r w:rsidRPr="00D44526">
        <w:rPr>
          <w:lang w:eastAsia="en-AU"/>
        </w:rPr>
        <w:t>ousehold</w:t>
      </w:r>
      <w:r>
        <w:rPr>
          <w:lang w:eastAsia="en-AU"/>
        </w:rPr>
        <w:t xml:space="preserve"> energy customers – will voluntarily participate in energy saving activities and absorb </w:t>
      </w:r>
      <w:r w:rsidR="00473AF4">
        <w:rPr>
          <w:lang w:eastAsia="en-AU"/>
        </w:rPr>
        <w:t xml:space="preserve">a proportion of </w:t>
      </w:r>
      <w:r>
        <w:rPr>
          <w:lang w:eastAsia="en-AU"/>
        </w:rPr>
        <w:t>pass-through costs</w:t>
      </w:r>
      <w:r w:rsidRPr="00D44526">
        <w:rPr>
          <w:lang w:eastAsia="en-AU"/>
        </w:rPr>
        <w:t>;</w:t>
      </w:r>
    </w:p>
    <w:p w:rsidR="00911137" w:rsidRPr="00D44526" w:rsidRDefault="00911137" w:rsidP="00911137">
      <w:pPr>
        <w:numPr>
          <w:ilvl w:val="0"/>
          <w:numId w:val="18"/>
        </w:numPr>
        <w:rPr>
          <w:lang w:eastAsia="en-AU"/>
        </w:rPr>
      </w:pPr>
      <w:r>
        <w:rPr>
          <w:lang w:eastAsia="en-AU"/>
        </w:rPr>
        <w:t>ACT businesses will absorb a proportion of pass-through costs without a corresponding ability to participate in energy saving activities, until the Scheme is expanded beyond the residential sector</w:t>
      </w:r>
      <w:r w:rsidRPr="00D44526">
        <w:rPr>
          <w:lang w:eastAsia="en-AU"/>
        </w:rPr>
        <w:t>;</w:t>
      </w:r>
    </w:p>
    <w:p w:rsidR="00253B7C" w:rsidRPr="00D44526" w:rsidRDefault="00253B7C" w:rsidP="00B96C73">
      <w:pPr>
        <w:numPr>
          <w:ilvl w:val="0"/>
          <w:numId w:val="18"/>
        </w:numPr>
        <w:rPr>
          <w:lang w:eastAsia="en-AU"/>
        </w:rPr>
      </w:pPr>
      <w:r w:rsidRPr="00D44526">
        <w:rPr>
          <w:lang w:eastAsia="en-AU"/>
        </w:rPr>
        <w:t xml:space="preserve">energy </w:t>
      </w:r>
      <w:r>
        <w:rPr>
          <w:lang w:eastAsia="en-AU"/>
        </w:rPr>
        <w:t>supplier</w:t>
      </w:r>
      <w:r w:rsidRPr="00D44526">
        <w:rPr>
          <w:lang w:eastAsia="en-AU"/>
        </w:rPr>
        <w:t>s</w:t>
      </w:r>
      <w:r>
        <w:rPr>
          <w:lang w:eastAsia="en-AU"/>
        </w:rPr>
        <w:t xml:space="preserve"> – will be obliged to undertake energy saving activities under the </w:t>
      </w:r>
      <w:r w:rsidR="00CE7BBC">
        <w:rPr>
          <w:lang w:eastAsia="en-AU"/>
        </w:rPr>
        <w:t>S</w:t>
      </w:r>
      <w:r>
        <w:rPr>
          <w:lang w:eastAsia="en-AU"/>
        </w:rPr>
        <w:t>cheme</w:t>
      </w:r>
      <w:r w:rsidRPr="00D44526">
        <w:rPr>
          <w:lang w:eastAsia="en-AU"/>
        </w:rPr>
        <w:t>;</w:t>
      </w:r>
    </w:p>
    <w:p w:rsidR="00253B7C" w:rsidRPr="00FF4990" w:rsidRDefault="00253B7C" w:rsidP="00B96C73">
      <w:pPr>
        <w:numPr>
          <w:ilvl w:val="0"/>
          <w:numId w:val="18"/>
        </w:numPr>
        <w:rPr>
          <w:lang w:eastAsia="en-AU"/>
        </w:rPr>
      </w:pPr>
      <w:r w:rsidRPr="00FF4990">
        <w:rPr>
          <w:lang w:eastAsia="en-AU"/>
        </w:rPr>
        <w:t xml:space="preserve">energy efficiency service providers and associated trades </w:t>
      </w:r>
      <w:r w:rsidR="00B36A28" w:rsidRPr="00FF4990">
        <w:rPr>
          <w:lang w:eastAsia="en-AU"/>
        </w:rPr>
        <w:t>– the</w:t>
      </w:r>
      <w:r w:rsidR="00D6475A" w:rsidRPr="00A22A08">
        <w:rPr>
          <w:rFonts w:asciiTheme="minorHAnsi" w:hAnsiTheme="minorHAnsi" w:cs="Calibri"/>
          <w:lang w:eastAsia="en-AU"/>
        </w:rPr>
        <w:t xml:space="preserve"> distribution of benefits created in this sector may not be even, with some small businesses and trades benefiting more from the Scheme than others, depending on how suppliers participate in the market for these services. A clear net benefit for this sector will exist, however, as a result of the Scheme;</w:t>
      </w:r>
    </w:p>
    <w:p w:rsidR="00253B7C" w:rsidRPr="00C630BF" w:rsidRDefault="00253B7C" w:rsidP="00B96C73">
      <w:pPr>
        <w:numPr>
          <w:ilvl w:val="0"/>
          <w:numId w:val="18"/>
        </w:numPr>
        <w:rPr>
          <w:lang w:eastAsia="en-AU"/>
        </w:rPr>
      </w:pPr>
      <w:r w:rsidRPr="00C630BF">
        <w:rPr>
          <w:lang w:eastAsia="en-AU"/>
        </w:rPr>
        <w:t xml:space="preserve">Commonwealth Government – faces pass-through costs without a corresponding opportunity to benefit from the </w:t>
      </w:r>
      <w:r w:rsidR="00CE7BBC" w:rsidRPr="00C630BF">
        <w:rPr>
          <w:lang w:eastAsia="en-AU"/>
        </w:rPr>
        <w:t>S</w:t>
      </w:r>
      <w:r w:rsidRPr="00C630BF">
        <w:rPr>
          <w:lang w:eastAsia="en-AU"/>
        </w:rPr>
        <w:t>cheme; and</w:t>
      </w:r>
    </w:p>
    <w:p w:rsidR="00253B7C" w:rsidRPr="00C630BF" w:rsidRDefault="00253B7C" w:rsidP="00B96C73">
      <w:pPr>
        <w:numPr>
          <w:ilvl w:val="0"/>
          <w:numId w:val="18"/>
        </w:numPr>
        <w:rPr>
          <w:lang w:eastAsia="en-AU"/>
        </w:rPr>
      </w:pPr>
      <w:r w:rsidRPr="00C630BF">
        <w:rPr>
          <w:lang w:eastAsia="en-AU"/>
        </w:rPr>
        <w:t xml:space="preserve">ACT Government – faces pass-through costs without a corresponding opportunity to benefit from the </w:t>
      </w:r>
      <w:r w:rsidR="00CE7BBC" w:rsidRPr="00C630BF">
        <w:rPr>
          <w:lang w:eastAsia="en-AU"/>
        </w:rPr>
        <w:t>S</w:t>
      </w:r>
      <w:r w:rsidRPr="00C630BF">
        <w:rPr>
          <w:lang w:eastAsia="en-AU"/>
        </w:rPr>
        <w:t xml:space="preserve">cheme – administers the </w:t>
      </w:r>
      <w:r w:rsidR="00CE7BBC" w:rsidRPr="00C630BF">
        <w:rPr>
          <w:lang w:eastAsia="en-AU"/>
        </w:rPr>
        <w:t>S</w:t>
      </w:r>
      <w:r w:rsidRPr="00C630BF">
        <w:rPr>
          <w:lang w:eastAsia="en-AU"/>
        </w:rPr>
        <w:t>cheme.</w:t>
      </w:r>
    </w:p>
    <w:p w:rsidR="00473AF4" w:rsidRDefault="00253B7C" w:rsidP="00253B7C">
      <w:r w:rsidRPr="00D44526">
        <w:rPr>
          <w:lang w:eastAsia="en-AU"/>
        </w:rPr>
        <w:t>Given the constraints of the information available to inform this analysis, a</w:t>
      </w:r>
      <w:r w:rsidR="002C635D">
        <w:rPr>
          <w:lang w:eastAsia="en-AU"/>
        </w:rPr>
        <w:t xml:space="preserve">nd building on the </w:t>
      </w:r>
      <w:r w:rsidRPr="00D44526">
        <w:rPr>
          <w:lang w:eastAsia="en-AU"/>
        </w:rPr>
        <w:t xml:space="preserve">considerable work undertaken by other jurisdictions, </w:t>
      </w:r>
      <w:r w:rsidR="002C635D">
        <w:rPr>
          <w:lang w:eastAsia="en-AU"/>
        </w:rPr>
        <w:t xml:space="preserve">most notably Victoria, </w:t>
      </w:r>
      <w:r w:rsidRPr="00D44526">
        <w:rPr>
          <w:lang w:eastAsia="en-AU"/>
        </w:rPr>
        <w:t xml:space="preserve">the </w:t>
      </w:r>
      <w:r w:rsidR="00473AF4">
        <w:rPr>
          <w:lang w:eastAsia="en-AU"/>
        </w:rPr>
        <w:t xml:space="preserve">impact </w:t>
      </w:r>
      <w:r w:rsidRPr="00D44526">
        <w:rPr>
          <w:lang w:eastAsia="en-AU"/>
        </w:rPr>
        <w:t xml:space="preserve">analysis undertaken </w:t>
      </w:r>
      <w:r w:rsidR="00473AF4">
        <w:rPr>
          <w:lang w:eastAsia="en-AU"/>
        </w:rPr>
        <w:t>is</w:t>
      </w:r>
      <w:r w:rsidRPr="00D44526">
        <w:t xml:space="preserve"> limited to the broad impacts of the </w:t>
      </w:r>
      <w:r w:rsidR="00CE7BBC">
        <w:t>S</w:t>
      </w:r>
      <w:r w:rsidRPr="00D44526">
        <w:t xml:space="preserve">cheme – rather than on an individual stakeholder basis. </w:t>
      </w:r>
    </w:p>
    <w:p w:rsidR="00253B7C" w:rsidRDefault="00473AF4" w:rsidP="00253B7C">
      <w:r>
        <w:t>The</w:t>
      </w:r>
      <w:r w:rsidR="00253B7C" w:rsidRPr="00D44526">
        <w:t xml:space="preserve"> </w:t>
      </w:r>
      <w:r w:rsidR="00CE7BBC">
        <w:t>S</w:t>
      </w:r>
      <w:r w:rsidR="00253B7C" w:rsidRPr="00D44526">
        <w:t xml:space="preserve">cheme has been assessed based on its impact on </w:t>
      </w:r>
      <w:r w:rsidR="00253B7C">
        <w:t xml:space="preserve">electricity retail market </w:t>
      </w:r>
      <w:r w:rsidR="00253B7C" w:rsidRPr="00D44526">
        <w:t xml:space="preserve">competition, taking into consideration </w:t>
      </w:r>
      <w:r w:rsidR="00253B7C">
        <w:t xml:space="preserve">the ACT interest in developing competitive electricity </w:t>
      </w:r>
      <w:r w:rsidR="00253B7C" w:rsidRPr="00F512A2">
        <w:t xml:space="preserve">and gas retail markets (see </w:t>
      </w:r>
      <w:r w:rsidR="00B43B35">
        <w:fldChar w:fldCharType="begin"/>
      </w:r>
      <w:r w:rsidR="00B43B35">
        <w:instrText xml:space="preserve"> REF _Ref303847249 \h  \* MERGEFORMAT </w:instrText>
      </w:r>
      <w:r w:rsidR="00B43B35">
        <w:fldChar w:fldCharType="separate"/>
      </w:r>
      <w:r w:rsidR="00681D6A" w:rsidRPr="00681D6A">
        <w:rPr>
          <w:i/>
        </w:rPr>
        <w:t>Minimising impacts on competition</w:t>
      </w:r>
      <w:r w:rsidR="00B43B35">
        <w:fldChar w:fldCharType="end"/>
      </w:r>
      <w:r w:rsidR="00253B7C" w:rsidRPr="00F512A2">
        <w:t xml:space="preserve"> on page </w:t>
      </w:r>
      <w:r w:rsidR="00253B7C" w:rsidRPr="00F512A2">
        <w:fldChar w:fldCharType="begin"/>
      </w:r>
      <w:r w:rsidR="00253B7C" w:rsidRPr="00F512A2">
        <w:instrText xml:space="preserve"> PAGEREF _Ref303847252 \h </w:instrText>
      </w:r>
      <w:r w:rsidR="00253B7C" w:rsidRPr="00F512A2">
        <w:fldChar w:fldCharType="separate"/>
      </w:r>
      <w:r w:rsidR="00681D6A">
        <w:rPr>
          <w:noProof/>
        </w:rPr>
        <w:t>37</w:t>
      </w:r>
      <w:r w:rsidR="00253B7C" w:rsidRPr="00F512A2">
        <w:fldChar w:fldCharType="end"/>
      </w:r>
      <w:r w:rsidR="00253B7C" w:rsidRPr="00F512A2">
        <w:t xml:space="preserve">), </w:t>
      </w:r>
      <w:r w:rsidRPr="00F512A2">
        <w:t xml:space="preserve">and </w:t>
      </w:r>
      <w:r w:rsidR="00253B7C" w:rsidRPr="00F512A2">
        <w:t xml:space="preserve">the </w:t>
      </w:r>
      <w:r w:rsidR="00AD034B" w:rsidRPr="00F512A2">
        <w:t xml:space="preserve">costs </w:t>
      </w:r>
      <w:r w:rsidR="00CE7BBC" w:rsidRPr="00F512A2">
        <w:t>and</w:t>
      </w:r>
      <w:r w:rsidR="00AD034B" w:rsidRPr="00F512A2">
        <w:t xml:space="preserve"> benefits of the</w:t>
      </w:r>
      <w:r w:rsidR="00AD034B">
        <w:t xml:space="preserve"> </w:t>
      </w:r>
      <w:r w:rsidR="00CE7BBC">
        <w:t>S</w:t>
      </w:r>
      <w:r w:rsidR="00AD034B">
        <w:t xml:space="preserve">cheme </w:t>
      </w:r>
      <w:r>
        <w:t xml:space="preserve">to the broader ACT community </w:t>
      </w:r>
      <w:r w:rsidR="00AD034B">
        <w:t>in net present value (NPV) terms</w:t>
      </w:r>
      <w:r w:rsidR="00253B7C" w:rsidRPr="00D44526">
        <w:t>.</w:t>
      </w:r>
    </w:p>
    <w:p w:rsidR="001C1ED2" w:rsidRDefault="001C1ED2" w:rsidP="00D404FA">
      <w:pPr>
        <w:pStyle w:val="Heading2"/>
      </w:pPr>
      <w:bookmarkStart w:id="93" w:name="_Toc306808239"/>
      <w:r>
        <w:t>Background to scheme impact modelling</w:t>
      </w:r>
      <w:bookmarkEnd w:id="93"/>
    </w:p>
    <w:p w:rsidR="001C1ED2" w:rsidRDefault="00A013B6" w:rsidP="00EF24BD">
      <w:r>
        <w:t xml:space="preserve">The Scheme will operate by imposing an obligation </w:t>
      </w:r>
      <w:r w:rsidR="001C1ED2">
        <w:t>on electricity suppliers in the Territory to undertake energy savings activities</w:t>
      </w:r>
      <w:r w:rsidR="00FF4990">
        <w:t>,</w:t>
      </w:r>
      <w:r w:rsidR="001C1ED2">
        <w:t xml:space="preserve"> including low-income (priority group) households. The extent of the obligation will be established through targets which </w:t>
      </w:r>
      <w:r w:rsidR="00473AF4">
        <w:t>set</w:t>
      </w:r>
      <w:r w:rsidR="001C1ED2">
        <w:t xml:space="preserve"> the level of energy savings that are required each year, measured in tonnes of greenhouse gas emissions abatement. </w:t>
      </w:r>
    </w:p>
    <w:p w:rsidR="00636FCD" w:rsidRDefault="001C1ED2" w:rsidP="00EF24BD">
      <w:r>
        <w:t xml:space="preserve">The ability of suppliers to meet their targets will be determined by the scope of activities that are </w:t>
      </w:r>
      <w:r w:rsidRPr="00F512A2">
        <w:t xml:space="preserve">permitted under the </w:t>
      </w:r>
      <w:r w:rsidR="00CE7BBC" w:rsidRPr="00F512A2">
        <w:t>S</w:t>
      </w:r>
      <w:r w:rsidRPr="00F512A2">
        <w:t>cheme</w:t>
      </w:r>
      <w:r w:rsidR="00473AF4" w:rsidRPr="00F512A2">
        <w:t xml:space="preserve"> and their cost</w:t>
      </w:r>
      <w:r w:rsidRPr="00F512A2">
        <w:t>. In addition, penalt</w:t>
      </w:r>
      <w:r w:rsidR="00473AF4" w:rsidRPr="00F512A2">
        <w:t>ies</w:t>
      </w:r>
      <w:r w:rsidRPr="00F512A2">
        <w:t xml:space="preserve"> will apply for each tonne of abatement a supplier falls short of their target in a given year. This provides an underlying incentive for the suppliers to undertake activities that are cheaper tha</w:t>
      </w:r>
      <w:r w:rsidR="00CE7BBC" w:rsidRPr="00F512A2">
        <w:t>n</w:t>
      </w:r>
      <w:r w:rsidRPr="00F512A2">
        <w:t xml:space="preserve"> the penalty price</w:t>
      </w:r>
      <w:r w:rsidR="00CE7BBC" w:rsidRPr="00F512A2">
        <w:t xml:space="preserve"> on a dollars per tonne basis</w:t>
      </w:r>
      <w:r w:rsidRPr="00F512A2">
        <w:t>. If the target is set t</w:t>
      </w:r>
      <w:r w:rsidR="00CE7BBC" w:rsidRPr="00F512A2">
        <w:t>o</w:t>
      </w:r>
      <w:r w:rsidRPr="00F512A2">
        <w:t xml:space="preserve">o high and insufficient activities are allowed, or the cost of that activity is too great, the supplier will pay the penalty price and </w:t>
      </w:r>
      <w:r w:rsidR="00CE7BBC" w:rsidRPr="00F512A2">
        <w:t xml:space="preserve">the </w:t>
      </w:r>
      <w:r w:rsidR="00473AF4" w:rsidRPr="00F512A2">
        <w:t>actual</w:t>
      </w:r>
      <w:r w:rsidRPr="00F512A2">
        <w:t xml:space="preserve"> energy savings will </w:t>
      </w:r>
      <w:r w:rsidR="00473AF4" w:rsidRPr="00F512A2">
        <w:t>fall short of that targeted</w:t>
      </w:r>
      <w:r>
        <w:t>.</w:t>
      </w:r>
    </w:p>
    <w:p w:rsidR="001C1ED2" w:rsidRDefault="00CE7BBC" w:rsidP="00EF24BD">
      <w:r>
        <w:t>Therefore t</w:t>
      </w:r>
      <w:r w:rsidR="001C1ED2">
        <w:t>he penalty price, the target and the scope of eligible activities have an important relationship. Speci</w:t>
      </w:r>
      <w:r w:rsidR="00FF4990">
        <w:t>fic</w:t>
      </w:r>
      <w:r w:rsidR="001C1ED2">
        <w:t>ally, it is important that the target does not exceed the level of abatement that is achievable at or below the penalty price. Equally,</w:t>
      </w:r>
      <w:r w:rsidR="00473AF4">
        <w:t xml:space="preserve"> the penalty price should be decided on the basis of the specific outcomes sought, such as </w:t>
      </w:r>
      <w:r w:rsidR="001C1ED2">
        <w:t xml:space="preserve">a desired level of abatement </w:t>
      </w:r>
      <w:r w:rsidR="00473AF4">
        <w:t>or</w:t>
      </w:r>
      <w:r w:rsidR="001C1ED2">
        <w:t xml:space="preserve"> a cost savings or greenhouse gas reduction objective.</w:t>
      </w:r>
    </w:p>
    <w:p w:rsidR="00AD25D6" w:rsidRDefault="001C1ED2" w:rsidP="001C1ED2">
      <w:pPr>
        <w:tabs>
          <w:tab w:val="left" w:pos="2626"/>
        </w:tabs>
      </w:pPr>
      <w:r>
        <w:t>In setting the penalty</w:t>
      </w:r>
      <w:r w:rsidR="00AD25D6">
        <w:t xml:space="preserve"> price and targets for the ACT Scheme, the Government has undertaken comprehensive modelling similar to that undertaken for the VEET scheme. The modelling, undertaken by Energetics</w:t>
      </w:r>
      <w:r w:rsidR="00473AF4">
        <w:t xml:space="preserve"> Pty Ltd, builds on the </w:t>
      </w:r>
      <w:r w:rsidR="00CE7BBC">
        <w:t>p</w:t>
      </w:r>
      <w:r w:rsidR="00473AF4">
        <w:t>i</w:t>
      </w:r>
      <w:r w:rsidR="00CE7BBC">
        <w:t>t</w:t>
      </w:r>
      <w:r w:rsidR="00473AF4">
        <w:t>t&amp;</w:t>
      </w:r>
      <w:r w:rsidR="00CE7BBC">
        <w:t>s</w:t>
      </w:r>
      <w:r w:rsidR="00AD25D6">
        <w:t>herry baseline model for the ACT</w:t>
      </w:r>
      <w:r w:rsidR="00A65DB3">
        <w:t xml:space="preserve"> including</w:t>
      </w:r>
      <w:r w:rsidR="00AD25D6">
        <w:t xml:space="preserve"> in relation to:</w:t>
      </w:r>
    </w:p>
    <w:p w:rsidR="00AD25D6" w:rsidRDefault="00AD25D6" w:rsidP="00B96C73">
      <w:pPr>
        <w:pStyle w:val="ListParagraph"/>
        <w:numPr>
          <w:ilvl w:val="0"/>
          <w:numId w:val="26"/>
        </w:numPr>
        <w:tabs>
          <w:tab w:val="left" w:pos="2626"/>
        </w:tabs>
      </w:pPr>
      <w:r>
        <w:t>Stocks of energy using equipment</w:t>
      </w:r>
      <w:r w:rsidR="00A65DB3">
        <w:t>;</w:t>
      </w:r>
    </w:p>
    <w:p w:rsidR="00AD25D6" w:rsidRDefault="00AD25D6" w:rsidP="00B96C73">
      <w:pPr>
        <w:pStyle w:val="ListParagraph"/>
        <w:numPr>
          <w:ilvl w:val="0"/>
          <w:numId w:val="26"/>
        </w:numPr>
        <w:tabs>
          <w:tab w:val="left" w:pos="2626"/>
        </w:tabs>
      </w:pPr>
      <w:r>
        <w:t>Changes in the emission intensity of grid electricity</w:t>
      </w:r>
      <w:r w:rsidR="00473AF4">
        <w:t xml:space="preserve"> resulting from a national price on carbon</w:t>
      </w:r>
      <w:r w:rsidR="00A65DB3">
        <w:t>; and</w:t>
      </w:r>
    </w:p>
    <w:p w:rsidR="00EA1AAD" w:rsidRDefault="00473AF4" w:rsidP="00EA1AAD">
      <w:pPr>
        <w:pStyle w:val="ListParagraph"/>
        <w:numPr>
          <w:ilvl w:val="0"/>
          <w:numId w:val="26"/>
        </w:numPr>
        <w:tabs>
          <w:tab w:val="left" w:pos="2626"/>
        </w:tabs>
      </w:pPr>
      <w:r>
        <w:t>P</w:t>
      </w:r>
      <w:r w:rsidR="00A65DB3">
        <w:t>rojections for energy efficiency improvements across the Territory under business as usual conditions.</w:t>
      </w:r>
    </w:p>
    <w:p w:rsidR="007D4DCB" w:rsidRDefault="00A65DB3" w:rsidP="007D4DCB">
      <w:pPr>
        <w:tabs>
          <w:tab w:val="left" w:pos="2626"/>
        </w:tabs>
      </w:pPr>
      <w:r>
        <w:t>The set of eligible activities under the Scheme will be c</w:t>
      </w:r>
      <w:r w:rsidR="00473AF4">
        <w:t xml:space="preserve">onsistent with the VEET scheme and this will be added to over time. </w:t>
      </w:r>
      <w:r>
        <w:t>For each activity, technical and economic potentials were defined</w:t>
      </w:r>
      <w:r w:rsidR="00FF4990">
        <w:t>,</w:t>
      </w:r>
      <w:r>
        <w:t xml:space="preserve"> as were their costs, benefits and NPVs. Each measure was also defined in relation to the extent of </w:t>
      </w:r>
      <w:r w:rsidR="006C4209">
        <w:t xml:space="preserve">cash incentive </w:t>
      </w:r>
      <w:r>
        <w:t xml:space="preserve">required to trigger different levels of up-take. This was based on the cost-effectiveness of the activity as well as perceived </w:t>
      </w:r>
      <w:r w:rsidR="000E2B8C">
        <w:t xml:space="preserve">implementation </w:t>
      </w:r>
      <w:r>
        <w:t xml:space="preserve">complexity and risk. The result of this work was, in effect, the development of a cost-supply curve which allowed modelling of the extent of </w:t>
      </w:r>
      <w:r w:rsidR="006C4209">
        <w:t>cash incentive</w:t>
      </w:r>
      <w:r>
        <w:t xml:space="preserve"> to trigger different levels of abatement</w:t>
      </w:r>
      <w:r w:rsidR="00FF4990">
        <w:t>, with e</w:t>
      </w:r>
      <w:r>
        <w:t xml:space="preserve">ach unit of growth in the </w:t>
      </w:r>
      <w:r w:rsidR="006C4209">
        <w:t>cash incentive</w:t>
      </w:r>
      <w:r>
        <w:t xml:space="preserve"> price added to the stock of activities and associated net present costs or savings.</w:t>
      </w:r>
    </w:p>
    <w:p w:rsidR="007D4DCB" w:rsidRPr="007D4DCB" w:rsidRDefault="006C4209" w:rsidP="007D4DCB">
      <w:pPr>
        <w:tabs>
          <w:tab w:val="left" w:pos="2626"/>
        </w:tabs>
      </w:pPr>
      <w:r w:rsidRPr="00DE62DA">
        <w:t>Also taken into consideration</w:t>
      </w:r>
      <w:r w:rsidR="00DE62DA" w:rsidRPr="00DE62DA">
        <w:t xml:space="preserve"> is</w:t>
      </w:r>
      <w:r w:rsidRPr="00DE62DA">
        <w:t xml:space="preserve"> the potential increased difficulty of targeting priority households,</w:t>
      </w:r>
      <w:r w:rsidR="00DE62DA" w:rsidRPr="00DE62DA">
        <w:t xml:space="preserve"> with</w:t>
      </w:r>
      <w:r w:rsidRPr="00DE62DA">
        <w:t xml:space="preserve"> the cost to suppliers estimated at 150 per cent of normal costs. It is important to note that while this reflects the supplier making a greater contribution to the cost of an activity, this is offset by a reduction in household contributions. The net economic impact of the PHT is therefore assumed to be neutral.</w:t>
      </w:r>
    </w:p>
    <w:p w:rsidR="006C4209" w:rsidRDefault="00A65DB3" w:rsidP="006C4209">
      <w:pPr>
        <w:tabs>
          <w:tab w:val="left" w:pos="2626"/>
        </w:tabs>
      </w:pPr>
      <w:r>
        <w:t xml:space="preserve">By varying the </w:t>
      </w:r>
      <w:r w:rsidR="006C4209">
        <w:t>cash incentive rate</w:t>
      </w:r>
      <w:r>
        <w:t xml:space="preserve">, different scenarios were constructed that represent different levels of </w:t>
      </w:r>
      <w:r w:rsidR="000E2B8C">
        <w:t xml:space="preserve">activity under the </w:t>
      </w:r>
      <w:r w:rsidR="00FF4990">
        <w:t>S</w:t>
      </w:r>
      <w:r w:rsidR="000E2B8C">
        <w:t xml:space="preserve">cheme. From this, energy savings </w:t>
      </w:r>
      <w:r w:rsidR="000E2B8C" w:rsidRPr="000E2B8C">
        <w:t xml:space="preserve">targets for </w:t>
      </w:r>
      <w:r w:rsidR="006C4209">
        <w:t>different scenarios</w:t>
      </w:r>
      <w:r w:rsidR="000E2B8C" w:rsidRPr="000E2B8C">
        <w:t xml:space="preserve"> can be derived. </w:t>
      </w:r>
      <w:r w:rsidR="001F3CC9" w:rsidRPr="000E2B8C">
        <w:t xml:space="preserve">These scenarios are presented </w:t>
      </w:r>
      <w:r w:rsidR="006C4209">
        <w:t xml:space="preserve">in </w:t>
      </w:r>
      <w:r w:rsidR="00B43B35">
        <w:fldChar w:fldCharType="begin"/>
      </w:r>
      <w:r w:rsidR="00B43B35">
        <w:instrText xml:space="preserve"> REF _Ref303797723 \h  \* MERGEFORMAT </w:instrText>
      </w:r>
      <w:r w:rsidR="00B43B35">
        <w:fldChar w:fldCharType="separate"/>
      </w:r>
      <w:r w:rsidR="00681D6A" w:rsidRPr="00DE62DA">
        <w:t xml:space="preserve">Table </w:t>
      </w:r>
      <w:r w:rsidR="00681D6A">
        <w:t>6</w:t>
      </w:r>
      <w:r w:rsidR="00B43B35">
        <w:fldChar w:fldCharType="end"/>
      </w:r>
      <w:r w:rsidR="006C4209">
        <w:t xml:space="preserve"> </w:t>
      </w:r>
      <w:r w:rsidR="006C4209">
        <w:fldChar w:fldCharType="begin"/>
      </w:r>
      <w:r w:rsidR="006C4209">
        <w:instrText xml:space="preserve"> REF _Ref306793102 \p \h </w:instrText>
      </w:r>
      <w:r w:rsidR="006C4209">
        <w:fldChar w:fldCharType="separate"/>
      </w:r>
      <w:r w:rsidR="00681D6A">
        <w:t>below</w:t>
      </w:r>
      <w:r w:rsidR="006C4209">
        <w:fldChar w:fldCharType="end"/>
      </w:r>
      <w:r w:rsidR="00056625">
        <w:t>.</w:t>
      </w:r>
      <w:r w:rsidR="006C4209" w:rsidRPr="006C4209">
        <w:t xml:space="preserve"> </w:t>
      </w:r>
      <w:r w:rsidR="006C4209">
        <w:t xml:space="preserve">In this </w:t>
      </w:r>
      <w:r w:rsidR="006C4209" w:rsidRPr="00F512A2">
        <w:t>case the level of subsidy the supplier is willing to pay is, in theory, equal to the shortfall penalty minus administration costs.</w:t>
      </w:r>
      <w:r w:rsidR="006C4209" w:rsidRPr="006C4209">
        <w:t xml:space="preserve"> </w:t>
      </w:r>
    </w:p>
    <w:p w:rsidR="006A580C" w:rsidRPr="000E2B8C" w:rsidRDefault="006A580C" w:rsidP="006A580C">
      <w:pPr>
        <w:pStyle w:val="Heading3"/>
      </w:pPr>
      <w:r>
        <w:t xml:space="preserve">Energy </w:t>
      </w:r>
      <w:r w:rsidR="00F3260F">
        <w:t>costs savings assumptions</w:t>
      </w:r>
    </w:p>
    <w:p w:rsidR="006A580C" w:rsidRPr="00F3260F" w:rsidRDefault="006A580C" w:rsidP="00F3260F">
      <w:pPr>
        <w:tabs>
          <w:tab w:val="left" w:pos="2626"/>
        </w:tabs>
      </w:pPr>
      <w:r w:rsidRPr="00F3260F">
        <w:t xml:space="preserve">The modelling assumes that, for the purposes of determining the </w:t>
      </w:r>
      <w:r w:rsidR="00AB19E6">
        <w:t>S</w:t>
      </w:r>
      <w:r w:rsidRPr="00F3260F">
        <w:t xml:space="preserve">cheme benefits, annual electricity prices are static (and not impacted by </w:t>
      </w:r>
      <w:r w:rsidR="00AB19E6">
        <w:t>S</w:t>
      </w:r>
      <w:r w:rsidRPr="00F3260F">
        <w:t xml:space="preserve">cheme cost impacts). This has the effect of making the savings attributable to the </w:t>
      </w:r>
      <w:r w:rsidR="00AB19E6">
        <w:t>S</w:t>
      </w:r>
      <w:r w:rsidRPr="00F3260F">
        <w:t>cheme conservative.</w:t>
      </w:r>
    </w:p>
    <w:p w:rsidR="00CF4BBF" w:rsidRPr="00725431" w:rsidRDefault="006A580C" w:rsidP="00CF4BBF">
      <w:pPr>
        <w:tabs>
          <w:tab w:val="left" w:pos="2626"/>
        </w:tabs>
      </w:pPr>
      <w:r w:rsidRPr="00DE62DA">
        <w:t>E</w:t>
      </w:r>
      <w:r w:rsidR="00F3260F" w:rsidRPr="00DE62DA">
        <w:t xml:space="preserve">nergy </w:t>
      </w:r>
      <w:r w:rsidRPr="00DE62DA">
        <w:t xml:space="preserve">cost savings calculations in the </w:t>
      </w:r>
      <w:r w:rsidR="00AB19E6">
        <w:t>S</w:t>
      </w:r>
      <w:r w:rsidRPr="00DE62DA">
        <w:t>cheme</w:t>
      </w:r>
      <w:r w:rsidR="00F3260F" w:rsidRPr="00DE62DA">
        <w:t xml:space="preserve"> modelling</w:t>
      </w:r>
      <w:r w:rsidRPr="00DE62DA">
        <w:t xml:space="preserve"> do not assume any reduction or increase in distribution network charges across the economy resulting from the </w:t>
      </w:r>
      <w:r w:rsidR="00AB19E6">
        <w:t>S</w:t>
      </w:r>
      <w:r w:rsidRPr="00DE62DA">
        <w:t xml:space="preserve">cheme. This reflects that distribution network charges recover fixed capital costs that may not reduce as a result of reduced energy consumption. It is </w:t>
      </w:r>
      <w:r w:rsidR="00F3260F" w:rsidRPr="00DE62DA">
        <w:t xml:space="preserve">acknowledged </w:t>
      </w:r>
      <w:r w:rsidRPr="00DE62DA">
        <w:t xml:space="preserve">that any material reduction in total ACT electricity </w:t>
      </w:r>
      <w:r w:rsidR="00F3260F" w:rsidRPr="00DE62DA">
        <w:t xml:space="preserve">or gas </w:t>
      </w:r>
      <w:r w:rsidRPr="00DE62DA">
        <w:t xml:space="preserve">consumption would result in a proportional reduction in revenue to ActewAGL Distribution. This may impact future AER distribution price determinations beyond 2013-14 and also trigger a review of the </w:t>
      </w:r>
      <w:r w:rsidRPr="00725431">
        <w:t xml:space="preserve">current price determination. Neither of these outcomes would adversely impact </w:t>
      </w:r>
      <w:r w:rsidR="00F3260F" w:rsidRPr="00725431">
        <w:t>costs attributable to the Scheme</w:t>
      </w:r>
      <w:r w:rsidR="00CF4BBF" w:rsidRPr="00725431">
        <w:t>.</w:t>
      </w:r>
    </w:p>
    <w:p w:rsidR="006A580C" w:rsidRPr="00725431" w:rsidRDefault="00233C3B" w:rsidP="006C4209">
      <w:pPr>
        <w:tabs>
          <w:tab w:val="left" w:pos="2626"/>
        </w:tabs>
      </w:pPr>
      <w:r w:rsidRPr="00725431">
        <w:t xml:space="preserve">For financial year </w:t>
      </w:r>
      <w:r w:rsidR="00CF4BBF" w:rsidRPr="00725431">
        <w:t xml:space="preserve">2012/2013 onwards a carbon cost is applied. Impacts are based on a mid-range estimated cost per tonne of CO2 emissions and multiplied by the published state-specific Scope 2 and Scope 3 emissions factor for electricity generation (which varies by year based on Energetics estimates), or the Scope 1 emissions factors for natural gas (which have been kept constant over time). In line with </w:t>
      </w:r>
      <w:r w:rsidR="00725431" w:rsidRPr="00725431">
        <w:t xml:space="preserve">Commonwealth </w:t>
      </w:r>
      <w:r w:rsidR="00CF4BBF" w:rsidRPr="00725431">
        <w:t>Treasury modelling, it is expected that only 85% of carbon costs are passed through to electricity prices</w:t>
      </w:r>
      <w:r w:rsidR="00725431" w:rsidRPr="00725431">
        <w:t xml:space="preserve"> due to the operation of wholesale energy markets</w:t>
      </w:r>
      <w:r w:rsidR="00CF4BBF" w:rsidRPr="00725431">
        <w:t>. This factor is kept constant through the duration of the forecast.</w:t>
      </w:r>
    </w:p>
    <w:p w:rsidR="000E2B8C" w:rsidRPr="00725431" w:rsidRDefault="000E2B8C" w:rsidP="004F7A03">
      <w:pPr>
        <w:pStyle w:val="Heading3"/>
      </w:pPr>
      <w:bookmarkStart w:id="94" w:name="_Ref303930396"/>
      <w:r w:rsidRPr="00725431">
        <w:t xml:space="preserve">Discounting of costs and benefits due to </w:t>
      </w:r>
      <w:r w:rsidR="00C377FA" w:rsidRPr="00725431">
        <w:t>the Energy Savings Contribution mechanism</w:t>
      </w:r>
      <w:bookmarkEnd w:id="94"/>
    </w:p>
    <w:p w:rsidR="000E2B8C" w:rsidRPr="000E2B8C" w:rsidRDefault="000E2B8C" w:rsidP="001C1ED2">
      <w:pPr>
        <w:tabs>
          <w:tab w:val="left" w:pos="2626"/>
        </w:tabs>
      </w:pPr>
      <w:r w:rsidRPr="00725431">
        <w:t xml:space="preserve">As described in previous sections, the Scheme does not require all </w:t>
      </w:r>
      <w:r w:rsidR="00FF666F" w:rsidRPr="00725431">
        <w:t>suppli</w:t>
      </w:r>
      <w:r w:rsidRPr="00725431">
        <w:t>ers to participate in energy savings activities. It recognise</w:t>
      </w:r>
      <w:r w:rsidR="00C377FA" w:rsidRPr="00725431">
        <w:t>s</w:t>
      </w:r>
      <w:r w:rsidRPr="00725431">
        <w:t xml:space="preserve"> that Tier 2 suppliers (with less than</w:t>
      </w:r>
      <w:r w:rsidRPr="000E2B8C">
        <w:t xml:space="preserve"> 500,000</w:t>
      </w:r>
      <w:r w:rsidR="000E6646">
        <w:t>MWh</w:t>
      </w:r>
      <w:r w:rsidRPr="000E2B8C">
        <w:t xml:space="preserve"> sales per annum</w:t>
      </w:r>
      <w:r>
        <w:t>)</w:t>
      </w:r>
      <w:r w:rsidRPr="000E2B8C">
        <w:t xml:space="preserve"> may face </w:t>
      </w:r>
      <w:r w:rsidR="009F52D4">
        <w:t xml:space="preserve">unreasonably </w:t>
      </w:r>
      <w:r w:rsidRPr="000E2B8C">
        <w:t>high overhead</w:t>
      </w:r>
      <w:r w:rsidR="009F52D4">
        <w:t xml:space="preserve"> costs</w:t>
      </w:r>
      <w:r w:rsidRPr="000E2B8C">
        <w:t xml:space="preserve"> in establishing energy saving </w:t>
      </w:r>
      <w:r w:rsidR="006C4209">
        <w:t>service delivery capacity</w:t>
      </w:r>
      <w:r w:rsidRPr="000E2B8C">
        <w:t xml:space="preserve"> in the ACT. </w:t>
      </w:r>
      <w:r>
        <w:t xml:space="preserve">Under the </w:t>
      </w:r>
      <w:r w:rsidR="00CE7BBC">
        <w:t>S</w:t>
      </w:r>
      <w:r>
        <w:t>cheme these suppliers can discharge their obligation through a simplified process – an</w:t>
      </w:r>
      <w:r w:rsidR="009F52D4">
        <w:t xml:space="preserve"> </w:t>
      </w:r>
      <w:r>
        <w:t>Energy Savings Contribution</w:t>
      </w:r>
      <w:r w:rsidR="009F52D4">
        <w:t xml:space="preserve"> payment</w:t>
      </w:r>
      <w:r>
        <w:t xml:space="preserve">. </w:t>
      </w:r>
      <w:r w:rsidR="008A42EA">
        <w:t>ESDD</w:t>
      </w:r>
      <w:r>
        <w:t xml:space="preserve"> has </w:t>
      </w:r>
      <w:r w:rsidR="009F52D4">
        <w:t xml:space="preserve">determined </w:t>
      </w:r>
      <w:r>
        <w:t xml:space="preserve">that </w:t>
      </w:r>
      <w:r w:rsidR="00C377FA">
        <w:t>up to</w:t>
      </w:r>
      <w:r w:rsidR="009F52D4">
        <w:t xml:space="preserve"> </w:t>
      </w:r>
      <w:r>
        <w:t xml:space="preserve">15 per cent of the </w:t>
      </w:r>
      <w:r w:rsidR="00CE7BBC">
        <w:t>S</w:t>
      </w:r>
      <w:r>
        <w:t xml:space="preserve">cheme targets </w:t>
      </w:r>
      <w:r w:rsidR="006C4209">
        <w:t>is</w:t>
      </w:r>
      <w:r w:rsidR="009F52D4">
        <w:t xml:space="preserve"> likely to</w:t>
      </w:r>
      <w:r>
        <w:t xml:space="preserve"> be discharged in this manner and therefore</w:t>
      </w:r>
      <w:r w:rsidR="009F52D4">
        <w:t xml:space="preserve"> it is appropriate that </w:t>
      </w:r>
      <w:r>
        <w:t xml:space="preserve">the costs and </w:t>
      </w:r>
      <w:r w:rsidR="008B4F48">
        <w:t xml:space="preserve">benefits of the </w:t>
      </w:r>
      <w:r w:rsidR="00056625">
        <w:t>S</w:t>
      </w:r>
      <w:r w:rsidR="008B4F48">
        <w:t>cheme be</w:t>
      </w:r>
      <w:r>
        <w:t xml:space="preserve"> discounted accordingly. This discounting does not apply to the calculation of pass-through costs</w:t>
      </w:r>
      <w:r w:rsidR="008A42EA">
        <w:t>,</w:t>
      </w:r>
      <w:r>
        <w:t xml:space="preserve"> which will occur regardless of the manner in which the supplier chooses to discharge their obligation.</w:t>
      </w:r>
    </w:p>
    <w:p w:rsidR="001F3CC9" w:rsidRDefault="001F3CC9" w:rsidP="00D404FA">
      <w:pPr>
        <w:pStyle w:val="Heading2"/>
      </w:pPr>
      <w:bookmarkStart w:id="95" w:name="_Ref303839344"/>
      <w:bookmarkStart w:id="96" w:name="_Toc306808240"/>
      <w:bookmarkStart w:id="97" w:name="_Ref303797638"/>
      <w:bookmarkStart w:id="98" w:name="_Ref303797643"/>
      <w:r>
        <w:t xml:space="preserve">Modelling results – </w:t>
      </w:r>
      <w:r w:rsidR="008B4F48">
        <w:t xml:space="preserve">marginal costs </w:t>
      </w:r>
      <w:r w:rsidR="00671649">
        <w:t xml:space="preserve">and </w:t>
      </w:r>
      <w:r>
        <w:t>target scenarios</w:t>
      </w:r>
      <w:bookmarkEnd w:id="95"/>
      <w:bookmarkEnd w:id="96"/>
    </w:p>
    <w:p w:rsidR="00056625" w:rsidRPr="00DE62DA" w:rsidRDefault="00B43B35" w:rsidP="001F3CC9">
      <w:r>
        <w:fldChar w:fldCharType="begin"/>
      </w:r>
      <w:r>
        <w:instrText xml:space="preserve"> REF _Ref303797723 \h  \* MERGEFORMAT </w:instrText>
      </w:r>
      <w:r>
        <w:fldChar w:fldCharType="separate"/>
      </w:r>
      <w:r w:rsidR="00681D6A" w:rsidRPr="00DE62DA">
        <w:t xml:space="preserve">Table </w:t>
      </w:r>
      <w:r w:rsidR="00681D6A">
        <w:t>6</w:t>
      </w:r>
      <w:r>
        <w:fldChar w:fldCharType="end"/>
      </w:r>
      <w:r w:rsidR="001F3CC9" w:rsidRPr="00DE62DA">
        <w:t xml:space="preserve"> provides a summary of the range of targets modelled. Each scenario was created by varying the </w:t>
      </w:r>
      <w:r w:rsidR="006C4209" w:rsidRPr="00DE62DA">
        <w:t>maximum cash incentive</w:t>
      </w:r>
      <w:r w:rsidR="008B4F48" w:rsidRPr="00DE62DA">
        <w:t xml:space="preserve"> rate </w:t>
      </w:r>
      <w:r w:rsidR="006C4209" w:rsidRPr="00DE62DA">
        <w:t>a supplier would pay to trigger a level of abatement</w:t>
      </w:r>
      <w:r w:rsidR="001F3CC9" w:rsidRPr="00DE62DA">
        <w:t xml:space="preserve">, and </w:t>
      </w:r>
      <w:r w:rsidR="008B4F48" w:rsidRPr="00DE62DA">
        <w:t xml:space="preserve">therefore </w:t>
      </w:r>
      <w:r w:rsidR="001F3CC9" w:rsidRPr="00DE62DA">
        <w:t xml:space="preserve">the overall level of uptake of initiatives under the </w:t>
      </w:r>
      <w:r w:rsidR="008A42EA">
        <w:t>S</w:t>
      </w:r>
      <w:r w:rsidR="001F3CC9" w:rsidRPr="00DE62DA">
        <w:t>cheme</w:t>
      </w:r>
      <w:r w:rsidR="00F53171" w:rsidRPr="00DE62DA">
        <w:t xml:space="preserve"> over a 3 year </w:t>
      </w:r>
      <w:r w:rsidR="008A42EA">
        <w:t>S</w:t>
      </w:r>
      <w:r w:rsidR="00F53171" w:rsidRPr="00DE62DA">
        <w:t>cheme period</w:t>
      </w:r>
      <w:r w:rsidR="001F3CC9" w:rsidRPr="00DE62DA">
        <w:t>.</w:t>
      </w:r>
      <w:r w:rsidR="00F53171" w:rsidRPr="00DE62DA">
        <w:t xml:space="preserve"> </w:t>
      </w:r>
      <w:r w:rsidR="008B4F48" w:rsidRPr="00DE62DA">
        <w:t>An administration (transaction) cost rate of 1</w:t>
      </w:r>
      <w:r w:rsidR="00C377FA" w:rsidRPr="00DE62DA">
        <w:t>0</w:t>
      </w:r>
      <w:r w:rsidR="00056625" w:rsidRPr="00DE62DA">
        <w:t> per cent</w:t>
      </w:r>
      <w:r w:rsidR="00C377FA" w:rsidRPr="00DE62DA">
        <w:t xml:space="preserve"> is assumed</w:t>
      </w:r>
      <w:r w:rsidR="008A42EA">
        <w:t>,</w:t>
      </w:r>
      <w:r w:rsidR="00C377FA" w:rsidRPr="00DE62DA">
        <w:t xml:space="preserve"> which results in </w:t>
      </w:r>
      <w:r w:rsidR="008B4F48" w:rsidRPr="00DE62DA">
        <w:t xml:space="preserve">the level of incentive </w:t>
      </w:r>
      <w:r w:rsidR="00C377FA" w:rsidRPr="00DE62DA">
        <w:t xml:space="preserve">provided to households </w:t>
      </w:r>
      <w:r w:rsidR="008B4F48" w:rsidRPr="00DE62DA">
        <w:t>being less than the f</w:t>
      </w:r>
      <w:r w:rsidR="00C377FA" w:rsidRPr="00DE62DA">
        <w:t>u</w:t>
      </w:r>
      <w:r w:rsidR="008B4F48" w:rsidRPr="00DE62DA">
        <w:t>ll cost</w:t>
      </w:r>
      <w:r w:rsidR="00C377FA" w:rsidRPr="00DE62DA">
        <w:t xml:space="preserve"> to suppliers</w:t>
      </w:r>
      <w:r w:rsidR="008B4F48" w:rsidRPr="00DE62DA">
        <w:t>.</w:t>
      </w:r>
      <w:r w:rsidR="00786385" w:rsidRPr="00DE62DA">
        <w:t xml:space="preserve"> </w:t>
      </w:r>
      <w:r w:rsidR="00786385" w:rsidRPr="00DE62DA">
        <w:rPr>
          <w:rFonts w:asciiTheme="minorHAnsi" w:hAnsiTheme="minorHAnsi" w:cs="Calibri"/>
        </w:rPr>
        <w:t>This is consistent with modelling and experiences in comparable jurisdictional schemes.</w:t>
      </w:r>
    </w:p>
    <w:p w:rsidR="00056625" w:rsidRPr="00DE62DA" w:rsidRDefault="00056625" w:rsidP="00786385">
      <w:pPr>
        <w:tabs>
          <w:tab w:val="left" w:pos="2626"/>
        </w:tabs>
      </w:pPr>
      <w:r w:rsidRPr="00DE62DA">
        <w:t xml:space="preserve">Further information of the modelling approach taken is provided at </w:t>
      </w:r>
      <w:r w:rsidR="00B43B35">
        <w:fldChar w:fldCharType="begin"/>
      </w:r>
      <w:r w:rsidR="00B43B35">
        <w:instrText xml:space="preserve"> REF _Ref303796675 \h  \* MERGEFORMAT </w:instrText>
      </w:r>
      <w:r w:rsidR="00B43B35">
        <w:fldChar w:fldCharType="separate"/>
      </w:r>
      <w:r w:rsidR="00681D6A" w:rsidRPr="00681D6A">
        <w:rPr>
          <w:i/>
        </w:rPr>
        <w:t>Appendix B – Summary of Modelling Approach</w:t>
      </w:r>
      <w:r w:rsidR="00B43B35">
        <w:fldChar w:fldCharType="end"/>
      </w:r>
      <w:r w:rsidRPr="00DE62DA">
        <w:t xml:space="preserve"> from page </w:t>
      </w:r>
      <w:r w:rsidRPr="00DE62DA">
        <w:fldChar w:fldCharType="begin"/>
      </w:r>
      <w:r w:rsidRPr="00DE62DA">
        <w:instrText xml:space="preserve"> PAGEREF _Ref303796670 \h </w:instrText>
      </w:r>
      <w:r w:rsidRPr="00DE62DA">
        <w:fldChar w:fldCharType="separate"/>
      </w:r>
      <w:r w:rsidR="00681D6A">
        <w:rPr>
          <w:noProof/>
        </w:rPr>
        <w:t>64</w:t>
      </w:r>
      <w:r w:rsidRPr="00DE62DA">
        <w:fldChar w:fldCharType="end"/>
      </w:r>
      <w:r w:rsidRPr="00DE62DA">
        <w:t>.</w:t>
      </w:r>
    </w:p>
    <w:p w:rsidR="001F3CC9" w:rsidRDefault="001F3CC9" w:rsidP="00DE62DA">
      <w:pPr>
        <w:pStyle w:val="Caption"/>
        <w:keepNext/>
      </w:pPr>
      <w:bookmarkStart w:id="99" w:name="_Ref303797723"/>
      <w:bookmarkStart w:id="100" w:name="_Ref306793102"/>
      <w:r w:rsidRPr="00DE62DA">
        <w:t xml:space="preserve">Table </w:t>
      </w:r>
      <w:r w:rsidR="006F5BB0">
        <w:rPr>
          <w:noProof/>
        </w:rPr>
        <w:fldChar w:fldCharType="begin"/>
      </w:r>
      <w:r w:rsidR="006F5BB0">
        <w:rPr>
          <w:noProof/>
        </w:rPr>
        <w:instrText xml:space="preserve"> SEQ Table \* ARABIC </w:instrText>
      </w:r>
      <w:r w:rsidR="006F5BB0">
        <w:rPr>
          <w:noProof/>
        </w:rPr>
        <w:fldChar w:fldCharType="separate"/>
      </w:r>
      <w:r w:rsidR="00681D6A">
        <w:rPr>
          <w:noProof/>
        </w:rPr>
        <w:t>6</w:t>
      </w:r>
      <w:r w:rsidR="006F5BB0">
        <w:rPr>
          <w:noProof/>
        </w:rPr>
        <w:fldChar w:fldCharType="end"/>
      </w:r>
      <w:bookmarkEnd w:id="97"/>
      <w:bookmarkEnd w:id="99"/>
      <w:r w:rsidRPr="00DE62DA">
        <w:t>: Scenarios modelled</w:t>
      </w:r>
      <w:bookmarkEnd w:id="98"/>
      <w:r w:rsidR="00C377FA" w:rsidRPr="00DE62DA">
        <w:t xml:space="preserve"> including marginal cost, NPV, lifetime abatement and cost of abatement</w:t>
      </w:r>
      <w:bookmarkEnd w:id="100"/>
    </w:p>
    <w:tbl>
      <w:tblPr>
        <w:tblW w:w="9089" w:type="dxa"/>
        <w:tblInd w:w="91" w:type="dxa"/>
        <w:tblLayout w:type="fixed"/>
        <w:tblLook w:val="04A0" w:firstRow="1" w:lastRow="0" w:firstColumn="1" w:lastColumn="0" w:noHBand="0" w:noVBand="1"/>
      </w:tblPr>
      <w:tblGrid>
        <w:gridCol w:w="1010"/>
        <w:gridCol w:w="1594"/>
        <w:gridCol w:w="1595"/>
        <w:gridCol w:w="1594"/>
        <w:gridCol w:w="1595"/>
        <w:gridCol w:w="1701"/>
      </w:tblGrid>
      <w:tr w:rsidR="00786385" w:rsidRPr="00786385" w:rsidTr="00786385">
        <w:trPr>
          <w:trHeight w:val="1155"/>
        </w:trPr>
        <w:tc>
          <w:tcPr>
            <w:tcW w:w="1010" w:type="dxa"/>
            <w:tcBorders>
              <w:top w:val="single" w:sz="4" w:space="0" w:color="auto"/>
              <w:left w:val="single" w:sz="4" w:space="0" w:color="auto"/>
              <w:bottom w:val="single" w:sz="4" w:space="0" w:color="auto"/>
              <w:right w:val="single" w:sz="4" w:space="0" w:color="auto"/>
            </w:tcBorders>
            <w:hideMark/>
          </w:tcPr>
          <w:p w:rsidR="00786385" w:rsidRPr="00786385" w:rsidRDefault="0078638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Scenario</w:t>
            </w:r>
          </w:p>
        </w:tc>
        <w:tc>
          <w:tcPr>
            <w:tcW w:w="1594" w:type="dxa"/>
            <w:tcBorders>
              <w:top w:val="single" w:sz="4" w:space="0" w:color="auto"/>
              <w:left w:val="nil"/>
              <w:bottom w:val="single" w:sz="4" w:space="0" w:color="auto"/>
              <w:right w:val="single" w:sz="4" w:space="0" w:color="auto"/>
            </w:tcBorders>
            <w:hideMark/>
          </w:tcPr>
          <w:p w:rsidR="00786385" w:rsidRPr="00786385" w:rsidRDefault="0078638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Incentive price cap</w:t>
            </w:r>
            <w:r w:rsidRPr="00786385">
              <w:rPr>
                <w:rFonts w:asciiTheme="minorHAnsi" w:hAnsiTheme="minorHAnsi" w:cs="Calibri"/>
                <w:sz w:val="20"/>
                <w:szCs w:val="20"/>
                <w:lang w:eastAsia="en-AU"/>
              </w:rPr>
              <w:br/>
              <w:t>($/tCO2-e)</w:t>
            </w:r>
          </w:p>
        </w:tc>
        <w:tc>
          <w:tcPr>
            <w:tcW w:w="1595" w:type="dxa"/>
            <w:tcBorders>
              <w:top w:val="single" w:sz="4" w:space="0" w:color="auto"/>
              <w:left w:val="nil"/>
              <w:bottom w:val="single" w:sz="4" w:space="0" w:color="auto"/>
              <w:right w:val="single" w:sz="4" w:space="0" w:color="auto"/>
            </w:tcBorders>
            <w:hideMark/>
          </w:tcPr>
          <w:p w:rsidR="00786385" w:rsidRPr="00786385" w:rsidRDefault="0078638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NPV</w:t>
            </w:r>
            <w:r w:rsidRPr="00786385">
              <w:rPr>
                <w:rFonts w:asciiTheme="minorHAnsi" w:hAnsiTheme="minorHAnsi" w:cs="Calibri"/>
                <w:sz w:val="20"/>
                <w:szCs w:val="20"/>
                <w:vertAlign w:val="superscript"/>
                <w:lang w:eastAsia="en-AU"/>
              </w:rPr>
              <w:t>1</w:t>
            </w:r>
            <w:r w:rsidRPr="00786385">
              <w:rPr>
                <w:rFonts w:asciiTheme="minorHAnsi" w:hAnsiTheme="minorHAnsi" w:cs="Calibri"/>
                <w:sz w:val="20"/>
                <w:szCs w:val="20"/>
                <w:lang w:eastAsia="en-AU"/>
              </w:rPr>
              <w:br/>
              <w:t>($M)</w:t>
            </w:r>
          </w:p>
        </w:tc>
        <w:tc>
          <w:tcPr>
            <w:tcW w:w="1594" w:type="dxa"/>
            <w:tcBorders>
              <w:top w:val="single" w:sz="4" w:space="0" w:color="auto"/>
              <w:left w:val="nil"/>
              <w:bottom w:val="single" w:sz="4" w:space="0" w:color="auto"/>
              <w:right w:val="single" w:sz="4" w:space="0" w:color="auto"/>
            </w:tcBorders>
            <w:hideMark/>
          </w:tcPr>
          <w:p w:rsidR="00786385" w:rsidRPr="00786385" w:rsidRDefault="0078638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Total lifetime abatement</w:t>
            </w:r>
            <w:r w:rsidRPr="00786385">
              <w:rPr>
                <w:rFonts w:asciiTheme="minorHAnsi" w:hAnsiTheme="minorHAnsi" w:cs="Calibri"/>
                <w:sz w:val="20"/>
                <w:szCs w:val="20"/>
                <w:lang w:eastAsia="en-AU"/>
              </w:rPr>
              <w:br/>
              <w:t>(ktCO2-e)</w:t>
            </w:r>
          </w:p>
        </w:tc>
        <w:tc>
          <w:tcPr>
            <w:tcW w:w="1595" w:type="dxa"/>
            <w:tcBorders>
              <w:top w:val="single" w:sz="4" w:space="0" w:color="auto"/>
              <w:left w:val="nil"/>
              <w:bottom w:val="single" w:sz="4" w:space="0" w:color="auto"/>
              <w:right w:val="single" w:sz="4" w:space="0" w:color="auto"/>
            </w:tcBorders>
            <w:hideMark/>
          </w:tcPr>
          <w:p w:rsidR="00786385" w:rsidRPr="00786385" w:rsidRDefault="0078638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Lifetime Total Bill Savings</w:t>
            </w:r>
            <w:r w:rsidRPr="00786385">
              <w:rPr>
                <w:rFonts w:asciiTheme="minorHAnsi" w:hAnsiTheme="minorHAnsi" w:cs="Calibri"/>
                <w:sz w:val="20"/>
                <w:szCs w:val="20"/>
                <w:vertAlign w:val="superscript"/>
                <w:lang w:eastAsia="en-AU"/>
              </w:rPr>
              <w:t>2</w:t>
            </w:r>
            <w:r w:rsidRPr="00786385">
              <w:rPr>
                <w:rFonts w:asciiTheme="minorHAnsi" w:hAnsiTheme="minorHAnsi" w:cs="Calibri"/>
                <w:sz w:val="20"/>
                <w:szCs w:val="20"/>
                <w:lang w:eastAsia="en-AU"/>
              </w:rPr>
              <w:br/>
              <w:t>($M)</w:t>
            </w:r>
          </w:p>
        </w:tc>
        <w:tc>
          <w:tcPr>
            <w:tcW w:w="1701" w:type="dxa"/>
            <w:tcBorders>
              <w:top w:val="single" w:sz="4" w:space="0" w:color="auto"/>
              <w:left w:val="nil"/>
              <w:bottom w:val="single" w:sz="4" w:space="0" w:color="auto"/>
              <w:right w:val="single" w:sz="4" w:space="0" w:color="auto"/>
            </w:tcBorders>
            <w:hideMark/>
          </w:tcPr>
          <w:p w:rsidR="00786385" w:rsidRPr="00786385" w:rsidRDefault="0078638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Scheme household price impact 2012-2015</w:t>
            </w:r>
            <w:r w:rsidRPr="00786385">
              <w:rPr>
                <w:rFonts w:asciiTheme="minorHAnsi" w:hAnsiTheme="minorHAnsi" w:cs="Calibri"/>
                <w:sz w:val="20"/>
                <w:szCs w:val="20"/>
                <w:vertAlign w:val="superscript"/>
                <w:lang w:eastAsia="en-AU"/>
              </w:rPr>
              <w:t>2</w:t>
            </w:r>
            <w:r w:rsidRPr="00786385">
              <w:rPr>
                <w:rFonts w:asciiTheme="minorHAnsi" w:hAnsiTheme="minorHAnsi" w:cs="Calibri"/>
                <w:sz w:val="20"/>
                <w:szCs w:val="20"/>
                <w:lang w:eastAsia="en-AU"/>
              </w:rPr>
              <w:br/>
              <w:t>($)</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A</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$0.0</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0</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$0.0</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$0</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B</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color w:val="FF0000"/>
                <w:sz w:val="20"/>
                <w:szCs w:val="20"/>
                <w:lang w:eastAsia="en-AU"/>
              </w:rPr>
            </w:pPr>
            <w:r w:rsidRPr="00786385">
              <w:rPr>
                <w:rFonts w:asciiTheme="minorHAnsi" w:hAnsiTheme="minorHAnsi" w:cs="Calibri"/>
                <w:color w:val="FF0000"/>
                <w:sz w:val="20"/>
                <w:szCs w:val="20"/>
                <w:lang w:eastAsia="en-AU"/>
              </w:rPr>
              <w:t>-$0.1</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51</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$8.8</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C</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$20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$12.6</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323</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$94.2</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$16</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D</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$30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$23.9</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514</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$156.9</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$32</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E</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$40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$39.6</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751</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$300.8</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$58</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F</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$50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$40.2</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778</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$312.0</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$67</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G</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$60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$40.0</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872</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$358.0</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$86</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H</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$70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$39.0</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941</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$381.0</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$104</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I</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$80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$37.4</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986</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$396.2</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$121</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J</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$90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$36.9</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1026</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$419.9</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$136</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K</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$100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$36.2</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1034</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$422.4</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$144</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L</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$110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$34.8</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1052</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$428.0</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$155</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M</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$120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$33.4</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1085</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$443.8</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$173</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N</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$130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$33.1</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1098</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$450.4</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$184</w:t>
            </w:r>
          </w:p>
        </w:tc>
      </w:tr>
      <w:tr w:rsidR="00AD3015" w:rsidRPr="00786385" w:rsidTr="00786385">
        <w:trPr>
          <w:trHeight w:val="225"/>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O</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$140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$32.4</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1104</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$452.3</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$193</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P</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$150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$31.6</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1112</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$455.4</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$199</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Q</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$200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$22.4</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1153</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$469.3</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$230</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R</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$300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$6.5</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1208</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$488.2</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$293</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S</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$400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color w:val="FF0000"/>
                <w:sz w:val="20"/>
                <w:szCs w:val="20"/>
                <w:lang w:eastAsia="en-AU"/>
              </w:rPr>
            </w:pPr>
            <w:r w:rsidRPr="00786385">
              <w:rPr>
                <w:rFonts w:asciiTheme="minorHAnsi" w:hAnsiTheme="minorHAnsi" w:cs="Calibri"/>
                <w:color w:val="FF0000"/>
                <w:sz w:val="20"/>
                <w:szCs w:val="20"/>
                <w:lang w:eastAsia="en-AU"/>
              </w:rPr>
              <w:t>-$3.4</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1238</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$497.7</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$351</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A22A08" w:rsidRDefault="00A22A08" w:rsidP="00DE62DA">
            <w:pPr>
              <w:keepNext/>
              <w:spacing w:before="0" w:after="0" w:line="240" w:lineRule="auto"/>
              <w:jc w:val="center"/>
              <w:rPr>
                <w:rFonts w:asciiTheme="minorHAnsi" w:hAnsiTheme="minorHAnsi" w:cs="Calibri"/>
                <w:sz w:val="20"/>
                <w:szCs w:val="20"/>
                <w:lang w:eastAsia="en-AU"/>
              </w:rPr>
            </w:pPr>
            <w:r w:rsidRPr="00A22A08">
              <w:rPr>
                <w:rFonts w:asciiTheme="minorHAnsi" w:hAnsiTheme="minorHAnsi" w:cs="Calibri"/>
                <w:sz w:val="20"/>
                <w:szCs w:val="20"/>
                <w:lang w:eastAsia="en-AU"/>
              </w:rPr>
              <w:t>T</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$500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color w:val="FF0000"/>
                <w:sz w:val="20"/>
                <w:szCs w:val="20"/>
                <w:lang w:eastAsia="en-AU"/>
              </w:rPr>
            </w:pPr>
            <w:r w:rsidRPr="00786385">
              <w:rPr>
                <w:rFonts w:asciiTheme="minorHAnsi" w:hAnsiTheme="minorHAnsi" w:cs="Calibri"/>
                <w:color w:val="FF0000"/>
                <w:sz w:val="20"/>
                <w:szCs w:val="20"/>
                <w:lang w:eastAsia="en-AU"/>
              </w:rPr>
              <w:t>-$7.7</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1250</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$501.8</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$381</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A22A08" w:rsidRDefault="00A22A08" w:rsidP="00DE62DA">
            <w:pPr>
              <w:keepNext/>
              <w:spacing w:before="0" w:after="0" w:line="240" w:lineRule="auto"/>
              <w:jc w:val="center"/>
              <w:rPr>
                <w:rFonts w:asciiTheme="minorHAnsi" w:hAnsiTheme="minorHAnsi" w:cs="Calibri"/>
                <w:sz w:val="20"/>
                <w:szCs w:val="20"/>
                <w:lang w:eastAsia="en-AU"/>
              </w:rPr>
            </w:pPr>
            <w:r w:rsidRPr="00A22A08">
              <w:rPr>
                <w:rFonts w:asciiTheme="minorHAnsi" w:hAnsiTheme="minorHAnsi" w:cs="Calibri"/>
                <w:sz w:val="20"/>
                <w:szCs w:val="20"/>
                <w:lang w:eastAsia="en-AU"/>
              </w:rPr>
              <w:t>U</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$1,000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color w:val="FF0000"/>
                <w:sz w:val="20"/>
                <w:szCs w:val="20"/>
                <w:lang w:eastAsia="en-AU"/>
              </w:rPr>
            </w:pPr>
            <w:r w:rsidRPr="00786385">
              <w:rPr>
                <w:rFonts w:asciiTheme="minorHAnsi" w:hAnsiTheme="minorHAnsi" w:cs="Calibri"/>
                <w:color w:val="FF0000"/>
                <w:sz w:val="20"/>
                <w:szCs w:val="20"/>
                <w:lang w:eastAsia="en-AU"/>
              </w:rPr>
              <w:t>-$19.6</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1261</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$505.7</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$422</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A22A08" w:rsidRDefault="00A22A08" w:rsidP="00DE62DA">
            <w:pPr>
              <w:keepNext/>
              <w:spacing w:before="0" w:after="0" w:line="240" w:lineRule="auto"/>
              <w:jc w:val="center"/>
              <w:rPr>
                <w:rFonts w:asciiTheme="minorHAnsi" w:hAnsiTheme="minorHAnsi" w:cs="Calibri"/>
                <w:sz w:val="20"/>
                <w:szCs w:val="20"/>
                <w:lang w:eastAsia="en-AU"/>
              </w:rPr>
            </w:pPr>
            <w:r w:rsidRPr="00A22A08">
              <w:rPr>
                <w:rFonts w:asciiTheme="minorHAnsi" w:hAnsiTheme="minorHAnsi" w:cs="Calibri"/>
                <w:sz w:val="20"/>
                <w:szCs w:val="20"/>
                <w:lang w:eastAsia="en-AU"/>
              </w:rPr>
              <w:t>V</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$5,000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color w:val="FF0000"/>
                <w:sz w:val="20"/>
                <w:szCs w:val="20"/>
                <w:lang w:eastAsia="en-AU"/>
              </w:rPr>
            </w:pPr>
            <w:r w:rsidRPr="00786385">
              <w:rPr>
                <w:rFonts w:asciiTheme="minorHAnsi" w:hAnsiTheme="minorHAnsi" w:cs="Calibri"/>
                <w:color w:val="FF0000"/>
                <w:sz w:val="20"/>
                <w:szCs w:val="20"/>
                <w:lang w:eastAsia="en-AU"/>
              </w:rPr>
              <w:t>-$36.2</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1271</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$509.5</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$501</w:t>
            </w:r>
          </w:p>
        </w:tc>
      </w:tr>
      <w:tr w:rsidR="00AD3015" w:rsidRPr="00786385" w:rsidTr="00786385">
        <w:trPr>
          <w:trHeight w:val="240"/>
        </w:trPr>
        <w:tc>
          <w:tcPr>
            <w:tcW w:w="1010" w:type="dxa"/>
            <w:tcBorders>
              <w:top w:val="nil"/>
              <w:left w:val="single" w:sz="4" w:space="0" w:color="auto"/>
              <w:bottom w:val="single" w:sz="4" w:space="0" w:color="auto"/>
              <w:right w:val="single" w:sz="4" w:space="0" w:color="auto"/>
            </w:tcBorders>
            <w:hideMark/>
          </w:tcPr>
          <w:p w:rsidR="00AD3015" w:rsidRPr="00A22A08" w:rsidRDefault="00A22A08" w:rsidP="00DE62DA">
            <w:pPr>
              <w:keepNext/>
              <w:spacing w:before="0" w:after="0" w:line="240" w:lineRule="auto"/>
              <w:jc w:val="center"/>
              <w:rPr>
                <w:rFonts w:asciiTheme="minorHAnsi" w:hAnsiTheme="minorHAnsi" w:cs="Calibri"/>
                <w:sz w:val="20"/>
                <w:szCs w:val="20"/>
                <w:lang w:eastAsia="en-AU"/>
              </w:rPr>
            </w:pPr>
            <w:r w:rsidRPr="00A22A08">
              <w:rPr>
                <w:rFonts w:asciiTheme="minorHAnsi" w:hAnsiTheme="minorHAnsi" w:cs="Calibri"/>
                <w:sz w:val="20"/>
                <w:szCs w:val="20"/>
                <w:lang w:eastAsia="en-AU"/>
              </w:rPr>
              <w:t>W</w:t>
            </w:r>
          </w:p>
        </w:tc>
        <w:tc>
          <w:tcPr>
            <w:tcW w:w="1594"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$10,000</w:t>
            </w:r>
          </w:p>
        </w:tc>
        <w:tc>
          <w:tcPr>
            <w:tcW w:w="1595" w:type="dxa"/>
            <w:tcBorders>
              <w:top w:val="nil"/>
              <w:left w:val="nil"/>
              <w:bottom w:val="single" w:sz="4" w:space="0" w:color="auto"/>
              <w:right w:val="single" w:sz="4" w:space="0" w:color="auto"/>
            </w:tcBorders>
            <w:noWrap/>
            <w:hideMark/>
          </w:tcPr>
          <w:p w:rsidR="00AD3015" w:rsidRPr="00786385" w:rsidRDefault="00AD3015" w:rsidP="00DE62DA">
            <w:pPr>
              <w:keepNext/>
              <w:spacing w:before="0" w:after="0" w:line="240" w:lineRule="auto"/>
              <w:jc w:val="center"/>
              <w:rPr>
                <w:rFonts w:asciiTheme="minorHAnsi" w:hAnsiTheme="minorHAnsi" w:cs="Calibri"/>
                <w:color w:val="FF0000"/>
                <w:sz w:val="20"/>
                <w:szCs w:val="20"/>
                <w:lang w:eastAsia="en-AU"/>
              </w:rPr>
            </w:pPr>
            <w:r w:rsidRPr="00786385">
              <w:rPr>
                <w:rFonts w:asciiTheme="minorHAnsi" w:hAnsiTheme="minorHAnsi" w:cs="Calibri"/>
                <w:color w:val="FF0000"/>
                <w:sz w:val="20"/>
                <w:szCs w:val="20"/>
                <w:lang w:eastAsia="en-AU"/>
              </w:rPr>
              <w:t>-$37.8</w:t>
            </w:r>
          </w:p>
        </w:tc>
        <w:tc>
          <w:tcPr>
            <w:tcW w:w="1594"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1272</w:t>
            </w:r>
          </w:p>
        </w:tc>
        <w:tc>
          <w:tcPr>
            <w:tcW w:w="1595" w:type="dxa"/>
            <w:tcBorders>
              <w:top w:val="nil"/>
              <w:left w:val="nil"/>
              <w:bottom w:val="single" w:sz="4" w:space="0" w:color="auto"/>
              <w:right w:val="single" w:sz="4" w:space="0" w:color="auto"/>
            </w:tcBorders>
            <w:noWrap/>
            <w:hideMark/>
          </w:tcPr>
          <w:p w:rsidR="00AD3015" w:rsidRPr="00AD3015" w:rsidRDefault="00AD3015" w:rsidP="00DE62DA">
            <w:pPr>
              <w:keepNext/>
              <w:spacing w:before="0" w:after="0" w:line="240" w:lineRule="auto"/>
              <w:jc w:val="center"/>
              <w:rPr>
                <w:rFonts w:asciiTheme="minorHAnsi" w:hAnsiTheme="minorHAnsi" w:cs="Calibri"/>
                <w:sz w:val="20"/>
                <w:szCs w:val="20"/>
                <w:lang w:eastAsia="en-AU"/>
              </w:rPr>
            </w:pPr>
            <w:r w:rsidRPr="00AD3015">
              <w:rPr>
                <w:rFonts w:asciiTheme="minorHAnsi" w:hAnsiTheme="minorHAnsi" w:cs="Calibri"/>
                <w:sz w:val="20"/>
                <w:szCs w:val="20"/>
                <w:lang w:eastAsia="en-AU"/>
              </w:rPr>
              <w:t>$509.6</w:t>
            </w:r>
          </w:p>
        </w:tc>
        <w:tc>
          <w:tcPr>
            <w:tcW w:w="1701" w:type="dxa"/>
            <w:tcBorders>
              <w:top w:val="nil"/>
              <w:left w:val="nil"/>
              <w:bottom w:val="single" w:sz="4" w:space="0" w:color="auto"/>
              <w:right w:val="single" w:sz="4" w:space="0" w:color="auto"/>
            </w:tcBorders>
            <w:hideMark/>
          </w:tcPr>
          <w:p w:rsidR="00AD3015" w:rsidRPr="00786385" w:rsidRDefault="00AD3015" w:rsidP="00DE62DA">
            <w:pPr>
              <w:keepNext/>
              <w:spacing w:before="0" w:after="0" w:line="240" w:lineRule="auto"/>
              <w:jc w:val="center"/>
              <w:rPr>
                <w:rFonts w:asciiTheme="minorHAnsi" w:hAnsiTheme="minorHAnsi" w:cs="Calibri"/>
                <w:sz w:val="20"/>
                <w:szCs w:val="20"/>
                <w:lang w:eastAsia="en-AU"/>
              </w:rPr>
            </w:pPr>
            <w:r w:rsidRPr="00786385">
              <w:rPr>
                <w:rFonts w:asciiTheme="minorHAnsi" w:hAnsiTheme="minorHAnsi" w:cs="Calibri"/>
                <w:sz w:val="20"/>
                <w:szCs w:val="20"/>
                <w:lang w:eastAsia="en-AU"/>
              </w:rPr>
              <w:t>$513</w:t>
            </w:r>
          </w:p>
        </w:tc>
      </w:tr>
    </w:tbl>
    <w:p w:rsidR="00786385" w:rsidRPr="007D3351" w:rsidRDefault="00F55AE2" w:rsidP="00F55AE2">
      <w:pPr>
        <w:rPr>
          <w:i/>
          <w:sz w:val="20"/>
          <w:szCs w:val="20"/>
        </w:rPr>
      </w:pPr>
      <w:r w:rsidRPr="007D3351">
        <w:rPr>
          <w:i/>
          <w:sz w:val="20"/>
          <w:szCs w:val="20"/>
        </w:rPr>
        <w:t>* It is important to note that financial and environmental benefits associated with the Scheme will differ from the modelling. While the modelling assume</w:t>
      </w:r>
      <w:r w:rsidR="007D3351" w:rsidRPr="007D3351">
        <w:rPr>
          <w:i/>
          <w:sz w:val="20"/>
          <w:szCs w:val="20"/>
        </w:rPr>
        <w:t>s</w:t>
      </w:r>
      <w:r w:rsidRPr="007D3351">
        <w:rPr>
          <w:i/>
          <w:sz w:val="20"/>
          <w:szCs w:val="20"/>
        </w:rPr>
        <w:t xml:space="preserve"> a 100% participation rate by suppliers, this is discounted</w:t>
      </w:r>
      <w:r w:rsidR="007D3351" w:rsidRPr="007D3351">
        <w:rPr>
          <w:i/>
          <w:sz w:val="20"/>
          <w:szCs w:val="20"/>
        </w:rPr>
        <w:t xml:space="preserve"> in estimates for the Scheme to reflect that 15% of the targets </w:t>
      </w:r>
      <w:r w:rsidR="007D3351">
        <w:rPr>
          <w:i/>
          <w:sz w:val="20"/>
          <w:szCs w:val="20"/>
        </w:rPr>
        <w:t>are</w:t>
      </w:r>
      <w:r w:rsidR="007D3351" w:rsidRPr="007D3351">
        <w:rPr>
          <w:i/>
          <w:sz w:val="20"/>
          <w:szCs w:val="20"/>
        </w:rPr>
        <w:t xml:space="preserve"> expected to be met through Energy Savings Contributions by Tier 2 supplie</w:t>
      </w:r>
      <w:r w:rsidR="007D3351">
        <w:rPr>
          <w:i/>
          <w:sz w:val="20"/>
          <w:szCs w:val="20"/>
        </w:rPr>
        <w:t>rs</w:t>
      </w:r>
    </w:p>
    <w:p w:rsidR="00F472DB" w:rsidRPr="00DE62DA" w:rsidRDefault="00F472DB" w:rsidP="00C377FA">
      <w:pPr>
        <w:pStyle w:val="Caption"/>
        <w:keepNext/>
      </w:pPr>
      <w:bookmarkStart w:id="101" w:name="_Ref303799413"/>
      <w:bookmarkStart w:id="102" w:name="_Ref303799418"/>
      <w:bookmarkStart w:id="103" w:name="_Ref303928011"/>
      <w:r w:rsidRPr="00DE62DA">
        <w:t xml:space="preserve">Figure </w:t>
      </w:r>
      <w:r w:rsidR="006F5BB0">
        <w:rPr>
          <w:noProof/>
        </w:rPr>
        <w:fldChar w:fldCharType="begin"/>
      </w:r>
      <w:r w:rsidR="006F5BB0">
        <w:rPr>
          <w:noProof/>
        </w:rPr>
        <w:instrText xml:space="preserve"> SEQ Figure \* ARABIC </w:instrText>
      </w:r>
      <w:r w:rsidR="006F5BB0">
        <w:rPr>
          <w:noProof/>
        </w:rPr>
        <w:fldChar w:fldCharType="separate"/>
      </w:r>
      <w:r w:rsidR="00681D6A">
        <w:rPr>
          <w:noProof/>
        </w:rPr>
        <w:t>9</w:t>
      </w:r>
      <w:r w:rsidR="006F5BB0">
        <w:rPr>
          <w:noProof/>
        </w:rPr>
        <w:fldChar w:fldCharType="end"/>
      </w:r>
      <w:bookmarkEnd w:id="101"/>
      <w:r w:rsidRPr="00DE62DA">
        <w:t>: Scenarios modelled</w:t>
      </w:r>
      <w:bookmarkEnd w:id="102"/>
      <w:r w:rsidR="00C377FA" w:rsidRPr="00DE62DA">
        <w:t xml:space="preserve"> including high </w:t>
      </w:r>
      <w:r w:rsidR="00F454DB" w:rsidRPr="00DE62DA">
        <w:t>cash incentive</w:t>
      </w:r>
      <w:r w:rsidR="00C377FA" w:rsidRPr="00DE62DA">
        <w:t xml:space="preserve"> </w:t>
      </w:r>
      <w:r w:rsidR="00F454DB" w:rsidRPr="00DE62DA">
        <w:t>cap</w:t>
      </w:r>
      <w:r w:rsidR="00C377FA" w:rsidRPr="00DE62DA">
        <w:t xml:space="preserve"> range, NPV and lifetime abatement</w:t>
      </w:r>
      <w:bookmarkEnd w:id="103"/>
    </w:p>
    <w:p w:rsidR="00786385" w:rsidRPr="00DE62DA" w:rsidRDefault="006D6234" w:rsidP="00786385">
      <w:r w:rsidRPr="003A52A1">
        <w:rPr>
          <w:noProof/>
          <w:lang w:eastAsia="en-AU"/>
        </w:rPr>
        <w:drawing>
          <wp:inline distT="0" distB="0" distL="0" distR="0">
            <wp:extent cx="5734050" cy="37433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3743325"/>
                    </a:xfrm>
                    <a:prstGeom prst="rect">
                      <a:avLst/>
                    </a:prstGeom>
                    <a:noFill/>
                    <a:ln>
                      <a:noFill/>
                    </a:ln>
                  </pic:spPr>
                </pic:pic>
              </a:graphicData>
            </a:graphic>
          </wp:inline>
        </w:drawing>
      </w:r>
    </w:p>
    <w:p w:rsidR="000A6422" w:rsidRPr="00DE62DA" w:rsidRDefault="00911718" w:rsidP="007D1851">
      <w:r>
        <w:t>In t</w:t>
      </w:r>
      <w:r w:rsidR="00C221F3" w:rsidRPr="00DE62DA">
        <w:t>he range between $</w:t>
      </w:r>
      <w:r w:rsidR="008354EA" w:rsidRPr="00DE62DA">
        <w:t>40 and $10</w:t>
      </w:r>
      <w:r w:rsidR="00C221F3" w:rsidRPr="00DE62DA">
        <w:t xml:space="preserve">0 NPV </w:t>
      </w:r>
      <w:r w:rsidR="008354EA" w:rsidRPr="00DE62DA">
        <w:t>l</w:t>
      </w:r>
      <w:r w:rsidR="00C221F3" w:rsidRPr="00DE62DA">
        <w:t xml:space="preserve">evels </w:t>
      </w:r>
      <w:r w:rsidR="008354EA" w:rsidRPr="00DE62DA">
        <w:t xml:space="preserve">peak and </w:t>
      </w:r>
      <w:r w:rsidR="00C221F3" w:rsidRPr="00DE62DA">
        <w:t xml:space="preserve">emissions abatement </w:t>
      </w:r>
      <w:r w:rsidR="008354EA" w:rsidRPr="00DE62DA">
        <w:t xml:space="preserve">grows rapidly relative to the incremental growth in </w:t>
      </w:r>
      <w:r w:rsidR="00290959">
        <w:t>S</w:t>
      </w:r>
      <w:r w:rsidR="008354EA" w:rsidRPr="00DE62DA">
        <w:t xml:space="preserve">cheme costs. The $0 to $150 </w:t>
      </w:r>
      <w:r w:rsidR="007D1851" w:rsidRPr="00DE62DA">
        <w:t>range is</w:t>
      </w:r>
      <w:r w:rsidR="00316A3A" w:rsidRPr="00DE62DA">
        <w:t xml:space="preserve"> shown in more detail in </w:t>
      </w:r>
      <w:r w:rsidR="00B43B35">
        <w:fldChar w:fldCharType="begin"/>
      </w:r>
      <w:r w:rsidR="00B43B35">
        <w:instrText xml:space="preserve"> REF _Ref303876037 \h  \* MERGEFORMAT </w:instrText>
      </w:r>
      <w:r w:rsidR="00B43B35">
        <w:fldChar w:fldCharType="separate"/>
      </w:r>
      <w:r w:rsidR="00681D6A" w:rsidRPr="00DE62DA">
        <w:t xml:space="preserve">Figure </w:t>
      </w:r>
      <w:r w:rsidR="00681D6A">
        <w:rPr>
          <w:noProof/>
        </w:rPr>
        <w:t>10</w:t>
      </w:r>
      <w:r w:rsidR="00B43B35">
        <w:fldChar w:fldCharType="end"/>
      </w:r>
      <w:r w:rsidR="00316A3A" w:rsidRPr="00DE62DA">
        <w:t>.</w:t>
      </w:r>
    </w:p>
    <w:p w:rsidR="00316A3A" w:rsidRPr="00DE62DA" w:rsidRDefault="00316A3A" w:rsidP="00316A3A">
      <w:pPr>
        <w:pStyle w:val="Caption"/>
        <w:keepNext/>
      </w:pPr>
      <w:bookmarkStart w:id="104" w:name="_Ref303876037"/>
      <w:r w:rsidRPr="00DE62DA">
        <w:t xml:space="preserve">Figure </w:t>
      </w:r>
      <w:r w:rsidR="006F5BB0">
        <w:rPr>
          <w:noProof/>
        </w:rPr>
        <w:fldChar w:fldCharType="begin"/>
      </w:r>
      <w:r w:rsidR="006F5BB0">
        <w:rPr>
          <w:noProof/>
        </w:rPr>
        <w:instrText xml:space="preserve"> SEQ Figure \* ARABIC </w:instrText>
      </w:r>
      <w:r w:rsidR="006F5BB0">
        <w:rPr>
          <w:noProof/>
        </w:rPr>
        <w:fldChar w:fldCharType="separate"/>
      </w:r>
      <w:r w:rsidR="00681D6A">
        <w:rPr>
          <w:noProof/>
        </w:rPr>
        <w:t>10</w:t>
      </w:r>
      <w:r w:rsidR="006F5BB0">
        <w:rPr>
          <w:noProof/>
        </w:rPr>
        <w:fldChar w:fldCharType="end"/>
      </w:r>
      <w:bookmarkEnd w:id="104"/>
      <w:r w:rsidRPr="00DE62DA">
        <w:t xml:space="preserve">: </w:t>
      </w:r>
      <w:r w:rsidR="00C377FA" w:rsidRPr="00DE62DA">
        <w:t xml:space="preserve">Scenarios modelled including low </w:t>
      </w:r>
      <w:r w:rsidR="00F454DB" w:rsidRPr="00DE62DA">
        <w:t>cash incentive cap</w:t>
      </w:r>
      <w:r w:rsidR="00C377FA" w:rsidRPr="00DE62DA">
        <w:t xml:space="preserve"> range, NPV and lifetime abatement</w:t>
      </w:r>
    </w:p>
    <w:p w:rsidR="00F472DB" w:rsidRDefault="006D6234" w:rsidP="007D1851">
      <w:pPr>
        <w:ind w:left="-142"/>
      </w:pPr>
      <w:r w:rsidRPr="003A52A1">
        <w:rPr>
          <w:noProof/>
          <w:lang w:eastAsia="en-AU"/>
        </w:rPr>
        <w:drawing>
          <wp:inline distT="0" distB="0" distL="0" distR="0">
            <wp:extent cx="5734050" cy="374332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3743325"/>
                    </a:xfrm>
                    <a:prstGeom prst="rect">
                      <a:avLst/>
                    </a:prstGeom>
                    <a:noFill/>
                    <a:ln>
                      <a:noFill/>
                    </a:ln>
                  </pic:spPr>
                </pic:pic>
              </a:graphicData>
            </a:graphic>
          </wp:inline>
        </w:drawing>
      </w:r>
    </w:p>
    <w:p w:rsidR="008354EA" w:rsidRDefault="00C377FA" w:rsidP="00C377FA">
      <w:pPr>
        <w:keepNext/>
      </w:pPr>
      <w:r w:rsidRPr="00DE62DA">
        <w:t xml:space="preserve">This analysis shows that </w:t>
      </w:r>
      <w:r w:rsidR="008354EA" w:rsidRPr="00DE62DA">
        <w:t xml:space="preserve">the rate of growth in </w:t>
      </w:r>
      <w:r w:rsidRPr="00DE62DA">
        <w:t xml:space="preserve">potential energy savings, measured in </w:t>
      </w:r>
      <w:r w:rsidR="008354EA" w:rsidRPr="00DE62DA">
        <w:t>level</w:t>
      </w:r>
      <w:r w:rsidR="00DE62DA" w:rsidRPr="00DE62DA">
        <w:t>s of greenhouse gas reductions, is subject to</w:t>
      </w:r>
      <w:r w:rsidRPr="00DE62DA">
        <w:t xml:space="preserve"> </w:t>
      </w:r>
      <w:r w:rsidR="008354EA" w:rsidRPr="00DE62DA">
        <w:rPr>
          <w:bCs/>
        </w:rPr>
        <w:t>exponential decay</w:t>
      </w:r>
      <w:r w:rsidR="00DE62DA" w:rsidRPr="00DE62DA">
        <w:t xml:space="preserve"> to a </w:t>
      </w:r>
      <w:r w:rsidR="008354EA" w:rsidRPr="00DE62DA">
        <w:t>total abatement potential of approximately 1,300 kt CO2-e.</w:t>
      </w:r>
      <w:r w:rsidR="00706B8A" w:rsidRPr="00DE62DA">
        <w:t xml:space="preserve"> T</w:t>
      </w:r>
      <w:r w:rsidR="00DE62DA" w:rsidRPr="00DE62DA">
        <w:t>he NPV of the Scheme peaks at a</w:t>
      </w:r>
      <w:r w:rsidR="00706B8A" w:rsidRPr="00DE62DA">
        <w:t xml:space="preserve"> cash incentive cap rate of between $40 and $60, at around $40 million.</w:t>
      </w:r>
    </w:p>
    <w:p w:rsidR="0035620B" w:rsidRPr="00725431" w:rsidRDefault="00706B8A" w:rsidP="0035620B">
      <w:r w:rsidRPr="00B9662B">
        <w:t>A cash incentive cap rate of</w:t>
      </w:r>
      <w:r w:rsidR="00FA19D6" w:rsidRPr="00B9662B">
        <w:t xml:space="preserve"> </w:t>
      </w:r>
      <w:r w:rsidR="007D1851" w:rsidRPr="00B9662B">
        <w:t>around $</w:t>
      </w:r>
      <w:r w:rsidRPr="00B9662B">
        <w:t>5</w:t>
      </w:r>
      <w:r w:rsidR="007D1851" w:rsidRPr="00B9662B">
        <w:t xml:space="preserve">0 would be the rate set if the only objective of the </w:t>
      </w:r>
      <w:r w:rsidR="00290959">
        <w:t>S</w:t>
      </w:r>
      <w:r w:rsidR="007D1851" w:rsidRPr="00B9662B">
        <w:t>cheme was to achieve energy cost savings</w:t>
      </w:r>
      <w:r w:rsidR="003E708E" w:rsidRPr="00B9662B">
        <w:t xml:space="preserve"> with the greatest </w:t>
      </w:r>
      <w:r w:rsidRPr="00B9662B">
        <w:t xml:space="preserve">economic </w:t>
      </w:r>
      <w:r w:rsidR="003E708E" w:rsidRPr="00B9662B">
        <w:t>returns</w:t>
      </w:r>
      <w:r w:rsidR="007D1851" w:rsidRPr="00B9662B">
        <w:t>. However,</w:t>
      </w:r>
      <w:r w:rsidR="002B618F" w:rsidRPr="00B9662B">
        <w:t xml:space="preserve"> the opportunity to use the </w:t>
      </w:r>
      <w:r w:rsidR="003E708E" w:rsidRPr="00B9662B">
        <w:t>S</w:t>
      </w:r>
      <w:r w:rsidR="002B618F" w:rsidRPr="00B9662B">
        <w:t>cheme to achieve low-cost greenhouse gas emission</w:t>
      </w:r>
      <w:r w:rsidR="003E708E" w:rsidRPr="00B9662B">
        <w:t xml:space="preserve"> reductions</w:t>
      </w:r>
      <w:r w:rsidR="002B618F" w:rsidRPr="00B9662B">
        <w:t xml:space="preserve"> is also important and higher </w:t>
      </w:r>
      <w:r w:rsidRPr="00B9662B">
        <w:t xml:space="preserve">cash incentive cap rates </w:t>
      </w:r>
      <w:r w:rsidR="002B618F" w:rsidRPr="00B9662B">
        <w:t xml:space="preserve">have also been considered. </w:t>
      </w:r>
      <w:r w:rsidR="00482DAA" w:rsidRPr="00B9662B">
        <w:t xml:space="preserve"> </w:t>
      </w:r>
      <w:r w:rsidR="002B618F" w:rsidRPr="00B9662B">
        <w:t>After $</w:t>
      </w:r>
      <w:r w:rsidRPr="00B9662B">
        <w:t>6</w:t>
      </w:r>
      <w:r w:rsidR="002B618F" w:rsidRPr="00B9662B">
        <w:t xml:space="preserve">0 there is a marked decline in </w:t>
      </w:r>
      <w:r w:rsidR="00290959">
        <w:t>S</w:t>
      </w:r>
      <w:r w:rsidR="002B618F" w:rsidRPr="00B9662B">
        <w:t xml:space="preserve">cheme NPV </w:t>
      </w:r>
      <w:r w:rsidRPr="00B9662B">
        <w:t xml:space="preserve">from its optimal level while the rate in greenhouse emissions growth continues to fall.  </w:t>
      </w:r>
      <w:r w:rsidR="008244BE" w:rsidRPr="00B9662B">
        <w:t xml:space="preserve">At this level greenhouse gas savings of </w:t>
      </w:r>
      <w:r w:rsidR="003E708E" w:rsidRPr="00B9662B">
        <w:t xml:space="preserve">around </w:t>
      </w:r>
      <w:r w:rsidR="00315479" w:rsidRPr="00B9662B">
        <w:t>742</w:t>
      </w:r>
      <w:r w:rsidRPr="00B9662B">
        <w:t xml:space="preserve"> </w:t>
      </w:r>
      <w:r w:rsidR="008244BE" w:rsidRPr="00B9662B">
        <w:t>kt CO2-e are achieved. The limit to cost effective greenhouse gas abatement lies</w:t>
      </w:r>
      <w:r w:rsidR="00B9662B" w:rsidRPr="00B9662B">
        <w:t xml:space="preserve"> at a </w:t>
      </w:r>
      <w:r w:rsidR="00B9662B" w:rsidRPr="00725431">
        <w:t>capped</w:t>
      </w:r>
      <w:r w:rsidR="008244BE" w:rsidRPr="00725431">
        <w:t xml:space="preserve"> </w:t>
      </w:r>
      <w:r w:rsidRPr="00725431">
        <w:t>cash incentive rate of $400.</w:t>
      </w:r>
      <w:r w:rsidR="0035620B" w:rsidRPr="00725431">
        <w:t xml:space="preserve"> Moving from the $50 capped cash incentive scenario to a $60 scenario represents a </w:t>
      </w:r>
      <w:r w:rsidR="00725431" w:rsidRPr="00725431">
        <w:t>cost</w:t>
      </w:r>
      <w:r w:rsidR="0035620B" w:rsidRPr="00725431">
        <w:t xml:space="preserve"> of $2.50 in NPV per tonne of abatement.</w:t>
      </w:r>
    </w:p>
    <w:p w:rsidR="00D37DAA" w:rsidRDefault="00D37DAA" w:rsidP="00CF3CB8">
      <w:r w:rsidRPr="00725431">
        <w:t>It is important to note that the $60 cash incentive represents a maxi</w:t>
      </w:r>
      <w:r w:rsidR="00725431" w:rsidRPr="00725431">
        <w:t xml:space="preserve">mum price and that the average </w:t>
      </w:r>
      <w:r w:rsidRPr="00725431">
        <w:t>cost to the Tier 1 suppliers is approximately $37 per tonne of abatement.</w:t>
      </w:r>
    </w:p>
    <w:p w:rsidR="001E2E25" w:rsidRPr="00B9662B" w:rsidRDefault="00CF3CB8" w:rsidP="00CF3CB8">
      <w:r w:rsidRPr="00B9662B">
        <w:t>This analysis id</w:t>
      </w:r>
      <w:r w:rsidR="008244BE" w:rsidRPr="00B9662B">
        <w:t>entifies the limits that exist i</w:t>
      </w:r>
      <w:r w:rsidRPr="00B9662B">
        <w:t>n cost-effective energy savings potential in the ACT residential sector over the term of the Scheme, relative to the portfolio of eligible activities</w:t>
      </w:r>
      <w:r w:rsidR="005B0472" w:rsidRPr="00B9662B">
        <w:t>.</w:t>
      </w:r>
      <w:r w:rsidR="00523A97" w:rsidRPr="00B9662B">
        <w:t xml:space="preserve"> This is further represented in </w:t>
      </w:r>
      <w:r w:rsidR="00B43B35">
        <w:fldChar w:fldCharType="begin"/>
      </w:r>
      <w:r w:rsidR="00B43B35">
        <w:instrText xml:space="preserve"> REF _Ref306799453 \h  \* MERGEFORMAT </w:instrText>
      </w:r>
      <w:r w:rsidR="00B43B35">
        <w:fldChar w:fldCharType="separate"/>
      </w:r>
      <w:r w:rsidR="00681D6A" w:rsidRPr="00B9662B">
        <w:t xml:space="preserve">Figure </w:t>
      </w:r>
      <w:r w:rsidR="00681D6A">
        <w:rPr>
          <w:noProof/>
        </w:rPr>
        <w:t>11</w:t>
      </w:r>
      <w:r w:rsidR="00B43B35">
        <w:fldChar w:fldCharType="end"/>
      </w:r>
      <w:r w:rsidR="00523A97" w:rsidRPr="00B9662B">
        <w:t xml:space="preserve"> </w:t>
      </w:r>
      <w:r w:rsidR="00B43B35">
        <w:fldChar w:fldCharType="begin"/>
      </w:r>
      <w:r w:rsidR="00B43B35">
        <w:instrText xml:space="preserve"> REF _Ref306799457 \p \h  \* MERGEFORMAT </w:instrText>
      </w:r>
      <w:r w:rsidR="00B43B35">
        <w:fldChar w:fldCharType="separate"/>
      </w:r>
      <w:r w:rsidR="00681D6A">
        <w:t>below</w:t>
      </w:r>
      <w:r w:rsidR="00B43B35">
        <w:fldChar w:fldCharType="end"/>
      </w:r>
      <w:r w:rsidR="00B6535A" w:rsidRPr="00B9662B">
        <w:t xml:space="preserve"> which shows the trade-off between economic and environmental outcomes</w:t>
      </w:r>
      <w:r w:rsidR="00290959">
        <w:t>,</w:t>
      </w:r>
      <w:r w:rsidR="00B6535A" w:rsidRPr="00B9662B">
        <w:t xml:space="preserve"> whilst demonstrating an optimal range that delivers substantial greenhouse gas abatement with positive economic benefits.</w:t>
      </w:r>
    </w:p>
    <w:p w:rsidR="00482DAA" w:rsidRPr="00B9662B" w:rsidRDefault="00482DAA" w:rsidP="00482DAA">
      <w:pPr>
        <w:pStyle w:val="Caption"/>
        <w:keepNext/>
      </w:pPr>
      <w:bookmarkStart w:id="105" w:name="_Ref306799453"/>
      <w:bookmarkStart w:id="106" w:name="_Ref306799457"/>
      <w:r w:rsidRPr="00B9662B">
        <w:t xml:space="preserve">Figure </w:t>
      </w:r>
      <w:r w:rsidR="006F5BB0">
        <w:rPr>
          <w:noProof/>
        </w:rPr>
        <w:fldChar w:fldCharType="begin"/>
      </w:r>
      <w:r w:rsidR="006F5BB0">
        <w:rPr>
          <w:noProof/>
        </w:rPr>
        <w:instrText xml:space="preserve"> SEQ Figure \* ARABIC </w:instrText>
      </w:r>
      <w:r w:rsidR="006F5BB0">
        <w:rPr>
          <w:noProof/>
        </w:rPr>
        <w:fldChar w:fldCharType="separate"/>
      </w:r>
      <w:r w:rsidR="00681D6A">
        <w:rPr>
          <w:noProof/>
        </w:rPr>
        <w:t>11</w:t>
      </w:r>
      <w:r w:rsidR="006F5BB0">
        <w:rPr>
          <w:noProof/>
        </w:rPr>
        <w:fldChar w:fldCharType="end"/>
      </w:r>
      <w:bookmarkEnd w:id="105"/>
      <w:r w:rsidRPr="00B9662B">
        <w:t>:</w:t>
      </w:r>
      <w:bookmarkEnd w:id="106"/>
      <w:r w:rsidR="00B6535A" w:rsidRPr="00B9662B">
        <w:t xml:space="preserve"> spread of scenarios in relation to economic benefits (NPV) and greenhouse gas abatement</w:t>
      </w:r>
    </w:p>
    <w:p w:rsidR="00482DAA" w:rsidRPr="00161967" w:rsidRDefault="006D6234" w:rsidP="00CF3CB8">
      <w:r w:rsidRPr="003A52A1">
        <w:rPr>
          <w:noProof/>
          <w:lang w:eastAsia="en-AU"/>
        </w:rPr>
        <w:drawing>
          <wp:inline distT="0" distB="0" distL="0" distR="0">
            <wp:extent cx="5686425" cy="37338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6425" cy="3733800"/>
                    </a:xfrm>
                    <a:prstGeom prst="rect">
                      <a:avLst/>
                    </a:prstGeom>
                    <a:noFill/>
                    <a:ln>
                      <a:noFill/>
                    </a:ln>
                  </pic:spPr>
                </pic:pic>
              </a:graphicData>
            </a:graphic>
          </wp:inline>
        </w:drawing>
      </w:r>
    </w:p>
    <w:p w:rsidR="00B6535A" w:rsidRDefault="00B43B35" w:rsidP="00B6535A">
      <w:r>
        <w:fldChar w:fldCharType="begin"/>
      </w:r>
      <w:r>
        <w:instrText xml:space="preserve"> REF _Ref306799453 \h  \* MERGEFORMAT </w:instrText>
      </w:r>
      <w:r>
        <w:fldChar w:fldCharType="separate"/>
      </w:r>
      <w:r w:rsidR="00681D6A" w:rsidRPr="00B9662B">
        <w:t xml:space="preserve">Figure </w:t>
      </w:r>
      <w:r w:rsidR="00681D6A">
        <w:rPr>
          <w:noProof/>
        </w:rPr>
        <w:t>11</w:t>
      </w:r>
      <w:r>
        <w:fldChar w:fldCharType="end"/>
      </w:r>
      <w:r w:rsidR="00B6535A" w:rsidRPr="00B9662B">
        <w:t xml:space="preserve"> </w:t>
      </w:r>
      <w:r>
        <w:fldChar w:fldCharType="begin"/>
      </w:r>
      <w:r>
        <w:instrText xml:space="preserve"> REF _Ref306799457 \p \h  \* MERGEFORMAT </w:instrText>
      </w:r>
      <w:r>
        <w:fldChar w:fldCharType="separate"/>
      </w:r>
      <w:r w:rsidR="00681D6A">
        <w:t>above</w:t>
      </w:r>
      <w:r>
        <w:fldChar w:fldCharType="end"/>
      </w:r>
      <w:r w:rsidR="00B6535A" w:rsidRPr="00B9662B">
        <w:t xml:space="preserve"> shows that while a cash incentive cap rate of $50 per tonne (Scenario </w:t>
      </w:r>
      <w:r w:rsidR="00D51CBB" w:rsidRPr="00B9662B">
        <w:t>F</w:t>
      </w:r>
      <w:r w:rsidR="00B6535A" w:rsidRPr="00B9662B">
        <w:t>) would result in the highest net economic benefits, the difference between economic benefits and those in  the $60 to $150 range (Scenarios G through P) is relatively low compared to the 15 per</w:t>
      </w:r>
      <w:r w:rsidR="00A22A08">
        <w:t xml:space="preserve"> </w:t>
      </w:r>
      <w:r w:rsidR="00290959">
        <w:t>cent</w:t>
      </w:r>
      <w:r w:rsidR="00B6535A" w:rsidRPr="00B9662B">
        <w:t xml:space="preserve"> increase in greenhouse gas abatement over that range. Particularly, there is a significant jump in emissions abatement from Scenario </w:t>
      </w:r>
      <w:r w:rsidR="00D51CBB" w:rsidRPr="00B9662B">
        <w:t>F</w:t>
      </w:r>
      <w:r w:rsidR="00B6535A" w:rsidRPr="00B9662B">
        <w:t xml:space="preserve"> to Scenario </w:t>
      </w:r>
      <w:r w:rsidR="00D51CBB" w:rsidRPr="00B9662B">
        <w:t>G</w:t>
      </w:r>
      <w:r w:rsidR="00B6535A" w:rsidRPr="00B9662B">
        <w:t xml:space="preserve"> with only a very small reduction in NPV.</w:t>
      </w:r>
      <w:r w:rsidR="00B6535A">
        <w:t xml:space="preserve"> </w:t>
      </w:r>
    </w:p>
    <w:p w:rsidR="00D51CBB" w:rsidRDefault="00D51CBB" w:rsidP="00D51CBB">
      <w:pPr>
        <w:pStyle w:val="Heading2"/>
      </w:pPr>
      <w:bookmarkStart w:id="107" w:name="_Ref303925150"/>
      <w:bookmarkStart w:id="108" w:name="_Ref303925154"/>
      <w:bookmarkStart w:id="109" w:name="_Toc306808241"/>
      <w:r>
        <w:t>Proposed scheme targets</w:t>
      </w:r>
      <w:bookmarkEnd w:id="107"/>
      <w:bookmarkEnd w:id="108"/>
      <w:bookmarkEnd w:id="109"/>
      <w:r>
        <w:t xml:space="preserve"> </w:t>
      </w:r>
    </w:p>
    <w:p w:rsidR="00D42088" w:rsidRPr="00B9662B" w:rsidRDefault="003E708E" w:rsidP="00CF3CB8">
      <w:r w:rsidRPr="00B9662B">
        <w:t xml:space="preserve">The Directorate </w:t>
      </w:r>
      <w:r w:rsidR="00FA19D6" w:rsidRPr="00B9662B">
        <w:t xml:space="preserve">has concluded, on balance, </w:t>
      </w:r>
      <w:r w:rsidR="008244BE" w:rsidRPr="00B9662B">
        <w:t xml:space="preserve">that a </w:t>
      </w:r>
      <w:r w:rsidR="00FA19D6" w:rsidRPr="00B9662B">
        <w:t>marginal cost rate of $</w:t>
      </w:r>
      <w:r w:rsidR="00B6535A" w:rsidRPr="00B9662B">
        <w:t>6</w:t>
      </w:r>
      <w:r w:rsidR="00FA19D6" w:rsidRPr="00B9662B">
        <w:t>0/t CO2</w:t>
      </w:r>
      <w:r w:rsidR="00FA19D6" w:rsidRPr="00B9662B">
        <w:noBreakHyphen/>
      </w:r>
      <w:r w:rsidR="008244BE" w:rsidRPr="00B9662B">
        <w:t>e</w:t>
      </w:r>
      <w:r w:rsidR="00B6535A" w:rsidRPr="00B9662B">
        <w:t xml:space="preserve"> (</w:t>
      </w:r>
      <w:r w:rsidR="003C1EDB" w:rsidRPr="00B9662B">
        <w:t>S</w:t>
      </w:r>
      <w:r w:rsidR="00B6535A" w:rsidRPr="00B9662B">
        <w:t>cenario</w:t>
      </w:r>
      <w:r w:rsidR="00D51CBB" w:rsidRPr="00B9662B">
        <w:t xml:space="preserve"> G</w:t>
      </w:r>
      <w:r w:rsidR="00B6535A" w:rsidRPr="00B9662B">
        <w:t>)</w:t>
      </w:r>
      <w:r w:rsidR="008244BE" w:rsidRPr="00B9662B">
        <w:t>, with an NPV of $</w:t>
      </w:r>
      <w:r w:rsidR="00B6535A" w:rsidRPr="00B9662B">
        <w:t>40</w:t>
      </w:r>
      <w:r w:rsidR="008244BE" w:rsidRPr="00B9662B">
        <w:t xml:space="preserve"> million</w:t>
      </w:r>
      <w:r w:rsidR="00FA19D6" w:rsidRPr="00B9662B">
        <w:t xml:space="preserve"> and </w:t>
      </w:r>
      <w:r w:rsidRPr="00B9662B">
        <w:t xml:space="preserve">abatement of </w:t>
      </w:r>
      <w:r w:rsidR="00B6535A" w:rsidRPr="00B9662B">
        <w:t>872</w:t>
      </w:r>
      <w:r w:rsidR="00FA19D6" w:rsidRPr="00B9662B">
        <w:t xml:space="preserve"> kt CO2-e represents a relatively high </w:t>
      </w:r>
      <w:r w:rsidR="008244BE" w:rsidRPr="00B9662B">
        <w:t>level of ambition</w:t>
      </w:r>
      <w:r w:rsidR="00FA19D6" w:rsidRPr="00B9662B">
        <w:t xml:space="preserve"> while still maintaining relatively strong economic returns to the </w:t>
      </w:r>
      <w:r w:rsidRPr="00B9662B">
        <w:t>c</w:t>
      </w:r>
      <w:r w:rsidR="00FA19D6" w:rsidRPr="00B9662B">
        <w:t>ommunity.</w:t>
      </w:r>
      <w:r w:rsidR="007D3351" w:rsidRPr="00B9662B">
        <w:rPr>
          <w:rStyle w:val="FootnoteReference"/>
        </w:rPr>
        <w:footnoteReference w:id="29"/>
      </w:r>
      <w:r w:rsidR="00D42088" w:rsidRPr="00B9662B">
        <w:t xml:space="preserve"> </w:t>
      </w:r>
      <w:r w:rsidR="00B6535A" w:rsidRPr="00B9662B">
        <w:t xml:space="preserve">Moving beyond this range </w:t>
      </w:r>
      <w:r w:rsidR="003C1EDB" w:rsidRPr="00B9662B">
        <w:t xml:space="preserve">achieves diminishing environmental benefits and materially reduces net economic benefits. It is also important to consider the overall novelty of the Scheme in the context of the ACT.  It is prudent in this context to commence in </w:t>
      </w:r>
      <w:r w:rsidR="00B9662B" w:rsidRPr="00B9662B">
        <w:t xml:space="preserve">a </w:t>
      </w:r>
      <w:r w:rsidR="003C1EDB" w:rsidRPr="00B9662B">
        <w:t xml:space="preserve">manner which allows for expansion of the Scheme in the future based on its demonstrated efficiency and effectiveness in achieving greenhouse gas abatement. </w:t>
      </w:r>
      <w:r w:rsidR="00FA19D6" w:rsidRPr="00B9662B">
        <w:t xml:space="preserve">It is proposed that this targeted level of abatement and savings </w:t>
      </w:r>
      <w:r w:rsidR="003C1EDB" w:rsidRPr="00B9662B">
        <w:t xml:space="preserve">will be </w:t>
      </w:r>
      <w:r w:rsidR="00FA19D6" w:rsidRPr="00B9662B">
        <w:t xml:space="preserve">reviewed </w:t>
      </w:r>
      <w:r w:rsidR="003C1EDB" w:rsidRPr="00B9662B">
        <w:t xml:space="preserve">in 2014 </w:t>
      </w:r>
      <w:r w:rsidR="00FA19D6" w:rsidRPr="00B9662B">
        <w:t>and potentially expanded</w:t>
      </w:r>
      <w:r w:rsidR="00D42088" w:rsidRPr="00B9662B">
        <w:t xml:space="preserve"> in relation to both the </w:t>
      </w:r>
      <w:r w:rsidR="003C1EDB" w:rsidRPr="00B9662B">
        <w:t>residential and non</w:t>
      </w:r>
      <w:r w:rsidR="00D86A0C">
        <w:t>-</w:t>
      </w:r>
      <w:r w:rsidR="003C1EDB" w:rsidRPr="00B9662B">
        <w:t>residential sectors</w:t>
      </w:r>
      <w:r w:rsidR="00D42088" w:rsidRPr="00B9662B">
        <w:t>.</w:t>
      </w:r>
    </w:p>
    <w:p w:rsidR="003C1EDB" w:rsidRPr="00B9662B" w:rsidRDefault="003E708E" w:rsidP="00503DD4">
      <w:r w:rsidRPr="00512869">
        <w:t>The</w:t>
      </w:r>
      <w:r w:rsidR="00A12799" w:rsidRPr="00512869">
        <w:t xml:space="preserve"> modelling has been based on implementation over a three-year period from 1 </w:t>
      </w:r>
      <w:r w:rsidR="005E53CC" w:rsidRPr="00512869">
        <w:t xml:space="preserve">January </w:t>
      </w:r>
      <w:r w:rsidR="00A12799" w:rsidRPr="00512869">
        <w:t xml:space="preserve">2013 to 31 December 2015. </w:t>
      </w:r>
    </w:p>
    <w:p w:rsidR="00D404FA" w:rsidRDefault="00CF3CB8" w:rsidP="00503DD4">
      <w:r w:rsidRPr="00B9662B">
        <w:t xml:space="preserve">The proposed targets for each period are summarised in </w:t>
      </w:r>
      <w:r w:rsidR="00B43B35">
        <w:fldChar w:fldCharType="begin"/>
      </w:r>
      <w:r w:rsidR="00B43B35">
        <w:instrText xml:space="preserve"> REF _Ref303803027 \h  \* MERGEFORMAT </w:instrText>
      </w:r>
      <w:r w:rsidR="00B43B35">
        <w:fldChar w:fldCharType="separate"/>
      </w:r>
      <w:r w:rsidR="00681D6A" w:rsidRPr="00B9662B">
        <w:t xml:space="preserve">Table </w:t>
      </w:r>
      <w:r w:rsidR="00681D6A">
        <w:t>7</w:t>
      </w:r>
      <w:r w:rsidR="00B43B35">
        <w:fldChar w:fldCharType="end"/>
      </w:r>
      <w:r w:rsidRPr="00B9662B">
        <w:t xml:space="preserve"> </w:t>
      </w:r>
      <w:r w:rsidR="00B43B35">
        <w:fldChar w:fldCharType="begin"/>
      </w:r>
      <w:r w:rsidR="00B43B35">
        <w:instrText xml:space="preserve"> REF _Ref303803032 \p \h  \* MERGEFORMAT </w:instrText>
      </w:r>
      <w:r w:rsidR="00B43B35">
        <w:fldChar w:fldCharType="separate"/>
      </w:r>
      <w:r w:rsidR="00681D6A">
        <w:t>below</w:t>
      </w:r>
      <w:r w:rsidR="00B43B35">
        <w:fldChar w:fldCharType="end"/>
      </w:r>
      <w:r w:rsidRPr="00B9662B">
        <w:t>.</w:t>
      </w:r>
      <w:r w:rsidR="00761814" w:rsidRPr="00B9662B">
        <w:t xml:space="preserve"> </w:t>
      </w:r>
      <w:r w:rsidR="00B43B35">
        <w:fldChar w:fldCharType="begin"/>
      </w:r>
      <w:r w:rsidR="00B43B35">
        <w:instrText xml:space="preserve"> REF _Ref306801128 \h  \* MERGEFORMAT </w:instrText>
      </w:r>
      <w:r w:rsidR="00B43B35">
        <w:fldChar w:fldCharType="separate"/>
      </w:r>
      <w:r w:rsidR="00681D6A" w:rsidRPr="00D44761">
        <w:t xml:space="preserve">Figure </w:t>
      </w:r>
      <w:r w:rsidR="00681D6A">
        <w:rPr>
          <w:noProof/>
        </w:rPr>
        <w:t>12</w:t>
      </w:r>
      <w:r w:rsidR="00B43B35">
        <w:fldChar w:fldCharType="end"/>
      </w:r>
      <w:r w:rsidR="00D86A0C">
        <w:t xml:space="preserve"> </w:t>
      </w:r>
      <w:r w:rsidR="00B43B35">
        <w:fldChar w:fldCharType="begin"/>
      </w:r>
      <w:r w:rsidR="00B43B35">
        <w:instrText xml:space="preserve"> REF _Ref306801135 \p \h  \* MERGEFORMAT </w:instrText>
      </w:r>
      <w:r w:rsidR="00B43B35">
        <w:fldChar w:fldCharType="separate"/>
      </w:r>
      <w:r w:rsidR="00681D6A">
        <w:t>below</w:t>
      </w:r>
      <w:r w:rsidR="00B43B35">
        <w:fldChar w:fldCharType="end"/>
      </w:r>
      <w:r w:rsidR="00761814" w:rsidRPr="00B9662B">
        <w:t xml:space="preserve"> illustrates proposed Energy Saving Targets expressed in terms of lifetime emissions abatement associated with activities undertaken in a period. </w:t>
      </w:r>
    </w:p>
    <w:p w:rsidR="00512869" w:rsidRPr="00B9662B" w:rsidRDefault="00512869" w:rsidP="00503DD4">
      <w:r w:rsidRPr="00512869">
        <w:t>Roll-over provisions are provided for shortfalls of up to 10% to minimise compliance risks and ensure maximum rate of participation through the undertaking of energy saving activities as opposed to the payment of penalties.</w:t>
      </w:r>
    </w:p>
    <w:p w:rsidR="00D404FA" w:rsidRDefault="00D404FA" w:rsidP="00A55CC4">
      <w:pPr>
        <w:pStyle w:val="Caption"/>
        <w:keepNext/>
      </w:pPr>
      <w:bookmarkStart w:id="110" w:name="_Ref303803027"/>
      <w:bookmarkStart w:id="111" w:name="_Ref303803032"/>
      <w:r w:rsidRPr="00B9662B">
        <w:t xml:space="preserve">Table </w:t>
      </w:r>
      <w:r w:rsidR="006F5BB0">
        <w:rPr>
          <w:noProof/>
        </w:rPr>
        <w:fldChar w:fldCharType="begin"/>
      </w:r>
      <w:r w:rsidR="006F5BB0">
        <w:rPr>
          <w:noProof/>
        </w:rPr>
        <w:instrText xml:space="preserve"> SEQ Table \* ARABIC </w:instrText>
      </w:r>
      <w:r w:rsidR="006F5BB0">
        <w:rPr>
          <w:noProof/>
        </w:rPr>
        <w:fldChar w:fldCharType="separate"/>
      </w:r>
      <w:r w:rsidR="00681D6A">
        <w:rPr>
          <w:noProof/>
        </w:rPr>
        <w:t>7</w:t>
      </w:r>
      <w:r w:rsidR="006F5BB0">
        <w:rPr>
          <w:noProof/>
        </w:rPr>
        <w:fldChar w:fldCharType="end"/>
      </w:r>
      <w:bookmarkEnd w:id="110"/>
      <w:r w:rsidRPr="00B9662B">
        <w:t>: Electricity emissions, required savings and proposed Energy Savings Targets</w:t>
      </w:r>
      <w:bookmarkEnd w:id="111"/>
      <w:r w:rsidRPr="00B9662B">
        <w:t xml:space="preserve"> for Scheme periods</w:t>
      </w:r>
    </w:p>
    <w:tbl>
      <w:tblPr>
        <w:tblW w:w="9960" w:type="dxa"/>
        <w:tblInd w:w="91" w:type="dxa"/>
        <w:tblLook w:val="04A0" w:firstRow="1" w:lastRow="0" w:firstColumn="1" w:lastColumn="0" w:noHBand="0" w:noVBand="1"/>
      </w:tblPr>
      <w:tblGrid>
        <w:gridCol w:w="1010"/>
        <w:gridCol w:w="2409"/>
        <w:gridCol w:w="1561"/>
        <w:gridCol w:w="1660"/>
        <w:gridCol w:w="1660"/>
        <w:gridCol w:w="1660"/>
      </w:tblGrid>
      <w:tr w:rsidR="00761814" w:rsidRPr="00512869" w:rsidTr="00761814">
        <w:trPr>
          <w:trHeight w:val="720"/>
        </w:trPr>
        <w:tc>
          <w:tcPr>
            <w:tcW w:w="1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61814" w:rsidRPr="00512869" w:rsidRDefault="00761814" w:rsidP="00761814">
            <w:pPr>
              <w:spacing w:before="0" w:after="0" w:line="240" w:lineRule="auto"/>
              <w:rPr>
                <w:rFonts w:cs="Calibri"/>
                <w:sz w:val="20"/>
                <w:szCs w:val="20"/>
                <w:lang w:eastAsia="en-AU"/>
              </w:rPr>
            </w:pPr>
            <w:r w:rsidRPr="00512869">
              <w:rPr>
                <w:rFonts w:cs="Calibri"/>
                <w:sz w:val="20"/>
                <w:szCs w:val="20"/>
                <w:lang w:eastAsia="en-AU"/>
              </w:rPr>
              <w:t>Scheme period</w:t>
            </w:r>
          </w:p>
        </w:tc>
        <w:tc>
          <w:tcPr>
            <w:tcW w:w="2409" w:type="dxa"/>
            <w:tcBorders>
              <w:top w:val="single" w:sz="4" w:space="0" w:color="auto"/>
              <w:left w:val="nil"/>
              <w:bottom w:val="single" w:sz="4" w:space="0" w:color="auto"/>
              <w:right w:val="single" w:sz="4" w:space="0" w:color="auto"/>
            </w:tcBorders>
            <w:shd w:val="clear" w:color="auto" w:fill="F2F2F2" w:themeFill="background1" w:themeFillShade="F2"/>
            <w:hideMark/>
          </w:tcPr>
          <w:p w:rsidR="00761814" w:rsidRPr="00512869" w:rsidRDefault="00761814" w:rsidP="00761814">
            <w:pPr>
              <w:spacing w:before="0" w:after="0" w:line="240" w:lineRule="auto"/>
              <w:rPr>
                <w:rFonts w:cs="Calibri"/>
                <w:sz w:val="20"/>
                <w:szCs w:val="20"/>
                <w:lang w:eastAsia="en-AU"/>
              </w:rPr>
            </w:pPr>
            <w:r w:rsidRPr="00512869">
              <w:rPr>
                <w:rFonts w:cs="Calibri"/>
                <w:sz w:val="20"/>
                <w:szCs w:val="20"/>
                <w:lang w:eastAsia="en-AU"/>
              </w:rPr>
              <w:t>Period Date Range</w:t>
            </w:r>
          </w:p>
        </w:tc>
        <w:tc>
          <w:tcPr>
            <w:tcW w:w="1561" w:type="dxa"/>
            <w:tcBorders>
              <w:top w:val="single" w:sz="4" w:space="0" w:color="auto"/>
              <w:left w:val="nil"/>
              <w:bottom w:val="single" w:sz="4" w:space="0" w:color="auto"/>
              <w:right w:val="single" w:sz="4" w:space="0" w:color="auto"/>
            </w:tcBorders>
            <w:shd w:val="clear" w:color="auto" w:fill="F2F2F2" w:themeFill="background1" w:themeFillShade="F2"/>
            <w:hideMark/>
          </w:tcPr>
          <w:p w:rsidR="00761814" w:rsidRPr="00512869" w:rsidRDefault="00761814" w:rsidP="00761814">
            <w:pPr>
              <w:spacing w:before="0" w:after="0" w:line="240" w:lineRule="auto"/>
              <w:jc w:val="center"/>
              <w:rPr>
                <w:rFonts w:cs="Calibri"/>
                <w:sz w:val="20"/>
                <w:szCs w:val="20"/>
                <w:lang w:eastAsia="en-AU"/>
              </w:rPr>
            </w:pPr>
            <w:r w:rsidRPr="00512869">
              <w:rPr>
                <w:rFonts w:cs="Calibri"/>
                <w:sz w:val="20"/>
                <w:szCs w:val="20"/>
                <w:lang w:eastAsia="en-AU"/>
              </w:rPr>
              <w:t>Electricity sales-related emissions</w:t>
            </w:r>
            <w:r w:rsidRPr="00512869">
              <w:rPr>
                <w:rFonts w:cs="Calibri"/>
                <w:sz w:val="20"/>
                <w:szCs w:val="20"/>
                <w:lang w:eastAsia="en-AU"/>
              </w:rPr>
              <w:br/>
              <w:t>(ktCO2-e)</w:t>
            </w:r>
          </w:p>
        </w:tc>
        <w:tc>
          <w:tcPr>
            <w:tcW w:w="1660" w:type="dxa"/>
            <w:tcBorders>
              <w:top w:val="single" w:sz="4" w:space="0" w:color="auto"/>
              <w:left w:val="nil"/>
              <w:bottom w:val="single" w:sz="4" w:space="0" w:color="auto"/>
              <w:right w:val="single" w:sz="4" w:space="0" w:color="auto"/>
            </w:tcBorders>
            <w:shd w:val="clear" w:color="auto" w:fill="F2F2F2" w:themeFill="background1" w:themeFillShade="F2"/>
            <w:hideMark/>
          </w:tcPr>
          <w:p w:rsidR="00761814" w:rsidRPr="00512869" w:rsidRDefault="00761814" w:rsidP="00761814">
            <w:pPr>
              <w:spacing w:before="0" w:after="0" w:line="240" w:lineRule="auto"/>
              <w:jc w:val="center"/>
              <w:rPr>
                <w:rFonts w:cs="Calibri"/>
                <w:sz w:val="20"/>
                <w:szCs w:val="20"/>
                <w:lang w:eastAsia="en-AU"/>
              </w:rPr>
            </w:pPr>
            <w:r w:rsidRPr="00512869">
              <w:rPr>
                <w:rFonts w:cs="Calibri"/>
                <w:sz w:val="20"/>
                <w:szCs w:val="20"/>
                <w:lang w:eastAsia="en-AU"/>
              </w:rPr>
              <w:t>Lifetime abatement of eligible activities achieved</w:t>
            </w:r>
            <w:r w:rsidRPr="00512869">
              <w:rPr>
                <w:rFonts w:cs="Calibri"/>
                <w:sz w:val="20"/>
                <w:szCs w:val="20"/>
                <w:lang w:eastAsia="en-AU"/>
              </w:rPr>
              <w:br/>
              <w:t>(ktCO2-e)</w:t>
            </w:r>
          </w:p>
        </w:tc>
        <w:tc>
          <w:tcPr>
            <w:tcW w:w="1660" w:type="dxa"/>
            <w:tcBorders>
              <w:top w:val="single" w:sz="4" w:space="0" w:color="auto"/>
              <w:left w:val="nil"/>
              <w:bottom w:val="single" w:sz="4" w:space="0" w:color="auto"/>
              <w:right w:val="single" w:sz="4" w:space="0" w:color="auto"/>
            </w:tcBorders>
            <w:shd w:val="clear" w:color="auto" w:fill="F2F2F2" w:themeFill="background1" w:themeFillShade="F2"/>
            <w:hideMark/>
          </w:tcPr>
          <w:p w:rsidR="00761814" w:rsidRPr="00512869" w:rsidRDefault="00761814" w:rsidP="00761814">
            <w:pPr>
              <w:spacing w:before="0" w:after="0" w:line="240" w:lineRule="auto"/>
              <w:jc w:val="center"/>
              <w:rPr>
                <w:rFonts w:cs="Calibri"/>
                <w:sz w:val="20"/>
                <w:szCs w:val="20"/>
                <w:lang w:eastAsia="en-AU"/>
              </w:rPr>
            </w:pPr>
            <w:r w:rsidRPr="00512869">
              <w:rPr>
                <w:rFonts w:cs="Calibri"/>
                <w:sz w:val="20"/>
                <w:szCs w:val="20"/>
                <w:lang w:eastAsia="en-AU"/>
              </w:rPr>
              <w:t>Energy Savings Target</w:t>
            </w:r>
            <w:r w:rsidRPr="00512869">
              <w:rPr>
                <w:rFonts w:cs="Calibri"/>
                <w:sz w:val="20"/>
                <w:szCs w:val="20"/>
                <w:lang w:eastAsia="en-AU"/>
              </w:rPr>
              <w:br/>
              <w:t>(Not actual annual savings)</w:t>
            </w:r>
          </w:p>
        </w:tc>
        <w:tc>
          <w:tcPr>
            <w:tcW w:w="1660" w:type="dxa"/>
            <w:tcBorders>
              <w:top w:val="single" w:sz="4" w:space="0" w:color="auto"/>
              <w:left w:val="nil"/>
              <w:bottom w:val="single" w:sz="4" w:space="0" w:color="auto"/>
              <w:right w:val="single" w:sz="4" w:space="0" w:color="auto"/>
            </w:tcBorders>
            <w:shd w:val="clear" w:color="auto" w:fill="F2F2F2" w:themeFill="background1" w:themeFillShade="F2"/>
            <w:hideMark/>
          </w:tcPr>
          <w:p w:rsidR="00761814" w:rsidRPr="00512869" w:rsidRDefault="00761814" w:rsidP="00761814">
            <w:pPr>
              <w:spacing w:before="0" w:after="0" w:line="240" w:lineRule="auto"/>
              <w:jc w:val="center"/>
              <w:rPr>
                <w:rFonts w:cs="Calibri"/>
                <w:sz w:val="20"/>
                <w:szCs w:val="20"/>
                <w:lang w:eastAsia="en-AU"/>
              </w:rPr>
            </w:pPr>
            <w:r w:rsidRPr="00512869">
              <w:rPr>
                <w:rFonts w:cs="Calibri"/>
                <w:sz w:val="20"/>
                <w:szCs w:val="20"/>
                <w:lang w:eastAsia="en-AU"/>
              </w:rPr>
              <w:t>Annual pass-through costs</w:t>
            </w:r>
            <w:r w:rsidRPr="00512869">
              <w:rPr>
                <w:rFonts w:cs="Calibri"/>
                <w:sz w:val="20"/>
                <w:szCs w:val="20"/>
                <w:lang w:eastAsia="en-AU"/>
              </w:rPr>
              <w:br/>
              <w:t>($M)</w:t>
            </w:r>
          </w:p>
        </w:tc>
      </w:tr>
      <w:tr w:rsidR="00761814" w:rsidRPr="00512869" w:rsidTr="00761814">
        <w:trPr>
          <w:trHeight w:val="240"/>
        </w:trPr>
        <w:tc>
          <w:tcPr>
            <w:tcW w:w="1010" w:type="dxa"/>
            <w:tcBorders>
              <w:top w:val="nil"/>
              <w:left w:val="single" w:sz="4" w:space="0" w:color="auto"/>
              <w:bottom w:val="single" w:sz="4" w:space="0" w:color="auto"/>
              <w:right w:val="single" w:sz="4" w:space="0" w:color="auto"/>
            </w:tcBorders>
            <w:hideMark/>
          </w:tcPr>
          <w:p w:rsidR="00761814" w:rsidRPr="00512869" w:rsidRDefault="00761814" w:rsidP="00761814">
            <w:pPr>
              <w:spacing w:before="0" w:after="0" w:line="240" w:lineRule="auto"/>
              <w:rPr>
                <w:rFonts w:cs="Calibri"/>
                <w:sz w:val="20"/>
                <w:szCs w:val="20"/>
                <w:lang w:eastAsia="en-AU"/>
              </w:rPr>
            </w:pPr>
            <w:r w:rsidRPr="00512869">
              <w:rPr>
                <w:rFonts w:cs="Calibri"/>
                <w:sz w:val="20"/>
                <w:szCs w:val="20"/>
                <w:lang w:eastAsia="en-AU"/>
              </w:rPr>
              <w:t xml:space="preserve">Period </w:t>
            </w:r>
            <w:r w:rsidR="00512869" w:rsidRPr="00512869">
              <w:rPr>
                <w:rFonts w:cs="Calibri"/>
                <w:sz w:val="20"/>
                <w:szCs w:val="20"/>
                <w:lang w:eastAsia="en-AU"/>
              </w:rPr>
              <w:t>1</w:t>
            </w:r>
          </w:p>
        </w:tc>
        <w:tc>
          <w:tcPr>
            <w:tcW w:w="2409" w:type="dxa"/>
            <w:tcBorders>
              <w:top w:val="nil"/>
              <w:left w:val="nil"/>
              <w:bottom w:val="single" w:sz="4" w:space="0" w:color="auto"/>
              <w:right w:val="single" w:sz="4" w:space="0" w:color="auto"/>
            </w:tcBorders>
            <w:hideMark/>
          </w:tcPr>
          <w:p w:rsidR="00761814" w:rsidRPr="00512869" w:rsidRDefault="00761814" w:rsidP="00761814">
            <w:pPr>
              <w:spacing w:before="0" w:after="0" w:line="240" w:lineRule="auto"/>
              <w:rPr>
                <w:rFonts w:cs="Calibri"/>
                <w:sz w:val="20"/>
                <w:szCs w:val="20"/>
                <w:lang w:eastAsia="en-AU"/>
              </w:rPr>
            </w:pPr>
            <w:r w:rsidRPr="00512869">
              <w:rPr>
                <w:rFonts w:cs="Calibri"/>
                <w:sz w:val="20"/>
                <w:szCs w:val="20"/>
                <w:lang w:eastAsia="en-AU"/>
              </w:rPr>
              <w:t>1 Jan 2013 to 31 Dec 2013</w:t>
            </w:r>
          </w:p>
        </w:tc>
        <w:tc>
          <w:tcPr>
            <w:tcW w:w="1561" w:type="dxa"/>
            <w:tcBorders>
              <w:top w:val="nil"/>
              <w:left w:val="nil"/>
              <w:bottom w:val="single" w:sz="4" w:space="0" w:color="auto"/>
              <w:right w:val="single" w:sz="4" w:space="0" w:color="auto"/>
            </w:tcBorders>
            <w:hideMark/>
          </w:tcPr>
          <w:p w:rsidR="00761814" w:rsidRPr="00512869" w:rsidRDefault="00761814" w:rsidP="00761814">
            <w:pPr>
              <w:spacing w:before="0" w:after="0" w:line="240" w:lineRule="auto"/>
              <w:jc w:val="center"/>
              <w:rPr>
                <w:rFonts w:cs="Calibri"/>
                <w:sz w:val="20"/>
                <w:szCs w:val="20"/>
                <w:lang w:eastAsia="en-AU"/>
              </w:rPr>
            </w:pPr>
            <w:r w:rsidRPr="00512869">
              <w:rPr>
                <w:rFonts w:cs="Calibri"/>
                <w:sz w:val="20"/>
                <w:szCs w:val="20"/>
                <w:lang w:eastAsia="en-AU"/>
              </w:rPr>
              <w:t xml:space="preserve">2,679 </w:t>
            </w:r>
          </w:p>
        </w:tc>
        <w:tc>
          <w:tcPr>
            <w:tcW w:w="1660" w:type="dxa"/>
            <w:tcBorders>
              <w:top w:val="nil"/>
              <w:left w:val="nil"/>
              <w:bottom w:val="single" w:sz="4" w:space="0" w:color="auto"/>
              <w:right w:val="single" w:sz="4" w:space="0" w:color="auto"/>
            </w:tcBorders>
            <w:hideMark/>
          </w:tcPr>
          <w:p w:rsidR="00761814" w:rsidRPr="00512869" w:rsidRDefault="00761814" w:rsidP="00761814">
            <w:pPr>
              <w:spacing w:before="0" w:after="0" w:line="240" w:lineRule="auto"/>
              <w:jc w:val="center"/>
              <w:rPr>
                <w:rFonts w:cs="Calibri"/>
                <w:sz w:val="20"/>
                <w:szCs w:val="20"/>
                <w:lang w:eastAsia="en-AU"/>
              </w:rPr>
            </w:pPr>
            <w:r w:rsidRPr="00512869">
              <w:rPr>
                <w:rFonts w:cs="Calibri"/>
                <w:sz w:val="20"/>
                <w:szCs w:val="20"/>
                <w:lang w:eastAsia="en-AU"/>
              </w:rPr>
              <w:t xml:space="preserve">193.8 </w:t>
            </w:r>
          </w:p>
        </w:tc>
        <w:tc>
          <w:tcPr>
            <w:tcW w:w="1660" w:type="dxa"/>
            <w:tcBorders>
              <w:top w:val="nil"/>
              <w:left w:val="nil"/>
              <w:bottom w:val="single" w:sz="4" w:space="0" w:color="auto"/>
              <w:right w:val="single" w:sz="4" w:space="0" w:color="auto"/>
            </w:tcBorders>
            <w:hideMark/>
          </w:tcPr>
          <w:p w:rsidR="00761814" w:rsidRPr="00512869" w:rsidRDefault="00761814" w:rsidP="00761814">
            <w:pPr>
              <w:spacing w:before="0" w:after="0" w:line="240" w:lineRule="auto"/>
              <w:jc w:val="center"/>
              <w:rPr>
                <w:rFonts w:cs="Calibri"/>
                <w:sz w:val="20"/>
                <w:szCs w:val="20"/>
                <w:lang w:eastAsia="en-AU"/>
              </w:rPr>
            </w:pPr>
            <w:r w:rsidRPr="00512869">
              <w:rPr>
                <w:rFonts w:cs="Calibri"/>
                <w:sz w:val="20"/>
                <w:szCs w:val="20"/>
                <w:lang w:eastAsia="en-AU"/>
              </w:rPr>
              <w:t>7.2%</w:t>
            </w:r>
          </w:p>
        </w:tc>
        <w:tc>
          <w:tcPr>
            <w:tcW w:w="1660" w:type="dxa"/>
            <w:tcBorders>
              <w:top w:val="nil"/>
              <w:left w:val="nil"/>
              <w:bottom w:val="single" w:sz="4" w:space="0" w:color="auto"/>
              <w:right w:val="single" w:sz="4" w:space="0" w:color="auto"/>
            </w:tcBorders>
            <w:shd w:val="clear" w:color="000000" w:fill="FFFFFF"/>
            <w:noWrap/>
            <w:hideMark/>
          </w:tcPr>
          <w:p w:rsidR="00761814" w:rsidRPr="00512869" w:rsidRDefault="00761814" w:rsidP="00761814">
            <w:pPr>
              <w:spacing w:before="0" w:after="0" w:line="240" w:lineRule="auto"/>
              <w:jc w:val="center"/>
              <w:rPr>
                <w:rFonts w:cs="Calibri"/>
                <w:sz w:val="20"/>
                <w:szCs w:val="20"/>
                <w:lang w:eastAsia="en-AU"/>
              </w:rPr>
            </w:pPr>
            <w:r w:rsidRPr="00512869">
              <w:rPr>
                <w:rFonts w:cs="Calibri"/>
                <w:sz w:val="20"/>
                <w:szCs w:val="20"/>
                <w:lang w:eastAsia="en-AU"/>
              </w:rPr>
              <w:t>$7.2</w:t>
            </w:r>
          </w:p>
        </w:tc>
      </w:tr>
      <w:tr w:rsidR="00761814" w:rsidRPr="00512869" w:rsidTr="00761814">
        <w:trPr>
          <w:trHeight w:val="240"/>
        </w:trPr>
        <w:tc>
          <w:tcPr>
            <w:tcW w:w="1010" w:type="dxa"/>
            <w:tcBorders>
              <w:top w:val="nil"/>
              <w:left w:val="single" w:sz="4" w:space="0" w:color="auto"/>
              <w:bottom w:val="single" w:sz="4" w:space="0" w:color="auto"/>
              <w:right w:val="single" w:sz="4" w:space="0" w:color="auto"/>
            </w:tcBorders>
            <w:hideMark/>
          </w:tcPr>
          <w:p w:rsidR="00761814" w:rsidRPr="00512869" w:rsidRDefault="00761814" w:rsidP="00761814">
            <w:pPr>
              <w:spacing w:before="0" w:after="0" w:line="240" w:lineRule="auto"/>
              <w:rPr>
                <w:rFonts w:cs="Calibri"/>
                <w:sz w:val="20"/>
                <w:szCs w:val="20"/>
                <w:lang w:eastAsia="en-AU"/>
              </w:rPr>
            </w:pPr>
            <w:r w:rsidRPr="00512869">
              <w:rPr>
                <w:rFonts w:cs="Calibri"/>
                <w:sz w:val="20"/>
                <w:szCs w:val="20"/>
                <w:lang w:eastAsia="en-AU"/>
              </w:rPr>
              <w:t xml:space="preserve">Period </w:t>
            </w:r>
            <w:r w:rsidR="00512869" w:rsidRPr="00512869">
              <w:rPr>
                <w:rFonts w:cs="Calibri"/>
                <w:sz w:val="20"/>
                <w:szCs w:val="20"/>
                <w:lang w:eastAsia="en-AU"/>
              </w:rPr>
              <w:t>2</w:t>
            </w:r>
          </w:p>
        </w:tc>
        <w:tc>
          <w:tcPr>
            <w:tcW w:w="2409" w:type="dxa"/>
            <w:tcBorders>
              <w:top w:val="nil"/>
              <w:left w:val="nil"/>
              <w:bottom w:val="single" w:sz="4" w:space="0" w:color="auto"/>
              <w:right w:val="single" w:sz="4" w:space="0" w:color="auto"/>
            </w:tcBorders>
            <w:hideMark/>
          </w:tcPr>
          <w:p w:rsidR="00761814" w:rsidRPr="00512869" w:rsidRDefault="00761814" w:rsidP="00761814">
            <w:pPr>
              <w:spacing w:before="0" w:after="0" w:line="240" w:lineRule="auto"/>
              <w:rPr>
                <w:rFonts w:cs="Calibri"/>
                <w:sz w:val="20"/>
                <w:szCs w:val="20"/>
                <w:lang w:eastAsia="en-AU"/>
              </w:rPr>
            </w:pPr>
            <w:r w:rsidRPr="00512869">
              <w:rPr>
                <w:rFonts w:cs="Calibri"/>
                <w:sz w:val="20"/>
                <w:szCs w:val="20"/>
                <w:lang w:eastAsia="en-AU"/>
              </w:rPr>
              <w:t>1 Jan 2014 to 31 Dec 2014</w:t>
            </w:r>
          </w:p>
        </w:tc>
        <w:tc>
          <w:tcPr>
            <w:tcW w:w="1561" w:type="dxa"/>
            <w:tcBorders>
              <w:top w:val="nil"/>
              <w:left w:val="nil"/>
              <w:bottom w:val="single" w:sz="4" w:space="0" w:color="auto"/>
              <w:right w:val="single" w:sz="4" w:space="0" w:color="auto"/>
            </w:tcBorders>
            <w:hideMark/>
          </w:tcPr>
          <w:p w:rsidR="00761814" w:rsidRPr="00512869" w:rsidRDefault="00761814" w:rsidP="00761814">
            <w:pPr>
              <w:spacing w:before="0" w:after="0" w:line="240" w:lineRule="auto"/>
              <w:jc w:val="center"/>
              <w:rPr>
                <w:rFonts w:cs="Calibri"/>
                <w:sz w:val="20"/>
                <w:szCs w:val="20"/>
                <w:lang w:eastAsia="en-AU"/>
              </w:rPr>
            </w:pPr>
            <w:r w:rsidRPr="00512869">
              <w:rPr>
                <w:rFonts w:cs="Calibri"/>
                <w:sz w:val="20"/>
                <w:szCs w:val="20"/>
                <w:lang w:eastAsia="en-AU"/>
              </w:rPr>
              <w:t xml:space="preserve">2,581 </w:t>
            </w:r>
          </w:p>
        </w:tc>
        <w:tc>
          <w:tcPr>
            <w:tcW w:w="1660" w:type="dxa"/>
            <w:tcBorders>
              <w:top w:val="nil"/>
              <w:left w:val="nil"/>
              <w:bottom w:val="single" w:sz="4" w:space="0" w:color="auto"/>
              <w:right w:val="single" w:sz="4" w:space="0" w:color="auto"/>
            </w:tcBorders>
            <w:hideMark/>
          </w:tcPr>
          <w:p w:rsidR="00761814" w:rsidRPr="00512869" w:rsidRDefault="00512869" w:rsidP="00761814">
            <w:pPr>
              <w:spacing w:before="0" w:after="0" w:line="240" w:lineRule="auto"/>
              <w:jc w:val="center"/>
              <w:rPr>
                <w:rFonts w:cs="Calibri"/>
                <w:sz w:val="20"/>
                <w:szCs w:val="20"/>
                <w:lang w:eastAsia="en-AU"/>
              </w:rPr>
            </w:pPr>
            <w:r w:rsidRPr="00512869">
              <w:rPr>
                <w:rFonts w:cs="Calibri"/>
                <w:sz w:val="20"/>
                <w:szCs w:val="20"/>
                <w:lang w:eastAsia="en-AU"/>
              </w:rPr>
              <w:t>339.1</w:t>
            </w:r>
            <w:r w:rsidR="00761814" w:rsidRPr="00512869">
              <w:rPr>
                <w:rFonts w:cs="Calibri"/>
                <w:sz w:val="20"/>
                <w:szCs w:val="20"/>
                <w:lang w:eastAsia="en-AU"/>
              </w:rPr>
              <w:t xml:space="preserve"> </w:t>
            </w:r>
          </w:p>
        </w:tc>
        <w:tc>
          <w:tcPr>
            <w:tcW w:w="1660" w:type="dxa"/>
            <w:tcBorders>
              <w:top w:val="nil"/>
              <w:left w:val="nil"/>
              <w:bottom w:val="single" w:sz="4" w:space="0" w:color="auto"/>
              <w:right w:val="single" w:sz="4" w:space="0" w:color="auto"/>
            </w:tcBorders>
            <w:hideMark/>
          </w:tcPr>
          <w:p w:rsidR="00761814" w:rsidRPr="00512869" w:rsidRDefault="00512869" w:rsidP="00761814">
            <w:pPr>
              <w:spacing w:before="0" w:after="0" w:line="240" w:lineRule="auto"/>
              <w:jc w:val="center"/>
              <w:rPr>
                <w:rFonts w:cs="Calibri"/>
                <w:sz w:val="20"/>
                <w:szCs w:val="20"/>
                <w:lang w:eastAsia="en-AU"/>
              </w:rPr>
            </w:pPr>
            <w:r w:rsidRPr="00512869">
              <w:rPr>
                <w:rFonts w:cs="Calibri"/>
                <w:sz w:val="20"/>
                <w:szCs w:val="20"/>
                <w:lang w:eastAsia="en-AU"/>
              </w:rPr>
              <w:t>13.1</w:t>
            </w:r>
            <w:r w:rsidR="00761814" w:rsidRPr="00512869">
              <w:rPr>
                <w:rFonts w:cs="Calibri"/>
                <w:sz w:val="20"/>
                <w:szCs w:val="20"/>
                <w:lang w:eastAsia="en-AU"/>
              </w:rPr>
              <w:t>%</w:t>
            </w:r>
          </w:p>
        </w:tc>
        <w:tc>
          <w:tcPr>
            <w:tcW w:w="1660" w:type="dxa"/>
            <w:tcBorders>
              <w:top w:val="nil"/>
              <w:left w:val="nil"/>
              <w:bottom w:val="single" w:sz="4" w:space="0" w:color="auto"/>
              <w:right w:val="single" w:sz="4" w:space="0" w:color="auto"/>
            </w:tcBorders>
            <w:shd w:val="clear" w:color="000000" w:fill="FFFFFF"/>
            <w:noWrap/>
            <w:hideMark/>
          </w:tcPr>
          <w:p w:rsidR="00761814" w:rsidRPr="00512869" w:rsidRDefault="00761814" w:rsidP="00512869">
            <w:pPr>
              <w:spacing w:before="0" w:after="0" w:line="240" w:lineRule="auto"/>
              <w:jc w:val="center"/>
              <w:rPr>
                <w:rFonts w:cs="Calibri"/>
                <w:sz w:val="20"/>
                <w:szCs w:val="20"/>
                <w:lang w:eastAsia="en-AU"/>
              </w:rPr>
            </w:pPr>
            <w:r w:rsidRPr="00512869">
              <w:rPr>
                <w:rFonts w:cs="Calibri"/>
                <w:sz w:val="20"/>
                <w:szCs w:val="20"/>
                <w:lang w:eastAsia="en-AU"/>
              </w:rPr>
              <w:t>$</w:t>
            </w:r>
            <w:r w:rsidR="00512869" w:rsidRPr="00512869">
              <w:rPr>
                <w:rFonts w:cs="Calibri"/>
                <w:sz w:val="20"/>
                <w:szCs w:val="20"/>
                <w:lang w:eastAsia="en-AU"/>
              </w:rPr>
              <w:t>12.6</w:t>
            </w:r>
          </w:p>
        </w:tc>
      </w:tr>
      <w:tr w:rsidR="00761814" w:rsidRPr="00761814" w:rsidTr="006177EF">
        <w:trPr>
          <w:trHeight w:val="70"/>
        </w:trPr>
        <w:tc>
          <w:tcPr>
            <w:tcW w:w="1010" w:type="dxa"/>
            <w:tcBorders>
              <w:top w:val="nil"/>
              <w:left w:val="single" w:sz="4" w:space="0" w:color="auto"/>
              <w:bottom w:val="single" w:sz="4" w:space="0" w:color="auto"/>
              <w:right w:val="single" w:sz="4" w:space="0" w:color="auto"/>
            </w:tcBorders>
            <w:hideMark/>
          </w:tcPr>
          <w:p w:rsidR="00761814" w:rsidRPr="00512869" w:rsidRDefault="00761814" w:rsidP="00761814">
            <w:pPr>
              <w:spacing w:before="0" w:after="0" w:line="240" w:lineRule="auto"/>
              <w:rPr>
                <w:rFonts w:cs="Calibri"/>
                <w:sz w:val="20"/>
                <w:szCs w:val="20"/>
                <w:lang w:eastAsia="en-AU"/>
              </w:rPr>
            </w:pPr>
            <w:r w:rsidRPr="00512869">
              <w:rPr>
                <w:rFonts w:cs="Calibri"/>
                <w:sz w:val="20"/>
                <w:szCs w:val="20"/>
                <w:lang w:eastAsia="en-AU"/>
              </w:rPr>
              <w:t xml:space="preserve">Period </w:t>
            </w:r>
            <w:r w:rsidR="00512869" w:rsidRPr="00512869">
              <w:rPr>
                <w:rFonts w:cs="Calibri"/>
                <w:sz w:val="20"/>
                <w:szCs w:val="20"/>
                <w:lang w:eastAsia="en-AU"/>
              </w:rPr>
              <w:t>3</w:t>
            </w:r>
          </w:p>
        </w:tc>
        <w:tc>
          <w:tcPr>
            <w:tcW w:w="2409" w:type="dxa"/>
            <w:tcBorders>
              <w:top w:val="nil"/>
              <w:left w:val="nil"/>
              <w:bottom w:val="single" w:sz="4" w:space="0" w:color="auto"/>
              <w:right w:val="single" w:sz="4" w:space="0" w:color="auto"/>
            </w:tcBorders>
            <w:hideMark/>
          </w:tcPr>
          <w:p w:rsidR="00761814" w:rsidRPr="00512869" w:rsidRDefault="00761814" w:rsidP="00761814">
            <w:pPr>
              <w:spacing w:before="0" w:after="0" w:line="240" w:lineRule="auto"/>
              <w:rPr>
                <w:rFonts w:cs="Calibri"/>
                <w:sz w:val="20"/>
                <w:szCs w:val="20"/>
                <w:lang w:eastAsia="en-AU"/>
              </w:rPr>
            </w:pPr>
            <w:r w:rsidRPr="00512869">
              <w:rPr>
                <w:rFonts w:cs="Calibri"/>
                <w:sz w:val="20"/>
                <w:szCs w:val="20"/>
                <w:lang w:eastAsia="en-AU"/>
              </w:rPr>
              <w:t>1 Jan 2015 to 31 Dec 2015</w:t>
            </w:r>
          </w:p>
        </w:tc>
        <w:tc>
          <w:tcPr>
            <w:tcW w:w="1561" w:type="dxa"/>
            <w:tcBorders>
              <w:top w:val="nil"/>
              <w:left w:val="nil"/>
              <w:bottom w:val="single" w:sz="4" w:space="0" w:color="auto"/>
              <w:right w:val="single" w:sz="4" w:space="0" w:color="auto"/>
            </w:tcBorders>
            <w:hideMark/>
          </w:tcPr>
          <w:p w:rsidR="00761814" w:rsidRPr="00512869" w:rsidRDefault="00761814" w:rsidP="00761814">
            <w:pPr>
              <w:spacing w:before="0" w:after="0" w:line="240" w:lineRule="auto"/>
              <w:jc w:val="center"/>
              <w:rPr>
                <w:rFonts w:cs="Calibri"/>
                <w:sz w:val="20"/>
                <w:szCs w:val="20"/>
                <w:lang w:eastAsia="en-AU"/>
              </w:rPr>
            </w:pPr>
            <w:r w:rsidRPr="00512869">
              <w:rPr>
                <w:rFonts w:cs="Calibri"/>
                <w:sz w:val="20"/>
                <w:szCs w:val="20"/>
                <w:lang w:eastAsia="en-AU"/>
              </w:rPr>
              <w:t xml:space="preserve">2,499 </w:t>
            </w:r>
          </w:p>
        </w:tc>
        <w:tc>
          <w:tcPr>
            <w:tcW w:w="1660" w:type="dxa"/>
            <w:tcBorders>
              <w:top w:val="nil"/>
              <w:left w:val="nil"/>
              <w:bottom w:val="single" w:sz="4" w:space="0" w:color="auto"/>
              <w:right w:val="single" w:sz="4" w:space="0" w:color="auto"/>
            </w:tcBorders>
            <w:hideMark/>
          </w:tcPr>
          <w:p w:rsidR="00761814" w:rsidRPr="00512869" w:rsidRDefault="00512869" w:rsidP="00761814">
            <w:pPr>
              <w:spacing w:before="0" w:after="0" w:line="240" w:lineRule="auto"/>
              <w:jc w:val="center"/>
              <w:rPr>
                <w:rFonts w:cs="Calibri"/>
                <w:sz w:val="20"/>
                <w:szCs w:val="20"/>
                <w:lang w:eastAsia="en-AU"/>
              </w:rPr>
            </w:pPr>
            <w:r w:rsidRPr="00512869">
              <w:rPr>
                <w:rFonts w:cs="Calibri"/>
                <w:sz w:val="20"/>
                <w:szCs w:val="20"/>
                <w:lang w:eastAsia="en-AU"/>
              </w:rPr>
              <w:t>339.2</w:t>
            </w:r>
          </w:p>
        </w:tc>
        <w:tc>
          <w:tcPr>
            <w:tcW w:w="1660" w:type="dxa"/>
            <w:tcBorders>
              <w:top w:val="nil"/>
              <w:left w:val="nil"/>
              <w:bottom w:val="single" w:sz="4" w:space="0" w:color="auto"/>
              <w:right w:val="single" w:sz="4" w:space="0" w:color="auto"/>
            </w:tcBorders>
            <w:hideMark/>
          </w:tcPr>
          <w:p w:rsidR="00761814" w:rsidRPr="00512869" w:rsidRDefault="00512869" w:rsidP="00761814">
            <w:pPr>
              <w:spacing w:before="0" w:after="0" w:line="240" w:lineRule="auto"/>
              <w:jc w:val="center"/>
              <w:rPr>
                <w:rFonts w:cs="Calibri"/>
                <w:sz w:val="20"/>
                <w:szCs w:val="20"/>
                <w:lang w:eastAsia="en-AU"/>
              </w:rPr>
            </w:pPr>
            <w:r w:rsidRPr="00512869">
              <w:rPr>
                <w:rFonts w:cs="Calibri"/>
                <w:sz w:val="20"/>
                <w:szCs w:val="20"/>
                <w:lang w:eastAsia="en-AU"/>
              </w:rPr>
              <w:t>13.6</w:t>
            </w:r>
            <w:r w:rsidR="00761814" w:rsidRPr="00512869">
              <w:rPr>
                <w:rFonts w:cs="Calibri"/>
                <w:sz w:val="20"/>
                <w:szCs w:val="20"/>
                <w:lang w:eastAsia="en-AU"/>
              </w:rPr>
              <w:t>%</w:t>
            </w:r>
          </w:p>
        </w:tc>
        <w:tc>
          <w:tcPr>
            <w:tcW w:w="1660" w:type="dxa"/>
            <w:tcBorders>
              <w:top w:val="nil"/>
              <w:left w:val="nil"/>
              <w:bottom w:val="single" w:sz="4" w:space="0" w:color="auto"/>
              <w:right w:val="single" w:sz="4" w:space="0" w:color="auto"/>
            </w:tcBorders>
            <w:shd w:val="clear" w:color="000000" w:fill="FFFFFF"/>
            <w:noWrap/>
            <w:hideMark/>
          </w:tcPr>
          <w:p w:rsidR="00761814" w:rsidRPr="00512869" w:rsidRDefault="00761814" w:rsidP="00512869">
            <w:pPr>
              <w:spacing w:before="0" w:after="0" w:line="240" w:lineRule="auto"/>
              <w:jc w:val="center"/>
              <w:rPr>
                <w:rFonts w:cs="Calibri"/>
                <w:sz w:val="20"/>
                <w:szCs w:val="20"/>
                <w:lang w:eastAsia="en-AU"/>
              </w:rPr>
            </w:pPr>
            <w:r w:rsidRPr="00512869">
              <w:rPr>
                <w:rFonts w:cs="Calibri"/>
                <w:sz w:val="20"/>
                <w:szCs w:val="20"/>
                <w:lang w:eastAsia="en-AU"/>
              </w:rPr>
              <w:t>$</w:t>
            </w:r>
            <w:r w:rsidR="00512869" w:rsidRPr="00512869">
              <w:rPr>
                <w:rFonts w:cs="Calibri"/>
                <w:sz w:val="20"/>
                <w:szCs w:val="20"/>
                <w:lang w:eastAsia="en-AU"/>
              </w:rPr>
              <w:t>12.6</w:t>
            </w:r>
          </w:p>
        </w:tc>
      </w:tr>
    </w:tbl>
    <w:p w:rsidR="00D404FA" w:rsidRPr="00761814" w:rsidRDefault="00761814" w:rsidP="00D404FA">
      <w:pPr>
        <w:rPr>
          <w:i/>
          <w:sz w:val="20"/>
          <w:szCs w:val="20"/>
        </w:rPr>
      </w:pPr>
      <w:r w:rsidRPr="00761814">
        <w:rPr>
          <w:i/>
          <w:sz w:val="20"/>
          <w:szCs w:val="20"/>
        </w:rPr>
        <w:t xml:space="preserve">* </w:t>
      </w:r>
      <w:r w:rsidR="00D404FA" w:rsidRPr="00761814">
        <w:rPr>
          <w:i/>
          <w:sz w:val="20"/>
          <w:szCs w:val="20"/>
        </w:rPr>
        <w:t xml:space="preserve">It is important to note that </w:t>
      </w:r>
      <w:r w:rsidR="00D86A0C">
        <w:rPr>
          <w:i/>
          <w:sz w:val="20"/>
          <w:szCs w:val="20"/>
        </w:rPr>
        <w:t>S</w:t>
      </w:r>
      <w:r w:rsidR="00D404FA" w:rsidRPr="00761814">
        <w:rPr>
          <w:i/>
          <w:sz w:val="20"/>
          <w:szCs w:val="20"/>
        </w:rPr>
        <w:t>cheme Energy Savings Targets reflect the total life-cycle energy savings of activities undertaken in a given year (rather than actual reductions in a year) as a percentage of a supplier’s own emissions (emissions associated with their own electricity sales).</w:t>
      </w:r>
    </w:p>
    <w:p w:rsidR="00F46A33" w:rsidRDefault="00F46A33" w:rsidP="00D404FA">
      <w:r w:rsidRPr="00A17F2F">
        <w:t>For the selected scenario, a total implementation cost of approximately $77.6M would be associated with the Scheme – based on the installed unit cost and estimated actual total program uptake.</w:t>
      </w:r>
    </w:p>
    <w:p w:rsidR="00761814" w:rsidRDefault="00D404FA" w:rsidP="00D404FA">
      <w:r>
        <w:t xml:space="preserve">It is not appropriate to compare annual targets among jurisdictional schemes as different methodologies apply. For example, </w:t>
      </w:r>
      <w:r w:rsidR="00D86A0C">
        <w:t xml:space="preserve">ESDD’s </w:t>
      </w:r>
      <w:r>
        <w:t xml:space="preserve">modelling takes account of the reduction in emissions intensity of electricity resulting from the expanded </w:t>
      </w:r>
      <w:r w:rsidR="001F2F34">
        <w:t>Commonwealth</w:t>
      </w:r>
      <w:r>
        <w:t xml:space="preserve"> </w:t>
      </w:r>
      <w:r w:rsidR="00D86A0C">
        <w:t>R</w:t>
      </w:r>
      <w:r>
        <w:t xml:space="preserve">enewable </w:t>
      </w:r>
      <w:r w:rsidR="00D86A0C">
        <w:t>E</w:t>
      </w:r>
      <w:r>
        <w:t xml:space="preserve">nergy </w:t>
      </w:r>
      <w:r w:rsidR="00D86A0C">
        <w:t>T</w:t>
      </w:r>
      <w:r>
        <w:t>arget and a price on carbon. This has the effect of substantially reducing the level of emissions associated with a given activity over its lifetime. Further, Scheme targets in the ACT are applied to electricity supplier sales only, rather than electricity and gas supplier sales. This has the effect of making targets, expressed in percentage terms, higher than they would otherwise</w:t>
      </w:r>
      <w:r w:rsidR="003E708E">
        <w:t xml:space="preserve"> be</w:t>
      </w:r>
      <w:r>
        <w:t>.</w:t>
      </w:r>
    </w:p>
    <w:p w:rsidR="00761814" w:rsidRDefault="00761814" w:rsidP="00D404FA">
      <w:r>
        <w:t>While the overall the ambition of the Scheme is considered to be greater than other jurisdictional schemes, reliable benchmark data is not currently available for the purposes of making this comparison.</w:t>
      </w:r>
    </w:p>
    <w:p w:rsidR="00924ABB" w:rsidRPr="00814E9D" w:rsidRDefault="00E5522E" w:rsidP="00361391">
      <w:pPr>
        <w:pStyle w:val="Caption"/>
        <w:keepNext/>
      </w:pPr>
      <w:bookmarkStart w:id="112" w:name="_Ref306801128"/>
      <w:bookmarkStart w:id="113" w:name="_Ref306801135"/>
      <w:r w:rsidRPr="00D44761">
        <w:t xml:space="preserve">Figure </w:t>
      </w:r>
      <w:r w:rsidR="006F5BB0">
        <w:rPr>
          <w:noProof/>
        </w:rPr>
        <w:fldChar w:fldCharType="begin"/>
      </w:r>
      <w:r w:rsidR="006F5BB0">
        <w:rPr>
          <w:noProof/>
        </w:rPr>
        <w:instrText xml:space="preserve"> SEQ Figure \* ARABIC </w:instrText>
      </w:r>
      <w:r w:rsidR="006F5BB0">
        <w:rPr>
          <w:noProof/>
        </w:rPr>
        <w:fldChar w:fldCharType="separate"/>
      </w:r>
      <w:r w:rsidR="00681D6A">
        <w:rPr>
          <w:noProof/>
        </w:rPr>
        <w:t>12</w:t>
      </w:r>
      <w:r w:rsidR="006F5BB0">
        <w:rPr>
          <w:noProof/>
        </w:rPr>
        <w:fldChar w:fldCharType="end"/>
      </w:r>
      <w:bookmarkEnd w:id="112"/>
      <w:r w:rsidRPr="00D44761">
        <w:t xml:space="preserve">: </w:t>
      </w:r>
      <w:bookmarkStart w:id="114" w:name="_Ref306801141"/>
      <w:r w:rsidRPr="00D44761">
        <w:t>Lifetime emissions reductions</w:t>
      </w:r>
      <w:bookmarkEnd w:id="113"/>
      <w:bookmarkEnd w:id="114"/>
      <w:r w:rsidRPr="00D44761">
        <w:t xml:space="preserve"> associated with activities implemented in each period</w:t>
      </w:r>
    </w:p>
    <w:p w:rsidR="00316A3A" w:rsidRDefault="006D6234" w:rsidP="00671649">
      <w:r w:rsidRPr="003A52A1">
        <w:rPr>
          <w:noProof/>
          <w:lang w:eastAsia="en-AU"/>
        </w:rPr>
        <w:drawing>
          <wp:inline distT="0" distB="0" distL="0" distR="0">
            <wp:extent cx="5734050" cy="3724275"/>
            <wp:effectExtent l="0" t="0" r="0" b="0"/>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404FA" w:rsidRPr="00B9662B" w:rsidRDefault="00D404FA" w:rsidP="004F7A03">
      <w:pPr>
        <w:pStyle w:val="Heading3"/>
      </w:pPr>
      <w:r w:rsidRPr="00B9662B">
        <w:t>Shortfall penalty and Energy Savings Contribution rates</w:t>
      </w:r>
    </w:p>
    <w:p w:rsidR="009B024A" w:rsidRPr="00A22A08" w:rsidRDefault="00D404FA" w:rsidP="009B024A">
      <w:pPr>
        <w:rPr>
          <w:rFonts w:cs="Calibri"/>
          <w:lang w:eastAsia="en-AU"/>
        </w:rPr>
      </w:pPr>
      <w:r w:rsidRPr="00B9662B">
        <w:t xml:space="preserve">Targeting abatement </w:t>
      </w:r>
      <w:r w:rsidR="009B024A" w:rsidRPr="00B9662B">
        <w:t>at a capped cash incentive of</w:t>
      </w:r>
      <w:r w:rsidRPr="00B9662B">
        <w:t xml:space="preserve"> $</w:t>
      </w:r>
      <w:r w:rsidR="00D51CBB" w:rsidRPr="00B9662B">
        <w:t>6</w:t>
      </w:r>
      <w:r w:rsidRPr="00B9662B">
        <w:t xml:space="preserve">0/t CO2-e results in </w:t>
      </w:r>
      <w:r w:rsidR="009B024A" w:rsidRPr="00B9662B">
        <w:t>an estimated average cost of $3</w:t>
      </w:r>
      <w:r w:rsidR="00D51CBB" w:rsidRPr="00B9662B">
        <w:t>7</w:t>
      </w:r>
      <w:r w:rsidR="009B024A" w:rsidRPr="00B9662B">
        <w:t xml:space="preserve">/t CO2-e for a </w:t>
      </w:r>
      <w:r w:rsidR="00D51CBB" w:rsidRPr="00B9662B">
        <w:t>T</w:t>
      </w:r>
      <w:r w:rsidR="009B024A" w:rsidRPr="00B9662B">
        <w:t xml:space="preserve">ier 1 supplier. </w:t>
      </w:r>
      <w:r w:rsidR="009B024A" w:rsidRPr="00D86A0C">
        <w:rPr>
          <w:rFonts w:cs="Calibri"/>
        </w:rPr>
        <w:t xml:space="preserve">This takes into account </w:t>
      </w:r>
      <w:r w:rsidR="00D6475A" w:rsidRPr="00A22A08">
        <w:rPr>
          <w:rFonts w:cs="Calibri"/>
          <w:lang w:eastAsia="en-AU"/>
        </w:rPr>
        <w:t xml:space="preserve">the increased cost burden of ActewAGL meeting the Priority Household Target. As a result, a contribution rate of $37/tCO2e payable by Tier 2 suppliers is appropriate. </w:t>
      </w:r>
    </w:p>
    <w:p w:rsidR="00D404FA" w:rsidRPr="00550A53" w:rsidRDefault="00D6475A" w:rsidP="009B024A">
      <w:pPr>
        <w:rPr>
          <w:rFonts w:cs="Calibri"/>
        </w:rPr>
      </w:pPr>
      <w:r w:rsidRPr="00A22A08">
        <w:rPr>
          <w:rFonts w:cs="Calibri"/>
          <w:lang w:eastAsia="en-AU"/>
        </w:rPr>
        <w:t xml:space="preserve">A penalty rate set at </w:t>
      </w:r>
      <w:r w:rsidR="00D51CBB" w:rsidRPr="00550A53">
        <w:rPr>
          <w:rFonts w:cs="Calibri"/>
        </w:rPr>
        <w:t xml:space="preserve">$70/t CO2-e </w:t>
      </w:r>
      <w:r w:rsidRPr="00A22A08">
        <w:rPr>
          <w:rFonts w:cs="Calibri"/>
          <w:lang w:eastAsia="en-AU"/>
        </w:rPr>
        <w:t xml:space="preserve">should provide a strong incentive for suppliers to comply through the delivery of energy savings activities up to that amount. However, setting the target based on a $60 incentive cap rates means that, in principle, suppliers should not need to spend that much to achieve their energy savings obligations. </w:t>
      </w:r>
      <w:r w:rsidR="0053662E" w:rsidRPr="00550A53">
        <w:rPr>
          <w:rFonts w:cs="Calibri"/>
        </w:rPr>
        <w:t xml:space="preserve">It should be expected that </w:t>
      </w:r>
      <w:r w:rsidR="006C4EDD" w:rsidRPr="00550A53">
        <w:rPr>
          <w:rFonts w:cs="Calibri"/>
        </w:rPr>
        <w:t>p</w:t>
      </w:r>
      <w:r w:rsidR="0053662E" w:rsidRPr="00550A53">
        <w:rPr>
          <w:rFonts w:cs="Calibri"/>
        </w:rPr>
        <w:t>enalty rates in the ACT would be moderate to high in proportion to the level of ambition of the Scheme.</w:t>
      </w:r>
      <w:r w:rsidR="00D51CBB" w:rsidRPr="00550A53">
        <w:rPr>
          <w:rFonts w:cs="Calibri"/>
        </w:rPr>
        <w:t xml:space="preserve"> A penalty rate of $70/t CO2-e is higher than rates in Victoria and NSW and less than rates under the South Australian REES Scheme</w:t>
      </w:r>
      <w:r w:rsidR="00550A53">
        <w:rPr>
          <w:rFonts w:cs="Calibri"/>
        </w:rPr>
        <w:t>,</w:t>
      </w:r>
      <w:r w:rsidR="00D51CBB" w:rsidRPr="00550A53">
        <w:rPr>
          <w:rFonts w:cs="Calibri"/>
        </w:rPr>
        <w:t xml:space="preserve"> which includes  a $70/t CO2-e shortfall penalty in addition to a $10,000 fixed penalty.</w:t>
      </w:r>
    </w:p>
    <w:p w:rsidR="0053662E" w:rsidRDefault="0053662E" w:rsidP="00D404FA">
      <w:r w:rsidRPr="00B9662B">
        <w:t xml:space="preserve">In addition, the </w:t>
      </w:r>
      <w:r w:rsidR="006C4EDD" w:rsidRPr="00B9662B">
        <w:t>p</w:t>
      </w:r>
      <w:r w:rsidRPr="00B9662B">
        <w:t>enalty rate of $</w:t>
      </w:r>
      <w:r w:rsidR="00D51CBB" w:rsidRPr="00B9662B">
        <w:t>7</w:t>
      </w:r>
      <w:r w:rsidRPr="00B9662B">
        <w:t>0/t CO2-e will also apply to PHT shortfalls to ensure these targets are met. This compares to the additional PHT penalty rate of $70/t CO2-e in South Australia.</w:t>
      </w:r>
    </w:p>
    <w:p w:rsidR="00294E94" w:rsidRDefault="00294E94" w:rsidP="004F7A03">
      <w:pPr>
        <w:pStyle w:val="Heading3"/>
      </w:pPr>
      <w:r>
        <w:t>Priority Household Target (PHT)</w:t>
      </w:r>
    </w:p>
    <w:p w:rsidR="00671649" w:rsidRDefault="006F0513" w:rsidP="00671649">
      <w:r w:rsidRPr="00D51CBB">
        <w:t>The s</w:t>
      </w:r>
      <w:r w:rsidR="006A56FF" w:rsidRPr="00D51CBB">
        <w:t xml:space="preserve">ection </w:t>
      </w:r>
      <w:r w:rsidR="00B43B35">
        <w:fldChar w:fldCharType="begin"/>
      </w:r>
      <w:r w:rsidR="00B43B35">
        <w:instrText xml:space="preserve"> REF _Ref303841393 \h  \* MERGEFORMAT </w:instrText>
      </w:r>
      <w:r w:rsidR="00B43B35">
        <w:fldChar w:fldCharType="separate"/>
      </w:r>
      <w:r w:rsidR="00681D6A" w:rsidRPr="00681D6A">
        <w:rPr>
          <w:i/>
        </w:rPr>
        <w:t>Achievement of social equity objectives</w:t>
      </w:r>
      <w:r w:rsidR="00B43B35">
        <w:fldChar w:fldCharType="end"/>
      </w:r>
      <w:r w:rsidR="006A56FF" w:rsidRPr="00D51CBB">
        <w:t xml:space="preserve"> from page </w:t>
      </w:r>
      <w:r w:rsidR="006A56FF" w:rsidRPr="00D51CBB">
        <w:fldChar w:fldCharType="begin"/>
      </w:r>
      <w:r w:rsidR="006A56FF" w:rsidRPr="00D51CBB">
        <w:instrText xml:space="preserve"> PAGEREF _Ref303841396 \h </w:instrText>
      </w:r>
      <w:r w:rsidR="006A56FF" w:rsidRPr="00D51CBB">
        <w:fldChar w:fldCharType="separate"/>
      </w:r>
      <w:r w:rsidR="00681D6A">
        <w:rPr>
          <w:noProof/>
        </w:rPr>
        <w:t>35</w:t>
      </w:r>
      <w:r w:rsidR="006A56FF" w:rsidRPr="00D51CBB">
        <w:fldChar w:fldCharType="end"/>
      </w:r>
      <w:r w:rsidR="00583F54" w:rsidRPr="00D51CBB">
        <w:t xml:space="preserve"> addresses</w:t>
      </w:r>
      <w:r w:rsidR="00583F54">
        <w:t xml:space="preserve"> the setting</w:t>
      </w:r>
      <w:r w:rsidR="001E2E25">
        <w:t xml:space="preserve"> of</w:t>
      </w:r>
      <w:r w:rsidR="00583F54">
        <w:t xml:space="preserve"> the PHT. The PHT represents the proportion of</w:t>
      </w:r>
      <w:r w:rsidR="006C4EDD">
        <w:t xml:space="preserve"> the</w:t>
      </w:r>
      <w:r w:rsidR="00583F54">
        <w:t xml:space="preserve"> Energy Savings Target that must be achieved </w:t>
      </w:r>
      <w:r w:rsidR="006C4EDD">
        <w:t>in</w:t>
      </w:r>
      <w:r w:rsidR="00583F54">
        <w:t xml:space="preserve"> priority households.</w:t>
      </w:r>
      <w:r>
        <w:t xml:space="preserve"> A target of 25 per cent will be set for the first year and targets for future years will be determined in relation to</w:t>
      </w:r>
      <w:r w:rsidR="00C85B32">
        <w:t xml:space="preserve"> a review</w:t>
      </w:r>
      <w:r>
        <w:t xml:space="preserve"> of priority household definitions, with a view to broadening the scope of this group.</w:t>
      </w:r>
    </w:p>
    <w:p w:rsidR="00B74D93" w:rsidRDefault="00B74D93" w:rsidP="00B74D93">
      <w:pPr>
        <w:pStyle w:val="Caption"/>
      </w:pPr>
      <w:bookmarkStart w:id="115" w:name="_Ref303885887"/>
      <w:bookmarkStart w:id="116" w:name="_Ref303885891"/>
      <w:r>
        <w:t xml:space="preserve">Table </w:t>
      </w:r>
      <w:r w:rsidR="006F5BB0">
        <w:rPr>
          <w:noProof/>
        </w:rPr>
        <w:fldChar w:fldCharType="begin"/>
      </w:r>
      <w:r w:rsidR="006F5BB0">
        <w:rPr>
          <w:noProof/>
        </w:rPr>
        <w:instrText xml:space="preserve"> SEQ Table \* ARABIC </w:instrText>
      </w:r>
      <w:r w:rsidR="006F5BB0">
        <w:rPr>
          <w:noProof/>
        </w:rPr>
        <w:fldChar w:fldCharType="separate"/>
      </w:r>
      <w:r w:rsidR="00681D6A">
        <w:rPr>
          <w:noProof/>
        </w:rPr>
        <w:t>8</w:t>
      </w:r>
      <w:r w:rsidR="006F5BB0">
        <w:rPr>
          <w:noProof/>
        </w:rPr>
        <w:fldChar w:fldCharType="end"/>
      </w:r>
      <w:bookmarkEnd w:id="115"/>
      <w:r>
        <w:t>: Proposed Priority Household Target</w:t>
      </w:r>
      <w:r w:rsidR="00583F54">
        <w:t xml:space="preserve"> (PHT)</w:t>
      </w:r>
      <w:bookmarkEnd w:id="116"/>
    </w:p>
    <w:tbl>
      <w:tblPr>
        <w:tblStyle w:val="TableGrid"/>
        <w:tblW w:w="0" w:type="auto"/>
        <w:tblLook w:val="04A0" w:firstRow="1" w:lastRow="0" w:firstColumn="1" w:lastColumn="0" w:noHBand="0" w:noVBand="1"/>
      </w:tblPr>
      <w:tblGrid>
        <w:gridCol w:w="4144"/>
        <w:gridCol w:w="2571"/>
      </w:tblGrid>
      <w:tr w:rsidR="00B74D93" w:rsidRPr="00512869" w:rsidTr="0071455A">
        <w:tc>
          <w:tcPr>
            <w:tcW w:w="4144" w:type="dxa"/>
            <w:shd w:val="clear" w:color="auto" w:fill="F2F2F2" w:themeFill="background1" w:themeFillShade="F2"/>
          </w:tcPr>
          <w:p w:rsidR="00B74D93" w:rsidRPr="00512869" w:rsidRDefault="00B74D93" w:rsidP="00B74D93">
            <w:pPr>
              <w:spacing w:before="60" w:after="60"/>
            </w:pPr>
            <w:r w:rsidRPr="00512869">
              <w:t>Period</w:t>
            </w:r>
          </w:p>
        </w:tc>
        <w:tc>
          <w:tcPr>
            <w:tcW w:w="2571" w:type="dxa"/>
            <w:shd w:val="clear" w:color="auto" w:fill="F2F2F2" w:themeFill="background1" w:themeFillShade="F2"/>
          </w:tcPr>
          <w:p w:rsidR="00B74D93" w:rsidRPr="00512869" w:rsidRDefault="00B74D93" w:rsidP="00B74D93">
            <w:pPr>
              <w:spacing w:before="60" w:after="60"/>
              <w:jc w:val="center"/>
            </w:pPr>
            <w:r w:rsidRPr="00512869">
              <w:t>Priority Household Target</w:t>
            </w:r>
          </w:p>
        </w:tc>
      </w:tr>
      <w:tr w:rsidR="00B74D93" w:rsidRPr="00512869" w:rsidTr="00294E94">
        <w:tc>
          <w:tcPr>
            <w:tcW w:w="4144" w:type="dxa"/>
          </w:tcPr>
          <w:p w:rsidR="00B74D93" w:rsidRPr="00512869" w:rsidRDefault="00BD15F2" w:rsidP="00B74D93">
            <w:pPr>
              <w:spacing w:before="60" w:after="60"/>
            </w:pPr>
            <w:r>
              <w:t>1 January 2013 to 31 December 2013</w:t>
            </w:r>
          </w:p>
        </w:tc>
        <w:tc>
          <w:tcPr>
            <w:tcW w:w="2571" w:type="dxa"/>
            <w:shd w:val="clear" w:color="auto" w:fill="F2F2F2" w:themeFill="background1" w:themeFillShade="F2"/>
          </w:tcPr>
          <w:p w:rsidR="00B74D93" w:rsidRPr="00512869" w:rsidRDefault="00512869" w:rsidP="00B3352D">
            <w:pPr>
              <w:spacing w:before="60" w:after="60"/>
              <w:jc w:val="center"/>
              <w:rPr>
                <w:i/>
              </w:rPr>
            </w:pPr>
            <w:r w:rsidRPr="00512869">
              <w:rPr>
                <w:i/>
              </w:rPr>
              <w:t>25%</w:t>
            </w:r>
          </w:p>
        </w:tc>
      </w:tr>
      <w:tr w:rsidR="00B74D93" w:rsidRPr="00512869" w:rsidTr="00294E94">
        <w:tc>
          <w:tcPr>
            <w:tcW w:w="4144" w:type="dxa"/>
          </w:tcPr>
          <w:p w:rsidR="00B74D93" w:rsidRPr="00512869" w:rsidRDefault="00BD15F2" w:rsidP="00B74D93">
            <w:pPr>
              <w:spacing w:before="60" w:after="60"/>
            </w:pPr>
            <w:r>
              <w:t>1 January 2014 to 31 December 2014</w:t>
            </w:r>
          </w:p>
        </w:tc>
        <w:tc>
          <w:tcPr>
            <w:tcW w:w="2571" w:type="dxa"/>
            <w:shd w:val="clear" w:color="auto" w:fill="F2F2F2" w:themeFill="background1" w:themeFillShade="F2"/>
          </w:tcPr>
          <w:p w:rsidR="00B74D93" w:rsidRPr="00512869" w:rsidRDefault="00BD15F2" w:rsidP="00B3352D">
            <w:pPr>
              <w:spacing w:before="60" w:after="60"/>
              <w:jc w:val="center"/>
              <w:rPr>
                <w:i/>
              </w:rPr>
            </w:pPr>
            <w:r>
              <w:rPr>
                <w:i/>
              </w:rPr>
              <w:t>To be determined</w:t>
            </w:r>
          </w:p>
        </w:tc>
      </w:tr>
      <w:tr w:rsidR="00B74D93" w:rsidRPr="00725431" w:rsidTr="00294E94">
        <w:tc>
          <w:tcPr>
            <w:tcW w:w="4144" w:type="dxa"/>
          </w:tcPr>
          <w:p w:rsidR="00B74D93" w:rsidRPr="00512869" w:rsidRDefault="00BD15F2" w:rsidP="00B74D93">
            <w:pPr>
              <w:spacing w:before="60" w:after="60"/>
            </w:pPr>
            <w:r>
              <w:t>1 January 2015 to 31 December 2015</w:t>
            </w:r>
          </w:p>
        </w:tc>
        <w:tc>
          <w:tcPr>
            <w:tcW w:w="2571" w:type="dxa"/>
            <w:shd w:val="clear" w:color="auto" w:fill="F2F2F2" w:themeFill="background1" w:themeFillShade="F2"/>
          </w:tcPr>
          <w:p w:rsidR="00B74D93" w:rsidRPr="00725431" w:rsidRDefault="00BD15F2" w:rsidP="00B3352D">
            <w:pPr>
              <w:spacing w:before="60" w:after="60"/>
              <w:jc w:val="center"/>
              <w:rPr>
                <w:i/>
              </w:rPr>
            </w:pPr>
            <w:r>
              <w:rPr>
                <w:i/>
              </w:rPr>
              <w:t>To be determined</w:t>
            </w:r>
          </w:p>
        </w:tc>
      </w:tr>
    </w:tbl>
    <w:p w:rsidR="00C90695" w:rsidRPr="00725431" w:rsidRDefault="00C90695" w:rsidP="00C90695">
      <w:pPr>
        <w:pStyle w:val="Heading3"/>
      </w:pPr>
      <w:bookmarkStart w:id="117" w:name="_Ref306802809"/>
      <w:bookmarkStart w:id="118" w:name="_Ref306804443"/>
      <w:bookmarkStart w:id="119" w:name="_Toc306808242"/>
      <w:r w:rsidRPr="00725431">
        <w:t>Sensitivity analysis</w:t>
      </w:r>
    </w:p>
    <w:p w:rsidR="007D6D87" w:rsidRPr="00725431" w:rsidRDefault="00C90695" w:rsidP="007D6D87">
      <w:r w:rsidRPr="00725431">
        <w:t xml:space="preserve">Sensitivity analysis has been carried out </w:t>
      </w:r>
      <w:r w:rsidR="007D6D87" w:rsidRPr="00725431">
        <w:t>on</w:t>
      </w:r>
      <w:r w:rsidRPr="00725431">
        <w:t xml:space="preserve"> the </w:t>
      </w:r>
      <w:r w:rsidR="007D6D87" w:rsidRPr="00725431">
        <w:t>recommended</w:t>
      </w:r>
      <w:r w:rsidRPr="00725431">
        <w:t xml:space="preserve"> $60 capped cash incentive scenario. The Scheme’s response to variation in the discount rate, as well as changes in the energy price </w:t>
      </w:r>
      <w:r w:rsidR="007D6D87" w:rsidRPr="00725431">
        <w:t xml:space="preserve">has been modelled, with the results shown in </w:t>
      </w:r>
      <w:r w:rsidR="00B43B35">
        <w:fldChar w:fldCharType="begin"/>
      </w:r>
      <w:r w:rsidR="00B43B35">
        <w:instrText xml:space="preserve"> REF _Ref308094545 \h  \* MERGEFORMAT </w:instrText>
      </w:r>
      <w:r w:rsidR="00B43B35">
        <w:fldChar w:fldCharType="separate"/>
      </w:r>
      <w:r w:rsidR="00681D6A" w:rsidRPr="00725431">
        <w:t xml:space="preserve">Table </w:t>
      </w:r>
      <w:r w:rsidR="00681D6A">
        <w:t>9</w:t>
      </w:r>
      <w:r w:rsidR="00B43B35">
        <w:fldChar w:fldCharType="end"/>
      </w:r>
      <w:r w:rsidR="007D6D87" w:rsidRPr="00725431">
        <w:t xml:space="preserve"> and </w:t>
      </w:r>
      <w:r w:rsidR="00B43B35">
        <w:fldChar w:fldCharType="begin"/>
      </w:r>
      <w:r w:rsidR="00B43B35">
        <w:instrText xml:space="preserve"> REF _Ref308094548 \h  \* MERGEFORMAT </w:instrText>
      </w:r>
      <w:r w:rsidR="00B43B35">
        <w:fldChar w:fldCharType="separate"/>
      </w:r>
      <w:r w:rsidR="00681D6A" w:rsidRPr="00725431">
        <w:t xml:space="preserve">Table </w:t>
      </w:r>
      <w:r w:rsidR="00681D6A">
        <w:rPr>
          <w:noProof/>
        </w:rPr>
        <w:t>10</w:t>
      </w:r>
      <w:r w:rsidR="00B43B35">
        <w:fldChar w:fldCharType="end"/>
      </w:r>
      <w:r w:rsidR="007D6D87" w:rsidRPr="00725431">
        <w:t>. In all cases NPV remains positive.</w:t>
      </w:r>
    </w:p>
    <w:p w:rsidR="007D6D87" w:rsidRPr="00725431" w:rsidRDefault="007D6D87" w:rsidP="007D6D87">
      <w:pPr>
        <w:pStyle w:val="Caption"/>
        <w:keepNext/>
      </w:pPr>
      <w:bookmarkStart w:id="120" w:name="_Ref308094545"/>
      <w:r w:rsidRPr="00725431">
        <w:t xml:space="preserve">Table </w:t>
      </w:r>
      <w:r w:rsidR="006F5BB0">
        <w:rPr>
          <w:noProof/>
        </w:rPr>
        <w:fldChar w:fldCharType="begin"/>
      </w:r>
      <w:r w:rsidR="006F5BB0">
        <w:rPr>
          <w:noProof/>
        </w:rPr>
        <w:instrText xml:space="preserve"> SEQ Table \* ARABIC </w:instrText>
      </w:r>
      <w:r w:rsidR="006F5BB0">
        <w:rPr>
          <w:noProof/>
        </w:rPr>
        <w:fldChar w:fldCharType="separate"/>
      </w:r>
      <w:r w:rsidR="00681D6A">
        <w:rPr>
          <w:noProof/>
        </w:rPr>
        <w:t>9</w:t>
      </w:r>
      <w:r w:rsidR="006F5BB0">
        <w:rPr>
          <w:noProof/>
        </w:rPr>
        <w:fldChar w:fldCharType="end"/>
      </w:r>
      <w:bookmarkEnd w:id="120"/>
      <w:r w:rsidRPr="00725431">
        <w:t>: Discount rate sensitivity analysis</w:t>
      </w:r>
    </w:p>
    <w:tbl>
      <w:tblPr>
        <w:tblStyle w:val="TableGrid"/>
        <w:tblW w:w="0" w:type="auto"/>
        <w:tblLook w:val="04A0" w:firstRow="1" w:lastRow="0" w:firstColumn="1" w:lastColumn="0" w:noHBand="0" w:noVBand="1"/>
      </w:tblPr>
      <w:tblGrid>
        <w:gridCol w:w="4621"/>
        <w:gridCol w:w="4621"/>
      </w:tblGrid>
      <w:tr w:rsidR="007D6D87" w:rsidRPr="00725431" w:rsidTr="007D6D87">
        <w:tc>
          <w:tcPr>
            <w:tcW w:w="4621" w:type="dxa"/>
            <w:shd w:val="clear" w:color="auto" w:fill="F2F2F2" w:themeFill="background1" w:themeFillShade="F2"/>
          </w:tcPr>
          <w:p w:rsidR="007D6D87" w:rsidRPr="00725431" w:rsidRDefault="007D6D87" w:rsidP="007D6D87">
            <w:pPr>
              <w:spacing w:before="60" w:after="60"/>
            </w:pPr>
            <w:r w:rsidRPr="00725431">
              <w:t>Discount rate</w:t>
            </w:r>
          </w:p>
        </w:tc>
        <w:tc>
          <w:tcPr>
            <w:tcW w:w="4621" w:type="dxa"/>
            <w:shd w:val="clear" w:color="auto" w:fill="F2F2F2" w:themeFill="background1" w:themeFillShade="F2"/>
          </w:tcPr>
          <w:p w:rsidR="007D6D87" w:rsidRPr="00725431" w:rsidRDefault="007D6D87" w:rsidP="007D6D87">
            <w:pPr>
              <w:spacing w:before="60" w:after="60"/>
            </w:pPr>
            <w:r w:rsidRPr="00725431">
              <w:t>NPV ($M)</w:t>
            </w:r>
          </w:p>
        </w:tc>
      </w:tr>
      <w:tr w:rsidR="007D6D87" w:rsidRPr="00725431" w:rsidTr="007D6D87">
        <w:tc>
          <w:tcPr>
            <w:tcW w:w="4621" w:type="dxa"/>
          </w:tcPr>
          <w:p w:rsidR="007D6D87" w:rsidRPr="00725431" w:rsidRDefault="007D6D87" w:rsidP="007D6D87">
            <w:pPr>
              <w:spacing w:before="60" w:after="60"/>
            </w:pPr>
            <w:r w:rsidRPr="00725431">
              <w:t>3%</w:t>
            </w:r>
          </w:p>
        </w:tc>
        <w:tc>
          <w:tcPr>
            <w:tcW w:w="4621" w:type="dxa"/>
          </w:tcPr>
          <w:p w:rsidR="007D6D87" w:rsidRPr="00725431" w:rsidRDefault="007D6D87" w:rsidP="007D6D87">
            <w:pPr>
              <w:spacing w:before="60" w:after="60"/>
            </w:pPr>
            <w:r w:rsidRPr="00725431">
              <w:t>$71</w:t>
            </w:r>
          </w:p>
        </w:tc>
      </w:tr>
      <w:tr w:rsidR="007D6D87" w:rsidRPr="00725431" w:rsidTr="007D6D87">
        <w:tc>
          <w:tcPr>
            <w:tcW w:w="4621" w:type="dxa"/>
          </w:tcPr>
          <w:p w:rsidR="007D6D87" w:rsidRPr="00725431" w:rsidRDefault="007D6D87" w:rsidP="007D6D87">
            <w:pPr>
              <w:spacing w:before="60" w:after="60"/>
            </w:pPr>
            <w:r w:rsidRPr="00725431">
              <w:t>7%</w:t>
            </w:r>
          </w:p>
        </w:tc>
        <w:tc>
          <w:tcPr>
            <w:tcW w:w="4621" w:type="dxa"/>
          </w:tcPr>
          <w:p w:rsidR="007D6D87" w:rsidRPr="00725431" w:rsidRDefault="007D6D87" w:rsidP="007D6D87">
            <w:pPr>
              <w:spacing w:before="60" w:after="60"/>
            </w:pPr>
            <w:r w:rsidRPr="00725431">
              <w:t>$40</w:t>
            </w:r>
          </w:p>
        </w:tc>
      </w:tr>
      <w:tr w:rsidR="007D6D87" w:rsidRPr="00725431" w:rsidTr="007D6D87">
        <w:tc>
          <w:tcPr>
            <w:tcW w:w="4621" w:type="dxa"/>
          </w:tcPr>
          <w:p w:rsidR="007D6D87" w:rsidRPr="00725431" w:rsidRDefault="007D6D87" w:rsidP="007D6D87">
            <w:pPr>
              <w:spacing w:before="60" w:after="60"/>
            </w:pPr>
            <w:r w:rsidRPr="00725431">
              <w:t>10%</w:t>
            </w:r>
          </w:p>
        </w:tc>
        <w:tc>
          <w:tcPr>
            <w:tcW w:w="4621" w:type="dxa"/>
          </w:tcPr>
          <w:p w:rsidR="007D6D87" w:rsidRPr="00725431" w:rsidRDefault="007D6D87" w:rsidP="007D6D87">
            <w:pPr>
              <w:spacing w:before="60" w:after="60"/>
            </w:pPr>
            <w:r w:rsidRPr="00725431">
              <w:t>$25</w:t>
            </w:r>
          </w:p>
        </w:tc>
      </w:tr>
    </w:tbl>
    <w:p w:rsidR="00C90695" w:rsidRPr="00725431" w:rsidRDefault="00C90695" w:rsidP="007D6D87">
      <w:pPr>
        <w:spacing w:before="60" w:after="60"/>
      </w:pPr>
    </w:p>
    <w:p w:rsidR="007D6D87" w:rsidRPr="00725431" w:rsidRDefault="007D6D87" w:rsidP="00512869">
      <w:pPr>
        <w:pStyle w:val="Caption"/>
        <w:keepNext/>
      </w:pPr>
      <w:bookmarkStart w:id="121" w:name="_Ref308094548"/>
      <w:r w:rsidRPr="00725431">
        <w:t xml:space="preserve">Table </w:t>
      </w:r>
      <w:r w:rsidR="006F5BB0">
        <w:rPr>
          <w:noProof/>
        </w:rPr>
        <w:fldChar w:fldCharType="begin"/>
      </w:r>
      <w:r w:rsidR="006F5BB0">
        <w:rPr>
          <w:noProof/>
        </w:rPr>
        <w:instrText xml:space="preserve"> SEQ Table \* ARABIC </w:instrText>
      </w:r>
      <w:r w:rsidR="006F5BB0">
        <w:rPr>
          <w:noProof/>
        </w:rPr>
        <w:fldChar w:fldCharType="separate"/>
      </w:r>
      <w:r w:rsidR="00681D6A">
        <w:rPr>
          <w:noProof/>
        </w:rPr>
        <w:t>10</w:t>
      </w:r>
      <w:r w:rsidR="006F5BB0">
        <w:rPr>
          <w:noProof/>
        </w:rPr>
        <w:fldChar w:fldCharType="end"/>
      </w:r>
      <w:bookmarkEnd w:id="121"/>
      <w:r w:rsidRPr="00725431">
        <w:t>: Energy price sensitivity analysis</w:t>
      </w:r>
    </w:p>
    <w:tbl>
      <w:tblPr>
        <w:tblStyle w:val="TableGrid"/>
        <w:tblW w:w="0" w:type="auto"/>
        <w:tblLook w:val="04A0" w:firstRow="1" w:lastRow="0" w:firstColumn="1" w:lastColumn="0" w:noHBand="0" w:noVBand="1"/>
      </w:tblPr>
      <w:tblGrid>
        <w:gridCol w:w="3266"/>
        <w:gridCol w:w="2988"/>
        <w:gridCol w:w="2988"/>
      </w:tblGrid>
      <w:tr w:rsidR="007D6D87" w:rsidRPr="00725431" w:rsidTr="007D6D87">
        <w:tc>
          <w:tcPr>
            <w:tcW w:w="3266" w:type="dxa"/>
            <w:shd w:val="clear" w:color="auto" w:fill="F2F2F2" w:themeFill="background1" w:themeFillShade="F2"/>
          </w:tcPr>
          <w:p w:rsidR="007D6D87" w:rsidRPr="00725431" w:rsidRDefault="007D6D87" w:rsidP="00512869">
            <w:pPr>
              <w:keepNext/>
              <w:spacing w:before="60" w:after="60"/>
            </w:pPr>
            <w:r w:rsidRPr="00725431">
              <w:t>Energy price range scenario</w:t>
            </w:r>
          </w:p>
        </w:tc>
        <w:tc>
          <w:tcPr>
            <w:tcW w:w="2988" w:type="dxa"/>
            <w:shd w:val="clear" w:color="auto" w:fill="F2F2F2" w:themeFill="background1" w:themeFillShade="F2"/>
          </w:tcPr>
          <w:p w:rsidR="007D6D87" w:rsidRPr="00725431" w:rsidRDefault="007D6D87" w:rsidP="00512869">
            <w:pPr>
              <w:keepNext/>
              <w:spacing w:before="60" w:after="60"/>
            </w:pPr>
            <w:r w:rsidRPr="00725431">
              <w:t>NPV* ($M)</w:t>
            </w:r>
          </w:p>
        </w:tc>
        <w:tc>
          <w:tcPr>
            <w:tcW w:w="2988" w:type="dxa"/>
            <w:shd w:val="clear" w:color="auto" w:fill="F2F2F2" w:themeFill="background1" w:themeFillShade="F2"/>
          </w:tcPr>
          <w:p w:rsidR="007D6D87" w:rsidRPr="00725431" w:rsidRDefault="007D6D87" w:rsidP="00512869">
            <w:pPr>
              <w:keepNext/>
              <w:spacing w:before="60" w:after="60"/>
            </w:pPr>
            <w:r w:rsidRPr="00725431">
              <w:t>Lifetime abatement (ktCO2-e)</w:t>
            </w:r>
          </w:p>
        </w:tc>
      </w:tr>
      <w:tr w:rsidR="007D6D87" w:rsidRPr="00725431" w:rsidTr="007D6D87">
        <w:tc>
          <w:tcPr>
            <w:tcW w:w="3266" w:type="dxa"/>
          </w:tcPr>
          <w:p w:rsidR="007D6D87" w:rsidRPr="00725431" w:rsidRDefault="007D6D87" w:rsidP="00512869">
            <w:pPr>
              <w:keepNext/>
              <w:spacing w:before="60" w:after="60"/>
            </w:pPr>
            <w:r w:rsidRPr="00725431">
              <w:t>High</w:t>
            </w:r>
          </w:p>
        </w:tc>
        <w:tc>
          <w:tcPr>
            <w:tcW w:w="2988" w:type="dxa"/>
          </w:tcPr>
          <w:p w:rsidR="007D6D87" w:rsidRPr="00725431" w:rsidRDefault="007D6D87" w:rsidP="00512869">
            <w:pPr>
              <w:keepNext/>
              <w:spacing w:before="60" w:after="60"/>
            </w:pPr>
            <w:r w:rsidRPr="00725431">
              <w:t>$62</w:t>
            </w:r>
          </w:p>
        </w:tc>
        <w:tc>
          <w:tcPr>
            <w:tcW w:w="2988" w:type="dxa"/>
          </w:tcPr>
          <w:p w:rsidR="007D6D87" w:rsidRPr="00725431" w:rsidRDefault="007D6D87" w:rsidP="00512869">
            <w:pPr>
              <w:keepNext/>
              <w:spacing w:before="60" w:after="60"/>
            </w:pPr>
            <w:r w:rsidRPr="00725431">
              <w:t xml:space="preserve">896 </w:t>
            </w:r>
          </w:p>
        </w:tc>
      </w:tr>
      <w:tr w:rsidR="007D6D87" w:rsidRPr="00725431" w:rsidTr="007D6D87">
        <w:tc>
          <w:tcPr>
            <w:tcW w:w="3266" w:type="dxa"/>
          </w:tcPr>
          <w:p w:rsidR="007D6D87" w:rsidRPr="00725431" w:rsidRDefault="007D6D87" w:rsidP="00512869">
            <w:pPr>
              <w:keepNext/>
              <w:spacing w:before="60" w:after="60"/>
            </w:pPr>
            <w:r w:rsidRPr="00725431">
              <w:t>Medium</w:t>
            </w:r>
          </w:p>
        </w:tc>
        <w:tc>
          <w:tcPr>
            <w:tcW w:w="2988" w:type="dxa"/>
          </w:tcPr>
          <w:p w:rsidR="007D6D87" w:rsidRPr="00725431" w:rsidRDefault="007D6D87" w:rsidP="00512869">
            <w:pPr>
              <w:keepNext/>
              <w:spacing w:before="60" w:after="60"/>
            </w:pPr>
            <w:r w:rsidRPr="00725431">
              <w:t>$40</w:t>
            </w:r>
          </w:p>
        </w:tc>
        <w:tc>
          <w:tcPr>
            <w:tcW w:w="2988" w:type="dxa"/>
          </w:tcPr>
          <w:p w:rsidR="007D6D87" w:rsidRPr="00725431" w:rsidRDefault="007D6D87" w:rsidP="00512869">
            <w:pPr>
              <w:keepNext/>
              <w:spacing w:before="60" w:after="60"/>
            </w:pPr>
            <w:r w:rsidRPr="00725431">
              <w:t>872</w:t>
            </w:r>
          </w:p>
        </w:tc>
      </w:tr>
      <w:tr w:rsidR="007D6D87" w:rsidRPr="00725431" w:rsidTr="007D6D87">
        <w:tc>
          <w:tcPr>
            <w:tcW w:w="3266" w:type="dxa"/>
          </w:tcPr>
          <w:p w:rsidR="007D6D87" w:rsidRPr="00725431" w:rsidRDefault="007D6D87" w:rsidP="00512869">
            <w:pPr>
              <w:keepNext/>
              <w:spacing w:before="60" w:after="60"/>
            </w:pPr>
            <w:r w:rsidRPr="00725431">
              <w:t>Low</w:t>
            </w:r>
          </w:p>
        </w:tc>
        <w:tc>
          <w:tcPr>
            <w:tcW w:w="2988" w:type="dxa"/>
          </w:tcPr>
          <w:p w:rsidR="007D6D87" w:rsidRPr="00725431" w:rsidRDefault="007D6D87" w:rsidP="00512869">
            <w:pPr>
              <w:keepNext/>
              <w:spacing w:before="60" w:after="60"/>
            </w:pPr>
            <w:r w:rsidRPr="00725431">
              <w:t>$30</w:t>
            </w:r>
          </w:p>
        </w:tc>
        <w:tc>
          <w:tcPr>
            <w:tcW w:w="2988" w:type="dxa"/>
          </w:tcPr>
          <w:p w:rsidR="007D6D87" w:rsidRPr="00725431" w:rsidRDefault="007D6D87" w:rsidP="00512869">
            <w:pPr>
              <w:keepNext/>
              <w:spacing w:before="60" w:after="60"/>
            </w:pPr>
            <w:r w:rsidRPr="00725431">
              <w:t>815</w:t>
            </w:r>
          </w:p>
        </w:tc>
      </w:tr>
    </w:tbl>
    <w:p w:rsidR="00C90695" w:rsidRPr="007D6D87" w:rsidRDefault="007D6D87" w:rsidP="00512869">
      <w:pPr>
        <w:keepNext/>
        <w:rPr>
          <w:i/>
          <w:sz w:val="20"/>
          <w:szCs w:val="20"/>
        </w:rPr>
      </w:pPr>
      <w:r w:rsidRPr="00725431">
        <w:rPr>
          <w:i/>
          <w:sz w:val="20"/>
          <w:szCs w:val="20"/>
        </w:rPr>
        <w:t>*7% discount rate is applied</w:t>
      </w:r>
    </w:p>
    <w:p w:rsidR="00F53171" w:rsidRDefault="00F53171" w:rsidP="00D404FA">
      <w:pPr>
        <w:pStyle w:val="Heading2"/>
      </w:pPr>
      <w:r>
        <w:t>Modelling results – household costs and benefits</w:t>
      </w:r>
      <w:bookmarkEnd w:id="117"/>
      <w:bookmarkEnd w:id="118"/>
      <w:bookmarkEnd w:id="119"/>
    </w:p>
    <w:p w:rsidR="00E46465" w:rsidRPr="00B9662B" w:rsidRDefault="00E46465" w:rsidP="001F3CC9">
      <w:r w:rsidRPr="00B9662B">
        <w:t xml:space="preserve">Suppliers participating in the </w:t>
      </w:r>
      <w:r w:rsidR="006C4EDD" w:rsidRPr="00B9662B">
        <w:t>S</w:t>
      </w:r>
      <w:r w:rsidRPr="00B9662B">
        <w:t xml:space="preserve">cheme are expected to pass-through a significant proportion of compliance costs to government, business and residential electricity customers. For modelling purposes this proportion </w:t>
      </w:r>
      <w:r w:rsidR="006C4EDD" w:rsidRPr="00B9662B">
        <w:t xml:space="preserve">is </w:t>
      </w:r>
      <w:r w:rsidRPr="00B9662B">
        <w:t>assumed to be 100</w:t>
      </w:r>
      <w:r w:rsidR="006C4EDD" w:rsidRPr="00B9662B">
        <w:t> per cent</w:t>
      </w:r>
      <w:r w:rsidRPr="00B9662B">
        <w:t xml:space="preserve">. Unlike the total </w:t>
      </w:r>
      <w:r w:rsidR="006C4EDD" w:rsidRPr="00B9662B">
        <w:t>S</w:t>
      </w:r>
      <w:r w:rsidRPr="00B9662B">
        <w:t>cheme costs</w:t>
      </w:r>
      <w:r w:rsidR="00550A53">
        <w:t>,</w:t>
      </w:r>
      <w:r w:rsidRPr="00B9662B">
        <w:t xml:space="preserve"> which include varying levels of household and supplier co-funding, the costs to suppliers, and therefore the pass</w:t>
      </w:r>
      <w:r w:rsidR="00550A53">
        <w:t>-</w:t>
      </w:r>
      <w:r w:rsidRPr="00B9662B">
        <w:t>through costs, include only the subsidy component</w:t>
      </w:r>
      <w:r w:rsidR="00F55AE2" w:rsidRPr="00B9662B">
        <w:t>, plus administration costs</w:t>
      </w:r>
      <w:r w:rsidRPr="00B9662B">
        <w:t>.</w:t>
      </w:r>
    </w:p>
    <w:p w:rsidR="007D3351" w:rsidRPr="00B9662B" w:rsidRDefault="007D3351" w:rsidP="001F3CC9">
      <w:r w:rsidRPr="00B9662B">
        <w:t xml:space="preserve">It is important to note that financial and environmental benefits associated with the Scheme will differ from the modelling. While the modelling assumes a 100 per cent participation rate by suppliers, this is discounted in estimates for the Scheme to reflect that 15% of the targets are expected to be met through Energy Savings Contributions by Tier 2 suppliers. Costs however are not discounted </w:t>
      </w:r>
      <w:r w:rsidR="00B9662B">
        <w:t xml:space="preserve">and </w:t>
      </w:r>
      <w:r w:rsidRPr="00B9662B">
        <w:t>are expected to equal those modelled.</w:t>
      </w:r>
    </w:p>
    <w:p w:rsidR="006C4EDD" w:rsidRPr="00B9662B" w:rsidRDefault="0032549E" w:rsidP="001F3CC9">
      <w:r w:rsidRPr="00B9662B">
        <w:t xml:space="preserve">Scenario </w:t>
      </w:r>
      <w:r w:rsidR="00F55AE2" w:rsidRPr="00B9662B">
        <w:t xml:space="preserve">G </w:t>
      </w:r>
      <w:r w:rsidRPr="00B9662B">
        <w:t>($</w:t>
      </w:r>
      <w:r w:rsidR="00F55AE2" w:rsidRPr="00B9662B">
        <w:t>6</w:t>
      </w:r>
      <w:r w:rsidRPr="00B9662B">
        <w:t xml:space="preserve">0 </w:t>
      </w:r>
      <w:r w:rsidR="00F55AE2" w:rsidRPr="00B9662B">
        <w:t>cash incentive cap)</w:t>
      </w:r>
      <w:r w:rsidRPr="00B9662B">
        <w:t xml:space="preserve"> results in a total cost to suppliers and pass</w:t>
      </w:r>
      <w:r w:rsidR="00A0260D" w:rsidRPr="00B9662B">
        <w:t>-</w:t>
      </w:r>
      <w:r w:rsidRPr="00B9662B">
        <w:t>through cost of $</w:t>
      </w:r>
      <w:r w:rsidR="00F55AE2" w:rsidRPr="00B9662B">
        <w:t>32.4</w:t>
      </w:r>
      <w:r w:rsidR="00CB19BC" w:rsidRPr="00B9662B">
        <w:t> </w:t>
      </w:r>
      <w:r w:rsidRPr="00B9662B">
        <w:t xml:space="preserve">million over </w:t>
      </w:r>
      <w:r w:rsidR="00F55AE2" w:rsidRPr="00B9662B">
        <w:t>the four periods of the Scheme</w:t>
      </w:r>
      <w:r w:rsidRPr="00B9662B">
        <w:t xml:space="preserve">. This will result in pass-through </w:t>
      </w:r>
      <w:r w:rsidR="00745BAA" w:rsidRPr="00B9662B">
        <w:t xml:space="preserve">costs </w:t>
      </w:r>
      <w:r w:rsidR="00A0260D" w:rsidRPr="00B9662B">
        <w:t>described on an annualised basis</w:t>
      </w:r>
      <w:r w:rsidR="0012054A" w:rsidRPr="00B9662B">
        <w:t xml:space="preserve"> in percentage terms</w:t>
      </w:r>
      <w:r w:rsidR="00A0260D" w:rsidRPr="00B9662B">
        <w:t xml:space="preserve"> </w:t>
      </w:r>
      <w:r w:rsidRPr="00B9662B">
        <w:t xml:space="preserve">in </w:t>
      </w:r>
      <w:r w:rsidR="00B43B35">
        <w:fldChar w:fldCharType="begin"/>
      </w:r>
      <w:r w:rsidR="00B43B35">
        <w:instrText xml:space="preserve"> REF _Ref303885916 \h  \* MERGEFORMAT </w:instrText>
      </w:r>
      <w:r w:rsidR="00B43B35">
        <w:fldChar w:fldCharType="separate"/>
      </w:r>
      <w:r w:rsidR="00681D6A" w:rsidRPr="00681D6A">
        <w:rPr>
          <w:b/>
        </w:rPr>
        <w:t>Table 11</w:t>
      </w:r>
      <w:r w:rsidR="00B43B35">
        <w:fldChar w:fldCharType="end"/>
      </w:r>
      <w:r w:rsidRPr="00B9662B">
        <w:rPr>
          <w:b/>
        </w:rPr>
        <w:t xml:space="preserve"> </w:t>
      </w:r>
      <w:r w:rsidR="00B43B35">
        <w:fldChar w:fldCharType="begin"/>
      </w:r>
      <w:r w:rsidR="00B43B35">
        <w:instrText xml:space="preserve"> REF _Ref303885920 \p \h  \* MERGEFORMAT </w:instrText>
      </w:r>
      <w:r w:rsidR="00B43B35">
        <w:fldChar w:fldCharType="separate"/>
      </w:r>
      <w:r w:rsidR="00681D6A">
        <w:t>below</w:t>
      </w:r>
      <w:r w:rsidR="00B43B35">
        <w:fldChar w:fldCharType="end"/>
      </w:r>
      <w:r w:rsidRPr="00B9662B">
        <w:t>.</w:t>
      </w:r>
    </w:p>
    <w:p w:rsidR="00EA52FD" w:rsidRDefault="00294E94" w:rsidP="00A55CC4">
      <w:pPr>
        <w:keepNext/>
        <w:rPr>
          <w:rFonts w:cs="Calibri"/>
          <w:b/>
          <w:sz w:val="20"/>
          <w:szCs w:val="20"/>
          <w:lang w:eastAsia="en-AU"/>
        </w:rPr>
      </w:pPr>
      <w:bookmarkStart w:id="122" w:name="_Ref303885916"/>
      <w:bookmarkStart w:id="123" w:name="_Ref303885920"/>
      <w:r w:rsidRPr="00B9662B">
        <w:rPr>
          <w:b/>
          <w:sz w:val="20"/>
          <w:szCs w:val="20"/>
        </w:rPr>
        <w:t xml:space="preserve">Table </w:t>
      </w:r>
      <w:r w:rsidRPr="00B9662B">
        <w:rPr>
          <w:b/>
          <w:sz w:val="20"/>
          <w:szCs w:val="20"/>
        </w:rPr>
        <w:fldChar w:fldCharType="begin"/>
      </w:r>
      <w:r w:rsidRPr="00B9662B">
        <w:rPr>
          <w:b/>
          <w:sz w:val="20"/>
          <w:szCs w:val="20"/>
        </w:rPr>
        <w:instrText xml:space="preserve"> SEQ Table \* ARABIC </w:instrText>
      </w:r>
      <w:r w:rsidRPr="00B9662B">
        <w:rPr>
          <w:b/>
          <w:sz w:val="20"/>
          <w:szCs w:val="20"/>
        </w:rPr>
        <w:fldChar w:fldCharType="separate"/>
      </w:r>
      <w:r w:rsidR="00681D6A">
        <w:rPr>
          <w:b/>
          <w:noProof/>
          <w:sz w:val="20"/>
          <w:szCs w:val="20"/>
        </w:rPr>
        <w:t>11</w:t>
      </w:r>
      <w:r w:rsidRPr="00B9662B">
        <w:rPr>
          <w:b/>
          <w:sz w:val="20"/>
          <w:szCs w:val="20"/>
        </w:rPr>
        <w:fldChar w:fldCharType="end"/>
      </w:r>
      <w:bookmarkEnd w:id="122"/>
      <w:r w:rsidRPr="00B9662B">
        <w:rPr>
          <w:b/>
          <w:sz w:val="20"/>
          <w:szCs w:val="20"/>
        </w:rPr>
        <w:t xml:space="preserve">: Nominal projected change in </w:t>
      </w:r>
      <w:r w:rsidR="00F55AE2" w:rsidRPr="00B9662B">
        <w:rPr>
          <w:b/>
          <w:sz w:val="20"/>
          <w:szCs w:val="20"/>
        </w:rPr>
        <w:t xml:space="preserve">residential </w:t>
      </w:r>
      <w:r w:rsidRPr="00B9662B">
        <w:rPr>
          <w:b/>
          <w:sz w:val="20"/>
          <w:szCs w:val="20"/>
        </w:rPr>
        <w:t xml:space="preserve">electricity retail prices </w:t>
      </w:r>
      <w:bookmarkEnd w:id="123"/>
    </w:p>
    <w:tbl>
      <w:tblPr>
        <w:tblW w:w="5687" w:type="dxa"/>
        <w:tblInd w:w="91" w:type="dxa"/>
        <w:tblLook w:val="04A0" w:firstRow="1" w:lastRow="0" w:firstColumn="1" w:lastColumn="0" w:noHBand="0" w:noVBand="1"/>
      </w:tblPr>
      <w:tblGrid>
        <w:gridCol w:w="2994"/>
        <w:gridCol w:w="2693"/>
      </w:tblGrid>
      <w:tr w:rsidR="00F55AE2" w:rsidRPr="00D93C8B" w:rsidTr="00F55AE2">
        <w:trPr>
          <w:trHeight w:val="240"/>
        </w:trPr>
        <w:tc>
          <w:tcPr>
            <w:tcW w:w="2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5AE2" w:rsidRPr="00D93C8B" w:rsidRDefault="00F55AE2" w:rsidP="00F55AE2">
            <w:pPr>
              <w:spacing w:before="60" w:after="60"/>
            </w:pPr>
            <w:r w:rsidRPr="00D93C8B">
              <w:t>Scheme period</w:t>
            </w:r>
          </w:p>
        </w:tc>
        <w:tc>
          <w:tcPr>
            <w:tcW w:w="2693" w:type="dxa"/>
            <w:tcBorders>
              <w:top w:val="single" w:sz="4" w:space="0" w:color="auto"/>
              <w:left w:val="nil"/>
              <w:bottom w:val="single" w:sz="4" w:space="0" w:color="auto"/>
              <w:right w:val="single" w:sz="4" w:space="0" w:color="auto"/>
            </w:tcBorders>
            <w:shd w:val="clear" w:color="auto" w:fill="F2F2F2" w:themeFill="background1" w:themeFillShade="F2"/>
            <w:hideMark/>
          </w:tcPr>
          <w:p w:rsidR="00F55AE2" w:rsidRPr="00D93C8B" w:rsidRDefault="00BD15F2" w:rsidP="00F55AE2">
            <w:pPr>
              <w:spacing w:before="60" w:after="60"/>
              <w:jc w:val="center"/>
            </w:pPr>
            <w:r>
              <w:t xml:space="preserve">Electricity price impact </w:t>
            </w:r>
          </w:p>
        </w:tc>
      </w:tr>
      <w:tr w:rsidR="00F55AE2" w:rsidRPr="00D93C8B" w:rsidTr="00F55AE2">
        <w:trPr>
          <w:trHeight w:val="255"/>
        </w:trPr>
        <w:tc>
          <w:tcPr>
            <w:tcW w:w="2994" w:type="dxa"/>
            <w:tcBorders>
              <w:top w:val="nil"/>
              <w:left w:val="single" w:sz="4" w:space="0" w:color="auto"/>
              <w:bottom w:val="single" w:sz="4" w:space="0" w:color="auto"/>
              <w:right w:val="single" w:sz="4" w:space="0" w:color="auto"/>
            </w:tcBorders>
            <w:hideMark/>
          </w:tcPr>
          <w:p w:rsidR="00F55AE2" w:rsidRPr="00D93C8B" w:rsidRDefault="00F55AE2" w:rsidP="00F55AE2">
            <w:pPr>
              <w:spacing w:before="60" w:after="60"/>
            </w:pPr>
            <w:r w:rsidRPr="00D93C8B">
              <w:t xml:space="preserve">Period </w:t>
            </w:r>
            <w:r w:rsidR="00D93C8B" w:rsidRPr="00D93C8B">
              <w:t>1</w:t>
            </w:r>
          </w:p>
        </w:tc>
        <w:tc>
          <w:tcPr>
            <w:tcW w:w="2693" w:type="dxa"/>
            <w:tcBorders>
              <w:top w:val="nil"/>
              <w:left w:val="nil"/>
              <w:bottom w:val="single" w:sz="4" w:space="0" w:color="auto"/>
              <w:right w:val="single" w:sz="4" w:space="0" w:color="auto"/>
            </w:tcBorders>
            <w:hideMark/>
          </w:tcPr>
          <w:p w:rsidR="00F55AE2" w:rsidRPr="00D93C8B" w:rsidRDefault="00F55AE2" w:rsidP="00F55AE2">
            <w:pPr>
              <w:spacing w:before="60" w:after="60"/>
              <w:jc w:val="center"/>
            </w:pPr>
            <w:r w:rsidRPr="00D93C8B">
              <w:t>1.26%</w:t>
            </w:r>
          </w:p>
        </w:tc>
      </w:tr>
      <w:tr w:rsidR="00F55AE2" w:rsidRPr="00D93C8B" w:rsidTr="00F55AE2">
        <w:trPr>
          <w:trHeight w:val="255"/>
        </w:trPr>
        <w:tc>
          <w:tcPr>
            <w:tcW w:w="2994" w:type="dxa"/>
            <w:tcBorders>
              <w:top w:val="nil"/>
              <w:left w:val="single" w:sz="4" w:space="0" w:color="auto"/>
              <w:bottom w:val="single" w:sz="4" w:space="0" w:color="auto"/>
              <w:right w:val="single" w:sz="4" w:space="0" w:color="auto"/>
            </w:tcBorders>
            <w:hideMark/>
          </w:tcPr>
          <w:p w:rsidR="00F55AE2" w:rsidRPr="00D93C8B" w:rsidRDefault="00F55AE2" w:rsidP="00F55AE2">
            <w:pPr>
              <w:spacing w:before="60" w:after="60"/>
            </w:pPr>
            <w:r w:rsidRPr="00D93C8B">
              <w:t xml:space="preserve">Period </w:t>
            </w:r>
            <w:r w:rsidR="00D93C8B" w:rsidRPr="00D93C8B">
              <w:t>2</w:t>
            </w:r>
          </w:p>
        </w:tc>
        <w:tc>
          <w:tcPr>
            <w:tcW w:w="2693" w:type="dxa"/>
            <w:tcBorders>
              <w:top w:val="nil"/>
              <w:left w:val="nil"/>
              <w:bottom w:val="single" w:sz="4" w:space="0" w:color="auto"/>
              <w:right w:val="single" w:sz="4" w:space="0" w:color="auto"/>
            </w:tcBorders>
            <w:hideMark/>
          </w:tcPr>
          <w:p w:rsidR="00F55AE2" w:rsidRPr="00D93C8B" w:rsidRDefault="00D93C8B" w:rsidP="00F55AE2">
            <w:pPr>
              <w:spacing w:before="60" w:after="60"/>
              <w:jc w:val="center"/>
            </w:pPr>
            <w:r w:rsidRPr="00D93C8B">
              <w:t>2.09</w:t>
            </w:r>
            <w:r w:rsidR="00F55AE2" w:rsidRPr="00D93C8B">
              <w:t>%</w:t>
            </w:r>
          </w:p>
        </w:tc>
      </w:tr>
      <w:tr w:rsidR="00F55AE2" w:rsidRPr="00294E94" w:rsidTr="00F55AE2">
        <w:trPr>
          <w:trHeight w:val="255"/>
        </w:trPr>
        <w:tc>
          <w:tcPr>
            <w:tcW w:w="2994" w:type="dxa"/>
            <w:tcBorders>
              <w:top w:val="nil"/>
              <w:left w:val="single" w:sz="4" w:space="0" w:color="auto"/>
              <w:bottom w:val="single" w:sz="4" w:space="0" w:color="auto"/>
              <w:right w:val="single" w:sz="4" w:space="0" w:color="auto"/>
            </w:tcBorders>
            <w:hideMark/>
          </w:tcPr>
          <w:p w:rsidR="00F55AE2" w:rsidRPr="00D93C8B" w:rsidRDefault="00F55AE2" w:rsidP="00F55AE2">
            <w:pPr>
              <w:spacing w:before="60" w:after="60"/>
            </w:pPr>
            <w:r w:rsidRPr="00D93C8B">
              <w:t xml:space="preserve">Period </w:t>
            </w:r>
            <w:r w:rsidR="00D93C8B" w:rsidRPr="00D93C8B">
              <w:t>3</w:t>
            </w:r>
          </w:p>
        </w:tc>
        <w:tc>
          <w:tcPr>
            <w:tcW w:w="2693" w:type="dxa"/>
            <w:tcBorders>
              <w:top w:val="nil"/>
              <w:left w:val="nil"/>
              <w:bottom w:val="single" w:sz="4" w:space="0" w:color="auto"/>
              <w:right w:val="single" w:sz="4" w:space="0" w:color="auto"/>
            </w:tcBorders>
            <w:hideMark/>
          </w:tcPr>
          <w:p w:rsidR="00F55AE2" w:rsidRPr="00D93C8B" w:rsidRDefault="00D93C8B" w:rsidP="00F55AE2">
            <w:pPr>
              <w:spacing w:before="60" w:after="60"/>
              <w:jc w:val="center"/>
            </w:pPr>
            <w:r w:rsidRPr="00D93C8B">
              <w:t>1.98</w:t>
            </w:r>
            <w:r w:rsidR="00F55AE2" w:rsidRPr="00D93C8B">
              <w:t>%</w:t>
            </w:r>
          </w:p>
        </w:tc>
      </w:tr>
    </w:tbl>
    <w:p w:rsidR="00F55AE2" w:rsidRPr="00F55AE2" w:rsidRDefault="00F55AE2" w:rsidP="00F55AE2">
      <w:pPr>
        <w:rPr>
          <w:i/>
          <w:sz w:val="20"/>
          <w:szCs w:val="20"/>
        </w:rPr>
      </w:pPr>
      <w:r w:rsidRPr="00F55AE2">
        <w:rPr>
          <w:i/>
          <w:sz w:val="20"/>
          <w:szCs w:val="20"/>
        </w:rPr>
        <w:t>*These changes are from business and usual price forecasts for each year and are not cumulative</w:t>
      </w:r>
    </w:p>
    <w:p w:rsidR="00745BAA" w:rsidRPr="00B9662B" w:rsidRDefault="00CF06FD" w:rsidP="001F3CC9">
      <w:r>
        <w:t xml:space="preserve">A summary of estimated impacts on average household electricity bills is </w:t>
      </w:r>
      <w:r w:rsidRPr="00B9662B">
        <w:t xml:space="preserve">provided at </w:t>
      </w:r>
      <w:r w:rsidR="00B43B35">
        <w:fldChar w:fldCharType="begin"/>
      </w:r>
      <w:r w:rsidR="00B43B35">
        <w:instrText xml:space="preserve"> REF _Ref303887162 \h  \* MERGEFORMAT </w:instrText>
      </w:r>
      <w:r w:rsidR="00B43B35">
        <w:fldChar w:fldCharType="separate"/>
      </w:r>
      <w:r w:rsidR="00681D6A" w:rsidRPr="00B9662B">
        <w:t xml:space="preserve">Table </w:t>
      </w:r>
      <w:r w:rsidR="00681D6A">
        <w:rPr>
          <w:noProof/>
        </w:rPr>
        <w:t>12</w:t>
      </w:r>
      <w:r w:rsidR="00B43B35">
        <w:fldChar w:fldCharType="end"/>
      </w:r>
      <w:r w:rsidRPr="00B9662B">
        <w:t>.</w:t>
      </w:r>
    </w:p>
    <w:p w:rsidR="00361391" w:rsidRPr="00B9662B" w:rsidRDefault="00361391" w:rsidP="00C75A1A">
      <w:pPr>
        <w:pStyle w:val="Caption"/>
        <w:keepNext/>
      </w:pPr>
      <w:bookmarkStart w:id="124" w:name="_Ref303887162"/>
      <w:r w:rsidRPr="00B9662B">
        <w:t xml:space="preserve">Table </w:t>
      </w:r>
      <w:r w:rsidR="006F5BB0">
        <w:rPr>
          <w:noProof/>
        </w:rPr>
        <w:fldChar w:fldCharType="begin"/>
      </w:r>
      <w:r w:rsidR="006F5BB0">
        <w:rPr>
          <w:noProof/>
        </w:rPr>
        <w:instrText xml:space="preserve"> SEQ Table \* ARABIC </w:instrText>
      </w:r>
      <w:r w:rsidR="006F5BB0">
        <w:rPr>
          <w:noProof/>
        </w:rPr>
        <w:fldChar w:fldCharType="separate"/>
      </w:r>
      <w:r w:rsidR="00681D6A">
        <w:rPr>
          <w:noProof/>
        </w:rPr>
        <w:t>12</w:t>
      </w:r>
      <w:r w:rsidR="006F5BB0">
        <w:rPr>
          <w:noProof/>
        </w:rPr>
        <w:fldChar w:fldCharType="end"/>
      </w:r>
      <w:bookmarkEnd w:id="124"/>
      <w:r w:rsidRPr="00B9662B">
        <w:t>: Nominal price impact on e</w:t>
      </w:r>
      <w:r w:rsidR="00A0260D" w:rsidRPr="00B9662B">
        <w:t xml:space="preserve">nergy </w:t>
      </w:r>
      <w:r w:rsidRPr="00B9662B">
        <w:t>bills</w:t>
      </w:r>
      <w:r w:rsidR="00FA7A23" w:rsidRPr="00B9662B">
        <w:t xml:space="preserve"> </w:t>
      </w:r>
      <w:r w:rsidRPr="00B9662B">
        <w:t>per ACT household (not discounted)</w:t>
      </w:r>
    </w:p>
    <w:tbl>
      <w:tblPr>
        <w:tblW w:w="9507" w:type="dxa"/>
        <w:tblInd w:w="108" w:type="dxa"/>
        <w:tblLook w:val="04A0" w:firstRow="1" w:lastRow="0" w:firstColumn="1" w:lastColumn="0" w:noHBand="0" w:noVBand="1"/>
      </w:tblPr>
      <w:tblGrid>
        <w:gridCol w:w="2444"/>
        <w:gridCol w:w="3385"/>
        <w:gridCol w:w="3678"/>
      </w:tblGrid>
      <w:tr w:rsidR="00F55AE2" w:rsidRPr="00FD65B2" w:rsidTr="00D13789">
        <w:trPr>
          <w:trHeight w:val="434"/>
        </w:trPr>
        <w:tc>
          <w:tcPr>
            <w:tcW w:w="2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55AE2" w:rsidRPr="00FD65B2" w:rsidRDefault="00F55AE2" w:rsidP="00C75A1A">
            <w:pPr>
              <w:keepNext/>
              <w:spacing w:before="60" w:after="60"/>
            </w:pPr>
            <w:r w:rsidRPr="00FD65B2">
              <w:t>Scheme period</w:t>
            </w:r>
          </w:p>
        </w:tc>
        <w:tc>
          <w:tcPr>
            <w:tcW w:w="338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55AE2" w:rsidRPr="00FD65B2" w:rsidRDefault="006177EF" w:rsidP="00C75A1A">
            <w:pPr>
              <w:keepNext/>
              <w:spacing w:before="60" w:after="60"/>
              <w:jc w:val="center"/>
            </w:pPr>
            <w:r>
              <w:t>Pass-through cost</w:t>
            </w:r>
          </w:p>
        </w:tc>
        <w:tc>
          <w:tcPr>
            <w:tcW w:w="367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55AE2" w:rsidRPr="00FD65B2" w:rsidRDefault="00BD15F2" w:rsidP="00C75A1A">
            <w:pPr>
              <w:keepNext/>
              <w:spacing w:before="60" w:after="60"/>
              <w:jc w:val="center"/>
            </w:pPr>
            <w:r>
              <w:t>Average annual bill savings</w:t>
            </w:r>
          </w:p>
        </w:tc>
      </w:tr>
      <w:tr w:rsidR="00F55AE2" w:rsidRPr="00FD65B2" w:rsidTr="00D13789">
        <w:trPr>
          <w:trHeight w:val="434"/>
        </w:trPr>
        <w:tc>
          <w:tcPr>
            <w:tcW w:w="2444" w:type="dxa"/>
            <w:tcBorders>
              <w:top w:val="nil"/>
              <w:left w:val="single" w:sz="4" w:space="0" w:color="auto"/>
              <w:bottom w:val="single" w:sz="4" w:space="0" w:color="auto"/>
              <w:right w:val="single" w:sz="4" w:space="0" w:color="auto"/>
            </w:tcBorders>
            <w:hideMark/>
          </w:tcPr>
          <w:p w:rsidR="00F55AE2" w:rsidRPr="00FD65B2" w:rsidRDefault="00F55AE2" w:rsidP="00C75A1A">
            <w:pPr>
              <w:keepNext/>
              <w:spacing w:before="60" w:after="60"/>
            </w:pPr>
            <w:r w:rsidRPr="00FD65B2">
              <w:t xml:space="preserve">Period </w:t>
            </w:r>
            <w:r w:rsidR="00D93C8B" w:rsidRPr="00FD65B2">
              <w:t>1</w:t>
            </w:r>
          </w:p>
        </w:tc>
        <w:tc>
          <w:tcPr>
            <w:tcW w:w="3385" w:type="dxa"/>
            <w:tcBorders>
              <w:top w:val="nil"/>
              <w:left w:val="nil"/>
              <w:bottom w:val="single" w:sz="4" w:space="0" w:color="auto"/>
              <w:right w:val="single" w:sz="4" w:space="0" w:color="auto"/>
            </w:tcBorders>
            <w:noWrap/>
            <w:hideMark/>
          </w:tcPr>
          <w:p w:rsidR="00F55AE2" w:rsidRPr="00FD65B2" w:rsidRDefault="00F55AE2" w:rsidP="00C75A1A">
            <w:pPr>
              <w:keepNext/>
              <w:spacing w:before="60" w:after="60"/>
              <w:jc w:val="center"/>
            </w:pPr>
            <w:r w:rsidRPr="00FD65B2">
              <w:t>$19</w:t>
            </w:r>
          </w:p>
        </w:tc>
        <w:tc>
          <w:tcPr>
            <w:tcW w:w="3678" w:type="dxa"/>
            <w:tcBorders>
              <w:top w:val="nil"/>
              <w:left w:val="nil"/>
              <w:bottom w:val="single" w:sz="4" w:space="0" w:color="auto"/>
              <w:right w:val="single" w:sz="4" w:space="0" w:color="auto"/>
            </w:tcBorders>
          </w:tcPr>
          <w:p w:rsidR="00F55AE2" w:rsidRPr="00FD65B2" w:rsidRDefault="00F55AE2" w:rsidP="00C75A1A">
            <w:pPr>
              <w:keepNext/>
              <w:spacing w:before="60" w:after="60"/>
              <w:jc w:val="center"/>
            </w:pPr>
            <w:r w:rsidRPr="00FD65B2">
              <w:t>$66</w:t>
            </w:r>
          </w:p>
        </w:tc>
      </w:tr>
      <w:tr w:rsidR="00F55AE2" w:rsidRPr="00FD65B2" w:rsidTr="00D13789">
        <w:trPr>
          <w:trHeight w:val="434"/>
        </w:trPr>
        <w:tc>
          <w:tcPr>
            <w:tcW w:w="2444" w:type="dxa"/>
            <w:tcBorders>
              <w:top w:val="nil"/>
              <w:left w:val="single" w:sz="4" w:space="0" w:color="auto"/>
              <w:bottom w:val="single" w:sz="4" w:space="0" w:color="auto"/>
              <w:right w:val="single" w:sz="4" w:space="0" w:color="auto"/>
            </w:tcBorders>
            <w:hideMark/>
          </w:tcPr>
          <w:p w:rsidR="00F55AE2" w:rsidRPr="00FD65B2" w:rsidRDefault="00F55AE2" w:rsidP="00C75A1A">
            <w:pPr>
              <w:keepNext/>
              <w:spacing w:before="60" w:after="60"/>
            </w:pPr>
            <w:r w:rsidRPr="00FD65B2">
              <w:t xml:space="preserve">Period </w:t>
            </w:r>
            <w:r w:rsidR="00D93C8B" w:rsidRPr="00FD65B2">
              <w:t>2</w:t>
            </w:r>
          </w:p>
        </w:tc>
        <w:tc>
          <w:tcPr>
            <w:tcW w:w="3385" w:type="dxa"/>
            <w:tcBorders>
              <w:top w:val="nil"/>
              <w:left w:val="nil"/>
              <w:bottom w:val="single" w:sz="4" w:space="0" w:color="auto"/>
              <w:right w:val="single" w:sz="4" w:space="0" w:color="auto"/>
            </w:tcBorders>
            <w:noWrap/>
            <w:hideMark/>
          </w:tcPr>
          <w:p w:rsidR="00F55AE2" w:rsidRPr="00FD65B2" w:rsidRDefault="00F55AE2" w:rsidP="00C75A1A">
            <w:pPr>
              <w:keepNext/>
              <w:spacing w:before="60" w:after="60"/>
              <w:jc w:val="center"/>
            </w:pPr>
            <w:r w:rsidRPr="00FD65B2">
              <w:t>$3</w:t>
            </w:r>
            <w:r w:rsidR="00D93C8B" w:rsidRPr="00FD65B2">
              <w:t>5</w:t>
            </w:r>
          </w:p>
        </w:tc>
        <w:tc>
          <w:tcPr>
            <w:tcW w:w="3678" w:type="dxa"/>
            <w:tcBorders>
              <w:top w:val="nil"/>
              <w:left w:val="nil"/>
              <w:bottom w:val="single" w:sz="4" w:space="0" w:color="auto"/>
              <w:right w:val="single" w:sz="4" w:space="0" w:color="auto"/>
            </w:tcBorders>
          </w:tcPr>
          <w:p w:rsidR="00F55AE2" w:rsidRPr="00FD65B2" w:rsidRDefault="00F55AE2" w:rsidP="00C75A1A">
            <w:pPr>
              <w:keepNext/>
              <w:spacing w:before="60" w:after="60"/>
              <w:jc w:val="center"/>
            </w:pPr>
            <w:r w:rsidRPr="00FD65B2">
              <w:t>$</w:t>
            </w:r>
            <w:r w:rsidR="00D93C8B" w:rsidRPr="00FD65B2">
              <w:t>135</w:t>
            </w:r>
          </w:p>
        </w:tc>
      </w:tr>
      <w:tr w:rsidR="00F55AE2" w:rsidRPr="00FD65B2" w:rsidTr="00D13789">
        <w:trPr>
          <w:trHeight w:val="434"/>
        </w:trPr>
        <w:tc>
          <w:tcPr>
            <w:tcW w:w="2444" w:type="dxa"/>
            <w:tcBorders>
              <w:top w:val="nil"/>
              <w:left w:val="single" w:sz="4" w:space="0" w:color="auto"/>
              <w:bottom w:val="single" w:sz="4" w:space="0" w:color="auto"/>
              <w:right w:val="single" w:sz="4" w:space="0" w:color="auto"/>
            </w:tcBorders>
            <w:hideMark/>
          </w:tcPr>
          <w:p w:rsidR="00F55AE2" w:rsidRPr="00FD65B2" w:rsidRDefault="00F55AE2" w:rsidP="00C75A1A">
            <w:pPr>
              <w:keepNext/>
              <w:spacing w:before="60" w:after="60"/>
            </w:pPr>
            <w:r w:rsidRPr="00FD65B2">
              <w:t xml:space="preserve">Period </w:t>
            </w:r>
            <w:r w:rsidR="00D93C8B" w:rsidRPr="00FD65B2">
              <w:t>3</w:t>
            </w:r>
          </w:p>
        </w:tc>
        <w:tc>
          <w:tcPr>
            <w:tcW w:w="3385" w:type="dxa"/>
            <w:tcBorders>
              <w:top w:val="nil"/>
              <w:left w:val="nil"/>
              <w:bottom w:val="single" w:sz="4" w:space="0" w:color="auto"/>
              <w:right w:val="single" w:sz="4" w:space="0" w:color="auto"/>
            </w:tcBorders>
            <w:noWrap/>
            <w:hideMark/>
          </w:tcPr>
          <w:p w:rsidR="00F55AE2" w:rsidRPr="00FD65B2" w:rsidRDefault="00F55AE2" w:rsidP="00C75A1A">
            <w:pPr>
              <w:keepNext/>
              <w:spacing w:before="60" w:after="60"/>
              <w:jc w:val="center"/>
            </w:pPr>
            <w:r w:rsidRPr="00FD65B2">
              <w:t>$</w:t>
            </w:r>
            <w:r w:rsidR="00D93C8B" w:rsidRPr="00FD65B2">
              <w:t>33</w:t>
            </w:r>
          </w:p>
        </w:tc>
        <w:tc>
          <w:tcPr>
            <w:tcW w:w="3678" w:type="dxa"/>
            <w:tcBorders>
              <w:top w:val="nil"/>
              <w:left w:val="nil"/>
              <w:bottom w:val="single" w:sz="4" w:space="0" w:color="auto"/>
              <w:right w:val="single" w:sz="4" w:space="0" w:color="auto"/>
            </w:tcBorders>
          </w:tcPr>
          <w:p w:rsidR="00F55AE2" w:rsidRPr="00FD65B2" w:rsidRDefault="00F55AE2" w:rsidP="00C75A1A">
            <w:pPr>
              <w:keepNext/>
              <w:spacing w:before="60" w:after="60"/>
              <w:jc w:val="center"/>
            </w:pPr>
            <w:r w:rsidRPr="00FD65B2">
              <w:t>$</w:t>
            </w:r>
            <w:r w:rsidR="00D93C8B" w:rsidRPr="00FD65B2">
              <w:t>191</w:t>
            </w:r>
          </w:p>
        </w:tc>
      </w:tr>
      <w:tr w:rsidR="00F55AE2" w:rsidRPr="00C22831" w:rsidTr="00D13789">
        <w:trPr>
          <w:trHeight w:val="434"/>
        </w:trPr>
        <w:tc>
          <w:tcPr>
            <w:tcW w:w="2444" w:type="dxa"/>
            <w:tcBorders>
              <w:top w:val="nil"/>
              <w:left w:val="single" w:sz="4" w:space="0" w:color="auto"/>
              <w:bottom w:val="single" w:sz="4" w:space="0" w:color="auto"/>
              <w:right w:val="single" w:sz="4" w:space="0" w:color="auto"/>
            </w:tcBorders>
            <w:hideMark/>
          </w:tcPr>
          <w:p w:rsidR="00F55AE2" w:rsidRPr="00FD65B2" w:rsidRDefault="00F55AE2" w:rsidP="00C75A1A">
            <w:pPr>
              <w:keepNext/>
              <w:spacing w:before="60" w:after="60"/>
            </w:pPr>
            <w:r w:rsidRPr="00FD65B2">
              <w:t>Total</w:t>
            </w:r>
          </w:p>
        </w:tc>
        <w:tc>
          <w:tcPr>
            <w:tcW w:w="3385" w:type="dxa"/>
            <w:tcBorders>
              <w:top w:val="nil"/>
              <w:left w:val="nil"/>
              <w:bottom w:val="single" w:sz="4" w:space="0" w:color="auto"/>
              <w:right w:val="single" w:sz="4" w:space="0" w:color="auto"/>
            </w:tcBorders>
            <w:noWrap/>
            <w:hideMark/>
          </w:tcPr>
          <w:p w:rsidR="00F55AE2" w:rsidRPr="00FD65B2" w:rsidRDefault="00F55AE2" w:rsidP="00C75A1A">
            <w:pPr>
              <w:keepNext/>
              <w:spacing w:before="60" w:after="60"/>
              <w:jc w:val="center"/>
            </w:pPr>
            <w:r w:rsidRPr="00FD65B2">
              <w:t>$8</w:t>
            </w:r>
            <w:r w:rsidR="00D93C8B" w:rsidRPr="00FD65B2">
              <w:t>7</w:t>
            </w:r>
          </w:p>
        </w:tc>
        <w:tc>
          <w:tcPr>
            <w:tcW w:w="3678" w:type="dxa"/>
            <w:tcBorders>
              <w:top w:val="nil"/>
              <w:left w:val="nil"/>
              <w:bottom w:val="single" w:sz="4" w:space="0" w:color="auto"/>
              <w:right w:val="single" w:sz="4" w:space="0" w:color="auto"/>
            </w:tcBorders>
          </w:tcPr>
          <w:p w:rsidR="00F55AE2" w:rsidRPr="00FD65B2" w:rsidRDefault="00F55AE2" w:rsidP="00C75A1A">
            <w:pPr>
              <w:keepNext/>
              <w:spacing w:before="60" w:after="60"/>
              <w:jc w:val="center"/>
            </w:pPr>
            <w:r w:rsidRPr="00FD65B2">
              <w:t>$392</w:t>
            </w:r>
          </w:p>
        </w:tc>
      </w:tr>
    </w:tbl>
    <w:p w:rsidR="00AD3015" w:rsidRPr="00B9662B" w:rsidRDefault="007D3351" w:rsidP="00C75A1A">
      <w:pPr>
        <w:keepNext/>
      </w:pPr>
      <w:r w:rsidRPr="00B9662B">
        <w:t xml:space="preserve">Total expected </w:t>
      </w:r>
      <w:r w:rsidR="00AD3015" w:rsidRPr="00B9662B">
        <w:t xml:space="preserve">lifetime </w:t>
      </w:r>
      <w:r w:rsidRPr="00B9662B">
        <w:t xml:space="preserve">bill savings </w:t>
      </w:r>
      <w:r w:rsidR="00AD3015" w:rsidRPr="00B9662B">
        <w:t xml:space="preserve">for activities implemented under the Scheme are </w:t>
      </w:r>
      <w:r w:rsidRPr="00B9662B">
        <w:t xml:space="preserve">expected to be $2,227 per household, or </w:t>
      </w:r>
      <w:r w:rsidR="00AD3015" w:rsidRPr="00B9662B">
        <w:t>$358 million for the Territory as a whole.</w:t>
      </w:r>
    </w:p>
    <w:p w:rsidR="00DF63A6" w:rsidRPr="00B9662B" w:rsidRDefault="00AD3015" w:rsidP="00AD3015">
      <w:r w:rsidRPr="00B9662B">
        <w:t>It is expected that up to 70,000 households may participate in the Scheme.</w:t>
      </w:r>
    </w:p>
    <w:p w:rsidR="00DE052D" w:rsidRDefault="00DE052D" w:rsidP="00D404FA">
      <w:pPr>
        <w:pStyle w:val="Heading2"/>
      </w:pPr>
      <w:bookmarkStart w:id="125" w:name="_Toc306808243"/>
      <w:r w:rsidRPr="00E85C70">
        <w:t>Business costs</w:t>
      </w:r>
      <w:bookmarkEnd w:id="125"/>
    </w:p>
    <w:p w:rsidR="00E85C70" w:rsidRPr="00B9662B" w:rsidRDefault="00E85C70" w:rsidP="00E85C70">
      <w:r w:rsidRPr="00B9662B">
        <w:t xml:space="preserve">The Scheme will be funded by electricity suppliers, who will pass-through their costs to all energy users on a proportional basis (much like the existing feed-in tariff program). The business and government sectors will bear the costs of the </w:t>
      </w:r>
      <w:r w:rsidR="00550A53">
        <w:t>S</w:t>
      </w:r>
      <w:r w:rsidRPr="00B9662B">
        <w:t>cheme through higher electricity charges, but will not be able to participate until the set of eligible activities is expanded beyond the residential sector. This is consistent with schemes operating in South Australia and Victoria</w:t>
      </w:r>
      <w:r w:rsidR="00550A53">
        <w:t>.</w:t>
      </w:r>
    </w:p>
    <w:p w:rsidR="00E85C70" w:rsidRPr="00B9662B" w:rsidRDefault="00E85C70" w:rsidP="00E85C70">
      <w:r w:rsidRPr="00B9662B">
        <w:t xml:space="preserve"> Estimated average costs to business are more difficult to determine due to the significant differences in energy use between different businesses. The total pass-through costs to the commercial sector are expected to be around $20 million over the life of the Scheme. Examples of costs that may be expected for different types of businesses are shown below. Flow</w:t>
      </w:r>
      <w:r w:rsidR="00550A53">
        <w:t>-</w:t>
      </w:r>
      <w:r w:rsidRPr="00B9662B">
        <w:t>through costs for electricity spends of $1,000 and $10,000 assumes franchise electricity contract rates apply. Flow</w:t>
      </w:r>
      <w:r w:rsidR="00550A53">
        <w:t>-</w:t>
      </w:r>
      <w:r w:rsidRPr="00B9662B">
        <w:t>through costs for electricity spends of $100,000 and $1,000,000 assumes large electricity contract rates apply.</w:t>
      </w:r>
    </w:p>
    <w:p w:rsidR="00E85C70" w:rsidRPr="00B9662B" w:rsidRDefault="00E85C70" w:rsidP="00EA1AAD">
      <w:pPr>
        <w:pStyle w:val="Caption"/>
        <w:keepNext/>
      </w:pPr>
      <w:r w:rsidRPr="00B9662B">
        <w:t xml:space="preserve">Table </w:t>
      </w:r>
      <w:r w:rsidR="006F5BB0">
        <w:rPr>
          <w:noProof/>
        </w:rPr>
        <w:fldChar w:fldCharType="begin"/>
      </w:r>
      <w:r w:rsidR="006F5BB0">
        <w:rPr>
          <w:noProof/>
        </w:rPr>
        <w:instrText xml:space="preserve"> SEQ Table \* ARABIC </w:instrText>
      </w:r>
      <w:r w:rsidR="006F5BB0">
        <w:rPr>
          <w:noProof/>
        </w:rPr>
        <w:fldChar w:fldCharType="separate"/>
      </w:r>
      <w:r w:rsidR="00681D6A">
        <w:rPr>
          <w:noProof/>
        </w:rPr>
        <w:t>13</w:t>
      </w:r>
      <w:r w:rsidR="006F5BB0">
        <w:rPr>
          <w:noProof/>
        </w:rPr>
        <w:fldChar w:fldCharType="end"/>
      </w:r>
      <w:r w:rsidRPr="00B9662B">
        <w:t>: Pass-through cost impacts for a range of business energy users (not discounted)</w:t>
      </w:r>
    </w:p>
    <w:tbl>
      <w:tblPr>
        <w:tblW w:w="9639" w:type="dxa"/>
        <w:tblInd w:w="108" w:type="dxa"/>
        <w:tblLayout w:type="fixed"/>
        <w:tblLook w:val="04A0" w:firstRow="1" w:lastRow="0" w:firstColumn="1" w:lastColumn="0" w:noHBand="0" w:noVBand="1"/>
      </w:tblPr>
      <w:tblGrid>
        <w:gridCol w:w="1814"/>
        <w:gridCol w:w="1814"/>
        <w:gridCol w:w="1815"/>
        <w:gridCol w:w="1814"/>
        <w:gridCol w:w="2382"/>
      </w:tblGrid>
      <w:tr w:rsidR="00E85C70" w:rsidRPr="00FD65B2" w:rsidTr="00E85C70">
        <w:trPr>
          <w:trHeight w:val="218"/>
        </w:trPr>
        <w:tc>
          <w:tcPr>
            <w:tcW w:w="1814" w:type="dxa"/>
            <w:tcBorders>
              <w:top w:val="single" w:sz="4" w:space="0" w:color="auto"/>
              <w:left w:val="single" w:sz="4" w:space="0" w:color="auto"/>
              <w:bottom w:val="single" w:sz="4" w:space="0" w:color="auto"/>
              <w:right w:val="single" w:sz="4" w:space="0" w:color="auto"/>
            </w:tcBorders>
            <w:shd w:val="clear" w:color="auto" w:fill="BFBFBF"/>
            <w:noWrap/>
            <w:hideMark/>
          </w:tcPr>
          <w:p w:rsidR="00E85C70" w:rsidRPr="00FD65B2" w:rsidRDefault="00E85C70" w:rsidP="00EA1AAD">
            <w:pPr>
              <w:keepNext/>
              <w:spacing w:before="60" w:after="60"/>
              <w:jc w:val="center"/>
              <w:rPr>
                <w:rFonts w:asciiTheme="minorHAnsi" w:hAnsiTheme="minorHAnsi" w:cs="Calibri"/>
              </w:rPr>
            </w:pPr>
            <w:r w:rsidRPr="00FD65B2">
              <w:rPr>
                <w:rFonts w:asciiTheme="minorHAnsi" w:hAnsiTheme="minorHAnsi" w:cs="Calibri"/>
              </w:rPr>
              <w:t>Business Size</w:t>
            </w:r>
          </w:p>
        </w:tc>
        <w:tc>
          <w:tcPr>
            <w:tcW w:w="1814" w:type="dxa"/>
            <w:tcBorders>
              <w:top w:val="single" w:sz="4" w:space="0" w:color="auto"/>
              <w:left w:val="nil"/>
              <w:bottom w:val="single" w:sz="4" w:space="0" w:color="auto"/>
              <w:right w:val="single" w:sz="4" w:space="0" w:color="auto"/>
            </w:tcBorders>
            <w:shd w:val="clear" w:color="auto" w:fill="BFBFBF"/>
            <w:hideMark/>
          </w:tcPr>
          <w:p w:rsidR="00E85C70" w:rsidRPr="00FD65B2" w:rsidRDefault="00BD15F2" w:rsidP="00EA1AAD">
            <w:pPr>
              <w:keepNext/>
              <w:spacing w:before="60" w:after="60"/>
              <w:jc w:val="center"/>
              <w:rPr>
                <w:rFonts w:asciiTheme="minorHAnsi" w:hAnsiTheme="minorHAnsi" w:cs="Calibri"/>
              </w:rPr>
            </w:pPr>
            <w:r>
              <w:rPr>
                <w:rFonts w:asciiTheme="minorHAnsi" w:hAnsiTheme="minorHAnsi" w:cs="Calibri"/>
              </w:rPr>
              <w:t>Small</w:t>
            </w:r>
          </w:p>
        </w:tc>
        <w:tc>
          <w:tcPr>
            <w:tcW w:w="1815" w:type="dxa"/>
            <w:tcBorders>
              <w:top w:val="single" w:sz="4" w:space="0" w:color="auto"/>
              <w:left w:val="nil"/>
              <w:bottom w:val="single" w:sz="4" w:space="0" w:color="auto"/>
              <w:right w:val="single" w:sz="4" w:space="0" w:color="auto"/>
            </w:tcBorders>
            <w:shd w:val="clear" w:color="auto" w:fill="BFBFBF"/>
            <w:hideMark/>
          </w:tcPr>
          <w:p w:rsidR="00E85C70" w:rsidRPr="00FD65B2" w:rsidRDefault="00BD15F2" w:rsidP="00EA1AAD">
            <w:pPr>
              <w:keepNext/>
              <w:spacing w:before="60" w:after="60"/>
              <w:jc w:val="center"/>
              <w:rPr>
                <w:rFonts w:asciiTheme="minorHAnsi" w:hAnsiTheme="minorHAnsi" w:cs="Calibri"/>
              </w:rPr>
            </w:pPr>
            <w:r>
              <w:rPr>
                <w:rFonts w:asciiTheme="minorHAnsi" w:hAnsiTheme="minorHAnsi" w:cs="Calibri"/>
              </w:rPr>
              <w:t>Medium</w:t>
            </w:r>
          </w:p>
        </w:tc>
        <w:tc>
          <w:tcPr>
            <w:tcW w:w="1814" w:type="dxa"/>
            <w:tcBorders>
              <w:top w:val="single" w:sz="4" w:space="0" w:color="auto"/>
              <w:left w:val="nil"/>
              <w:bottom w:val="single" w:sz="4" w:space="0" w:color="auto"/>
              <w:right w:val="single" w:sz="4" w:space="0" w:color="auto"/>
            </w:tcBorders>
            <w:shd w:val="clear" w:color="auto" w:fill="BFBFBF"/>
            <w:hideMark/>
          </w:tcPr>
          <w:p w:rsidR="00E85C70" w:rsidRPr="00FD65B2" w:rsidRDefault="00BD15F2" w:rsidP="00EA1AAD">
            <w:pPr>
              <w:keepNext/>
              <w:spacing w:before="60" w:after="60"/>
              <w:jc w:val="center"/>
              <w:rPr>
                <w:rFonts w:asciiTheme="minorHAnsi" w:hAnsiTheme="minorHAnsi" w:cs="Calibri"/>
              </w:rPr>
            </w:pPr>
            <w:r>
              <w:rPr>
                <w:rFonts w:asciiTheme="minorHAnsi" w:hAnsiTheme="minorHAnsi" w:cs="Calibri"/>
              </w:rPr>
              <w:t>Medium</w:t>
            </w:r>
          </w:p>
        </w:tc>
        <w:tc>
          <w:tcPr>
            <w:tcW w:w="2382" w:type="dxa"/>
            <w:tcBorders>
              <w:top w:val="single" w:sz="4" w:space="0" w:color="auto"/>
              <w:left w:val="nil"/>
              <w:bottom w:val="single" w:sz="4" w:space="0" w:color="auto"/>
              <w:right w:val="single" w:sz="4" w:space="0" w:color="auto"/>
            </w:tcBorders>
            <w:shd w:val="clear" w:color="auto" w:fill="BFBFBF"/>
            <w:hideMark/>
          </w:tcPr>
          <w:p w:rsidR="00E85C70" w:rsidRPr="00FD65B2" w:rsidRDefault="00BD15F2" w:rsidP="00EA1AAD">
            <w:pPr>
              <w:keepNext/>
              <w:spacing w:before="60" w:after="60"/>
              <w:jc w:val="center"/>
              <w:rPr>
                <w:rFonts w:asciiTheme="minorHAnsi" w:hAnsiTheme="minorHAnsi" w:cs="Calibri"/>
              </w:rPr>
            </w:pPr>
            <w:r>
              <w:rPr>
                <w:rFonts w:asciiTheme="minorHAnsi" w:hAnsiTheme="minorHAnsi" w:cs="Calibri"/>
              </w:rPr>
              <w:t>Large</w:t>
            </w:r>
          </w:p>
        </w:tc>
      </w:tr>
      <w:tr w:rsidR="00E85C70" w:rsidRPr="00FD65B2" w:rsidTr="00E85C70">
        <w:trPr>
          <w:trHeight w:val="218"/>
        </w:trPr>
        <w:tc>
          <w:tcPr>
            <w:tcW w:w="1814" w:type="dxa"/>
            <w:tcBorders>
              <w:top w:val="single" w:sz="4" w:space="0" w:color="auto"/>
              <w:left w:val="single" w:sz="4" w:space="0" w:color="auto"/>
              <w:bottom w:val="single" w:sz="4" w:space="0" w:color="auto"/>
              <w:right w:val="single" w:sz="4" w:space="0" w:color="auto"/>
            </w:tcBorders>
            <w:shd w:val="clear" w:color="auto" w:fill="D9D9D9"/>
            <w:noWrap/>
            <w:hideMark/>
          </w:tcPr>
          <w:p w:rsidR="00E85C70" w:rsidRPr="00FD65B2" w:rsidRDefault="00BD15F2" w:rsidP="00EA1AAD">
            <w:pPr>
              <w:keepNext/>
              <w:spacing w:before="60" w:after="60"/>
              <w:jc w:val="center"/>
              <w:rPr>
                <w:rFonts w:asciiTheme="minorHAnsi" w:hAnsiTheme="minorHAnsi" w:cs="Calibri"/>
              </w:rPr>
            </w:pPr>
            <w:r>
              <w:rPr>
                <w:rFonts w:asciiTheme="minorHAnsi" w:hAnsiTheme="minorHAnsi" w:cs="Calibri"/>
              </w:rPr>
              <w:t>Example</w:t>
            </w:r>
          </w:p>
        </w:tc>
        <w:tc>
          <w:tcPr>
            <w:tcW w:w="1814" w:type="dxa"/>
            <w:tcBorders>
              <w:top w:val="single" w:sz="4" w:space="0" w:color="auto"/>
              <w:left w:val="nil"/>
              <w:bottom w:val="single" w:sz="4" w:space="0" w:color="auto"/>
              <w:right w:val="single" w:sz="4" w:space="0" w:color="auto"/>
            </w:tcBorders>
            <w:shd w:val="clear" w:color="auto" w:fill="D9D9D9"/>
            <w:hideMark/>
          </w:tcPr>
          <w:p w:rsidR="00E85C70" w:rsidRPr="00FD65B2" w:rsidRDefault="00BD15F2" w:rsidP="00EA1AAD">
            <w:pPr>
              <w:keepNext/>
              <w:spacing w:before="60" w:after="60"/>
              <w:jc w:val="center"/>
              <w:rPr>
                <w:rFonts w:asciiTheme="minorHAnsi" w:hAnsiTheme="minorHAnsi" w:cs="Calibri"/>
              </w:rPr>
            </w:pPr>
            <w:r>
              <w:rPr>
                <w:rFonts w:asciiTheme="minorHAnsi" w:hAnsiTheme="minorHAnsi" w:cs="Calibri"/>
              </w:rPr>
              <w:t>Home business</w:t>
            </w:r>
          </w:p>
        </w:tc>
        <w:tc>
          <w:tcPr>
            <w:tcW w:w="1815" w:type="dxa"/>
            <w:tcBorders>
              <w:top w:val="single" w:sz="4" w:space="0" w:color="auto"/>
              <w:left w:val="nil"/>
              <w:bottom w:val="single" w:sz="4" w:space="0" w:color="auto"/>
              <w:right w:val="single" w:sz="4" w:space="0" w:color="auto"/>
            </w:tcBorders>
            <w:shd w:val="clear" w:color="auto" w:fill="D9D9D9"/>
            <w:hideMark/>
          </w:tcPr>
          <w:p w:rsidR="00E85C70" w:rsidRPr="00FD65B2" w:rsidRDefault="00BD15F2" w:rsidP="00EA1AAD">
            <w:pPr>
              <w:keepNext/>
              <w:spacing w:before="60" w:after="60"/>
              <w:jc w:val="center"/>
              <w:rPr>
                <w:rFonts w:asciiTheme="minorHAnsi" w:hAnsiTheme="minorHAnsi" w:cs="Calibri"/>
              </w:rPr>
            </w:pPr>
            <w:r>
              <w:rPr>
                <w:rFonts w:asciiTheme="minorHAnsi" w:hAnsiTheme="minorHAnsi" w:cs="Calibri"/>
              </w:rPr>
              <w:t>Lease of single office floor</w:t>
            </w:r>
          </w:p>
        </w:tc>
        <w:tc>
          <w:tcPr>
            <w:tcW w:w="1814" w:type="dxa"/>
            <w:tcBorders>
              <w:top w:val="single" w:sz="4" w:space="0" w:color="auto"/>
              <w:left w:val="nil"/>
              <w:bottom w:val="single" w:sz="4" w:space="0" w:color="auto"/>
              <w:right w:val="single" w:sz="4" w:space="0" w:color="auto"/>
            </w:tcBorders>
            <w:shd w:val="clear" w:color="auto" w:fill="D9D9D9"/>
            <w:hideMark/>
          </w:tcPr>
          <w:p w:rsidR="00E85C70" w:rsidRPr="00FD65B2" w:rsidRDefault="00BD15F2" w:rsidP="00EA1AAD">
            <w:pPr>
              <w:keepNext/>
              <w:spacing w:before="60" w:after="60"/>
              <w:jc w:val="center"/>
              <w:rPr>
                <w:rFonts w:asciiTheme="minorHAnsi" w:hAnsiTheme="minorHAnsi" w:cs="Calibri"/>
              </w:rPr>
            </w:pPr>
            <w:r>
              <w:rPr>
                <w:rFonts w:asciiTheme="minorHAnsi" w:hAnsiTheme="minorHAnsi" w:cs="Calibri"/>
              </w:rPr>
              <w:t>Large retail or restaurant</w:t>
            </w:r>
          </w:p>
        </w:tc>
        <w:tc>
          <w:tcPr>
            <w:tcW w:w="2382" w:type="dxa"/>
            <w:tcBorders>
              <w:top w:val="single" w:sz="4" w:space="0" w:color="auto"/>
              <w:left w:val="nil"/>
              <w:bottom w:val="single" w:sz="4" w:space="0" w:color="auto"/>
              <w:right w:val="single" w:sz="4" w:space="0" w:color="auto"/>
            </w:tcBorders>
            <w:shd w:val="clear" w:color="auto" w:fill="D9D9D9"/>
            <w:hideMark/>
          </w:tcPr>
          <w:p w:rsidR="00E85C70" w:rsidRPr="00FD65B2" w:rsidRDefault="00BD15F2" w:rsidP="00EA1AAD">
            <w:pPr>
              <w:keepNext/>
              <w:spacing w:before="60" w:after="60"/>
              <w:jc w:val="center"/>
              <w:rPr>
                <w:rFonts w:asciiTheme="minorHAnsi" w:hAnsiTheme="minorHAnsi" w:cs="Calibri"/>
              </w:rPr>
            </w:pPr>
            <w:r>
              <w:rPr>
                <w:rFonts w:asciiTheme="minorHAnsi" w:hAnsiTheme="minorHAnsi" w:cs="Calibri"/>
              </w:rPr>
              <w:t>Large shopping centre or supermarket</w:t>
            </w:r>
          </w:p>
        </w:tc>
      </w:tr>
      <w:tr w:rsidR="00E85C70" w:rsidRPr="00FD65B2" w:rsidTr="00E85C70">
        <w:trPr>
          <w:trHeight w:val="218"/>
        </w:trPr>
        <w:tc>
          <w:tcPr>
            <w:tcW w:w="1814" w:type="dxa"/>
            <w:tcBorders>
              <w:top w:val="single" w:sz="4" w:space="0" w:color="auto"/>
              <w:left w:val="single" w:sz="4" w:space="0" w:color="auto"/>
              <w:bottom w:val="single" w:sz="4" w:space="0" w:color="auto"/>
              <w:right w:val="single" w:sz="4" w:space="0" w:color="auto"/>
            </w:tcBorders>
            <w:shd w:val="clear" w:color="auto" w:fill="D9D9D9"/>
            <w:noWrap/>
            <w:hideMark/>
          </w:tcPr>
          <w:p w:rsidR="00E85C70" w:rsidRPr="00FD65B2" w:rsidRDefault="00BD15F2" w:rsidP="00EA1AAD">
            <w:pPr>
              <w:keepNext/>
              <w:spacing w:before="60" w:after="60"/>
              <w:jc w:val="center"/>
              <w:rPr>
                <w:rFonts w:asciiTheme="minorHAnsi" w:hAnsiTheme="minorHAnsi" w:cs="Calibri"/>
              </w:rPr>
            </w:pPr>
            <w:r>
              <w:rPr>
                <w:rFonts w:asciiTheme="minorHAnsi" w:hAnsiTheme="minorHAnsi" w:cs="Calibri"/>
              </w:rPr>
              <w:t>Annual electricity spend $ p.a. &gt;</w:t>
            </w:r>
          </w:p>
        </w:tc>
        <w:tc>
          <w:tcPr>
            <w:tcW w:w="1814" w:type="dxa"/>
            <w:tcBorders>
              <w:top w:val="single" w:sz="4" w:space="0" w:color="auto"/>
              <w:left w:val="nil"/>
              <w:bottom w:val="single" w:sz="4" w:space="0" w:color="auto"/>
              <w:right w:val="single" w:sz="4" w:space="0" w:color="auto"/>
            </w:tcBorders>
            <w:shd w:val="clear" w:color="auto" w:fill="D9D9D9"/>
            <w:hideMark/>
          </w:tcPr>
          <w:p w:rsidR="00E85C70" w:rsidRPr="00FD65B2" w:rsidRDefault="00BD15F2" w:rsidP="00EA1AAD">
            <w:pPr>
              <w:keepNext/>
              <w:spacing w:before="60" w:after="60"/>
              <w:jc w:val="center"/>
              <w:rPr>
                <w:rFonts w:asciiTheme="minorHAnsi" w:hAnsiTheme="minorHAnsi" w:cs="Calibri"/>
              </w:rPr>
            </w:pPr>
            <w:r>
              <w:rPr>
                <w:rFonts w:asciiTheme="minorHAnsi" w:hAnsiTheme="minorHAnsi" w:cs="Calibri"/>
              </w:rPr>
              <w:t>$1,000</w:t>
            </w:r>
          </w:p>
        </w:tc>
        <w:tc>
          <w:tcPr>
            <w:tcW w:w="1815" w:type="dxa"/>
            <w:tcBorders>
              <w:top w:val="single" w:sz="4" w:space="0" w:color="auto"/>
              <w:left w:val="nil"/>
              <w:bottom w:val="single" w:sz="4" w:space="0" w:color="auto"/>
              <w:right w:val="single" w:sz="4" w:space="0" w:color="auto"/>
            </w:tcBorders>
            <w:shd w:val="clear" w:color="auto" w:fill="D9D9D9"/>
            <w:hideMark/>
          </w:tcPr>
          <w:p w:rsidR="00E85C70" w:rsidRPr="00FD65B2" w:rsidRDefault="00BD15F2" w:rsidP="00EA1AAD">
            <w:pPr>
              <w:keepNext/>
              <w:spacing w:before="60" w:after="60"/>
              <w:jc w:val="center"/>
              <w:rPr>
                <w:rFonts w:asciiTheme="minorHAnsi" w:hAnsiTheme="minorHAnsi" w:cs="Calibri"/>
              </w:rPr>
            </w:pPr>
            <w:r>
              <w:rPr>
                <w:rFonts w:asciiTheme="minorHAnsi" w:hAnsiTheme="minorHAnsi" w:cs="Calibri"/>
              </w:rPr>
              <w:t>$10,000</w:t>
            </w:r>
          </w:p>
        </w:tc>
        <w:tc>
          <w:tcPr>
            <w:tcW w:w="1814" w:type="dxa"/>
            <w:tcBorders>
              <w:top w:val="single" w:sz="4" w:space="0" w:color="auto"/>
              <w:left w:val="nil"/>
              <w:bottom w:val="single" w:sz="4" w:space="0" w:color="auto"/>
              <w:right w:val="single" w:sz="4" w:space="0" w:color="auto"/>
            </w:tcBorders>
            <w:shd w:val="clear" w:color="auto" w:fill="D9D9D9"/>
            <w:hideMark/>
          </w:tcPr>
          <w:p w:rsidR="00E85C70" w:rsidRPr="00FD65B2" w:rsidRDefault="00BD15F2" w:rsidP="00EA1AAD">
            <w:pPr>
              <w:keepNext/>
              <w:spacing w:before="60" w:after="60"/>
              <w:jc w:val="center"/>
              <w:rPr>
                <w:rFonts w:asciiTheme="minorHAnsi" w:hAnsiTheme="minorHAnsi" w:cs="Calibri"/>
              </w:rPr>
            </w:pPr>
            <w:r>
              <w:rPr>
                <w:rFonts w:asciiTheme="minorHAnsi" w:hAnsiTheme="minorHAnsi" w:cs="Calibri"/>
              </w:rPr>
              <w:t>$100,000</w:t>
            </w:r>
          </w:p>
        </w:tc>
        <w:tc>
          <w:tcPr>
            <w:tcW w:w="2382" w:type="dxa"/>
            <w:tcBorders>
              <w:top w:val="single" w:sz="4" w:space="0" w:color="auto"/>
              <w:left w:val="nil"/>
              <w:bottom w:val="single" w:sz="4" w:space="0" w:color="auto"/>
              <w:right w:val="single" w:sz="4" w:space="0" w:color="auto"/>
            </w:tcBorders>
            <w:shd w:val="clear" w:color="auto" w:fill="D9D9D9"/>
            <w:hideMark/>
          </w:tcPr>
          <w:p w:rsidR="00E85C70" w:rsidRPr="00FD65B2" w:rsidRDefault="00BD15F2" w:rsidP="00EA1AAD">
            <w:pPr>
              <w:keepNext/>
              <w:spacing w:before="60" w:after="60"/>
              <w:jc w:val="center"/>
              <w:rPr>
                <w:rFonts w:asciiTheme="minorHAnsi" w:hAnsiTheme="minorHAnsi" w:cs="Calibri"/>
              </w:rPr>
            </w:pPr>
            <w:r>
              <w:rPr>
                <w:rFonts w:asciiTheme="minorHAnsi" w:hAnsiTheme="minorHAnsi" w:cs="Calibri"/>
              </w:rPr>
              <w:t>$1,000,000</w:t>
            </w:r>
          </w:p>
        </w:tc>
      </w:tr>
      <w:tr w:rsidR="00E85C70" w:rsidRPr="00FD65B2" w:rsidTr="00E85C70">
        <w:trPr>
          <w:trHeight w:val="218"/>
        </w:trPr>
        <w:tc>
          <w:tcPr>
            <w:tcW w:w="1814" w:type="dxa"/>
            <w:tcBorders>
              <w:top w:val="nil"/>
              <w:left w:val="single" w:sz="4" w:space="0" w:color="auto"/>
              <w:bottom w:val="single" w:sz="4" w:space="0" w:color="auto"/>
              <w:right w:val="single" w:sz="4" w:space="0" w:color="auto"/>
            </w:tcBorders>
            <w:hideMark/>
          </w:tcPr>
          <w:p w:rsidR="00E85C70" w:rsidRPr="00FD65B2" w:rsidRDefault="00E85C70" w:rsidP="00EA1AAD">
            <w:pPr>
              <w:keepNext/>
              <w:spacing w:before="60" w:after="60"/>
              <w:jc w:val="center"/>
            </w:pPr>
            <w:r w:rsidRPr="00FD65B2">
              <w:t xml:space="preserve">Period </w:t>
            </w:r>
            <w:r w:rsidR="00FD65B2" w:rsidRPr="00FD65B2">
              <w:t>1</w:t>
            </w:r>
          </w:p>
        </w:tc>
        <w:tc>
          <w:tcPr>
            <w:tcW w:w="1814" w:type="dxa"/>
            <w:tcBorders>
              <w:top w:val="nil"/>
              <w:left w:val="nil"/>
              <w:bottom w:val="single" w:sz="4" w:space="0" w:color="auto"/>
              <w:right w:val="single" w:sz="4" w:space="0" w:color="auto"/>
            </w:tcBorders>
            <w:noWrap/>
            <w:vAlign w:val="bottom"/>
            <w:hideMark/>
          </w:tcPr>
          <w:p w:rsidR="00E85C70" w:rsidRPr="00FD65B2" w:rsidRDefault="00E85C70" w:rsidP="00EA1AAD">
            <w:pPr>
              <w:keepNext/>
              <w:spacing w:before="60" w:after="60"/>
              <w:jc w:val="center"/>
            </w:pPr>
            <w:r w:rsidRPr="00FD65B2">
              <w:t>$15</w:t>
            </w:r>
          </w:p>
        </w:tc>
        <w:tc>
          <w:tcPr>
            <w:tcW w:w="1815" w:type="dxa"/>
            <w:tcBorders>
              <w:top w:val="nil"/>
              <w:left w:val="nil"/>
              <w:bottom w:val="single" w:sz="4" w:space="0" w:color="auto"/>
              <w:right w:val="single" w:sz="4" w:space="0" w:color="auto"/>
            </w:tcBorders>
            <w:noWrap/>
            <w:vAlign w:val="bottom"/>
            <w:hideMark/>
          </w:tcPr>
          <w:p w:rsidR="00E85C70" w:rsidRPr="00FD65B2" w:rsidRDefault="00E85C70" w:rsidP="00EA1AAD">
            <w:pPr>
              <w:keepNext/>
              <w:spacing w:before="60" w:after="60"/>
              <w:jc w:val="center"/>
            </w:pPr>
            <w:r w:rsidRPr="00FD65B2">
              <w:t>$147</w:t>
            </w:r>
          </w:p>
        </w:tc>
        <w:tc>
          <w:tcPr>
            <w:tcW w:w="1814" w:type="dxa"/>
            <w:tcBorders>
              <w:top w:val="nil"/>
              <w:left w:val="nil"/>
              <w:bottom w:val="single" w:sz="4" w:space="0" w:color="auto"/>
              <w:right w:val="single" w:sz="4" w:space="0" w:color="auto"/>
            </w:tcBorders>
            <w:noWrap/>
            <w:vAlign w:val="bottom"/>
            <w:hideMark/>
          </w:tcPr>
          <w:p w:rsidR="00E85C70" w:rsidRPr="00FD65B2" w:rsidRDefault="00E85C70" w:rsidP="00EA1AAD">
            <w:pPr>
              <w:keepNext/>
              <w:spacing w:before="60" w:after="60"/>
              <w:jc w:val="center"/>
            </w:pPr>
            <w:r w:rsidRPr="00FD65B2">
              <w:t>$1,788</w:t>
            </w:r>
          </w:p>
        </w:tc>
        <w:tc>
          <w:tcPr>
            <w:tcW w:w="2382" w:type="dxa"/>
            <w:tcBorders>
              <w:top w:val="nil"/>
              <w:left w:val="nil"/>
              <w:bottom w:val="single" w:sz="4" w:space="0" w:color="auto"/>
              <w:right w:val="single" w:sz="4" w:space="0" w:color="auto"/>
            </w:tcBorders>
            <w:noWrap/>
            <w:vAlign w:val="bottom"/>
            <w:hideMark/>
          </w:tcPr>
          <w:p w:rsidR="00E85C70" w:rsidRPr="00FD65B2" w:rsidRDefault="00E85C70" w:rsidP="00EA1AAD">
            <w:pPr>
              <w:keepNext/>
              <w:spacing w:before="60" w:after="60"/>
              <w:jc w:val="center"/>
            </w:pPr>
            <w:r w:rsidRPr="00FD65B2">
              <w:t>$17,880</w:t>
            </w:r>
          </w:p>
        </w:tc>
      </w:tr>
      <w:tr w:rsidR="00E85C70" w:rsidRPr="00FD65B2" w:rsidTr="00E85C70">
        <w:trPr>
          <w:trHeight w:val="218"/>
        </w:trPr>
        <w:tc>
          <w:tcPr>
            <w:tcW w:w="1814" w:type="dxa"/>
            <w:tcBorders>
              <w:top w:val="nil"/>
              <w:left w:val="single" w:sz="4" w:space="0" w:color="auto"/>
              <w:bottom w:val="single" w:sz="4" w:space="0" w:color="auto"/>
              <w:right w:val="single" w:sz="4" w:space="0" w:color="auto"/>
            </w:tcBorders>
            <w:hideMark/>
          </w:tcPr>
          <w:p w:rsidR="00E85C70" w:rsidRPr="00FD65B2" w:rsidRDefault="00E85C70" w:rsidP="00FD65B2">
            <w:pPr>
              <w:keepNext/>
              <w:spacing w:before="60" w:after="60"/>
              <w:jc w:val="center"/>
            </w:pPr>
            <w:r w:rsidRPr="00FD65B2">
              <w:t xml:space="preserve">Period </w:t>
            </w:r>
            <w:r w:rsidR="00FD65B2" w:rsidRPr="00FD65B2">
              <w:t>2</w:t>
            </w:r>
          </w:p>
        </w:tc>
        <w:tc>
          <w:tcPr>
            <w:tcW w:w="1814" w:type="dxa"/>
            <w:tcBorders>
              <w:top w:val="nil"/>
              <w:left w:val="nil"/>
              <w:bottom w:val="single" w:sz="4" w:space="0" w:color="auto"/>
              <w:right w:val="single" w:sz="4" w:space="0" w:color="auto"/>
            </w:tcBorders>
            <w:noWrap/>
            <w:vAlign w:val="bottom"/>
            <w:hideMark/>
          </w:tcPr>
          <w:p w:rsidR="00E85C70" w:rsidRPr="00FD65B2" w:rsidRDefault="00E85C70" w:rsidP="00EA1AAD">
            <w:pPr>
              <w:keepNext/>
              <w:spacing w:before="60" w:after="60"/>
              <w:jc w:val="center"/>
            </w:pPr>
            <w:r w:rsidRPr="00FD65B2">
              <w:t>$2</w:t>
            </w:r>
            <w:r w:rsidR="00FD65B2" w:rsidRPr="00FD65B2">
              <w:t>6</w:t>
            </w:r>
          </w:p>
        </w:tc>
        <w:tc>
          <w:tcPr>
            <w:tcW w:w="1815" w:type="dxa"/>
            <w:tcBorders>
              <w:top w:val="nil"/>
              <w:left w:val="nil"/>
              <w:bottom w:val="single" w:sz="4" w:space="0" w:color="auto"/>
              <w:right w:val="single" w:sz="4" w:space="0" w:color="auto"/>
            </w:tcBorders>
            <w:noWrap/>
            <w:vAlign w:val="bottom"/>
            <w:hideMark/>
          </w:tcPr>
          <w:p w:rsidR="00E85C70" w:rsidRPr="00FD65B2" w:rsidRDefault="00E85C70" w:rsidP="00EA1AAD">
            <w:pPr>
              <w:keepNext/>
              <w:spacing w:before="60" w:after="60"/>
              <w:jc w:val="center"/>
            </w:pPr>
            <w:r w:rsidRPr="00FD65B2">
              <w:t>$2</w:t>
            </w:r>
            <w:r w:rsidR="00FD65B2" w:rsidRPr="00FD65B2">
              <w:t>57</w:t>
            </w:r>
          </w:p>
        </w:tc>
        <w:tc>
          <w:tcPr>
            <w:tcW w:w="1814" w:type="dxa"/>
            <w:tcBorders>
              <w:top w:val="nil"/>
              <w:left w:val="nil"/>
              <w:bottom w:val="single" w:sz="4" w:space="0" w:color="auto"/>
              <w:right w:val="single" w:sz="4" w:space="0" w:color="auto"/>
            </w:tcBorders>
            <w:noWrap/>
            <w:vAlign w:val="bottom"/>
            <w:hideMark/>
          </w:tcPr>
          <w:p w:rsidR="00E85C70" w:rsidRPr="00FD65B2" w:rsidRDefault="00E85C70" w:rsidP="00FD65B2">
            <w:pPr>
              <w:keepNext/>
              <w:spacing w:before="60" w:after="60"/>
              <w:jc w:val="center"/>
            </w:pPr>
            <w:r w:rsidRPr="00FD65B2">
              <w:t>$</w:t>
            </w:r>
            <w:r w:rsidR="00FD65B2" w:rsidRPr="00FD65B2">
              <w:t>3,129</w:t>
            </w:r>
          </w:p>
        </w:tc>
        <w:tc>
          <w:tcPr>
            <w:tcW w:w="2382" w:type="dxa"/>
            <w:tcBorders>
              <w:top w:val="nil"/>
              <w:left w:val="nil"/>
              <w:bottom w:val="single" w:sz="4" w:space="0" w:color="auto"/>
              <w:right w:val="single" w:sz="4" w:space="0" w:color="auto"/>
            </w:tcBorders>
            <w:noWrap/>
            <w:vAlign w:val="bottom"/>
            <w:hideMark/>
          </w:tcPr>
          <w:p w:rsidR="00E85C70" w:rsidRPr="00FD65B2" w:rsidRDefault="00E85C70" w:rsidP="00FD65B2">
            <w:pPr>
              <w:keepNext/>
              <w:spacing w:before="60" w:after="60"/>
              <w:jc w:val="center"/>
            </w:pPr>
            <w:r w:rsidRPr="00FD65B2">
              <w:t>$</w:t>
            </w:r>
            <w:r w:rsidR="00FD65B2" w:rsidRPr="00FD65B2">
              <w:t>31,293</w:t>
            </w:r>
          </w:p>
        </w:tc>
      </w:tr>
      <w:tr w:rsidR="00E85C70" w:rsidRPr="008850DF" w:rsidTr="00E85C70">
        <w:trPr>
          <w:trHeight w:val="218"/>
        </w:trPr>
        <w:tc>
          <w:tcPr>
            <w:tcW w:w="1814" w:type="dxa"/>
            <w:tcBorders>
              <w:top w:val="nil"/>
              <w:left w:val="single" w:sz="4" w:space="0" w:color="auto"/>
              <w:bottom w:val="single" w:sz="4" w:space="0" w:color="auto"/>
              <w:right w:val="single" w:sz="4" w:space="0" w:color="auto"/>
            </w:tcBorders>
            <w:hideMark/>
          </w:tcPr>
          <w:p w:rsidR="00E85C70" w:rsidRPr="00FD65B2" w:rsidRDefault="00E85C70" w:rsidP="00EA1AAD">
            <w:pPr>
              <w:keepNext/>
              <w:spacing w:before="60" w:after="60"/>
              <w:jc w:val="center"/>
            </w:pPr>
            <w:r w:rsidRPr="00FD65B2">
              <w:t xml:space="preserve">Period </w:t>
            </w:r>
            <w:r w:rsidR="00FD65B2" w:rsidRPr="00FD65B2">
              <w:t>3</w:t>
            </w:r>
          </w:p>
        </w:tc>
        <w:tc>
          <w:tcPr>
            <w:tcW w:w="1814" w:type="dxa"/>
            <w:tcBorders>
              <w:top w:val="nil"/>
              <w:left w:val="nil"/>
              <w:bottom w:val="single" w:sz="4" w:space="0" w:color="auto"/>
              <w:right w:val="single" w:sz="4" w:space="0" w:color="auto"/>
            </w:tcBorders>
            <w:noWrap/>
            <w:vAlign w:val="bottom"/>
            <w:hideMark/>
          </w:tcPr>
          <w:p w:rsidR="00E85C70" w:rsidRPr="00FD65B2" w:rsidRDefault="00E85C70" w:rsidP="00EA1AAD">
            <w:pPr>
              <w:keepNext/>
              <w:spacing w:before="60" w:after="60"/>
              <w:jc w:val="center"/>
            </w:pPr>
            <w:r w:rsidRPr="00FD65B2">
              <w:t>$2</w:t>
            </w:r>
            <w:r w:rsidR="00FD65B2" w:rsidRPr="00FD65B2">
              <w:t>6</w:t>
            </w:r>
          </w:p>
        </w:tc>
        <w:tc>
          <w:tcPr>
            <w:tcW w:w="1815" w:type="dxa"/>
            <w:tcBorders>
              <w:top w:val="nil"/>
              <w:left w:val="nil"/>
              <w:bottom w:val="single" w:sz="4" w:space="0" w:color="auto"/>
              <w:right w:val="single" w:sz="4" w:space="0" w:color="auto"/>
            </w:tcBorders>
            <w:noWrap/>
            <w:vAlign w:val="bottom"/>
            <w:hideMark/>
          </w:tcPr>
          <w:p w:rsidR="00E85C70" w:rsidRPr="00FD65B2" w:rsidRDefault="00E85C70" w:rsidP="00EA1AAD">
            <w:pPr>
              <w:keepNext/>
              <w:spacing w:before="60" w:after="60"/>
              <w:jc w:val="center"/>
            </w:pPr>
            <w:r w:rsidRPr="00FD65B2">
              <w:t>$2</w:t>
            </w:r>
            <w:r w:rsidR="00FD65B2" w:rsidRPr="00FD65B2">
              <w:t>57</w:t>
            </w:r>
          </w:p>
        </w:tc>
        <w:tc>
          <w:tcPr>
            <w:tcW w:w="1814" w:type="dxa"/>
            <w:tcBorders>
              <w:top w:val="nil"/>
              <w:left w:val="nil"/>
              <w:bottom w:val="single" w:sz="4" w:space="0" w:color="auto"/>
              <w:right w:val="single" w:sz="4" w:space="0" w:color="auto"/>
            </w:tcBorders>
            <w:noWrap/>
            <w:vAlign w:val="bottom"/>
            <w:hideMark/>
          </w:tcPr>
          <w:p w:rsidR="00E85C70" w:rsidRPr="00FD65B2" w:rsidRDefault="00E85C70" w:rsidP="00FD65B2">
            <w:pPr>
              <w:keepNext/>
              <w:spacing w:before="60" w:after="60"/>
              <w:jc w:val="center"/>
            </w:pPr>
            <w:r w:rsidRPr="00FD65B2">
              <w:t>$</w:t>
            </w:r>
            <w:r w:rsidR="00FD65B2" w:rsidRPr="00FD65B2">
              <w:t>3,129</w:t>
            </w:r>
          </w:p>
        </w:tc>
        <w:tc>
          <w:tcPr>
            <w:tcW w:w="2382" w:type="dxa"/>
            <w:tcBorders>
              <w:top w:val="nil"/>
              <w:left w:val="nil"/>
              <w:bottom w:val="single" w:sz="4" w:space="0" w:color="auto"/>
              <w:right w:val="single" w:sz="4" w:space="0" w:color="auto"/>
            </w:tcBorders>
            <w:noWrap/>
            <w:vAlign w:val="bottom"/>
            <w:hideMark/>
          </w:tcPr>
          <w:p w:rsidR="00E85C70" w:rsidRPr="00FD65B2" w:rsidRDefault="00E85C70" w:rsidP="00FD65B2">
            <w:pPr>
              <w:keepNext/>
              <w:spacing w:before="60" w:after="60"/>
              <w:jc w:val="center"/>
            </w:pPr>
            <w:r w:rsidRPr="00FD65B2">
              <w:t>$</w:t>
            </w:r>
            <w:r w:rsidR="00FD65B2" w:rsidRPr="00FD65B2">
              <w:t>31,294</w:t>
            </w:r>
          </w:p>
        </w:tc>
      </w:tr>
    </w:tbl>
    <w:p w:rsidR="00E85C70" w:rsidRPr="00B9662B" w:rsidRDefault="00E85C70" w:rsidP="00E85C70">
      <w:r w:rsidRPr="00B9662B">
        <w:t xml:space="preserve">A recent study on a proposed expansion of the VEET scheme to include households and small and medium sized businesses suggests the net benefits under carbon pricing may be substantial. Estimates show that the net present value of benefits exceeds that of costs by a ratio of 2.7 to 3.1 for the worst and best options considered, respectively. </w:t>
      </w:r>
    </w:p>
    <w:p w:rsidR="00E85C70" w:rsidRDefault="00E85C70" w:rsidP="00E85C70">
      <w:r w:rsidRPr="00B9662B">
        <w:t>It is the Government’s intention to allow small to medium sized businesses to participate in the Scheme following the completion of a further regulatory impact assessment in 2012. This assessment will build on final policy decisions regarding the expansion of the VEET scheme expected to be announced by early 2012.</w:t>
      </w:r>
      <w:r w:rsidR="00FD65B2">
        <w:t xml:space="preserve"> Following business inclusion in the ACT Scheme, many businesses will be able to undertake energy efficiency activities to reduce their energy use and decrease their energy bills.</w:t>
      </w:r>
    </w:p>
    <w:p w:rsidR="003A3281" w:rsidRDefault="003A3281" w:rsidP="00D404FA">
      <w:pPr>
        <w:pStyle w:val="Heading2"/>
      </w:pPr>
      <w:bookmarkStart w:id="126" w:name="_Toc306808244"/>
      <w:r>
        <w:t>Avoided infrastructure costs</w:t>
      </w:r>
      <w:bookmarkEnd w:id="126"/>
    </w:p>
    <w:p w:rsidR="00A0260D" w:rsidRPr="009E5B2E" w:rsidRDefault="00A0260D" w:rsidP="001F3CC9">
      <w:r w:rsidRPr="009E5B2E">
        <w:t>Improving energy efficiency in the ACT residential sector will also</w:t>
      </w:r>
      <w:r w:rsidR="003A3281" w:rsidRPr="009E5B2E">
        <w:t xml:space="preserve"> lower energy prices relative to business-as-usual where these activities lead to reductions in peak energy demand</w:t>
      </w:r>
      <w:r w:rsidR="005D0ECD">
        <w:t>,</w:t>
      </w:r>
      <w:r w:rsidR="003A3281" w:rsidRPr="009E5B2E">
        <w:t xml:space="preserve"> thereby allowing investment generation in network augmenta</w:t>
      </w:r>
      <w:r w:rsidRPr="009E5B2E">
        <w:t>tion to be deferred or avoided. Th</w:t>
      </w:r>
      <w:r w:rsidR="005D0ECD">
        <w:t>ese</w:t>
      </w:r>
      <w:r w:rsidRPr="009E5B2E">
        <w:t xml:space="preserve"> cost savings can be significant and have been a major component of the modelled benefits in other jurisdictional schemes, such in the NSW</w:t>
      </w:r>
      <w:r w:rsidR="00E85C70">
        <w:t>,</w:t>
      </w:r>
      <w:r w:rsidRPr="009E5B2E">
        <w:t xml:space="preserve"> ESS and VEET.</w:t>
      </w:r>
    </w:p>
    <w:p w:rsidR="003A3281" w:rsidRDefault="00A0260D" w:rsidP="001F3CC9">
      <w:r w:rsidRPr="009E5B2E">
        <w:t xml:space="preserve">While these savings will occur in the ACT over the medium to long term in proportion to </w:t>
      </w:r>
      <w:r w:rsidR="006C4EDD">
        <w:t xml:space="preserve">the </w:t>
      </w:r>
      <w:r w:rsidRPr="009E5B2E">
        <w:t xml:space="preserve">achieved </w:t>
      </w:r>
      <w:r w:rsidR="009E5B2E" w:rsidRPr="009E5B2E">
        <w:t>electricity demand reductions</w:t>
      </w:r>
      <w:r w:rsidRPr="009E5B2E">
        <w:t xml:space="preserve">, </w:t>
      </w:r>
      <w:r w:rsidR="009E5B2E" w:rsidRPr="009E5B2E">
        <w:t xml:space="preserve">national electricity market models are generally not sensitive enough to model demand reductions from small markets such as the ACT. As a result, these savings have not been included in the </w:t>
      </w:r>
      <w:r w:rsidR="009E5B2E">
        <w:t xml:space="preserve">cost-benefit </w:t>
      </w:r>
      <w:r w:rsidR="009E5B2E" w:rsidRPr="009E5B2E">
        <w:t>analysis of the Scheme.</w:t>
      </w:r>
    </w:p>
    <w:p w:rsidR="005176C7" w:rsidRDefault="00583F54" w:rsidP="00D404FA">
      <w:pPr>
        <w:pStyle w:val="Heading2"/>
      </w:pPr>
      <w:bookmarkStart w:id="127" w:name="_Toc306808245"/>
      <w:r>
        <w:t>Reductions in greenhouse gas emissions</w:t>
      </w:r>
      <w:bookmarkEnd w:id="127"/>
    </w:p>
    <w:p w:rsidR="00583F54" w:rsidRDefault="00583F54" w:rsidP="00583F54">
      <w:r>
        <w:t>A princip</w:t>
      </w:r>
      <w:r w:rsidR="00E85C70">
        <w:t xml:space="preserve">al </w:t>
      </w:r>
      <w:r>
        <w:t>objective of the Scheme is to reduce greenhouse gas emissions in the Territory</w:t>
      </w:r>
      <w:r w:rsidR="00924ABB">
        <w:t>.</w:t>
      </w:r>
    </w:p>
    <w:p w:rsidR="00150EE8" w:rsidRPr="00B9662B" w:rsidRDefault="006C4EDD" w:rsidP="00583F54">
      <w:pPr>
        <w:rPr>
          <w:rFonts w:cs="Calibri"/>
          <w:lang w:eastAsia="en-AU"/>
        </w:rPr>
      </w:pPr>
      <w:r w:rsidRPr="00B9662B">
        <w:t xml:space="preserve">The </w:t>
      </w:r>
      <w:r w:rsidR="00924ABB" w:rsidRPr="00B9662B">
        <w:t xml:space="preserve">modelling indicates that Scenario </w:t>
      </w:r>
      <w:r w:rsidR="00E85C70" w:rsidRPr="00B9662B">
        <w:rPr>
          <w:rFonts w:cs="Calibri"/>
          <w:lang w:eastAsia="en-AU"/>
        </w:rPr>
        <w:t xml:space="preserve">G </w:t>
      </w:r>
      <w:r w:rsidR="00924ABB" w:rsidRPr="00B9662B">
        <w:rPr>
          <w:rFonts w:cs="Calibri"/>
          <w:lang w:eastAsia="en-AU"/>
        </w:rPr>
        <w:t>(</w:t>
      </w:r>
      <w:r w:rsidR="00E85C70" w:rsidRPr="00B9662B">
        <w:rPr>
          <w:rFonts w:cs="Calibri"/>
          <w:lang w:eastAsia="en-AU"/>
        </w:rPr>
        <w:t>$60 cash incentive cap</w:t>
      </w:r>
      <w:r w:rsidR="00924ABB" w:rsidRPr="00B9662B">
        <w:rPr>
          <w:rFonts w:cs="Calibri"/>
          <w:lang w:eastAsia="en-AU"/>
        </w:rPr>
        <w:t>)</w:t>
      </w:r>
      <w:r w:rsidR="001F67A6" w:rsidRPr="00B9662B">
        <w:rPr>
          <w:rFonts w:cs="Calibri"/>
          <w:lang w:eastAsia="en-AU"/>
        </w:rPr>
        <w:t xml:space="preserve"> will result in activities </w:t>
      </w:r>
      <w:r w:rsidR="009E5B2E" w:rsidRPr="00B9662B">
        <w:rPr>
          <w:rFonts w:cs="Calibri"/>
          <w:lang w:eastAsia="en-AU"/>
        </w:rPr>
        <w:t xml:space="preserve">being implemented </w:t>
      </w:r>
      <w:r w:rsidR="006F0513" w:rsidRPr="00B9662B">
        <w:rPr>
          <w:rFonts w:cs="Calibri"/>
          <w:lang w:eastAsia="en-AU"/>
        </w:rPr>
        <w:t xml:space="preserve">by the end of the </w:t>
      </w:r>
      <w:r w:rsidR="009E5B2E" w:rsidRPr="00B9662B">
        <w:rPr>
          <w:rFonts w:cs="Calibri"/>
          <w:lang w:eastAsia="en-AU"/>
        </w:rPr>
        <w:t xml:space="preserve">final Scheme period </w:t>
      </w:r>
      <w:r w:rsidR="001F67A6" w:rsidRPr="00B9662B">
        <w:rPr>
          <w:rFonts w:cs="Calibri"/>
          <w:lang w:eastAsia="en-AU"/>
        </w:rPr>
        <w:t xml:space="preserve">that will result in total life-cycle greenhouse gas savings of around </w:t>
      </w:r>
      <w:r w:rsidR="00315479" w:rsidRPr="00B9662B">
        <w:rPr>
          <w:rFonts w:cs="Calibri"/>
          <w:lang w:eastAsia="en-AU"/>
        </w:rPr>
        <w:t>742</w:t>
      </w:r>
      <w:r w:rsidR="001F67A6" w:rsidRPr="00B9662B">
        <w:rPr>
          <w:rFonts w:cs="Calibri"/>
          <w:lang w:eastAsia="en-AU"/>
        </w:rPr>
        <w:t xml:space="preserve"> kt CO2</w:t>
      </w:r>
      <w:r w:rsidR="005D0ECD">
        <w:rPr>
          <w:rFonts w:cs="Calibri"/>
          <w:lang w:eastAsia="en-AU"/>
        </w:rPr>
        <w:t>-e</w:t>
      </w:r>
      <w:r w:rsidR="00E85C70" w:rsidRPr="00B9662B">
        <w:rPr>
          <w:rFonts w:cs="Calibri"/>
          <w:lang w:eastAsia="en-AU"/>
        </w:rPr>
        <w:t xml:space="preserve"> or 0.6</w:t>
      </w:r>
      <w:r w:rsidR="00150EE8" w:rsidRPr="00B9662B">
        <w:rPr>
          <w:rFonts w:cs="Calibri"/>
          <w:lang w:eastAsia="en-AU"/>
        </w:rPr>
        <w:t xml:space="preserve"> t CO2-e per household</w:t>
      </w:r>
      <w:r w:rsidR="006F0513" w:rsidRPr="00B9662B">
        <w:rPr>
          <w:rFonts w:cs="Calibri"/>
          <w:lang w:eastAsia="en-AU"/>
        </w:rPr>
        <w:t xml:space="preserve">. </w:t>
      </w:r>
      <w:r w:rsidR="00150EE8" w:rsidRPr="00B9662B">
        <w:rPr>
          <w:rFonts w:cs="Calibri"/>
          <w:lang w:eastAsia="en-AU"/>
        </w:rPr>
        <w:t xml:space="preserve">This constitutes a reduction </w:t>
      </w:r>
      <w:r w:rsidRPr="00B9662B">
        <w:rPr>
          <w:rFonts w:cs="Calibri"/>
          <w:lang w:eastAsia="en-AU"/>
        </w:rPr>
        <w:t>i</w:t>
      </w:r>
      <w:r w:rsidR="00150EE8" w:rsidRPr="00B9662B">
        <w:rPr>
          <w:rFonts w:cs="Calibri"/>
          <w:lang w:eastAsia="en-AU"/>
        </w:rPr>
        <w:t>n residential sec</w:t>
      </w:r>
      <w:r w:rsidR="009E5B2E" w:rsidRPr="00B9662B">
        <w:rPr>
          <w:rFonts w:cs="Calibri"/>
          <w:lang w:eastAsia="en-AU"/>
        </w:rPr>
        <w:t>tor</w:t>
      </w:r>
      <w:r w:rsidR="00E85C70" w:rsidRPr="00B9662B">
        <w:rPr>
          <w:rFonts w:cs="Calibri"/>
          <w:lang w:eastAsia="en-AU"/>
        </w:rPr>
        <w:t xml:space="preserve"> stationary energy</w:t>
      </w:r>
      <w:r w:rsidR="009E5B2E" w:rsidRPr="00B9662B">
        <w:rPr>
          <w:rFonts w:cs="Calibri"/>
          <w:lang w:eastAsia="en-AU"/>
        </w:rPr>
        <w:t xml:space="preserve"> emissions of 6.</w:t>
      </w:r>
      <w:r w:rsidR="00E85C70" w:rsidRPr="00B9662B">
        <w:rPr>
          <w:rFonts w:cs="Calibri"/>
          <w:lang w:eastAsia="en-AU"/>
        </w:rPr>
        <w:t>2</w:t>
      </w:r>
      <w:r w:rsidR="009E5B2E" w:rsidRPr="00B9662B">
        <w:rPr>
          <w:rFonts w:cs="Calibri"/>
          <w:lang w:eastAsia="en-AU"/>
        </w:rPr>
        <w:t xml:space="preserve"> per cent</w:t>
      </w:r>
      <w:r w:rsidR="00166B60" w:rsidRPr="00B9662B">
        <w:rPr>
          <w:rFonts w:cs="Calibri"/>
          <w:lang w:eastAsia="en-AU"/>
        </w:rPr>
        <w:t xml:space="preserve"> in 2015</w:t>
      </w:r>
      <w:r w:rsidR="009E5B2E" w:rsidRPr="00B9662B">
        <w:rPr>
          <w:rFonts w:cs="Calibri"/>
          <w:lang w:eastAsia="en-AU"/>
        </w:rPr>
        <w:t>.</w:t>
      </w:r>
      <w:r w:rsidR="009E5B2E" w:rsidRPr="00B9662B">
        <w:rPr>
          <w:rStyle w:val="FootnoteReference"/>
          <w:lang w:eastAsia="en-AU"/>
        </w:rPr>
        <w:footnoteReference w:id="30"/>
      </w:r>
    </w:p>
    <w:p w:rsidR="00924ABB" w:rsidRDefault="006F0513" w:rsidP="00583F54">
      <w:pPr>
        <w:rPr>
          <w:rFonts w:cs="Calibri"/>
          <w:lang w:eastAsia="en-AU"/>
        </w:rPr>
      </w:pPr>
      <w:r w:rsidRPr="00B9662B">
        <w:rPr>
          <w:rFonts w:cs="Calibri"/>
          <w:lang w:eastAsia="en-AU"/>
        </w:rPr>
        <w:t xml:space="preserve">The impact of the scheme on ACT greenhouse gas emissions and our 2020 legislated greenhouse gas reduction target is shown in </w:t>
      </w:r>
      <w:r w:rsidR="00B43B35">
        <w:fldChar w:fldCharType="begin"/>
      </w:r>
      <w:r w:rsidR="00B43B35">
        <w:instrText xml:space="preserve"> REF _Ref303845748 \h  \* MERGEFORMAT </w:instrText>
      </w:r>
      <w:r w:rsidR="00B43B35">
        <w:fldChar w:fldCharType="separate"/>
      </w:r>
      <w:r w:rsidR="00681D6A" w:rsidRPr="00B9662B">
        <w:t xml:space="preserve">Figure </w:t>
      </w:r>
      <w:r w:rsidR="00681D6A">
        <w:rPr>
          <w:noProof/>
        </w:rPr>
        <w:t>13</w:t>
      </w:r>
      <w:r w:rsidR="00B43B35">
        <w:fldChar w:fldCharType="end"/>
      </w:r>
      <w:r w:rsidRPr="00B9662B">
        <w:rPr>
          <w:rFonts w:cs="Calibri"/>
          <w:lang w:eastAsia="en-AU"/>
        </w:rPr>
        <w:t xml:space="preserve"> </w:t>
      </w:r>
      <w:r w:rsidR="00B43B35">
        <w:fldChar w:fldCharType="begin"/>
      </w:r>
      <w:r w:rsidR="00B43B35">
        <w:instrText xml:space="preserve"> REF _Ref303845751 \p \h  \* MERGEFORMAT </w:instrText>
      </w:r>
      <w:r w:rsidR="00B43B35">
        <w:fldChar w:fldCharType="separate"/>
      </w:r>
      <w:r w:rsidR="00681D6A" w:rsidRPr="00681D6A">
        <w:rPr>
          <w:rFonts w:cs="Calibri"/>
          <w:lang w:eastAsia="en-AU"/>
        </w:rPr>
        <w:t>below</w:t>
      </w:r>
      <w:r w:rsidR="00B43B35">
        <w:fldChar w:fldCharType="end"/>
      </w:r>
      <w:r w:rsidRPr="00B9662B">
        <w:rPr>
          <w:rFonts w:cs="Calibri"/>
          <w:lang w:eastAsia="en-AU"/>
        </w:rPr>
        <w:t>.</w:t>
      </w:r>
      <w:r w:rsidR="00166B60" w:rsidRPr="00B9662B">
        <w:rPr>
          <w:rFonts w:cs="Calibri"/>
          <w:lang w:eastAsia="en-AU"/>
        </w:rPr>
        <w:t xml:space="preserve"> This chart shows that a discontinuation of the Scheme at the end of 2015 would see this level of </w:t>
      </w:r>
      <w:r w:rsidR="00B9662B" w:rsidRPr="00B9662B">
        <w:rPr>
          <w:rFonts w:cs="Calibri"/>
          <w:lang w:eastAsia="en-AU"/>
        </w:rPr>
        <w:t>reductions erode</w:t>
      </w:r>
      <w:r w:rsidR="00166B60" w:rsidRPr="00B9662B">
        <w:rPr>
          <w:rFonts w:cs="Calibri"/>
          <w:lang w:eastAsia="en-AU"/>
        </w:rPr>
        <w:t xml:space="preserve"> to around 4.7 per cent in 2020. </w:t>
      </w:r>
      <w:r w:rsidR="00B43B35">
        <w:fldChar w:fldCharType="begin"/>
      </w:r>
      <w:r w:rsidR="00B43B35">
        <w:instrText xml:space="preserve"> REF _Ref303845748 \h  \* MERGEFORMAT </w:instrText>
      </w:r>
      <w:r w:rsidR="00B43B35">
        <w:fldChar w:fldCharType="separate"/>
      </w:r>
      <w:r w:rsidR="00681D6A" w:rsidRPr="00B9662B">
        <w:t xml:space="preserve">Figure </w:t>
      </w:r>
      <w:r w:rsidR="00681D6A">
        <w:rPr>
          <w:noProof/>
        </w:rPr>
        <w:t>13</w:t>
      </w:r>
      <w:r w:rsidR="00B43B35">
        <w:fldChar w:fldCharType="end"/>
      </w:r>
      <w:r w:rsidR="00166B60" w:rsidRPr="00B9662B">
        <w:rPr>
          <w:rFonts w:cs="Calibri"/>
          <w:lang w:eastAsia="en-AU"/>
        </w:rPr>
        <w:t xml:space="preserve"> also shows that business</w:t>
      </w:r>
      <w:r w:rsidR="005D0ECD">
        <w:rPr>
          <w:rFonts w:cs="Calibri"/>
          <w:lang w:eastAsia="en-AU"/>
        </w:rPr>
        <w:t>-</w:t>
      </w:r>
      <w:r w:rsidR="00166B60" w:rsidRPr="00B9662B">
        <w:rPr>
          <w:rFonts w:cs="Calibri"/>
          <w:lang w:eastAsia="en-AU"/>
        </w:rPr>
        <w:t>as</w:t>
      </w:r>
      <w:r w:rsidR="005D0ECD">
        <w:rPr>
          <w:rFonts w:cs="Calibri"/>
          <w:lang w:eastAsia="en-AU"/>
        </w:rPr>
        <w:t>-</w:t>
      </w:r>
      <w:r w:rsidR="00166B60" w:rsidRPr="00B9662B">
        <w:rPr>
          <w:rFonts w:cs="Calibri"/>
          <w:lang w:eastAsia="en-AU"/>
        </w:rPr>
        <w:t xml:space="preserve">usual residential sector emissions are expected to decline. This is a result from a range of pre-existing energy efficiency policies, but primarily due to reductions in the emissions intensity of electricity supplied to the ACT as a result of </w:t>
      </w:r>
      <w:r w:rsidR="005D0ECD">
        <w:rPr>
          <w:rFonts w:cs="Calibri"/>
          <w:lang w:eastAsia="en-AU"/>
        </w:rPr>
        <w:t xml:space="preserve">the </w:t>
      </w:r>
      <w:r w:rsidR="00166B60" w:rsidRPr="00B9662B">
        <w:rPr>
          <w:rFonts w:cs="Calibri"/>
          <w:lang w:eastAsia="en-AU"/>
        </w:rPr>
        <w:t xml:space="preserve">national </w:t>
      </w:r>
      <w:r w:rsidR="005D0ECD">
        <w:rPr>
          <w:rFonts w:cs="Calibri"/>
          <w:lang w:eastAsia="en-AU"/>
        </w:rPr>
        <w:t>R</w:t>
      </w:r>
      <w:r w:rsidR="00166B60" w:rsidRPr="00B9662B">
        <w:rPr>
          <w:rFonts w:cs="Calibri"/>
          <w:lang w:eastAsia="en-AU"/>
        </w:rPr>
        <w:t xml:space="preserve">enewable </w:t>
      </w:r>
      <w:r w:rsidR="005D0ECD">
        <w:rPr>
          <w:rFonts w:cs="Calibri"/>
          <w:lang w:eastAsia="en-AU"/>
        </w:rPr>
        <w:t>E</w:t>
      </w:r>
      <w:r w:rsidR="00166B60" w:rsidRPr="00B9662B">
        <w:rPr>
          <w:rFonts w:cs="Calibri"/>
          <w:lang w:eastAsia="en-AU"/>
        </w:rPr>
        <w:t xml:space="preserve">nergy </w:t>
      </w:r>
      <w:r w:rsidR="005D0ECD">
        <w:rPr>
          <w:rFonts w:cs="Calibri"/>
          <w:lang w:eastAsia="en-AU"/>
        </w:rPr>
        <w:t>T</w:t>
      </w:r>
      <w:r w:rsidR="00166B60" w:rsidRPr="00B9662B">
        <w:rPr>
          <w:rFonts w:cs="Calibri"/>
          <w:lang w:eastAsia="en-AU"/>
        </w:rPr>
        <w:t>arget and carbon pricing schemes.</w:t>
      </w:r>
    </w:p>
    <w:p w:rsidR="00DF364F" w:rsidRPr="00150EE8" w:rsidRDefault="001F67A6" w:rsidP="00150EE8">
      <w:pPr>
        <w:pStyle w:val="Caption"/>
        <w:keepNext/>
      </w:pPr>
      <w:bookmarkStart w:id="128" w:name="_Ref303845748"/>
      <w:bookmarkStart w:id="129" w:name="_Ref303845751"/>
      <w:r w:rsidRPr="00B9662B">
        <w:t xml:space="preserve">Figure </w:t>
      </w:r>
      <w:r w:rsidR="006F5BB0">
        <w:rPr>
          <w:noProof/>
        </w:rPr>
        <w:fldChar w:fldCharType="begin"/>
      </w:r>
      <w:r w:rsidR="006F5BB0">
        <w:rPr>
          <w:noProof/>
        </w:rPr>
        <w:instrText xml:space="preserve"> SEQ Figure \* ARABIC </w:instrText>
      </w:r>
      <w:r w:rsidR="006F5BB0">
        <w:rPr>
          <w:noProof/>
        </w:rPr>
        <w:fldChar w:fldCharType="separate"/>
      </w:r>
      <w:r w:rsidR="00681D6A">
        <w:rPr>
          <w:noProof/>
        </w:rPr>
        <w:t>13</w:t>
      </w:r>
      <w:r w:rsidR="006F5BB0">
        <w:rPr>
          <w:noProof/>
        </w:rPr>
        <w:fldChar w:fldCharType="end"/>
      </w:r>
      <w:bookmarkEnd w:id="128"/>
      <w:r w:rsidR="00166B60" w:rsidRPr="00B9662B">
        <w:t xml:space="preserve">: Scheme impact on residential sector stationary energy </w:t>
      </w:r>
      <w:r w:rsidRPr="00B9662B">
        <w:t>emissions</w:t>
      </w:r>
      <w:bookmarkEnd w:id="129"/>
    </w:p>
    <w:p w:rsidR="005D13DA" w:rsidRDefault="006D6234" w:rsidP="002B0C53">
      <w:pPr>
        <w:spacing w:before="120" w:after="120"/>
        <w:ind w:left="-142"/>
        <w:rPr>
          <w:rFonts w:cs="Calibri"/>
          <w:lang w:eastAsia="en-AU"/>
        </w:rPr>
      </w:pPr>
      <w:r w:rsidRPr="003A52A1">
        <w:rPr>
          <w:noProof/>
          <w:lang w:eastAsia="en-AU"/>
        </w:rPr>
        <w:drawing>
          <wp:inline distT="0" distB="0" distL="0" distR="0">
            <wp:extent cx="5705475" cy="371475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3714750"/>
                    </a:xfrm>
                    <a:prstGeom prst="rect">
                      <a:avLst/>
                    </a:prstGeom>
                    <a:noFill/>
                    <a:ln>
                      <a:noFill/>
                    </a:ln>
                  </pic:spPr>
                </pic:pic>
              </a:graphicData>
            </a:graphic>
          </wp:inline>
        </w:drawing>
      </w:r>
    </w:p>
    <w:p w:rsidR="00150EE8" w:rsidRDefault="009E5B2E" w:rsidP="002B0C53">
      <w:pPr>
        <w:spacing w:before="120" w:after="120"/>
        <w:ind w:left="-142"/>
        <w:rPr>
          <w:rFonts w:cs="Calibri"/>
          <w:lang w:eastAsia="en-AU"/>
        </w:rPr>
      </w:pPr>
      <w:r w:rsidRPr="009E5B2E">
        <w:rPr>
          <w:rFonts w:cs="Calibri"/>
          <w:lang w:eastAsia="en-AU"/>
        </w:rPr>
        <w:t>The</w:t>
      </w:r>
      <w:r>
        <w:rPr>
          <w:rFonts w:cs="Calibri"/>
          <w:lang w:eastAsia="en-AU"/>
        </w:rPr>
        <w:t xml:space="preserve"> potential contribution of energy efficiency </w:t>
      </w:r>
      <w:r w:rsidR="006C4EDD">
        <w:rPr>
          <w:rFonts w:cs="Calibri"/>
          <w:lang w:eastAsia="en-AU"/>
        </w:rPr>
        <w:t>to</w:t>
      </w:r>
      <w:r>
        <w:rPr>
          <w:rFonts w:cs="Calibri"/>
          <w:lang w:eastAsia="en-AU"/>
        </w:rPr>
        <w:t xml:space="preserve"> the achievement of the ACT’s legislat</w:t>
      </w:r>
      <w:r w:rsidR="006C4EDD">
        <w:rPr>
          <w:rFonts w:cs="Calibri"/>
          <w:lang w:eastAsia="en-AU"/>
        </w:rPr>
        <w:t>ed</w:t>
      </w:r>
      <w:r>
        <w:rPr>
          <w:rFonts w:cs="Calibri"/>
          <w:lang w:eastAsia="en-AU"/>
        </w:rPr>
        <w:t xml:space="preserve"> greenhouse gas reduction targets is described, and the subject of community consultation under </w:t>
      </w:r>
      <w:r w:rsidR="00D6475A" w:rsidRPr="00A22A08">
        <w:rPr>
          <w:rFonts w:cs="Calibri"/>
          <w:i/>
          <w:lang w:eastAsia="en-AU"/>
        </w:rPr>
        <w:t>Weathering the Change Action Plan 2</w:t>
      </w:r>
      <w:r>
        <w:rPr>
          <w:rFonts w:cs="Calibri"/>
          <w:lang w:eastAsia="en-AU"/>
        </w:rPr>
        <w:t>.</w:t>
      </w:r>
      <w:r w:rsidR="00FB2188">
        <w:rPr>
          <w:rFonts w:cs="Calibri"/>
          <w:lang w:eastAsia="en-AU"/>
        </w:rPr>
        <w:t xml:space="preserve"> </w:t>
      </w:r>
      <w:r w:rsidR="00B44366" w:rsidRPr="00B44366">
        <w:rPr>
          <w:rFonts w:cs="Calibri"/>
          <w:lang w:eastAsia="en-AU"/>
        </w:rPr>
        <w:t xml:space="preserve">This level of abatement is broadly consistent with the level of ambition for residential energy </w:t>
      </w:r>
      <w:r w:rsidR="00166B60">
        <w:rPr>
          <w:rFonts w:cs="Calibri"/>
          <w:lang w:eastAsia="en-AU"/>
        </w:rPr>
        <w:t>effic</w:t>
      </w:r>
      <w:r w:rsidR="00B44366" w:rsidRPr="00B44366">
        <w:rPr>
          <w:rFonts w:cs="Calibri"/>
          <w:lang w:eastAsia="en-AU"/>
        </w:rPr>
        <w:t xml:space="preserve">iency presented in </w:t>
      </w:r>
      <w:r w:rsidR="00CE41AF">
        <w:rPr>
          <w:rFonts w:cs="Calibri"/>
          <w:lang w:eastAsia="en-AU"/>
        </w:rPr>
        <w:t>D</w:t>
      </w:r>
      <w:r w:rsidR="00CE41AF" w:rsidRPr="00B44366">
        <w:rPr>
          <w:rFonts w:cs="Calibri"/>
          <w:lang w:eastAsia="en-AU"/>
        </w:rPr>
        <w:t xml:space="preserve">raft </w:t>
      </w:r>
      <w:r w:rsidR="00B44366" w:rsidRPr="00B44366">
        <w:rPr>
          <w:rFonts w:cs="Calibri"/>
          <w:lang w:eastAsia="en-AU"/>
        </w:rPr>
        <w:t>Action Plan 2.</w:t>
      </w:r>
    </w:p>
    <w:p w:rsidR="00166B60" w:rsidRDefault="00166B60" w:rsidP="002B0C53">
      <w:pPr>
        <w:spacing w:before="120" w:after="120"/>
        <w:ind w:left="-142"/>
        <w:rPr>
          <w:rFonts w:cs="Calibri"/>
          <w:lang w:eastAsia="en-AU"/>
        </w:rPr>
      </w:pPr>
    </w:p>
    <w:p w:rsidR="00166B60" w:rsidRDefault="00166B60" w:rsidP="002B0C53">
      <w:pPr>
        <w:spacing w:before="120" w:after="120"/>
        <w:ind w:left="-142"/>
        <w:rPr>
          <w:rFonts w:cs="Calibri"/>
          <w:lang w:eastAsia="en-AU"/>
        </w:rPr>
      </w:pPr>
    </w:p>
    <w:p w:rsidR="00166B60" w:rsidRDefault="00166B60" w:rsidP="002B0C53">
      <w:pPr>
        <w:spacing w:before="120" w:after="120"/>
        <w:ind w:left="-142"/>
        <w:rPr>
          <w:rFonts w:cs="Calibri"/>
          <w:lang w:eastAsia="en-AU"/>
        </w:rPr>
      </w:pPr>
    </w:p>
    <w:p w:rsidR="00166B60" w:rsidRPr="002B0C53" w:rsidRDefault="00166B60" w:rsidP="002B0C53">
      <w:pPr>
        <w:spacing w:before="120" w:after="120"/>
        <w:ind w:left="-142"/>
        <w:rPr>
          <w:rFonts w:cs="Calibri"/>
          <w:b/>
        </w:rPr>
      </w:pPr>
    </w:p>
    <w:p w:rsidR="00D5144B" w:rsidRPr="002B3C6E" w:rsidRDefault="00D5144B" w:rsidP="005E7B16">
      <w:pPr>
        <w:pStyle w:val="Heading1"/>
      </w:pPr>
      <w:bookmarkStart w:id="130" w:name="_Toc303670573"/>
      <w:bookmarkStart w:id="131" w:name="_Toc306808246"/>
      <w:r>
        <w:t>Scheme administration and review</w:t>
      </w:r>
      <w:bookmarkEnd w:id="130"/>
      <w:bookmarkEnd w:id="131"/>
    </w:p>
    <w:p w:rsidR="00CC0E39" w:rsidRPr="00CC0E39" w:rsidRDefault="002B3C6E" w:rsidP="00D404FA">
      <w:pPr>
        <w:pStyle w:val="Heading2"/>
      </w:pPr>
      <w:bookmarkStart w:id="132" w:name="_Toc306808247"/>
      <w:r>
        <w:t>Role of the Minister</w:t>
      </w:r>
      <w:bookmarkEnd w:id="132"/>
    </w:p>
    <w:p w:rsidR="00CC0E39" w:rsidRDefault="00CC0E39" w:rsidP="000D6A45">
      <w:pPr>
        <w:rPr>
          <w:lang w:eastAsia="en-AU"/>
        </w:rPr>
      </w:pPr>
      <w:r>
        <w:rPr>
          <w:lang w:eastAsia="en-AU"/>
        </w:rPr>
        <w:t>The following will be determined by the Minister:</w:t>
      </w:r>
    </w:p>
    <w:p w:rsidR="00CC0E39" w:rsidRDefault="00CC0E39" w:rsidP="00B96C73">
      <w:pPr>
        <w:pStyle w:val="ListParagraph"/>
        <w:numPr>
          <w:ilvl w:val="0"/>
          <w:numId w:val="34"/>
        </w:numPr>
        <w:rPr>
          <w:lang w:eastAsia="en-AU"/>
        </w:rPr>
      </w:pPr>
      <w:r w:rsidRPr="00CC0E39">
        <w:rPr>
          <w:lang w:eastAsia="en-AU"/>
        </w:rPr>
        <w:t xml:space="preserve">The </w:t>
      </w:r>
      <w:r w:rsidRPr="00CC0E39">
        <w:rPr>
          <w:bCs/>
          <w:iCs/>
          <w:lang w:eastAsia="en-AU"/>
        </w:rPr>
        <w:t>Energy Savings T</w:t>
      </w:r>
      <w:r w:rsidR="002B3C6E" w:rsidRPr="00CC0E39">
        <w:rPr>
          <w:bCs/>
          <w:iCs/>
          <w:lang w:eastAsia="en-AU"/>
        </w:rPr>
        <w:t>arget</w:t>
      </w:r>
      <w:r w:rsidRPr="00CC0E39">
        <w:rPr>
          <w:lang w:eastAsia="en-AU"/>
        </w:rPr>
        <w:t xml:space="preserve"> (EST)</w:t>
      </w:r>
      <w:r w:rsidR="005A1326">
        <w:rPr>
          <w:lang w:eastAsia="en-AU"/>
        </w:rPr>
        <w:t>;</w:t>
      </w:r>
    </w:p>
    <w:p w:rsidR="00CC0E39" w:rsidRDefault="00CC0E39" w:rsidP="00B96C73">
      <w:pPr>
        <w:pStyle w:val="ListParagraph"/>
        <w:numPr>
          <w:ilvl w:val="0"/>
          <w:numId w:val="34"/>
        </w:numPr>
        <w:rPr>
          <w:lang w:eastAsia="en-AU"/>
        </w:rPr>
      </w:pPr>
      <w:r w:rsidRPr="00CC0E39">
        <w:rPr>
          <w:lang w:eastAsia="en-AU"/>
        </w:rPr>
        <w:t xml:space="preserve">The </w:t>
      </w:r>
      <w:r w:rsidRPr="00CC0E39">
        <w:rPr>
          <w:bCs/>
          <w:iCs/>
          <w:lang w:eastAsia="en-AU"/>
        </w:rPr>
        <w:t>Priority Household T</w:t>
      </w:r>
      <w:r w:rsidR="002B3C6E" w:rsidRPr="00CC0E39">
        <w:rPr>
          <w:bCs/>
          <w:iCs/>
          <w:lang w:eastAsia="en-AU"/>
        </w:rPr>
        <w:t>arget</w:t>
      </w:r>
      <w:r w:rsidR="005A1326">
        <w:rPr>
          <w:bCs/>
          <w:iCs/>
          <w:lang w:eastAsia="en-AU"/>
        </w:rPr>
        <w:t>;</w:t>
      </w:r>
      <w:r w:rsidRPr="00CC0E39">
        <w:rPr>
          <w:lang w:eastAsia="en-AU"/>
        </w:rPr>
        <w:t xml:space="preserve"> </w:t>
      </w:r>
    </w:p>
    <w:p w:rsidR="00CC0E39" w:rsidRDefault="00CC0E39" w:rsidP="00B96C73">
      <w:pPr>
        <w:pStyle w:val="ListParagraph"/>
        <w:numPr>
          <w:ilvl w:val="0"/>
          <w:numId w:val="34"/>
        </w:numPr>
        <w:rPr>
          <w:lang w:eastAsia="en-AU"/>
        </w:rPr>
      </w:pPr>
      <w:r>
        <w:rPr>
          <w:lang w:eastAsia="en-AU"/>
        </w:rPr>
        <w:t xml:space="preserve">The </w:t>
      </w:r>
      <w:r w:rsidRPr="00CC0E39">
        <w:rPr>
          <w:bCs/>
          <w:iCs/>
          <w:lang w:eastAsia="en-AU"/>
        </w:rPr>
        <w:t>emissions</w:t>
      </w:r>
      <w:r w:rsidRPr="00CC0E39">
        <w:rPr>
          <w:lang w:eastAsia="en-AU"/>
        </w:rPr>
        <w:t xml:space="preserve"> </w:t>
      </w:r>
      <w:r w:rsidRPr="00CC0E39">
        <w:rPr>
          <w:bCs/>
          <w:iCs/>
          <w:lang w:eastAsia="en-AU"/>
        </w:rPr>
        <w:t>factor</w:t>
      </w:r>
      <w:r>
        <w:rPr>
          <w:lang w:eastAsia="en-AU"/>
        </w:rPr>
        <w:t xml:space="preserve"> </w:t>
      </w:r>
      <w:r w:rsidRPr="00CC0E39">
        <w:rPr>
          <w:lang w:eastAsia="en-AU"/>
        </w:rPr>
        <w:t>attributed to the consumption</w:t>
      </w:r>
      <w:r w:rsidR="005A1326">
        <w:rPr>
          <w:lang w:eastAsia="en-AU"/>
        </w:rPr>
        <w:t xml:space="preserve"> of</w:t>
      </w:r>
      <w:r w:rsidRPr="00CC0E39">
        <w:rPr>
          <w:lang w:eastAsia="en-AU"/>
        </w:rPr>
        <w:t xml:space="preserve"> 1MWh of electricity </w:t>
      </w:r>
      <w:r>
        <w:rPr>
          <w:lang w:eastAsia="en-AU"/>
        </w:rPr>
        <w:t>in the ACT</w:t>
      </w:r>
      <w:r w:rsidR="005A1326">
        <w:rPr>
          <w:lang w:eastAsia="en-AU"/>
        </w:rPr>
        <w:t>;</w:t>
      </w:r>
      <w:r>
        <w:rPr>
          <w:lang w:eastAsia="en-AU"/>
        </w:rPr>
        <w:t xml:space="preserve"> </w:t>
      </w:r>
    </w:p>
    <w:p w:rsidR="002B3C6E" w:rsidRPr="00CC0E39" w:rsidRDefault="00CC0E39" w:rsidP="00B96C73">
      <w:pPr>
        <w:pStyle w:val="ListParagraph"/>
        <w:numPr>
          <w:ilvl w:val="0"/>
          <w:numId w:val="34"/>
        </w:numPr>
        <w:rPr>
          <w:lang w:eastAsia="en-AU"/>
        </w:rPr>
      </w:pPr>
      <w:r>
        <w:rPr>
          <w:lang w:eastAsia="en-AU"/>
        </w:rPr>
        <w:t>Eligible activities</w:t>
      </w:r>
      <w:r w:rsidRPr="00CC0E39">
        <w:rPr>
          <w:lang w:eastAsia="en-AU"/>
        </w:rPr>
        <w:t xml:space="preserve"> </w:t>
      </w:r>
      <w:r w:rsidR="002B3C6E" w:rsidRPr="00CC0E39">
        <w:rPr>
          <w:lang w:eastAsia="en-AU"/>
        </w:rPr>
        <w:t>intended to r</w:t>
      </w:r>
      <w:r>
        <w:rPr>
          <w:lang w:eastAsia="en-AU"/>
        </w:rPr>
        <w:t>educe the consumption of energy</w:t>
      </w:r>
      <w:r w:rsidR="005A1326">
        <w:rPr>
          <w:lang w:eastAsia="en-AU"/>
        </w:rPr>
        <w:t>;</w:t>
      </w:r>
    </w:p>
    <w:p w:rsidR="00CC0E39" w:rsidRDefault="00CC0E39" w:rsidP="00B96C73">
      <w:pPr>
        <w:pStyle w:val="ListParagraph"/>
        <w:numPr>
          <w:ilvl w:val="0"/>
          <w:numId w:val="34"/>
        </w:numPr>
        <w:rPr>
          <w:lang w:eastAsia="en-AU"/>
        </w:rPr>
      </w:pPr>
      <w:r>
        <w:rPr>
          <w:lang w:eastAsia="en-AU"/>
        </w:rPr>
        <w:t xml:space="preserve">The </w:t>
      </w:r>
      <w:r w:rsidRPr="00CC0E39">
        <w:rPr>
          <w:bCs/>
          <w:iCs/>
          <w:lang w:eastAsia="en-AU"/>
        </w:rPr>
        <w:t>Energy S</w:t>
      </w:r>
      <w:r w:rsidR="002B3C6E" w:rsidRPr="00CC0E39">
        <w:rPr>
          <w:bCs/>
          <w:iCs/>
          <w:lang w:eastAsia="en-AU"/>
        </w:rPr>
        <w:t>avings</w:t>
      </w:r>
      <w:r w:rsidRPr="00CC0E39">
        <w:rPr>
          <w:bCs/>
          <w:iCs/>
          <w:lang w:eastAsia="en-AU"/>
        </w:rPr>
        <w:t xml:space="preserve"> C</w:t>
      </w:r>
      <w:r w:rsidR="002B3C6E" w:rsidRPr="00CC0E39">
        <w:rPr>
          <w:bCs/>
          <w:iCs/>
          <w:lang w:eastAsia="en-AU"/>
        </w:rPr>
        <w:t>ontribution</w:t>
      </w:r>
      <w:r w:rsidR="002B3C6E" w:rsidRPr="00CC0E39">
        <w:rPr>
          <w:lang w:eastAsia="en-AU"/>
        </w:rPr>
        <w:t xml:space="preserve"> payable by </w:t>
      </w:r>
      <w:r w:rsidR="005A1326">
        <w:rPr>
          <w:lang w:eastAsia="en-AU"/>
        </w:rPr>
        <w:t>T</w:t>
      </w:r>
      <w:r w:rsidR="002B3C6E" w:rsidRPr="00CC0E39">
        <w:rPr>
          <w:lang w:eastAsia="en-AU"/>
        </w:rPr>
        <w:t>ier 2 electricity suppliers</w:t>
      </w:r>
      <w:r w:rsidR="005A1326">
        <w:rPr>
          <w:lang w:eastAsia="en-AU"/>
        </w:rPr>
        <w:t>;</w:t>
      </w:r>
    </w:p>
    <w:p w:rsidR="00251C44" w:rsidRDefault="00251C44" w:rsidP="00B96C73">
      <w:pPr>
        <w:pStyle w:val="ListParagraph"/>
        <w:numPr>
          <w:ilvl w:val="0"/>
          <w:numId w:val="34"/>
        </w:numPr>
        <w:rPr>
          <w:lang w:eastAsia="en-AU"/>
        </w:rPr>
      </w:pPr>
      <w:r>
        <w:rPr>
          <w:lang w:eastAsia="en-AU"/>
        </w:rPr>
        <w:t>Guidelines for the payment of amounts from the Energy Efficiency Fund;</w:t>
      </w:r>
      <w:r w:rsidR="005D0ECD">
        <w:rPr>
          <w:lang w:eastAsia="en-AU"/>
        </w:rPr>
        <w:t xml:space="preserve"> and</w:t>
      </w:r>
    </w:p>
    <w:p w:rsidR="00CC0E39" w:rsidRDefault="00CC0E39" w:rsidP="00B96C73">
      <w:pPr>
        <w:pStyle w:val="ListParagraph"/>
        <w:numPr>
          <w:ilvl w:val="0"/>
          <w:numId w:val="34"/>
        </w:numPr>
        <w:rPr>
          <w:lang w:eastAsia="en-AU"/>
        </w:rPr>
      </w:pPr>
      <w:r>
        <w:rPr>
          <w:lang w:eastAsia="en-AU"/>
        </w:rPr>
        <w:t>Forms for the Act</w:t>
      </w:r>
      <w:r w:rsidR="005A1326">
        <w:rPr>
          <w:lang w:eastAsia="en-AU"/>
        </w:rPr>
        <w:t>.</w:t>
      </w:r>
    </w:p>
    <w:p w:rsidR="00CC0E39" w:rsidRDefault="00CC0E39" w:rsidP="000D6A45">
      <w:pPr>
        <w:rPr>
          <w:lang w:eastAsia="en-AU"/>
        </w:rPr>
      </w:pPr>
      <w:r>
        <w:rPr>
          <w:lang w:eastAsia="en-AU"/>
        </w:rPr>
        <w:t>Further, under t</w:t>
      </w:r>
      <w:r w:rsidR="002B3C6E" w:rsidRPr="00CC0E39">
        <w:rPr>
          <w:lang w:eastAsia="en-AU"/>
        </w:rPr>
        <w:t>he</w:t>
      </w:r>
      <w:r>
        <w:rPr>
          <w:lang w:eastAsia="en-AU"/>
        </w:rPr>
        <w:t xml:space="preserve"> Act the Minister must:</w:t>
      </w:r>
    </w:p>
    <w:p w:rsidR="002B3C6E" w:rsidRPr="00CC0E39" w:rsidRDefault="002B3C6E" w:rsidP="00B96C73">
      <w:pPr>
        <w:pStyle w:val="ListParagraph"/>
        <w:numPr>
          <w:ilvl w:val="0"/>
          <w:numId w:val="33"/>
        </w:numPr>
        <w:rPr>
          <w:lang w:eastAsia="en-AU"/>
        </w:rPr>
      </w:pPr>
      <w:r w:rsidRPr="00CC0E39">
        <w:rPr>
          <w:lang w:eastAsia="en-AU"/>
        </w:rPr>
        <w:t xml:space="preserve">appoint a public servant as </w:t>
      </w:r>
      <w:r w:rsidR="008C0D5D">
        <w:rPr>
          <w:lang w:eastAsia="en-AU"/>
        </w:rPr>
        <w:t>Administrator</w:t>
      </w:r>
      <w:r w:rsidRPr="00CC0E39">
        <w:rPr>
          <w:lang w:eastAsia="en-AU"/>
        </w:rPr>
        <w:t xml:space="preserve"> for this</w:t>
      </w:r>
      <w:r w:rsidR="00CC0E39" w:rsidRPr="00CC0E39">
        <w:rPr>
          <w:lang w:eastAsia="en-AU"/>
        </w:rPr>
        <w:t xml:space="preserve"> </w:t>
      </w:r>
      <w:r w:rsidR="00CC0E39">
        <w:rPr>
          <w:lang w:eastAsia="en-AU"/>
        </w:rPr>
        <w:t>Act; and</w:t>
      </w:r>
    </w:p>
    <w:p w:rsidR="002B3C6E" w:rsidRPr="00CC0E39" w:rsidRDefault="002B3C6E" w:rsidP="00B96C73">
      <w:pPr>
        <w:pStyle w:val="ListParagraph"/>
        <w:numPr>
          <w:ilvl w:val="0"/>
          <w:numId w:val="33"/>
        </w:numPr>
        <w:rPr>
          <w:lang w:eastAsia="en-AU"/>
        </w:rPr>
      </w:pPr>
      <w:r w:rsidRPr="00CC0E39">
        <w:rPr>
          <w:lang w:eastAsia="en-AU"/>
        </w:rPr>
        <w:t>commence a review of the operation of the Act in</w:t>
      </w:r>
      <w:r w:rsidR="00CC0E39" w:rsidRPr="00CC0E39">
        <w:rPr>
          <w:lang w:eastAsia="en-AU"/>
        </w:rPr>
        <w:t xml:space="preserve"> </w:t>
      </w:r>
      <w:r w:rsidRPr="00CC0E39">
        <w:rPr>
          <w:lang w:eastAsia="en-AU"/>
        </w:rPr>
        <w:t>January 2014.</w:t>
      </w:r>
    </w:p>
    <w:p w:rsidR="007232D9" w:rsidRPr="005F712F" w:rsidRDefault="00B153DC" w:rsidP="00D404FA">
      <w:pPr>
        <w:pStyle w:val="Heading2"/>
      </w:pPr>
      <w:bookmarkStart w:id="133" w:name="_Toc306808248"/>
      <w:r w:rsidRPr="005F712F">
        <w:t>Role of the Administrator</w:t>
      </w:r>
      <w:bookmarkEnd w:id="133"/>
    </w:p>
    <w:p w:rsidR="00537ECB" w:rsidRPr="005F712F" w:rsidRDefault="00537ECB" w:rsidP="000D6A45">
      <w:pPr>
        <w:rPr>
          <w:rFonts w:asciiTheme="minorHAnsi" w:hAnsiTheme="minorHAnsi" w:cs="Calibri"/>
        </w:rPr>
      </w:pPr>
      <w:r w:rsidRPr="005F712F">
        <w:rPr>
          <w:rFonts w:asciiTheme="minorHAnsi" w:hAnsiTheme="minorHAnsi" w:cs="Calibri"/>
        </w:rPr>
        <w:t xml:space="preserve">The Scheme will require an </w:t>
      </w:r>
      <w:r w:rsidR="008C0D5D">
        <w:rPr>
          <w:rFonts w:asciiTheme="minorHAnsi" w:hAnsiTheme="minorHAnsi" w:cs="Calibri"/>
        </w:rPr>
        <w:t>Administrator</w:t>
      </w:r>
      <w:r w:rsidRPr="005F712F">
        <w:rPr>
          <w:rFonts w:asciiTheme="minorHAnsi" w:hAnsiTheme="minorHAnsi" w:cs="Calibri"/>
        </w:rPr>
        <w:t xml:space="preserve"> to </w:t>
      </w:r>
      <w:r w:rsidR="00A45088" w:rsidRPr="005F712F">
        <w:rPr>
          <w:rFonts w:asciiTheme="minorHAnsi" w:hAnsiTheme="minorHAnsi" w:cs="Calibri"/>
        </w:rPr>
        <w:t xml:space="preserve">establish the operation of the Scheme and </w:t>
      </w:r>
      <w:r w:rsidRPr="005F712F">
        <w:rPr>
          <w:rFonts w:asciiTheme="minorHAnsi" w:hAnsiTheme="minorHAnsi" w:cs="Calibri"/>
        </w:rPr>
        <w:t>monitor the compliance of supplie</w:t>
      </w:r>
      <w:r w:rsidR="00A45088" w:rsidRPr="005F712F">
        <w:rPr>
          <w:rFonts w:asciiTheme="minorHAnsi" w:hAnsiTheme="minorHAnsi" w:cs="Calibri"/>
        </w:rPr>
        <w:t>rs with the Scheme</w:t>
      </w:r>
      <w:r w:rsidR="00185A82" w:rsidRPr="005F712F">
        <w:rPr>
          <w:rFonts w:asciiTheme="minorHAnsi" w:hAnsiTheme="minorHAnsi" w:cs="Calibri"/>
        </w:rPr>
        <w:t>’s</w:t>
      </w:r>
      <w:r w:rsidR="00A45088" w:rsidRPr="005F712F">
        <w:rPr>
          <w:rFonts w:asciiTheme="minorHAnsi" w:hAnsiTheme="minorHAnsi" w:cs="Calibri"/>
        </w:rPr>
        <w:t xml:space="preserve"> obligations. </w:t>
      </w:r>
      <w:r w:rsidR="00DE6AC7">
        <w:rPr>
          <w:rFonts w:asciiTheme="minorHAnsi" w:hAnsiTheme="minorHAnsi" w:cs="Calibri"/>
        </w:rPr>
        <w:t>The</w:t>
      </w:r>
      <w:r w:rsidRPr="005F712F">
        <w:rPr>
          <w:rFonts w:asciiTheme="minorHAnsi" w:hAnsiTheme="minorHAnsi" w:cs="Calibri"/>
        </w:rPr>
        <w:t xml:space="preserve"> </w:t>
      </w:r>
      <w:r w:rsidR="008C0D5D">
        <w:rPr>
          <w:rFonts w:asciiTheme="minorHAnsi" w:hAnsiTheme="minorHAnsi" w:cs="Calibri"/>
        </w:rPr>
        <w:t>Administrator</w:t>
      </w:r>
      <w:r w:rsidRPr="005F712F">
        <w:rPr>
          <w:rFonts w:asciiTheme="minorHAnsi" w:hAnsiTheme="minorHAnsi" w:cs="Calibri"/>
        </w:rPr>
        <w:t xml:space="preserve"> will be a person </w:t>
      </w:r>
      <w:r w:rsidR="00A45088" w:rsidRPr="005F712F">
        <w:rPr>
          <w:rFonts w:asciiTheme="minorHAnsi" w:hAnsiTheme="minorHAnsi" w:cs="Calibri"/>
        </w:rPr>
        <w:t>appointed</w:t>
      </w:r>
      <w:r w:rsidRPr="005F712F">
        <w:rPr>
          <w:rFonts w:asciiTheme="minorHAnsi" w:hAnsiTheme="minorHAnsi" w:cs="Calibri"/>
        </w:rPr>
        <w:t xml:space="preserve"> by the Minister.</w:t>
      </w:r>
    </w:p>
    <w:p w:rsidR="00537ECB" w:rsidRPr="005F712F" w:rsidRDefault="00A45088" w:rsidP="000D6A45">
      <w:pPr>
        <w:rPr>
          <w:rFonts w:asciiTheme="minorHAnsi" w:hAnsiTheme="minorHAnsi" w:cs="Calibri"/>
          <w:lang w:eastAsia="en-AU"/>
        </w:rPr>
      </w:pPr>
      <w:r w:rsidRPr="005F712F">
        <w:rPr>
          <w:rFonts w:asciiTheme="minorHAnsi" w:hAnsiTheme="minorHAnsi" w:cs="Calibri"/>
        </w:rPr>
        <w:t xml:space="preserve">As defined in the Act, the </w:t>
      </w:r>
      <w:r w:rsidR="008C0D5D">
        <w:rPr>
          <w:rFonts w:asciiTheme="minorHAnsi" w:hAnsiTheme="minorHAnsi" w:cs="Calibri"/>
        </w:rPr>
        <w:t>Administrator</w:t>
      </w:r>
      <w:r w:rsidRPr="005F712F">
        <w:rPr>
          <w:rFonts w:asciiTheme="minorHAnsi" w:hAnsiTheme="minorHAnsi" w:cs="Calibri"/>
        </w:rPr>
        <w:t xml:space="preserve"> will</w:t>
      </w:r>
      <w:r w:rsidRPr="005F712F">
        <w:rPr>
          <w:rFonts w:asciiTheme="minorHAnsi" w:hAnsiTheme="minorHAnsi" w:cs="Calibri"/>
          <w:lang w:eastAsia="en-AU"/>
        </w:rPr>
        <w:t xml:space="preserve"> have</w:t>
      </w:r>
      <w:r w:rsidR="00537ECB" w:rsidRPr="005F712F">
        <w:rPr>
          <w:rFonts w:asciiTheme="minorHAnsi" w:hAnsiTheme="minorHAnsi" w:cs="Calibri"/>
          <w:lang w:eastAsia="en-AU"/>
        </w:rPr>
        <w:t xml:space="preserve"> the following functions:</w:t>
      </w:r>
    </w:p>
    <w:p w:rsidR="00537ECB" w:rsidRPr="005F712F" w:rsidRDefault="00537ECB" w:rsidP="00B96C73">
      <w:pPr>
        <w:pStyle w:val="ListParagraph"/>
        <w:numPr>
          <w:ilvl w:val="0"/>
          <w:numId w:val="30"/>
        </w:numPr>
        <w:rPr>
          <w:rFonts w:asciiTheme="minorHAnsi" w:hAnsiTheme="minorHAnsi" w:cs="Calibri"/>
          <w:lang w:eastAsia="en-AU"/>
        </w:rPr>
      </w:pPr>
      <w:r w:rsidRPr="005F712F">
        <w:rPr>
          <w:rFonts w:asciiTheme="minorHAnsi" w:hAnsiTheme="minorHAnsi" w:cs="Calibri"/>
          <w:lang w:eastAsia="en-AU"/>
        </w:rPr>
        <w:t>establishing reporting and record keeping requirements for</w:t>
      </w:r>
      <w:r w:rsidR="00A45088" w:rsidRPr="005F712F">
        <w:rPr>
          <w:rFonts w:asciiTheme="minorHAnsi" w:hAnsiTheme="minorHAnsi" w:cs="Calibri"/>
          <w:lang w:eastAsia="en-AU"/>
        </w:rPr>
        <w:t xml:space="preserve"> </w:t>
      </w:r>
      <w:r w:rsidRPr="005F712F">
        <w:rPr>
          <w:rFonts w:asciiTheme="minorHAnsi" w:hAnsiTheme="minorHAnsi" w:cs="Calibri"/>
          <w:lang w:eastAsia="en-AU"/>
        </w:rPr>
        <w:t>electricity suppliers;</w:t>
      </w:r>
    </w:p>
    <w:p w:rsidR="00537ECB" w:rsidRPr="005F712F" w:rsidRDefault="00537ECB" w:rsidP="00B96C73">
      <w:pPr>
        <w:pStyle w:val="ListParagraph"/>
        <w:numPr>
          <w:ilvl w:val="0"/>
          <w:numId w:val="30"/>
        </w:numPr>
        <w:rPr>
          <w:rFonts w:asciiTheme="minorHAnsi" w:hAnsiTheme="minorHAnsi" w:cs="Calibri"/>
          <w:lang w:eastAsia="en-AU"/>
        </w:rPr>
      </w:pPr>
      <w:r w:rsidRPr="005F712F">
        <w:rPr>
          <w:rFonts w:asciiTheme="minorHAnsi" w:hAnsiTheme="minorHAnsi" w:cs="Calibri"/>
          <w:lang w:eastAsia="en-AU"/>
        </w:rPr>
        <w:t>determining electricity suppliers’ compliance with the</w:t>
      </w:r>
      <w:r w:rsidR="00A45088" w:rsidRPr="005F712F">
        <w:rPr>
          <w:rFonts w:asciiTheme="minorHAnsi" w:hAnsiTheme="minorHAnsi" w:cs="Calibri"/>
          <w:lang w:eastAsia="en-AU"/>
        </w:rPr>
        <w:t xml:space="preserve"> </w:t>
      </w:r>
      <w:r w:rsidRPr="005F712F">
        <w:rPr>
          <w:rFonts w:asciiTheme="minorHAnsi" w:hAnsiTheme="minorHAnsi" w:cs="Calibri"/>
          <w:lang w:eastAsia="en-AU"/>
        </w:rPr>
        <w:t>suppliers</w:t>
      </w:r>
      <w:r w:rsidR="00F83866">
        <w:rPr>
          <w:rFonts w:asciiTheme="minorHAnsi" w:hAnsiTheme="minorHAnsi" w:cs="Calibri"/>
          <w:lang w:eastAsia="en-AU"/>
        </w:rPr>
        <w:t>’</w:t>
      </w:r>
      <w:r w:rsidRPr="005F712F">
        <w:rPr>
          <w:rFonts w:asciiTheme="minorHAnsi" w:hAnsiTheme="minorHAnsi" w:cs="Calibri"/>
          <w:lang w:eastAsia="en-AU"/>
        </w:rPr>
        <w:t xml:space="preserve"> energy s</w:t>
      </w:r>
      <w:r w:rsidR="00A45088" w:rsidRPr="005F712F">
        <w:rPr>
          <w:rFonts w:asciiTheme="minorHAnsi" w:hAnsiTheme="minorHAnsi" w:cs="Calibri"/>
          <w:lang w:eastAsia="en-AU"/>
        </w:rPr>
        <w:t xml:space="preserve">avings </w:t>
      </w:r>
      <w:r w:rsidRPr="005F712F">
        <w:rPr>
          <w:rFonts w:asciiTheme="minorHAnsi" w:hAnsiTheme="minorHAnsi" w:cs="Calibri"/>
          <w:lang w:eastAsia="en-AU"/>
        </w:rPr>
        <w:t>obligations;</w:t>
      </w:r>
    </w:p>
    <w:p w:rsidR="00537ECB" w:rsidRPr="005F712F" w:rsidRDefault="00537ECB" w:rsidP="00B96C73">
      <w:pPr>
        <w:pStyle w:val="ListParagraph"/>
        <w:numPr>
          <w:ilvl w:val="0"/>
          <w:numId w:val="30"/>
        </w:numPr>
        <w:rPr>
          <w:rFonts w:asciiTheme="minorHAnsi" w:hAnsiTheme="minorHAnsi" w:cs="Calibri"/>
          <w:lang w:eastAsia="en-AU"/>
        </w:rPr>
      </w:pPr>
      <w:r w:rsidRPr="005F712F">
        <w:rPr>
          <w:rFonts w:asciiTheme="minorHAnsi" w:hAnsiTheme="minorHAnsi" w:cs="Calibri"/>
          <w:lang w:eastAsia="en-AU"/>
        </w:rPr>
        <w:t>approving acquisition of abatement factors;</w:t>
      </w:r>
    </w:p>
    <w:p w:rsidR="00537ECB" w:rsidRPr="005F712F" w:rsidRDefault="00537ECB" w:rsidP="00B96C73">
      <w:pPr>
        <w:pStyle w:val="ListParagraph"/>
        <w:numPr>
          <w:ilvl w:val="0"/>
          <w:numId w:val="30"/>
        </w:numPr>
        <w:rPr>
          <w:rFonts w:asciiTheme="minorHAnsi" w:hAnsiTheme="minorHAnsi" w:cs="Calibri"/>
          <w:lang w:eastAsia="en-AU"/>
        </w:rPr>
      </w:pPr>
      <w:r w:rsidRPr="005F712F">
        <w:rPr>
          <w:rFonts w:asciiTheme="minorHAnsi" w:hAnsiTheme="minorHAnsi" w:cs="Calibri"/>
          <w:lang w:eastAsia="en-AU"/>
        </w:rPr>
        <w:t>approving codes of practice;</w:t>
      </w:r>
    </w:p>
    <w:p w:rsidR="00537ECB" w:rsidRPr="005F712F" w:rsidRDefault="00537ECB" w:rsidP="00B96C73">
      <w:pPr>
        <w:pStyle w:val="ListParagraph"/>
        <w:numPr>
          <w:ilvl w:val="0"/>
          <w:numId w:val="30"/>
        </w:numPr>
        <w:rPr>
          <w:rFonts w:asciiTheme="minorHAnsi" w:hAnsiTheme="minorHAnsi" w:cs="Calibri"/>
          <w:lang w:eastAsia="en-AU"/>
        </w:rPr>
      </w:pPr>
      <w:r w:rsidRPr="005F712F">
        <w:rPr>
          <w:rFonts w:asciiTheme="minorHAnsi" w:hAnsiTheme="minorHAnsi" w:cs="Calibri"/>
          <w:lang w:eastAsia="en-AU"/>
        </w:rPr>
        <w:t>preparing annual reports;</w:t>
      </w:r>
    </w:p>
    <w:p w:rsidR="00537ECB" w:rsidRPr="005F712F" w:rsidRDefault="00537ECB" w:rsidP="00B96C73">
      <w:pPr>
        <w:pStyle w:val="ListParagraph"/>
        <w:numPr>
          <w:ilvl w:val="0"/>
          <w:numId w:val="30"/>
        </w:numPr>
        <w:rPr>
          <w:rFonts w:asciiTheme="minorHAnsi" w:hAnsiTheme="minorHAnsi" w:cs="Calibri"/>
          <w:lang w:eastAsia="en-AU"/>
        </w:rPr>
      </w:pPr>
      <w:r w:rsidRPr="005F712F">
        <w:rPr>
          <w:rFonts w:asciiTheme="minorHAnsi" w:hAnsiTheme="minorHAnsi" w:cs="Calibri"/>
          <w:lang w:eastAsia="en-AU"/>
        </w:rPr>
        <w:t>reporting to the Minister, at the Minister’s request, on anything</w:t>
      </w:r>
      <w:r w:rsidR="00A45088" w:rsidRPr="005F712F">
        <w:rPr>
          <w:rFonts w:asciiTheme="minorHAnsi" w:hAnsiTheme="minorHAnsi" w:cs="Calibri"/>
          <w:lang w:eastAsia="en-AU"/>
        </w:rPr>
        <w:t xml:space="preserve"> </w:t>
      </w:r>
      <w:r w:rsidRPr="005F712F">
        <w:rPr>
          <w:rFonts w:asciiTheme="minorHAnsi" w:hAnsiTheme="minorHAnsi" w:cs="Calibri"/>
          <w:lang w:eastAsia="en-AU"/>
        </w:rPr>
        <w:t>relating to the operation or administration of this Act;</w:t>
      </w:r>
      <w:r w:rsidR="000D6A45">
        <w:rPr>
          <w:rFonts w:asciiTheme="minorHAnsi" w:hAnsiTheme="minorHAnsi" w:cs="Calibri"/>
          <w:lang w:eastAsia="en-AU"/>
        </w:rPr>
        <w:t xml:space="preserve"> and</w:t>
      </w:r>
    </w:p>
    <w:p w:rsidR="00A45088" w:rsidRPr="005F712F" w:rsidRDefault="00537ECB" w:rsidP="00B96C73">
      <w:pPr>
        <w:pStyle w:val="ListParagraph"/>
        <w:numPr>
          <w:ilvl w:val="0"/>
          <w:numId w:val="30"/>
        </w:numPr>
        <w:rPr>
          <w:rFonts w:asciiTheme="minorHAnsi" w:hAnsiTheme="minorHAnsi" w:cs="Calibri"/>
          <w:lang w:eastAsia="en-AU"/>
        </w:rPr>
      </w:pPr>
      <w:r w:rsidRPr="005F712F">
        <w:rPr>
          <w:rFonts w:asciiTheme="minorHAnsi" w:hAnsiTheme="minorHAnsi" w:cs="Calibri"/>
          <w:lang w:eastAsia="en-AU"/>
        </w:rPr>
        <w:t xml:space="preserve">establishing and administering the </w:t>
      </w:r>
      <w:r w:rsidR="005A1326">
        <w:rPr>
          <w:rFonts w:asciiTheme="minorHAnsi" w:hAnsiTheme="minorHAnsi" w:cs="Calibri"/>
          <w:lang w:eastAsia="en-AU"/>
        </w:rPr>
        <w:t>E</w:t>
      </w:r>
      <w:r w:rsidRPr="005F712F">
        <w:rPr>
          <w:rFonts w:asciiTheme="minorHAnsi" w:hAnsiTheme="minorHAnsi" w:cs="Calibri"/>
          <w:lang w:eastAsia="en-AU"/>
        </w:rPr>
        <w:t xml:space="preserve">nergy </w:t>
      </w:r>
      <w:r w:rsidR="005A1326">
        <w:rPr>
          <w:rFonts w:asciiTheme="minorHAnsi" w:hAnsiTheme="minorHAnsi" w:cs="Calibri"/>
          <w:lang w:eastAsia="en-AU"/>
        </w:rPr>
        <w:t>E</w:t>
      </w:r>
      <w:r w:rsidRPr="005F712F">
        <w:rPr>
          <w:rFonts w:asciiTheme="minorHAnsi" w:hAnsiTheme="minorHAnsi" w:cs="Calibri"/>
          <w:lang w:eastAsia="en-AU"/>
        </w:rPr>
        <w:t xml:space="preserve">fficiency </w:t>
      </w:r>
      <w:r w:rsidR="005A1326">
        <w:rPr>
          <w:rFonts w:asciiTheme="minorHAnsi" w:hAnsiTheme="minorHAnsi" w:cs="Calibri"/>
          <w:lang w:eastAsia="en-AU"/>
        </w:rPr>
        <w:t>F</w:t>
      </w:r>
      <w:r w:rsidRPr="005F712F">
        <w:rPr>
          <w:rFonts w:asciiTheme="minorHAnsi" w:hAnsiTheme="minorHAnsi" w:cs="Calibri"/>
          <w:lang w:eastAsia="en-AU"/>
        </w:rPr>
        <w:t>und.</w:t>
      </w:r>
    </w:p>
    <w:p w:rsidR="00A45088" w:rsidRPr="005F712F" w:rsidRDefault="005F712F" w:rsidP="004F7A03">
      <w:pPr>
        <w:pStyle w:val="Heading3"/>
        <w:rPr>
          <w:lang w:eastAsia="en-AU"/>
        </w:rPr>
      </w:pPr>
      <w:r w:rsidRPr="005F712F">
        <w:rPr>
          <w:lang w:eastAsia="en-AU"/>
        </w:rPr>
        <w:t>E</w:t>
      </w:r>
      <w:r w:rsidR="00A45088" w:rsidRPr="005F712F">
        <w:rPr>
          <w:lang w:eastAsia="en-AU"/>
        </w:rPr>
        <w:t>stablishing reporting and record keeping require</w:t>
      </w:r>
      <w:r w:rsidRPr="005F712F">
        <w:rPr>
          <w:lang w:eastAsia="en-AU"/>
        </w:rPr>
        <w:t>ments for electricity suppliers</w:t>
      </w:r>
    </w:p>
    <w:p w:rsidR="001570F6" w:rsidRPr="005F712F" w:rsidRDefault="001570F6" w:rsidP="000D6A45">
      <w:pPr>
        <w:rPr>
          <w:rFonts w:asciiTheme="minorHAnsi" w:hAnsiTheme="minorHAnsi" w:cs="Calibri"/>
          <w:lang w:eastAsia="en-AU"/>
        </w:rPr>
      </w:pPr>
      <w:r w:rsidRPr="005F712F">
        <w:rPr>
          <w:rFonts w:asciiTheme="minorHAnsi" w:hAnsiTheme="minorHAnsi" w:cs="Calibri"/>
          <w:lang w:eastAsia="en-AU"/>
        </w:rPr>
        <w:t xml:space="preserve">The </w:t>
      </w:r>
      <w:r w:rsidR="008C0D5D">
        <w:rPr>
          <w:rFonts w:asciiTheme="minorHAnsi" w:hAnsiTheme="minorHAnsi" w:cs="Calibri"/>
          <w:lang w:eastAsia="en-AU"/>
        </w:rPr>
        <w:t>Administrator</w:t>
      </w:r>
      <w:r w:rsidRPr="005F712F">
        <w:rPr>
          <w:rFonts w:asciiTheme="minorHAnsi" w:hAnsiTheme="minorHAnsi" w:cs="Calibri"/>
          <w:lang w:eastAsia="en-AU"/>
        </w:rPr>
        <w:t xml:space="preserve"> of the Scheme will be responsible for </w:t>
      </w:r>
      <w:r w:rsidR="005F712F">
        <w:rPr>
          <w:rFonts w:asciiTheme="minorHAnsi" w:hAnsiTheme="minorHAnsi" w:cs="Calibri"/>
          <w:lang w:eastAsia="en-AU"/>
        </w:rPr>
        <w:t>setting out the way in which s</w:t>
      </w:r>
      <w:r w:rsidRPr="005F712F">
        <w:rPr>
          <w:rFonts w:asciiTheme="minorHAnsi" w:hAnsiTheme="minorHAnsi" w:cs="Calibri"/>
          <w:lang w:eastAsia="en-AU"/>
        </w:rPr>
        <w:t>uppliers report their compliance with the Scheme, so that th</w:t>
      </w:r>
      <w:r w:rsidR="005F712F">
        <w:rPr>
          <w:rFonts w:asciiTheme="minorHAnsi" w:hAnsiTheme="minorHAnsi" w:cs="Calibri"/>
          <w:lang w:eastAsia="en-AU"/>
        </w:rPr>
        <w:t xml:space="preserve">e </w:t>
      </w:r>
      <w:r w:rsidR="008C0D5D">
        <w:rPr>
          <w:rFonts w:asciiTheme="minorHAnsi" w:hAnsiTheme="minorHAnsi" w:cs="Calibri"/>
          <w:lang w:eastAsia="en-AU"/>
        </w:rPr>
        <w:t>Administrator</w:t>
      </w:r>
      <w:r w:rsidR="005F712F">
        <w:rPr>
          <w:rFonts w:asciiTheme="minorHAnsi" w:hAnsiTheme="minorHAnsi" w:cs="Calibri"/>
          <w:lang w:eastAsia="en-AU"/>
        </w:rPr>
        <w:t xml:space="preserve"> may verify the s</w:t>
      </w:r>
      <w:r w:rsidRPr="005F712F">
        <w:rPr>
          <w:rFonts w:asciiTheme="minorHAnsi" w:hAnsiTheme="minorHAnsi" w:cs="Calibri"/>
          <w:lang w:eastAsia="en-AU"/>
        </w:rPr>
        <w:t>uppliers</w:t>
      </w:r>
      <w:r w:rsidR="00F83866">
        <w:rPr>
          <w:rFonts w:asciiTheme="minorHAnsi" w:hAnsiTheme="minorHAnsi" w:cs="Calibri"/>
          <w:lang w:eastAsia="en-AU"/>
        </w:rPr>
        <w:t>’</w:t>
      </w:r>
      <w:r w:rsidRPr="005F712F">
        <w:rPr>
          <w:rFonts w:asciiTheme="minorHAnsi" w:hAnsiTheme="minorHAnsi" w:cs="Calibri"/>
          <w:lang w:eastAsia="en-AU"/>
        </w:rPr>
        <w:t xml:space="preserve"> claims in relation to meeting the SESO and SPHT. This may include the development of forms approved by the Minister and any databases or other reporting tools as necessary.</w:t>
      </w:r>
      <w:r w:rsidR="005E3650">
        <w:rPr>
          <w:rFonts w:asciiTheme="minorHAnsi" w:hAnsiTheme="minorHAnsi" w:cs="Calibri"/>
          <w:lang w:eastAsia="en-AU"/>
        </w:rPr>
        <w:t xml:space="preserve"> This represents a similar role undertaken by scheme </w:t>
      </w:r>
      <w:r w:rsidR="008C0D5D">
        <w:rPr>
          <w:rFonts w:asciiTheme="minorHAnsi" w:hAnsiTheme="minorHAnsi" w:cs="Calibri"/>
          <w:lang w:eastAsia="en-AU"/>
        </w:rPr>
        <w:t>Administrator</w:t>
      </w:r>
      <w:r w:rsidR="005E3650">
        <w:rPr>
          <w:rFonts w:asciiTheme="minorHAnsi" w:hAnsiTheme="minorHAnsi" w:cs="Calibri"/>
          <w:lang w:eastAsia="en-AU"/>
        </w:rPr>
        <w:t>s in other jurisdictions with energy efficiency schemes in Australia.</w:t>
      </w:r>
    </w:p>
    <w:p w:rsidR="001570F6" w:rsidRPr="005F712F" w:rsidRDefault="001570F6" w:rsidP="000D6A45">
      <w:pPr>
        <w:rPr>
          <w:rFonts w:asciiTheme="minorHAnsi" w:hAnsiTheme="minorHAnsi" w:cs="Calibri"/>
        </w:rPr>
      </w:pPr>
      <w:r w:rsidRPr="005F712F">
        <w:rPr>
          <w:rFonts w:asciiTheme="minorHAnsi" w:hAnsiTheme="minorHAnsi" w:cs="Calibri"/>
        </w:rPr>
        <w:t xml:space="preserve">Provision is made under the Scheme, as exists in South Australia, for a compliance plan to be submitted by suppliers to the Scheme </w:t>
      </w:r>
      <w:r w:rsidR="008C0D5D">
        <w:rPr>
          <w:rFonts w:asciiTheme="minorHAnsi" w:hAnsiTheme="minorHAnsi" w:cs="Calibri"/>
        </w:rPr>
        <w:t>Administrator</w:t>
      </w:r>
      <w:r w:rsidRPr="005F712F">
        <w:rPr>
          <w:rFonts w:asciiTheme="minorHAnsi" w:hAnsiTheme="minorHAnsi" w:cs="Calibri"/>
        </w:rPr>
        <w:t xml:space="preserve">. The purpose of this is to ensure that suppliers are equipped to meet the obligations of the Scheme and the </w:t>
      </w:r>
      <w:r w:rsidR="008C0D5D">
        <w:rPr>
          <w:rFonts w:asciiTheme="minorHAnsi" w:hAnsiTheme="minorHAnsi" w:cs="Calibri"/>
        </w:rPr>
        <w:t>Administrator</w:t>
      </w:r>
      <w:r w:rsidRPr="005F712F">
        <w:rPr>
          <w:rFonts w:asciiTheme="minorHAnsi" w:hAnsiTheme="minorHAnsi" w:cs="Calibri"/>
        </w:rPr>
        <w:t xml:space="preserve">. </w:t>
      </w:r>
    </w:p>
    <w:p w:rsidR="001570F6" w:rsidRPr="005F712F" w:rsidRDefault="005F712F" w:rsidP="000D6A45">
      <w:pPr>
        <w:rPr>
          <w:rFonts w:asciiTheme="minorHAnsi" w:hAnsiTheme="minorHAnsi" w:cs="Calibri"/>
        </w:rPr>
      </w:pPr>
      <w:r>
        <w:rPr>
          <w:rFonts w:asciiTheme="minorHAnsi" w:hAnsiTheme="minorHAnsi" w:cs="Calibri"/>
        </w:rPr>
        <w:t xml:space="preserve">The </w:t>
      </w:r>
      <w:r w:rsidR="001570F6" w:rsidRPr="005F712F">
        <w:rPr>
          <w:rFonts w:asciiTheme="minorHAnsi" w:hAnsiTheme="minorHAnsi" w:cs="Calibri"/>
        </w:rPr>
        <w:t>compliance</w:t>
      </w:r>
      <w:r>
        <w:rPr>
          <w:rFonts w:asciiTheme="minorHAnsi" w:hAnsiTheme="minorHAnsi" w:cs="Calibri"/>
        </w:rPr>
        <w:t xml:space="preserve"> plan</w:t>
      </w:r>
      <w:r w:rsidR="001570F6" w:rsidRPr="005F712F">
        <w:rPr>
          <w:rFonts w:asciiTheme="minorHAnsi" w:hAnsiTheme="minorHAnsi" w:cs="Calibri"/>
        </w:rPr>
        <w:t xml:space="preserve"> </w:t>
      </w:r>
      <w:r>
        <w:rPr>
          <w:rFonts w:asciiTheme="minorHAnsi" w:hAnsiTheme="minorHAnsi" w:cs="Calibri"/>
        </w:rPr>
        <w:t>will</w:t>
      </w:r>
      <w:r w:rsidR="001570F6" w:rsidRPr="005F712F">
        <w:rPr>
          <w:rFonts w:asciiTheme="minorHAnsi" w:hAnsiTheme="minorHAnsi" w:cs="Calibri"/>
        </w:rPr>
        <w:t xml:space="preserve"> include:</w:t>
      </w:r>
    </w:p>
    <w:p w:rsidR="001570F6" w:rsidRPr="005F712F" w:rsidRDefault="001570F6" w:rsidP="00B96C73">
      <w:pPr>
        <w:pStyle w:val="ListParagraph"/>
        <w:numPr>
          <w:ilvl w:val="0"/>
          <w:numId w:val="31"/>
        </w:numPr>
        <w:rPr>
          <w:rFonts w:asciiTheme="minorHAnsi" w:hAnsiTheme="minorHAnsi" w:cs="Calibri"/>
          <w:lang w:eastAsia="en-AU"/>
        </w:rPr>
      </w:pPr>
      <w:r w:rsidRPr="005F712F">
        <w:rPr>
          <w:rFonts w:asciiTheme="minorHAnsi" w:hAnsiTheme="minorHAnsi" w:cs="Calibri"/>
          <w:lang w:eastAsia="en-AU"/>
        </w:rPr>
        <w:t>how the supplier plans to achieve the supplier’s energy savings obligation;</w:t>
      </w:r>
    </w:p>
    <w:p w:rsidR="001570F6" w:rsidRPr="005F712F" w:rsidRDefault="001570F6" w:rsidP="00B96C73">
      <w:pPr>
        <w:pStyle w:val="ListParagraph"/>
        <w:numPr>
          <w:ilvl w:val="0"/>
          <w:numId w:val="31"/>
        </w:numPr>
        <w:rPr>
          <w:rFonts w:asciiTheme="minorHAnsi" w:hAnsiTheme="minorHAnsi" w:cs="Calibri"/>
          <w:lang w:eastAsia="en-AU"/>
        </w:rPr>
      </w:pPr>
      <w:r w:rsidRPr="005F712F">
        <w:rPr>
          <w:rFonts w:asciiTheme="minorHAnsi" w:hAnsiTheme="minorHAnsi" w:cs="Calibri"/>
          <w:lang w:eastAsia="en-AU"/>
        </w:rPr>
        <w:t>how the supplier plans to meet health, safety and environmental requirements relating to eligible activities;</w:t>
      </w:r>
      <w:r w:rsidR="005F712F">
        <w:rPr>
          <w:rFonts w:asciiTheme="minorHAnsi" w:hAnsiTheme="minorHAnsi" w:cs="Calibri"/>
          <w:lang w:eastAsia="en-AU"/>
        </w:rPr>
        <w:t xml:space="preserve"> and</w:t>
      </w:r>
    </w:p>
    <w:p w:rsidR="001570F6" w:rsidRPr="005F712F" w:rsidRDefault="001570F6" w:rsidP="00B96C73">
      <w:pPr>
        <w:pStyle w:val="ListParagraph"/>
        <w:numPr>
          <w:ilvl w:val="0"/>
          <w:numId w:val="31"/>
        </w:numPr>
        <w:rPr>
          <w:rFonts w:asciiTheme="minorHAnsi" w:hAnsiTheme="minorHAnsi" w:cs="Calibri"/>
          <w:lang w:eastAsia="en-AU"/>
        </w:rPr>
      </w:pPr>
      <w:r w:rsidRPr="005F712F">
        <w:rPr>
          <w:rFonts w:asciiTheme="minorHAnsi" w:hAnsiTheme="minorHAnsi" w:cs="Calibri"/>
          <w:lang w:eastAsia="en-AU"/>
        </w:rPr>
        <w:t>any other information required under an approved code of practice.</w:t>
      </w:r>
    </w:p>
    <w:p w:rsidR="005F712F" w:rsidRPr="002B3C6E" w:rsidRDefault="00FF666F" w:rsidP="000D6A45">
      <w:pPr>
        <w:rPr>
          <w:rFonts w:asciiTheme="minorHAnsi" w:hAnsiTheme="minorHAnsi" w:cs="Calibri"/>
        </w:rPr>
      </w:pPr>
      <w:r>
        <w:rPr>
          <w:rFonts w:asciiTheme="minorHAnsi" w:hAnsiTheme="minorHAnsi" w:cs="Calibri"/>
        </w:rPr>
        <w:t>Suppli</w:t>
      </w:r>
      <w:r w:rsidR="001570F6" w:rsidRPr="005F712F">
        <w:rPr>
          <w:rFonts w:asciiTheme="minorHAnsi" w:hAnsiTheme="minorHAnsi" w:cs="Calibri"/>
        </w:rPr>
        <w:t xml:space="preserve">ers, to the greatest extent practicable, will internalise and manage risk and compliance assurance processes on a continuous basis and report annually on compliance to the </w:t>
      </w:r>
      <w:r w:rsidR="008C0D5D">
        <w:rPr>
          <w:rFonts w:asciiTheme="minorHAnsi" w:hAnsiTheme="minorHAnsi" w:cs="Calibri"/>
        </w:rPr>
        <w:t>Administrator</w:t>
      </w:r>
      <w:r w:rsidR="001570F6" w:rsidRPr="005F712F">
        <w:rPr>
          <w:rFonts w:asciiTheme="minorHAnsi" w:hAnsiTheme="minorHAnsi" w:cs="Calibri"/>
        </w:rPr>
        <w:t xml:space="preserve">. </w:t>
      </w:r>
    </w:p>
    <w:p w:rsidR="005F712F" w:rsidRPr="005F712F" w:rsidRDefault="005F712F" w:rsidP="004F7A03">
      <w:pPr>
        <w:pStyle w:val="Heading3"/>
        <w:rPr>
          <w:lang w:eastAsia="en-AU"/>
        </w:rPr>
      </w:pPr>
      <w:r w:rsidRPr="005F712F">
        <w:rPr>
          <w:lang w:eastAsia="en-AU"/>
        </w:rPr>
        <w:t>Determining</w:t>
      </w:r>
      <w:r w:rsidR="00A45088" w:rsidRPr="005F712F">
        <w:rPr>
          <w:lang w:eastAsia="en-AU"/>
        </w:rPr>
        <w:t xml:space="preserve"> electricity suppliers’ </w:t>
      </w:r>
      <w:r w:rsidRPr="005F712F">
        <w:rPr>
          <w:lang w:eastAsia="en-AU"/>
        </w:rPr>
        <w:t>energy savings obligations</w:t>
      </w:r>
    </w:p>
    <w:p w:rsidR="001570F6" w:rsidRPr="005F712F" w:rsidRDefault="001570F6" w:rsidP="000D6A45">
      <w:pPr>
        <w:rPr>
          <w:lang w:eastAsia="en-AU"/>
        </w:rPr>
      </w:pPr>
      <w:r w:rsidRPr="005F712F">
        <w:rPr>
          <w:lang w:eastAsia="en-AU"/>
        </w:rPr>
        <w:t>Under the Act</w:t>
      </w:r>
      <w:r w:rsidR="005F712F">
        <w:rPr>
          <w:lang w:eastAsia="en-AU"/>
        </w:rPr>
        <w:t>,</w:t>
      </w:r>
      <w:r w:rsidRPr="005F712F">
        <w:rPr>
          <w:lang w:eastAsia="en-AU"/>
        </w:rPr>
        <w:t xml:space="preserve"> </w:t>
      </w:r>
      <w:r w:rsidR="00F83866">
        <w:rPr>
          <w:lang w:eastAsia="en-AU"/>
        </w:rPr>
        <w:t>an</w:t>
      </w:r>
      <w:r w:rsidRPr="005F712F">
        <w:rPr>
          <w:lang w:eastAsia="en-AU"/>
        </w:rPr>
        <w:t xml:space="preserve"> electricity supplier must give the </w:t>
      </w:r>
      <w:r w:rsidR="008C0D5D">
        <w:rPr>
          <w:lang w:eastAsia="en-AU"/>
        </w:rPr>
        <w:t>Administrator</w:t>
      </w:r>
      <w:r w:rsidRPr="005F712F">
        <w:rPr>
          <w:lang w:eastAsia="en-AU"/>
        </w:rPr>
        <w:t xml:space="preserve"> the following information in relation to a compliance period not later than 3 months after the end of the compliance period:</w:t>
      </w:r>
    </w:p>
    <w:p w:rsidR="001570F6" w:rsidRPr="005F712F" w:rsidRDefault="001570F6" w:rsidP="00B96C73">
      <w:pPr>
        <w:pStyle w:val="ListParagraph"/>
        <w:numPr>
          <w:ilvl w:val="0"/>
          <w:numId w:val="29"/>
        </w:numPr>
        <w:autoSpaceDE w:val="0"/>
        <w:autoSpaceDN w:val="0"/>
        <w:adjustRightInd w:val="0"/>
        <w:spacing w:line="240" w:lineRule="auto"/>
        <w:rPr>
          <w:rFonts w:asciiTheme="minorHAnsi" w:hAnsiTheme="minorHAnsi" w:cs="Calibri"/>
          <w:lang w:eastAsia="en-AU"/>
        </w:rPr>
      </w:pPr>
      <w:r w:rsidRPr="005F712F">
        <w:rPr>
          <w:rFonts w:asciiTheme="minorHAnsi" w:hAnsiTheme="minorHAnsi" w:cs="Calibri"/>
          <w:lang w:eastAsia="en-AU"/>
        </w:rPr>
        <w:t>the supplier’s total electricity sales in the ACT;</w:t>
      </w:r>
    </w:p>
    <w:p w:rsidR="001570F6" w:rsidRPr="005F712F" w:rsidRDefault="001570F6" w:rsidP="00B96C73">
      <w:pPr>
        <w:pStyle w:val="ListParagraph"/>
        <w:numPr>
          <w:ilvl w:val="0"/>
          <w:numId w:val="29"/>
        </w:numPr>
        <w:autoSpaceDE w:val="0"/>
        <w:autoSpaceDN w:val="0"/>
        <w:adjustRightInd w:val="0"/>
        <w:spacing w:line="240" w:lineRule="auto"/>
        <w:rPr>
          <w:rFonts w:asciiTheme="minorHAnsi" w:hAnsiTheme="minorHAnsi" w:cs="Calibri"/>
          <w:lang w:eastAsia="en-AU"/>
        </w:rPr>
      </w:pPr>
      <w:r w:rsidRPr="005F712F">
        <w:rPr>
          <w:rFonts w:asciiTheme="minorHAnsi" w:hAnsiTheme="minorHAnsi" w:cs="Calibri"/>
          <w:lang w:eastAsia="en-AU"/>
        </w:rPr>
        <w:t>the eligible activities undertaken by the supplier in the ACT that comply with a relevant approved code of practice;</w:t>
      </w:r>
    </w:p>
    <w:p w:rsidR="001570F6" w:rsidRPr="005F712F" w:rsidRDefault="001570F6" w:rsidP="00B96C73">
      <w:pPr>
        <w:pStyle w:val="ListParagraph"/>
        <w:numPr>
          <w:ilvl w:val="0"/>
          <w:numId w:val="29"/>
        </w:numPr>
        <w:autoSpaceDE w:val="0"/>
        <w:autoSpaceDN w:val="0"/>
        <w:adjustRightInd w:val="0"/>
        <w:spacing w:line="240" w:lineRule="auto"/>
        <w:rPr>
          <w:rFonts w:asciiTheme="minorHAnsi" w:hAnsiTheme="minorHAnsi" w:cs="Calibri"/>
          <w:lang w:eastAsia="en-AU"/>
        </w:rPr>
      </w:pPr>
      <w:r w:rsidRPr="005F712F">
        <w:rPr>
          <w:rFonts w:asciiTheme="minorHAnsi" w:hAnsiTheme="minorHAnsi" w:cs="Calibri"/>
          <w:lang w:eastAsia="en-AU"/>
        </w:rPr>
        <w:t>the approved abatement factors acquired by the supplier, that comply with a relevant approved code of practice;</w:t>
      </w:r>
    </w:p>
    <w:p w:rsidR="001570F6" w:rsidRPr="005F712F" w:rsidRDefault="001570F6" w:rsidP="00B96C73">
      <w:pPr>
        <w:pStyle w:val="ListParagraph"/>
        <w:numPr>
          <w:ilvl w:val="0"/>
          <w:numId w:val="29"/>
        </w:numPr>
        <w:autoSpaceDE w:val="0"/>
        <w:autoSpaceDN w:val="0"/>
        <w:adjustRightInd w:val="0"/>
        <w:spacing w:line="240" w:lineRule="auto"/>
        <w:rPr>
          <w:rFonts w:asciiTheme="minorHAnsi" w:hAnsiTheme="minorHAnsi" w:cs="Calibri"/>
          <w:lang w:eastAsia="en-AU"/>
        </w:rPr>
      </w:pPr>
      <w:r w:rsidRPr="005F712F">
        <w:rPr>
          <w:rFonts w:asciiTheme="minorHAnsi" w:hAnsiTheme="minorHAnsi" w:cs="Calibri"/>
          <w:lang w:eastAsia="en-AU"/>
        </w:rPr>
        <w:t>the total abatement factors for the eligible activities undertaken or acquired by the supplier that comply with a relevant approved code of practice;</w:t>
      </w:r>
    </w:p>
    <w:p w:rsidR="001570F6" w:rsidRPr="005F712F" w:rsidRDefault="001570F6" w:rsidP="00B96C73">
      <w:pPr>
        <w:pStyle w:val="ListParagraph"/>
        <w:numPr>
          <w:ilvl w:val="0"/>
          <w:numId w:val="29"/>
        </w:numPr>
        <w:autoSpaceDE w:val="0"/>
        <w:autoSpaceDN w:val="0"/>
        <w:adjustRightInd w:val="0"/>
        <w:spacing w:line="240" w:lineRule="auto"/>
        <w:rPr>
          <w:rFonts w:asciiTheme="minorHAnsi" w:hAnsiTheme="minorHAnsi" w:cs="Calibri"/>
          <w:lang w:eastAsia="en-AU"/>
        </w:rPr>
      </w:pPr>
      <w:r w:rsidRPr="005F712F">
        <w:rPr>
          <w:rFonts w:asciiTheme="minorHAnsi" w:hAnsiTheme="minorHAnsi" w:cs="Calibri"/>
          <w:lang w:eastAsia="en-AU"/>
        </w:rPr>
        <w:t>for a tier 1 electricity supplier—the total abatement factors for eligible activities undertaken in, or acquired in relation to, priority households by the supplier that comply with any relevant approved code of practice;</w:t>
      </w:r>
    </w:p>
    <w:p w:rsidR="001570F6" w:rsidRPr="005F712F" w:rsidRDefault="001570F6" w:rsidP="00B96C73">
      <w:pPr>
        <w:pStyle w:val="ListParagraph"/>
        <w:numPr>
          <w:ilvl w:val="0"/>
          <w:numId w:val="29"/>
        </w:numPr>
        <w:autoSpaceDE w:val="0"/>
        <w:autoSpaceDN w:val="0"/>
        <w:adjustRightInd w:val="0"/>
        <w:spacing w:line="240" w:lineRule="auto"/>
        <w:rPr>
          <w:rFonts w:asciiTheme="minorHAnsi" w:hAnsiTheme="minorHAnsi" w:cs="Calibri"/>
          <w:lang w:eastAsia="en-AU"/>
        </w:rPr>
      </w:pPr>
      <w:r w:rsidRPr="005F712F">
        <w:rPr>
          <w:rFonts w:asciiTheme="minorHAnsi" w:hAnsiTheme="minorHAnsi" w:cs="Calibri"/>
          <w:lang w:eastAsia="en-AU"/>
        </w:rPr>
        <w:t>for a tier 2 electricity supplier—the extent to which the supplier’s energy savings obligation was achieved by paying an energy savings contribution;</w:t>
      </w:r>
      <w:r w:rsidR="005F712F">
        <w:rPr>
          <w:rFonts w:asciiTheme="minorHAnsi" w:hAnsiTheme="minorHAnsi" w:cs="Calibri"/>
          <w:lang w:eastAsia="en-AU"/>
        </w:rPr>
        <w:t xml:space="preserve"> and</w:t>
      </w:r>
    </w:p>
    <w:p w:rsidR="001570F6" w:rsidRPr="000D6A45" w:rsidRDefault="001570F6" w:rsidP="00B96C73">
      <w:pPr>
        <w:pStyle w:val="ListParagraph"/>
        <w:numPr>
          <w:ilvl w:val="0"/>
          <w:numId w:val="29"/>
        </w:numPr>
        <w:rPr>
          <w:rFonts w:asciiTheme="minorHAnsi" w:hAnsiTheme="minorHAnsi" w:cs="Calibri"/>
        </w:rPr>
      </w:pPr>
      <w:r w:rsidRPr="005F712F">
        <w:rPr>
          <w:rFonts w:asciiTheme="minorHAnsi" w:hAnsiTheme="minorHAnsi" w:cs="Calibri"/>
          <w:lang w:eastAsia="en-AU"/>
        </w:rPr>
        <w:t xml:space="preserve">any other information required by the </w:t>
      </w:r>
      <w:r w:rsidR="008C0D5D">
        <w:rPr>
          <w:rFonts w:asciiTheme="minorHAnsi" w:hAnsiTheme="minorHAnsi" w:cs="Calibri"/>
          <w:lang w:eastAsia="en-AU"/>
        </w:rPr>
        <w:t>Administrator</w:t>
      </w:r>
      <w:r w:rsidRPr="005F712F">
        <w:rPr>
          <w:rFonts w:asciiTheme="minorHAnsi" w:hAnsiTheme="minorHAnsi" w:cs="Calibri"/>
          <w:lang w:eastAsia="en-AU"/>
        </w:rPr>
        <w:t>.</w:t>
      </w:r>
    </w:p>
    <w:p w:rsidR="000D6A45" w:rsidRDefault="005F712F" w:rsidP="000D6A45">
      <w:r w:rsidRPr="002B3C6E">
        <w:rPr>
          <w:lang w:eastAsia="en-AU"/>
        </w:rPr>
        <w:t>In addition to this, t</w:t>
      </w:r>
      <w:r w:rsidR="001570F6" w:rsidRPr="002B3C6E">
        <w:rPr>
          <w:lang w:eastAsia="en-AU"/>
        </w:rPr>
        <w:t xml:space="preserve">he </w:t>
      </w:r>
      <w:r w:rsidR="008C0D5D">
        <w:rPr>
          <w:lang w:eastAsia="en-AU"/>
        </w:rPr>
        <w:t>Administrator</w:t>
      </w:r>
      <w:r w:rsidRPr="002B3C6E">
        <w:rPr>
          <w:lang w:eastAsia="en-AU"/>
        </w:rPr>
        <w:t xml:space="preserve"> may also require </w:t>
      </w:r>
      <w:r w:rsidR="001570F6" w:rsidRPr="002B3C6E">
        <w:rPr>
          <w:lang w:eastAsia="en-AU"/>
        </w:rPr>
        <w:t>an independent audit of some or all of the information</w:t>
      </w:r>
      <w:r w:rsidRPr="002B3C6E">
        <w:rPr>
          <w:lang w:eastAsia="en-AU"/>
        </w:rPr>
        <w:t xml:space="preserve"> provided. </w:t>
      </w:r>
      <w:r w:rsidR="00E154AE" w:rsidRPr="002B3C6E">
        <w:t xml:space="preserve">The </w:t>
      </w:r>
      <w:r w:rsidR="008C0D5D">
        <w:t>Administrator</w:t>
      </w:r>
      <w:r w:rsidR="00E154AE" w:rsidRPr="002B3C6E">
        <w:t xml:space="preserve"> will also have </w:t>
      </w:r>
      <w:r w:rsidRPr="002B3C6E">
        <w:t xml:space="preserve">the authority to appoint a public servant as an </w:t>
      </w:r>
      <w:r w:rsidR="00E154AE" w:rsidRPr="002B3C6E">
        <w:t>authorised officer</w:t>
      </w:r>
      <w:r w:rsidRPr="002B3C6E">
        <w:t xml:space="preserve"> with defined</w:t>
      </w:r>
      <w:r w:rsidR="00E154AE" w:rsidRPr="002B3C6E">
        <w:t xml:space="preserve"> powers to ensure a </w:t>
      </w:r>
      <w:r w:rsidR="005E3650" w:rsidRPr="002B3C6E">
        <w:t>supplier</w:t>
      </w:r>
      <w:r w:rsidR="00E154AE" w:rsidRPr="002B3C6E">
        <w:t>’s compliance with the Scheme.</w:t>
      </w:r>
    </w:p>
    <w:p w:rsidR="000D6A45" w:rsidRDefault="00EB0228" w:rsidP="000D6A45">
      <w:pPr>
        <w:rPr>
          <w:lang w:eastAsia="en-AU"/>
        </w:rPr>
      </w:pPr>
      <w:r w:rsidRPr="000D6A45">
        <w:rPr>
          <w:lang w:eastAsia="en-AU"/>
        </w:rPr>
        <w:t xml:space="preserve">Upon receiving this information the </w:t>
      </w:r>
      <w:r w:rsidR="008C0D5D">
        <w:rPr>
          <w:lang w:eastAsia="en-AU"/>
        </w:rPr>
        <w:t>Administrator</w:t>
      </w:r>
      <w:r w:rsidRPr="000D6A45">
        <w:rPr>
          <w:lang w:eastAsia="en-AU"/>
        </w:rPr>
        <w:t xml:space="preserve"> </w:t>
      </w:r>
      <w:r w:rsidR="005E3650" w:rsidRPr="000D6A45">
        <w:rPr>
          <w:lang w:eastAsia="en-AU"/>
        </w:rPr>
        <w:t xml:space="preserve">will </w:t>
      </w:r>
      <w:r w:rsidR="002B3C6E" w:rsidRPr="000D6A45">
        <w:rPr>
          <w:lang w:eastAsia="en-AU"/>
        </w:rPr>
        <w:t xml:space="preserve">determine a </w:t>
      </w:r>
      <w:r w:rsidR="005E3650" w:rsidRPr="000D6A45">
        <w:rPr>
          <w:lang w:eastAsia="en-AU"/>
        </w:rPr>
        <w:t>supplier’s compliance with the</w:t>
      </w:r>
      <w:r w:rsidR="002B3C6E" w:rsidRPr="000D6A45">
        <w:rPr>
          <w:lang w:eastAsia="en-AU"/>
        </w:rPr>
        <w:t xml:space="preserve"> </w:t>
      </w:r>
      <w:r w:rsidR="005E3650" w:rsidRPr="000D6A45">
        <w:rPr>
          <w:lang w:eastAsia="en-AU"/>
        </w:rPr>
        <w:t>supplier’s energy savings obligation</w:t>
      </w:r>
      <w:r w:rsidR="002B3C6E" w:rsidRPr="000D6A45">
        <w:rPr>
          <w:lang w:eastAsia="en-AU"/>
        </w:rPr>
        <w:t xml:space="preserve"> and give the supplier notice of the outcome – including any shortfall or surplus.</w:t>
      </w:r>
    </w:p>
    <w:p w:rsidR="000D6A45" w:rsidRPr="000D6A45" w:rsidRDefault="000D6A45" w:rsidP="000D6A45">
      <w:r w:rsidRPr="000D6A45">
        <w:rPr>
          <w:lang w:eastAsia="en-AU"/>
        </w:rPr>
        <w:t xml:space="preserve">The </w:t>
      </w:r>
      <w:r w:rsidR="008C0D5D">
        <w:rPr>
          <w:lang w:eastAsia="en-AU"/>
        </w:rPr>
        <w:t>Administrator</w:t>
      </w:r>
      <w:r w:rsidRPr="000D6A45">
        <w:rPr>
          <w:lang w:eastAsia="en-AU"/>
        </w:rPr>
        <w:t xml:space="preserve"> will also be responsible for approving the acquisition of an abatement factor by a supplier from another supplier, with this taken into account when the </w:t>
      </w:r>
      <w:r w:rsidR="008C0D5D">
        <w:rPr>
          <w:lang w:eastAsia="en-AU"/>
        </w:rPr>
        <w:t>Administrator</w:t>
      </w:r>
      <w:r w:rsidRPr="000D6A45">
        <w:rPr>
          <w:lang w:eastAsia="en-AU"/>
        </w:rPr>
        <w:t xml:space="preserve"> determines the supplier’s compliance with the Scheme.</w:t>
      </w:r>
    </w:p>
    <w:p w:rsidR="000D6A45" w:rsidRDefault="005F712F" w:rsidP="004F7A03">
      <w:pPr>
        <w:pStyle w:val="Heading3"/>
        <w:rPr>
          <w:lang w:eastAsia="en-AU"/>
        </w:rPr>
      </w:pPr>
      <w:r w:rsidRPr="005F712F">
        <w:rPr>
          <w:lang w:eastAsia="en-AU"/>
        </w:rPr>
        <w:t>A</w:t>
      </w:r>
      <w:r w:rsidR="00A45088" w:rsidRPr="005F712F">
        <w:rPr>
          <w:lang w:eastAsia="en-AU"/>
        </w:rPr>
        <w:t>p</w:t>
      </w:r>
      <w:r w:rsidRPr="005F712F">
        <w:rPr>
          <w:lang w:eastAsia="en-AU"/>
        </w:rPr>
        <w:t>proving codes of practice</w:t>
      </w:r>
    </w:p>
    <w:p w:rsidR="001570F6" w:rsidRPr="000D6A45" w:rsidRDefault="001570F6" w:rsidP="000D6A45">
      <w:pPr>
        <w:autoSpaceDE w:val="0"/>
        <w:autoSpaceDN w:val="0"/>
        <w:adjustRightInd w:val="0"/>
        <w:spacing w:line="240" w:lineRule="auto"/>
        <w:rPr>
          <w:rFonts w:asciiTheme="minorHAnsi" w:hAnsiTheme="minorHAnsi" w:cs="Calibri"/>
          <w:i/>
          <w:lang w:eastAsia="en-AU"/>
        </w:rPr>
      </w:pPr>
      <w:r w:rsidRPr="005F712F">
        <w:rPr>
          <w:rFonts w:asciiTheme="minorHAnsi" w:hAnsiTheme="minorHAnsi" w:cs="Calibri"/>
          <w:lang w:eastAsia="en-AU"/>
        </w:rPr>
        <w:t xml:space="preserve">Under the Act the </w:t>
      </w:r>
      <w:r w:rsidR="008C0D5D">
        <w:rPr>
          <w:rFonts w:asciiTheme="minorHAnsi" w:hAnsiTheme="minorHAnsi" w:cs="Calibri"/>
          <w:lang w:eastAsia="en-AU"/>
        </w:rPr>
        <w:t>Administrator</w:t>
      </w:r>
      <w:r w:rsidRPr="005F712F">
        <w:rPr>
          <w:rFonts w:asciiTheme="minorHAnsi" w:hAnsiTheme="minorHAnsi" w:cs="Calibri"/>
          <w:lang w:eastAsia="en-AU"/>
        </w:rPr>
        <w:t xml:space="preserve"> may approve a code of practice as a </w:t>
      </w:r>
      <w:r w:rsidR="00DF0100">
        <w:rPr>
          <w:rFonts w:asciiTheme="minorHAnsi" w:hAnsiTheme="minorHAnsi" w:cs="Calibri"/>
          <w:lang w:eastAsia="en-AU"/>
        </w:rPr>
        <w:t>Notifiable Instrument</w:t>
      </w:r>
      <w:r w:rsidRPr="005F712F">
        <w:rPr>
          <w:rFonts w:asciiTheme="minorHAnsi" w:hAnsiTheme="minorHAnsi" w:cs="Calibri"/>
          <w:lang w:eastAsia="en-AU"/>
        </w:rPr>
        <w:t xml:space="preserve"> outlining:</w:t>
      </w:r>
    </w:p>
    <w:p w:rsidR="001570F6" w:rsidRPr="005F712F" w:rsidRDefault="001570F6" w:rsidP="00B96C73">
      <w:pPr>
        <w:pStyle w:val="ListParagraph"/>
        <w:numPr>
          <w:ilvl w:val="0"/>
          <w:numId w:val="32"/>
        </w:numPr>
        <w:rPr>
          <w:rFonts w:asciiTheme="minorHAnsi" w:hAnsiTheme="minorHAnsi" w:cs="Calibri"/>
          <w:lang w:eastAsia="en-AU"/>
        </w:rPr>
      </w:pPr>
      <w:r w:rsidRPr="005F712F">
        <w:rPr>
          <w:rFonts w:asciiTheme="minorHAnsi" w:hAnsiTheme="minorHAnsi" w:cs="Calibri"/>
          <w:lang w:eastAsia="en-AU"/>
        </w:rPr>
        <w:t>consumer protection obligations;</w:t>
      </w:r>
    </w:p>
    <w:p w:rsidR="001570F6" w:rsidRPr="005F712F" w:rsidRDefault="001570F6" w:rsidP="00B96C73">
      <w:pPr>
        <w:pStyle w:val="ListParagraph"/>
        <w:numPr>
          <w:ilvl w:val="0"/>
          <w:numId w:val="32"/>
        </w:numPr>
        <w:rPr>
          <w:rFonts w:asciiTheme="minorHAnsi" w:hAnsiTheme="minorHAnsi" w:cs="Calibri"/>
          <w:lang w:eastAsia="en-AU"/>
        </w:rPr>
      </w:pPr>
      <w:r w:rsidRPr="005F712F">
        <w:rPr>
          <w:rFonts w:asciiTheme="minorHAnsi" w:hAnsiTheme="minorHAnsi" w:cs="Calibri"/>
          <w:lang w:eastAsia="en-AU"/>
        </w:rPr>
        <w:t>quality, health, safety and environmental requirements applying to eligible activities;</w:t>
      </w:r>
    </w:p>
    <w:p w:rsidR="001570F6" w:rsidRPr="005F712F" w:rsidRDefault="001570F6" w:rsidP="00B96C73">
      <w:pPr>
        <w:pStyle w:val="ListParagraph"/>
        <w:numPr>
          <w:ilvl w:val="0"/>
          <w:numId w:val="32"/>
        </w:numPr>
        <w:rPr>
          <w:rFonts w:asciiTheme="minorHAnsi" w:hAnsiTheme="minorHAnsi" w:cs="Calibri"/>
          <w:lang w:eastAsia="en-AU"/>
        </w:rPr>
      </w:pPr>
      <w:r w:rsidRPr="005F712F">
        <w:rPr>
          <w:rFonts w:asciiTheme="minorHAnsi" w:hAnsiTheme="minorHAnsi" w:cs="Calibri"/>
          <w:lang w:eastAsia="en-AU"/>
        </w:rPr>
        <w:t>record keeping requirements; and</w:t>
      </w:r>
    </w:p>
    <w:p w:rsidR="001570F6" w:rsidRPr="000D6A45" w:rsidRDefault="001570F6" w:rsidP="00B96C73">
      <w:pPr>
        <w:pStyle w:val="ListParagraph"/>
        <w:numPr>
          <w:ilvl w:val="0"/>
          <w:numId w:val="32"/>
        </w:numPr>
        <w:rPr>
          <w:rFonts w:asciiTheme="minorHAnsi" w:hAnsiTheme="minorHAnsi" w:cs="Calibri"/>
          <w:lang w:eastAsia="en-AU"/>
        </w:rPr>
      </w:pPr>
      <w:r w:rsidRPr="005F712F">
        <w:rPr>
          <w:rFonts w:asciiTheme="minorHAnsi" w:hAnsiTheme="minorHAnsi" w:cs="Calibri"/>
          <w:lang w:eastAsia="en-AU"/>
        </w:rPr>
        <w:t>reporting requirements</w:t>
      </w:r>
      <w:r w:rsidR="005A1326">
        <w:rPr>
          <w:rFonts w:asciiTheme="minorHAnsi" w:hAnsiTheme="minorHAnsi" w:cs="Calibri"/>
          <w:lang w:eastAsia="en-AU"/>
        </w:rPr>
        <w:t>.</w:t>
      </w:r>
    </w:p>
    <w:p w:rsidR="00A45088" w:rsidRPr="00EB0228" w:rsidRDefault="00EB0228" w:rsidP="004F7A03">
      <w:pPr>
        <w:pStyle w:val="Heading3"/>
        <w:rPr>
          <w:lang w:eastAsia="en-AU"/>
        </w:rPr>
      </w:pPr>
      <w:r w:rsidRPr="00EB0228">
        <w:rPr>
          <w:lang w:eastAsia="en-AU"/>
        </w:rPr>
        <w:t>Preparing annual reports</w:t>
      </w:r>
    </w:p>
    <w:p w:rsidR="00E154AE" w:rsidRPr="005F712F" w:rsidRDefault="00E154AE" w:rsidP="000D6A45">
      <w:pPr>
        <w:rPr>
          <w:rFonts w:asciiTheme="minorHAnsi" w:hAnsiTheme="minorHAnsi" w:cs="Calibri"/>
          <w:lang w:eastAsia="en-AU"/>
        </w:rPr>
      </w:pPr>
      <w:r w:rsidRPr="005F712F">
        <w:rPr>
          <w:rFonts w:asciiTheme="minorHAnsi" w:hAnsiTheme="minorHAnsi" w:cs="Calibri"/>
          <w:lang w:eastAsia="en-AU"/>
        </w:rPr>
        <w:t xml:space="preserve">The </w:t>
      </w:r>
      <w:r w:rsidR="008C0D5D">
        <w:rPr>
          <w:rFonts w:asciiTheme="minorHAnsi" w:hAnsiTheme="minorHAnsi" w:cs="Calibri"/>
          <w:lang w:eastAsia="en-AU"/>
        </w:rPr>
        <w:t>Administrator</w:t>
      </w:r>
      <w:r w:rsidRPr="005F712F">
        <w:rPr>
          <w:rFonts w:asciiTheme="minorHAnsi" w:hAnsiTheme="minorHAnsi" w:cs="Calibri"/>
          <w:lang w:eastAsia="en-AU"/>
        </w:rPr>
        <w:t xml:space="preserve"> must provide an annual report to the Minister on the operation and administration of this Act including—</w:t>
      </w:r>
    </w:p>
    <w:p w:rsidR="00E154AE" w:rsidRPr="000D6A45" w:rsidRDefault="00E154AE" w:rsidP="00B96C73">
      <w:pPr>
        <w:pStyle w:val="ListParagraph"/>
        <w:numPr>
          <w:ilvl w:val="0"/>
          <w:numId w:val="35"/>
        </w:numPr>
        <w:rPr>
          <w:rFonts w:asciiTheme="minorHAnsi" w:hAnsiTheme="minorHAnsi" w:cs="Calibri"/>
          <w:lang w:eastAsia="en-AU"/>
        </w:rPr>
      </w:pPr>
      <w:r w:rsidRPr="000D6A45">
        <w:rPr>
          <w:rFonts w:asciiTheme="minorHAnsi" w:hAnsiTheme="minorHAnsi" w:cs="Calibri"/>
          <w:lang w:eastAsia="en-AU"/>
        </w:rPr>
        <w:t>electricity supplier compliance with the Act; and</w:t>
      </w:r>
    </w:p>
    <w:p w:rsidR="00E154AE" w:rsidRPr="000D6A45" w:rsidRDefault="00E154AE" w:rsidP="00B96C73">
      <w:pPr>
        <w:pStyle w:val="ListParagraph"/>
        <w:numPr>
          <w:ilvl w:val="0"/>
          <w:numId w:val="35"/>
        </w:numPr>
        <w:rPr>
          <w:rFonts w:asciiTheme="minorHAnsi" w:hAnsiTheme="minorHAnsi" w:cs="Calibri"/>
          <w:lang w:eastAsia="en-AU"/>
        </w:rPr>
      </w:pPr>
      <w:r w:rsidRPr="000D6A45">
        <w:rPr>
          <w:rFonts w:asciiTheme="minorHAnsi" w:hAnsiTheme="minorHAnsi" w:cs="Calibri"/>
          <w:lang w:eastAsia="en-AU"/>
        </w:rPr>
        <w:t>the number and type of eligible activities undertaken under the Act.</w:t>
      </w:r>
    </w:p>
    <w:p w:rsidR="00A45088" w:rsidRDefault="00E154AE" w:rsidP="000D6A45">
      <w:r w:rsidRPr="005F712F">
        <w:t>An annual Scheme report provided to the Minister will meet all relevant reporting and quality assurance requirements.</w:t>
      </w:r>
    </w:p>
    <w:p w:rsidR="00F25D2F" w:rsidRPr="00F25D2F" w:rsidRDefault="00F25D2F" w:rsidP="004F7A03">
      <w:pPr>
        <w:pStyle w:val="Heading3"/>
        <w:rPr>
          <w:lang w:eastAsia="en-AU"/>
        </w:rPr>
      </w:pPr>
      <w:r w:rsidRPr="00F25D2F">
        <w:rPr>
          <w:lang w:eastAsia="en-AU"/>
        </w:rPr>
        <w:t>Estimated administration costs</w:t>
      </w:r>
    </w:p>
    <w:p w:rsidR="00F25D2F" w:rsidRPr="00CC2317" w:rsidRDefault="00BD15F2" w:rsidP="009E028B">
      <w:r w:rsidRPr="00BD15F2">
        <w:t>The energy efficiency scheme will require a team to be established to undertake the administration role. It is proposed this team will be made up of three ACT Government officers and one executive (who will be appointed by the Minister as the Administrator). The administration role is not expected to require full-time attention, rather with the expected peaks and troughs of the program, 0.5 of each FTE is deemed appropriate.</w:t>
      </w:r>
    </w:p>
    <w:p w:rsidR="00F25D2F" w:rsidRPr="00CC2317" w:rsidRDefault="00BD15F2" w:rsidP="0001670E">
      <w:r w:rsidRPr="00BD15F2">
        <w:t>Funding is proposed for 0.5 of four FTEs for three and a half years. This will be reviewed and possibly extended depending on the status of the Scheme after the review. Total administration costs are estimated at $295,500 per annum for salaries plus an operating budget of $200,000 for specialist legal and technical consulting services.</w:t>
      </w:r>
    </w:p>
    <w:p w:rsidR="000D6A45" w:rsidRPr="00CC2317" w:rsidRDefault="0032225C" w:rsidP="004F7A03">
      <w:pPr>
        <w:pStyle w:val="Heading3"/>
      </w:pPr>
      <w:r w:rsidRPr="00CC2317">
        <w:t>Fund</w:t>
      </w:r>
      <w:r w:rsidR="00FD65B2" w:rsidRPr="00CC2317">
        <w:t>s raised by the Scheme</w:t>
      </w:r>
    </w:p>
    <w:p w:rsidR="00362165" w:rsidRPr="00CC2317" w:rsidRDefault="00362165" w:rsidP="00362165">
      <w:pPr>
        <w:rPr>
          <w:rFonts w:asciiTheme="minorHAnsi" w:hAnsiTheme="minorHAnsi" w:cs="Calibri"/>
          <w:lang w:eastAsia="en-AU"/>
        </w:rPr>
      </w:pPr>
      <w:r w:rsidRPr="00CC2317">
        <w:rPr>
          <w:rFonts w:asciiTheme="minorHAnsi" w:hAnsiTheme="minorHAnsi" w:cs="Calibri"/>
          <w:lang w:eastAsia="en-AU"/>
        </w:rPr>
        <w:t xml:space="preserve">A further important role of the </w:t>
      </w:r>
      <w:r w:rsidR="008C0D5D" w:rsidRPr="00CC2317">
        <w:rPr>
          <w:rFonts w:asciiTheme="minorHAnsi" w:hAnsiTheme="minorHAnsi" w:cs="Calibri"/>
          <w:lang w:eastAsia="en-AU"/>
        </w:rPr>
        <w:t>Administrator</w:t>
      </w:r>
      <w:r w:rsidRPr="00CC2317">
        <w:rPr>
          <w:rFonts w:asciiTheme="minorHAnsi" w:hAnsiTheme="minorHAnsi" w:cs="Calibri"/>
          <w:lang w:eastAsia="en-AU"/>
        </w:rPr>
        <w:t xml:space="preserve"> will be to administer </w:t>
      </w:r>
      <w:r w:rsidR="00FD65B2" w:rsidRPr="00CC2317">
        <w:rPr>
          <w:rFonts w:asciiTheme="minorHAnsi" w:hAnsiTheme="minorHAnsi" w:cs="Calibri"/>
          <w:lang w:eastAsia="en-AU"/>
        </w:rPr>
        <w:t>funds generated by the Scheme to be used to support initiatives and activities consistent with the Objects of the Act.</w:t>
      </w:r>
    </w:p>
    <w:p w:rsidR="00362165" w:rsidRPr="00FA50AF" w:rsidRDefault="00362165" w:rsidP="00362165">
      <w:pPr>
        <w:rPr>
          <w:rFonts w:asciiTheme="minorHAnsi" w:hAnsiTheme="minorHAnsi" w:cs="Calibri"/>
          <w:b/>
          <w:bCs/>
          <w:i/>
          <w:iCs/>
          <w:lang w:eastAsia="en-AU"/>
        </w:rPr>
      </w:pPr>
      <w:r w:rsidRPr="00FA50AF">
        <w:rPr>
          <w:rFonts w:asciiTheme="minorHAnsi" w:hAnsiTheme="minorHAnsi" w:cs="Calibri"/>
          <w:lang w:eastAsia="en-AU"/>
        </w:rPr>
        <w:t xml:space="preserve">The following must be paid </w:t>
      </w:r>
      <w:r w:rsidR="00FD65B2" w:rsidRPr="00FA50AF">
        <w:rPr>
          <w:rFonts w:asciiTheme="minorHAnsi" w:hAnsiTheme="minorHAnsi" w:cs="Calibri"/>
          <w:lang w:eastAsia="en-AU"/>
        </w:rPr>
        <w:t>to the Government</w:t>
      </w:r>
      <w:r w:rsidRPr="00FA50AF">
        <w:rPr>
          <w:rFonts w:asciiTheme="minorHAnsi" w:hAnsiTheme="minorHAnsi" w:cs="Calibri"/>
          <w:lang w:eastAsia="en-AU"/>
        </w:rPr>
        <w:t>:</w:t>
      </w:r>
    </w:p>
    <w:p w:rsidR="00362165" w:rsidRPr="00FA50AF" w:rsidRDefault="00362165" w:rsidP="00B96C73">
      <w:pPr>
        <w:pStyle w:val="ListParagraph"/>
        <w:numPr>
          <w:ilvl w:val="0"/>
          <w:numId w:val="36"/>
        </w:numPr>
        <w:rPr>
          <w:rFonts w:asciiTheme="minorHAnsi" w:hAnsiTheme="minorHAnsi" w:cs="Calibri"/>
          <w:lang w:eastAsia="en-AU"/>
        </w:rPr>
      </w:pPr>
      <w:r w:rsidRPr="00FA50AF">
        <w:rPr>
          <w:rFonts w:asciiTheme="minorHAnsi" w:hAnsiTheme="minorHAnsi" w:cs="Calibri"/>
          <w:lang w:eastAsia="en-AU"/>
        </w:rPr>
        <w:t xml:space="preserve">any penalty, </w:t>
      </w:r>
      <w:r w:rsidR="0051040D" w:rsidRPr="00FA50AF">
        <w:rPr>
          <w:rFonts w:asciiTheme="minorHAnsi" w:hAnsiTheme="minorHAnsi" w:cs="Calibri"/>
          <w:lang w:eastAsia="en-AU"/>
        </w:rPr>
        <w:t>E</w:t>
      </w:r>
      <w:r w:rsidRPr="00FA50AF">
        <w:rPr>
          <w:rFonts w:asciiTheme="minorHAnsi" w:hAnsiTheme="minorHAnsi" w:cs="Calibri"/>
          <w:lang w:eastAsia="en-AU"/>
        </w:rPr>
        <w:t xml:space="preserve">nergy </w:t>
      </w:r>
      <w:r w:rsidR="0051040D" w:rsidRPr="00FA50AF">
        <w:rPr>
          <w:rFonts w:asciiTheme="minorHAnsi" w:hAnsiTheme="minorHAnsi" w:cs="Calibri"/>
          <w:lang w:eastAsia="en-AU"/>
        </w:rPr>
        <w:t>S</w:t>
      </w:r>
      <w:r w:rsidRPr="00FA50AF">
        <w:rPr>
          <w:rFonts w:asciiTheme="minorHAnsi" w:hAnsiTheme="minorHAnsi" w:cs="Calibri"/>
          <w:lang w:eastAsia="en-AU"/>
        </w:rPr>
        <w:t xml:space="preserve">avings </w:t>
      </w:r>
      <w:r w:rsidR="0051040D" w:rsidRPr="00FA50AF">
        <w:rPr>
          <w:rFonts w:asciiTheme="minorHAnsi" w:hAnsiTheme="minorHAnsi" w:cs="Calibri"/>
          <w:lang w:eastAsia="en-AU"/>
        </w:rPr>
        <w:t>C</w:t>
      </w:r>
      <w:r w:rsidRPr="00FA50AF">
        <w:rPr>
          <w:rFonts w:asciiTheme="minorHAnsi" w:hAnsiTheme="minorHAnsi" w:cs="Calibri"/>
          <w:lang w:eastAsia="en-AU"/>
        </w:rPr>
        <w:t>ontribution</w:t>
      </w:r>
      <w:r w:rsidR="0051040D" w:rsidRPr="00FA50AF">
        <w:rPr>
          <w:rFonts w:asciiTheme="minorHAnsi" w:hAnsiTheme="minorHAnsi" w:cs="Calibri"/>
          <w:lang w:eastAsia="en-AU"/>
        </w:rPr>
        <w:t xml:space="preserve"> (ESC)</w:t>
      </w:r>
      <w:r w:rsidRPr="00FA50AF">
        <w:rPr>
          <w:rFonts w:asciiTheme="minorHAnsi" w:hAnsiTheme="minorHAnsi" w:cs="Calibri"/>
          <w:lang w:eastAsia="en-AU"/>
        </w:rPr>
        <w:t xml:space="preserve"> or shortfall penalty imposed under the Scheme;</w:t>
      </w:r>
      <w:r w:rsidR="00F83866" w:rsidRPr="00FA50AF">
        <w:rPr>
          <w:rFonts w:asciiTheme="minorHAnsi" w:hAnsiTheme="minorHAnsi" w:cs="Calibri"/>
          <w:lang w:eastAsia="en-AU"/>
        </w:rPr>
        <w:t xml:space="preserve"> and</w:t>
      </w:r>
    </w:p>
    <w:p w:rsidR="0051040D" w:rsidRPr="00CC2317" w:rsidRDefault="0051040D" w:rsidP="00362165">
      <w:pPr>
        <w:rPr>
          <w:rFonts w:asciiTheme="minorHAnsi" w:hAnsiTheme="minorHAnsi" w:cs="Calibri"/>
          <w:lang w:eastAsia="en-AU"/>
        </w:rPr>
      </w:pPr>
      <w:r w:rsidRPr="00FA50AF">
        <w:rPr>
          <w:rFonts w:asciiTheme="minorHAnsi" w:hAnsiTheme="minorHAnsi" w:cs="Calibri"/>
          <w:lang w:eastAsia="en-AU"/>
        </w:rPr>
        <w:t>For budgeting</w:t>
      </w:r>
      <w:r w:rsidR="00CE41AF">
        <w:rPr>
          <w:rFonts w:asciiTheme="minorHAnsi" w:hAnsiTheme="minorHAnsi" w:cs="Calibri"/>
          <w:lang w:eastAsia="en-AU"/>
        </w:rPr>
        <w:t xml:space="preserve"> and modelling </w:t>
      </w:r>
      <w:r w:rsidRPr="00FA50AF">
        <w:rPr>
          <w:rFonts w:asciiTheme="minorHAnsi" w:hAnsiTheme="minorHAnsi" w:cs="Calibri"/>
          <w:lang w:eastAsia="en-AU"/>
        </w:rPr>
        <w:t xml:space="preserve">purposes, </w:t>
      </w:r>
      <w:r w:rsidR="005A1326" w:rsidRPr="00FA50AF">
        <w:rPr>
          <w:rFonts w:asciiTheme="minorHAnsi" w:hAnsiTheme="minorHAnsi" w:cs="Calibri"/>
          <w:lang w:eastAsia="en-AU"/>
        </w:rPr>
        <w:t xml:space="preserve">the </w:t>
      </w:r>
      <w:r w:rsidR="00F83866" w:rsidRPr="00FA50AF">
        <w:rPr>
          <w:rFonts w:asciiTheme="minorHAnsi" w:hAnsiTheme="minorHAnsi" w:cs="Calibri"/>
          <w:lang w:eastAsia="en-AU"/>
        </w:rPr>
        <w:t xml:space="preserve">ESDD </w:t>
      </w:r>
      <w:r w:rsidRPr="00FA50AF">
        <w:rPr>
          <w:rFonts w:asciiTheme="minorHAnsi" w:hAnsiTheme="minorHAnsi" w:cs="Calibri"/>
          <w:lang w:eastAsia="en-AU"/>
        </w:rPr>
        <w:t xml:space="preserve">has </w:t>
      </w:r>
      <w:r w:rsidR="001F2F34" w:rsidRPr="00FA50AF">
        <w:rPr>
          <w:rFonts w:asciiTheme="minorHAnsi" w:hAnsiTheme="minorHAnsi" w:cs="Calibri"/>
          <w:lang w:eastAsia="en-AU"/>
        </w:rPr>
        <w:t xml:space="preserve">assumed </w:t>
      </w:r>
      <w:r w:rsidRPr="00FA50AF">
        <w:rPr>
          <w:rFonts w:asciiTheme="minorHAnsi" w:hAnsiTheme="minorHAnsi" w:cs="Calibri"/>
          <w:lang w:eastAsia="en-AU"/>
        </w:rPr>
        <w:t xml:space="preserve">that all Tier 2 suppliers will acquit their obligations using the ESC mechanism. It is also assumed that, given </w:t>
      </w:r>
      <w:r w:rsidR="00FD65B2" w:rsidRPr="00FA50AF">
        <w:rPr>
          <w:rFonts w:asciiTheme="minorHAnsi" w:hAnsiTheme="minorHAnsi" w:cs="Calibri"/>
          <w:lang w:eastAsia="en-AU"/>
        </w:rPr>
        <w:t>the shortfall</w:t>
      </w:r>
      <w:r w:rsidRPr="00FA50AF">
        <w:rPr>
          <w:rFonts w:asciiTheme="minorHAnsi" w:hAnsiTheme="minorHAnsi" w:cs="Calibri"/>
          <w:lang w:eastAsia="en-AU"/>
        </w:rPr>
        <w:t xml:space="preserve"> roll-over provisions, no shortfall penalty payment will be received. Administration costs</w:t>
      </w:r>
      <w:r w:rsidRPr="00CC2317">
        <w:rPr>
          <w:rFonts w:asciiTheme="minorHAnsi" w:hAnsiTheme="minorHAnsi" w:cs="Calibri"/>
          <w:lang w:eastAsia="en-AU"/>
        </w:rPr>
        <w:t xml:space="preserve"> have been estimated and these are subject to revision following the settling of all policy details and administration arrangements (including the Minister’s appointment of a Scheme </w:t>
      </w:r>
      <w:r w:rsidR="008C0D5D" w:rsidRPr="00CC2317">
        <w:rPr>
          <w:rFonts w:asciiTheme="minorHAnsi" w:hAnsiTheme="minorHAnsi" w:cs="Calibri"/>
          <w:lang w:eastAsia="en-AU"/>
        </w:rPr>
        <w:t>Administrator</w:t>
      </w:r>
      <w:r w:rsidRPr="00CC2317">
        <w:rPr>
          <w:rFonts w:asciiTheme="minorHAnsi" w:hAnsiTheme="minorHAnsi" w:cs="Calibri"/>
          <w:lang w:eastAsia="en-AU"/>
        </w:rPr>
        <w:t>).</w:t>
      </w:r>
    </w:p>
    <w:p w:rsidR="0053662E" w:rsidRPr="00CC2317" w:rsidRDefault="0051040D" w:rsidP="00FD65B2">
      <w:pPr>
        <w:rPr>
          <w:rFonts w:cs="Calibri"/>
        </w:rPr>
      </w:pPr>
      <w:r w:rsidRPr="00CC2317">
        <w:rPr>
          <w:rFonts w:asciiTheme="minorHAnsi" w:hAnsiTheme="minorHAnsi" w:cs="Calibri"/>
          <w:lang w:eastAsia="en-AU"/>
        </w:rPr>
        <w:t xml:space="preserve">Money not allocated to </w:t>
      </w:r>
      <w:r w:rsidR="005A1326" w:rsidRPr="00CC2317">
        <w:rPr>
          <w:rFonts w:asciiTheme="minorHAnsi" w:hAnsiTheme="minorHAnsi" w:cs="Calibri"/>
          <w:lang w:eastAsia="en-AU"/>
        </w:rPr>
        <w:t>S</w:t>
      </w:r>
      <w:r w:rsidRPr="00CC2317">
        <w:rPr>
          <w:rFonts w:asciiTheme="minorHAnsi" w:hAnsiTheme="minorHAnsi" w:cs="Calibri"/>
          <w:lang w:eastAsia="en-AU"/>
        </w:rPr>
        <w:t xml:space="preserve">cheme administration </w:t>
      </w:r>
      <w:r w:rsidR="00CE41AF">
        <w:rPr>
          <w:rFonts w:asciiTheme="minorHAnsi" w:hAnsiTheme="minorHAnsi" w:cs="Calibri"/>
          <w:lang w:eastAsia="en-AU"/>
        </w:rPr>
        <w:t>must</w:t>
      </w:r>
      <w:r w:rsidR="00CE41AF" w:rsidRPr="00CC2317">
        <w:rPr>
          <w:rFonts w:asciiTheme="minorHAnsi" w:hAnsiTheme="minorHAnsi" w:cs="Calibri"/>
          <w:lang w:eastAsia="en-AU"/>
        </w:rPr>
        <w:t xml:space="preserve"> </w:t>
      </w:r>
      <w:r w:rsidRPr="00CC2317">
        <w:rPr>
          <w:rFonts w:asciiTheme="minorHAnsi" w:hAnsiTheme="minorHAnsi" w:cs="Calibri"/>
          <w:lang w:eastAsia="en-AU"/>
        </w:rPr>
        <w:t xml:space="preserve">be </w:t>
      </w:r>
      <w:r w:rsidR="00CE41AF">
        <w:rPr>
          <w:rFonts w:asciiTheme="minorHAnsi" w:hAnsiTheme="minorHAnsi" w:cs="Calibri"/>
          <w:lang w:eastAsia="en-AU"/>
        </w:rPr>
        <w:t xml:space="preserve">made </w:t>
      </w:r>
      <w:r w:rsidRPr="00CC2317">
        <w:rPr>
          <w:rFonts w:asciiTheme="minorHAnsi" w:hAnsiTheme="minorHAnsi" w:cs="Calibri"/>
          <w:lang w:eastAsia="en-AU"/>
        </w:rPr>
        <w:t xml:space="preserve">available to support energy saving initiatives in support of the Scheme’s objectives. </w:t>
      </w:r>
    </w:p>
    <w:p w:rsidR="00B36AAA" w:rsidRPr="00CC2317" w:rsidRDefault="00B36AAA" w:rsidP="0053662E">
      <w:pPr>
        <w:pStyle w:val="Default"/>
        <w:rPr>
          <w:rFonts w:ascii="Calibri" w:hAnsi="Calibri" w:cs="Calibri"/>
          <w:sz w:val="22"/>
          <w:szCs w:val="22"/>
        </w:rPr>
      </w:pPr>
    </w:p>
    <w:p w:rsidR="00486F6B" w:rsidRDefault="00BB7FE2">
      <w:pPr>
        <w:keepNext/>
        <w:spacing w:before="60" w:after="60"/>
      </w:pPr>
      <w:r w:rsidRPr="00CC2317">
        <w:rPr>
          <w:b/>
        </w:rPr>
        <w:t xml:space="preserve">Table </w:t>
      </w:r>
      <w:r w:rsidR="0018102B" w:rsidRPr="00CC2317">
        <w:rPr>
          <w:b/>
        </w:rPr>
        <w:fldChar w:fldCharType="begin"/>
      </w:r>
      <w:r w:rsidR="0018102B" w:rsidRPr="00CC2317">
        <w:rPr>
          <w:b/>
        </w:rPr>
        <w:instrText xml:space="preserve"> SEQ Table \* ARABIC </w:instrText>
      </w:r>
      <w:r w:rsidR="0018102B" w:rsidRPr="00CC2317">
        <w:rPr>
          <w:b/>
        </w:rPr>
        <w:fldChar w:fldCharType="separate"/>
      </w:r>
      <w:r w:rsidR="00681D6A">
        <w:rPr>
          <w:b/>
          <w:noProof/>
        </w:rPr>
        <w:t>14</w:t>
      </w:r>
      <w:r w:rsidR="0018102B" w:rsidRPr="00CC2317">
        <w:rPr>
          <w:b/>
        </w:rPr>
        <w:fldChar w:fldCharType="end"/>
      </w:r>
      <w:r w:rsidRPr="00CC2317">
        <w:t>: Estimated funds raised, administration costs and activity support funding</w:t>
      </w:r>
    </w:p>
    <w:tbl>
      <w:tblPr>
        <w:tblW w:w="9089" w:type="dxa"/>
        <w:tblInd w:w="91" w:type="dxa"/>
        <w:tblLayout w:type="fixed"/>
        <w:tblLook w:val="04A0" w:firstRow="1" w:lastRow="0" w:firstColumn="1" w:lastColumn="0" w:noHBand="0" w:noVBand="1"/>
      </w:tblPr>
      <w:tblGrid>
        <w:gridCol w:w="2272"/>
        <w:gridCol w:w="2272"/>
        <w:gridCol w:w="2272"/>
        <w:gridCol w:w="2273"/>
      </w:tblGrid>
      <w:tr w:rsidR="00166B60" w:rsidRPr="00CC2317" w:rsidTr="00166B60">
        <w:trPr>
          <w:trHeight w:val="240"/>
        </w:trPr>
        <w:tc>
          <w:tcPr>
            <w:tcW w:w="2272" w:type="dxa"/>
            <w:tcBorders>
              <w:top w:val="single" w:sz="4" w:space="0" w:color="auto"/>
              <w:left w:val="single" w:sz="4" w:space="0" w:color="auto"/>
              <w:bottom w:val="single" w:sz="4" w:space="0" w:color="auto"/>
              <w:right w:val="single" w:sz="4" w:space="0" w:color="auto"/>
            </w:tcBorders>
            <w:shd w:val="clear" w:color="000000" w:fill="DEDFE0"/>
            <w:hideMark/>
          </w:tcPr>
          <w:p w:rsidR="008D1DF2" w:rsidRDefault="00166B60">
            <w:pPr>
              <w:keepNext/>
              <w:spacing w:before="60" w:after="60"/>
            </w:pPr>
            <w:r w:rsidRPr="00CC2317">
              <w:t>Scheme period</w:t>
            </w:r>
          </w:p>
        </w:tc>
        <w:tc>
          <w:tcPr>
            <w:tcW w:w="2272" w:type="dxa"/>
            <w:tcBorders>
              <w:top w:val="single" w:sz="4" w:space="0" w:color="auto"/>
              <w:left w:val="nil"/>
              <w:bottom w:val="single" w:sz="4" w:space="0" w:color="auto"/>
              <w:right w:val="single" w:sz="4" w:space="0" w:color="auto"/>
            </w:tcBorders>
            <w:shd w:val="clear" w:color="000000" w:fill="DEDFE0"/>
            <w:hideMark/>
          </w:tcPr>
          <w:p w:rsidR="008D1DF2" w:rsidRDefault="00166B60">
            <w:pPr>
              <w:keepNext/>
              <w:spacing w:before="60" w:after="60"/>
              <w:jc w:val="center"/>
            </w:pPr>
            <w:r w:rsidRPr="00CC2317">
              <w:t>Total revenue</w:t>
            </w:r>
          </w:p>
        </w:tc>
        <w:tc>
          <w:tcPr>
            <w:tcW w:w="2272" w:type="dxa"/>
            <w:tcBorders>
              <w:top w:val="single" w:sz="4" w:space="0" w:color="auto"/>
              <w:left w:val="nil"/>
              <w:bottom w:val="single" w:sz="4" w:space="0" w:color="auto"/>
              <w:right w:val="single" w:sz="4" w:space="0" w:color="auto"/>
            </w:tcBorders>
            <w:shd w:val="clear" w:color="000000" w:fill="DEDFE0"/>
            <w:hideMark/>
          </w:tcPr>
          <w:p w:rsidR="008D1DF2" w:rsidRDefault="00166B60">
            <w:pPr>
              <w:keepNext/>
              <w:spacing w:before="60" w:after="60"/>
              <w:jc w:val="center"/>
            </w:pPr>
            <w:r w:rsidRPr="00CC2317">
              <w:t>Administration</w:t>
            </w:r>
          </w:p>
        </w:tc>
        <w:tc>
          <w:tcPr>
            <w:tcW w:w="2273" w:type="dxa"/>
            <w:tcBorders>
              <w:top w:val="single" w:sz="4" w:space="0" w:color="auto"/>
              <w:left w:val="nil"/>
              <w:bottom w:val="single" w:sz="4" w:space="0" w:color="auto"/>
              <w:right w:val="single" w:sz="4" w:space="0" w:color="auto"/>
            </w:tcBorders>
            <w:shd w:val="clear" w:color="000000" w:fill="DEDFE0"/>
            <w:hideMark/>
          </w:tcPr>
          <w:p w:rsidR="008D1DF2" w:rsidRDefault="00166B60">
            <w:pPr>
              <w:keepNext/>
              <w:spacing w:before="60" w:after="60"/>
              <w:jc w:val="center"/>
            </w:pPr>
            <w:r w:rsidRPr="00CC2317">
              <w:t>Activity support funding</w:t>
            </w:r>
          </w:p>
        </w:tc>
      </w:tr>
      <w:tr w:rsidR="00A13FB9" w:rsidRPr="00CC2317" w:rsidTr="00166B60">
        <w:trPr>
          <w:trHeight w:val="240"/>
        </w:trPr>
        <w:tc>
          <w:tcPr>
            <w:tcW w:w="2272" w:type="dxa"/>
            <w:tcBorders>
              <w:top w:val="nil"/>
              <w:left w:val="single" w:sz="4" w:space="0" w:color="auto"/>
              <w:bottom w:val="single" w:sz="4" w:space="0" w:color="auto"/>
              <w:right w:val="single" w:sz="4" w:space="0" w:color="auto"/>
            </w:tcBorders>
            <w:hideMark/>
          </w:tcPr>
          <w:p w:rsidR="00A13FB9" w:rsidRPr="00CC2317" w:rsidRDefault="00A13FB9" w:rsidP="00A13FB9">
            <w:pPr>
              <w:spacing w:before="60" w:after="60"/>
            </w:pPr>
            <w:r w:rsidRPr="00CC2317">
              <w:t xml:space="preserve">Period </w:t>
            </w:r>
            <w:r w:rsidR="004213F0">
              <w:t>1</w:t>
            </w:r>
          </w:p>
        </w:tc>
        <w:tc>
          <w:tcPr>
            <w:tcW w:w="2272" w:type="dxa"/>
            <w:tcBorders>
              <w:top w:val="nil"/>
              <w:left w:val="nil"/>
              <w:bottom w:val="single" w:sz="4" w:space="0" w:color="auto"/>
              <w:right w:val="single" w:sz="4" w:space="0" w:color="auto"/>
            </w:tcBorders>
            <w:noWrap/>
            <w:hideMark/>
          </w:tcPr>
          <w:p w:rsidR="00A13FB9" w:rsidRPr="00CC2317" w:rsidRDefault="00A13FB9" w:rsidP="00CC2317">
            <w:pPr>
              <w:spacing w:before="60" w:after="60"/>
            </w:pPr>
            <w:r w:rsidRPr="00CC2317">
              <w:t>$1,079,</w:t>
            </w:r>
            <w:r w:rsidR="00CC2317" w:rsidRPr="00CC2317">
              <w:t>126</w:t>
            </w:r>
          </w:p>
        </w:tc>
        <w:tc>
          <w:tcPr>
            <w:tcW w:w="2272" w:type="dxa"/>
            <w:tcBorders>
              <w:top w:val="nil"/>
              <w:left w:val="nil"/>
              <w:bottom w:val="single" w:sz="4" w:space="0" w:color="auto"/>
              <w:right w:val="single" w:sz="4" w:space="0" w:color="auto"/>
            </w:tcBorders>
            <w:hideMark/>
          </w:tcPr>
          <w:p w:rsidR="00A13FB9" w:rsidRPr="00CC2317" w:rsidRDefault="00A13FB9" w:rsidP="00A13FB9">
            <w:pPr>
              <w:spacing w:before="60" w:after="60"/>
            </w:pPr>
            <w:r w:rsidRPr="00CC2317">
              <w:t>$495,500</w:t>
            </w:r>
          </w:p>
        </w:tc>
        <w:tc>
          <w:tcPr>
            <w:tcW w:w="2273" w:type="dxa"/>
            <w:tcBorders>
              <w:top w:val="nil"/>
              <w:left w:val="nil"/>
              <w:bottom w:val="single" w:sz="4" w:space="0" w:color="auto"/>
              <w:right w:val="single" w:sz="4" w:space="0" w:color="auto"/>
            </w:tcBorders>
            <w:noWrap/>
            <w:hideMark/>
          </w:tcPr>
          <w:p w:rsidR="00A13FB9" w:rsidRPr="00CC2317" w:rsidRDefault="00A13FB9" w:rsidP="00CC2317">
            <w:pPr>
              <w:spacing w:before="60" w:after="60"/>
            </w:pPr>
            <w:r w:rsidRPr="00CC2317">
              <w:t>$583,</w:t>
            </w:r>
            <w:r w:rsidR="00CC2317" w:rsidRPr="00CC2317">
              <w:t>626</w:t>
            </w:r>
          </w:p>
        </w:tc>
      </w:tr>
      <w:tr w:rsidR="00A13FB9" w:rsidRPr="00CC2317" w:rsidTr="00166B60">
        <w:trPr>
          <w:trHeight w:val="240"/>
        </w:trPr>
        <w:tc>
          <w:tcPr>
            <w:tcW w:w="2272" w:type="dxa"/>
            <w:tcBorders>
              <w:top w:val="nil"/>
              <w:left w:val="single" w:sz="4" w:space="0" w:color="auto"/>
              <w:bottom w:val="single" w:sz="4" w:space="0" w:color="auto"/>
              <w:right w:val="single" w:sz="4" w:space="0" w:color="auto"/>
            </w:tcBorders>
            <w:hideMark/>
          </w:tcPr>
          <w:p w:rsidR="00A13FB9" w:rsidRPr="00CC2317" w:rsidRDefault="00A13FB9" w:rsidP="00A13FB9">
            <w:pPr>
              <w:spacing w:before="60" w:after="60"/>
            </w:pPr>
            <w:r w:rsidRPr="00CC2317">
              <w:t xml:space="preserve">Period </w:t>
            </w:r>
            <w:r w:rsidR="004213F0">
              <w:t>2</w:t>
            </w:r>
          </w:p>
        </w:tc>
        <w:tc>
          <w:tcPr>
            <w:tcW w:w="2272" w:type="dxa"/>
            <w:tcBorders>
              <w:top w:val="nil"/>
              <w:left w:val="nil"/>
              <w:bottom w:val="single" w:sz="4" w:space="0" w:color="auto"/>
              <w:right w:val="single" w:sz="4" w:space="0" w:color="auto"/>
            </w:tcBorders>
            <w:noWrap/>
            <w:hideMark/>
          </w:tcPr>
          <w:p w:rsidR="00A13FB9" w:rsidRPr="00CC2317" w:rsidRDefault="00A13FB9" w:rsidP="00CC2317">
            <w:pPr>
              <w:spacing w:before="60" w:after="60"/>
            </w:pPr>
            <w:r w:rsidRPr="00CC2317">
              <w:t>$1,</w:t>
            </w:r>
            <w:r w:rsidR="00CC2317" w:rsidRPr="00CC2317">
              <w:t>888,713</w:t>
            </w:r>
          </w:p>
        </w:tc>
        <w:tc>
          <w:tcPr>
            <w:tcW w:w="2272" w:type="dxa"/>
            <w:tcBorders>
              <w:top w:val="nil"/>
              <w:left w:val="nil"/>
              <w:bottom w:val="single" w:sz="4" w:space="0" w:color="auto"/>
              <w:right w:val="single" w:sz="4" w:space="0" w:color="auto"/>
            </w:tcBorders>
            <w:hideMark/>
          </w:tcPr>
          <w:p w:rsidR="00A13FB9" w:rsidRPr="00CC2317" w:rsidRDefault="00A13FB9" w:rsidP="00A13FB9">
            <w:pPr>
              <w:spacing w:before="60" w:after="60"/>
            </w:pPr>
            <w:r w:rsidRPr="00CC2317">
              <w:t>$495,500</w:t>
            </w:r>
          </w:p>
        </w:tc>
        <w:tc>
          <w:tcPr>
            <w:tcW w:w="2273" w:type="dxa"/>
            <w:tcBorders>
              <w:top w:val="nil"/>
              <w:left w:val="nil"/>
              <w:bottom w:val="single" w:sz="4" w:space="0" w:color="auto"/>
              <w:right w:val="single" w:sz="4" w:space="0" w:color="auto"/>
            </w:tcBorders>
            <w:noWrap/>
            <w:hideMark/>
          </w:tcPr>
          <w:p w:rsidR="00A13FB9" w:rsidRPr="00CC2317" w:rsidRDefault="00A13FB9" w:rsidP="00CC2317">
            <w:pPr>
              <w:spacing w:before="60" w:after="60"/>
            </w:pPr>
            <w:r w:rsidRPr="00CC2317">
              <w:t>$1,</w:t>
            </w:r>
            <w:r w:rsidR="00CC2317" w:rsidRPr="00CC2317">
              <w:t>393,213</w:t>
            </w:r>
          </w:p>
        </w:tc>
      </w:tr>
      <w:tr w:rsidR="00A13FB9" w:rsidRPr="00CC2317" w:rsidTr="00166B60">
        <w:trPr>
          <w:trHeight w:val="240"/>
        </w:trPr>
        <w:tc>
          <w:tcPr>
            <w:tcW w:w="2272" w:type="dxa"/>
            <w:tcBorders>
              <w:top w:val="nil"/>
              <w:left w:val="single" w:sz="4" w:space="0" w:color="auto"/>
              <w:bottom w:val="single" w:sz="4" w:space="0" w:color="auto"/>
              <w:right w:val="single" w:sz="4" w:space="0" w:color="auto"/>
            </w:tcBorders>
            <w:hideMark/>
          </w:tcPr>
          <w:p w:rsidR="00A13FB9" w:rsidRPr="00CC2317" w:rsidRDefault="00A13FB9" w:rsidP="00A13FB9">
            <w:pPr>
              <w:spacing w:before="60" w:after="60"/>
            </w:pPr>
            <w:r w:rsidRPr="00CC2317">
              <w:t xml:space="preserve">Period </w:t>
            </w:r>
            <w:r w:rsidR="004213F0">
              <w:t>3</w:t>
            </w:r>
          </w:p>
        </w:tc>
        <w:tc>
          <w:tcPr>
            <w:tcW w:w="2272" w:type="dxa"/>
            <w:tcBorders>
              <w:top w:val="nil"/>
              <w:left w:val="nil"/>
              <w:bottom w:val="single" w:sz="4" w:space="0" w:color="auto"/>
              <w:right w:val="single" w:sz="4" w:space="0" w:color="auto"/>
            </w:tcBorders>
            <w:noWrap/>
            <w:hideMark/>
          </w:tcPr>
          <w:p w:rsidR="00A13FB9" w:rsidRPr="00CC2317" w:rsidRDefault="00A13FB9" w:rsidP="00CC2317">
            <w:pPr>
              <w:spacing w:before="60" w:after="60"/>
            </w:pPr>
            <w:r w:rsidRPr="00CC2317">
              <w:t>$1,</w:t>
            </w:r>
            <w:r w:rsidR="00CC2317" w:rsidRPr="00CC2317">
              <w:t>888,713</w:t>
            </w:r>
          </w:p>
        </w:tc>
        <w:tc>
          <w:tcPr>
            <w:tcW w:w="2272" w:type="dxa"/>
            <w:tcBorders>
              <w:top w:val="nil"/>
              <w:left w:val="nil"/>
              <w:bottom w:val="single" w:sz="4" w:space="0" w:color="auto"/>
              <w:right w:val="single" w:sz="4" w:space="0" w:color="auto"/>
            </w:tcBorders>
            <w:hideMark/>
          </w:tcPr>
          <w:p w:rsidR="00A13FB9" w:rsidRPr="00CC2317" w:rsidRDefault="00A13FB9" w:rsidP="00A13FB9">
            <w:pPr>
              <w:spacing w:before="60" w:after="60"/>
            </w:pPr>
            <w:r w:rsidRPr="00CC2317">
              <w:t>$495,500</w:t>
            </w:r>
          </w:p>
        </w:tc>
        <w:tc>
          <w:tcPr>
            <w:tcW w:w="2273" w:type="dxa"/>
            <w:tcBorders>
              <w:top w:val="nil"/>
              <w:left w:val="nil"/>
              <w:bottom w:val="single" w:sz="4" w:space="0" w:color="auto"/>
              <w:right w:val="single" w:sz="4" w:space="0" w:color="auto"/>
            </w:tcBorders>
            <w:noWrap/>
            <w:hideMark/>
          </w:tcPr>
          <w:p w:rsidR="00A13FB9" w:rsidRPr="00CC2317" w:rsidRDefault="00A13FB9" w:rsidP="00CC2317">
            <w:pPr>
              <w:spacing w:before="60" w:after="60"/>
            </w:pPr>
            <w:r w:rsidRPr="00CC2317">
              <w:t>$1,</w:t>
            </w:r>
            <w:r w:rsidR="00CC2317" w:rsidRPr="00CC2317">
              <w:t>393,213</w:t>
            </w:r>
          </w:p>
        </w:tc>
      </w:tr>
      <w:tr w:rsidR="00A13FB9" w:rsidRPr="00CC2317" w:rsidTr="00166B60">
        <w:trPr>
          <w:trHeight w:val="240"/>
        </w:trPr>
        <w:tc>
          <w:tcPr>
            <w:tcW w:w="2272" w:type="dxa"/>
            <w:tcBorders>
              <w:top w:val="nil"/>
              <w:left w:val="single" w:sz="4" w:space="0" w:color="auto"/>
              <w:bottom w:val="single" w:sz="4" w:space="0" w:color="auto"/>
              <w:right w:val="single" w:sz="4" w:space="0" w:color="auto"/>
            </w:tcBorders>
            <w:hideMark/>
          </w:tcPr>
          <w:p w:rsidR="00A13FB9" w:rsidRPr="00CC2317" w:rsidRDefault="00A13FB9" w:rsidP="00A13FB9">
            <w:pPr>
              <w:spacing w:before="60" w:after="60"/>
            </w:pPr>
            <w:r w:rsidRPr="00CC2317">
              <w:t>Total</w:t>
            </w:r>
          </w:p>
        </w:tc>
        <w:tc>
          <w:tcPr>
            <w:tcW w:w="2272" w:type="dxa"/>
            <w:tcBorders>
              <w:top w:val="nil"/>
              <w:left w:val="nil"/>
              <w:bottom w:val="single" w:sz="4" w:space="0" w:color="auto"/>
              <w:right w:val="single" w:sz="4" w:space="0" w:color="auto"/>
            </w:tcBorders>
            <w:noWrap/>
            <w:hideMark/>
          </w:tcPr>
          <w:p w:rsidR="00A13FB9" w:rsidRPr="00CC2317" w:rsidRDefault="00A13FB9" w:rsidP="00A13FB9">
            <w:pPr>
              <w:spacing w:before="60" w:after="60"/>
            </w:pPr>
            <w:r w:rsidRPr="00CC2317">
              <w:t>$4,856,551</w:t>
            </w:r>
          </w:p>
        </w:tc>
        <w:tc>
          <w:tcPr>
            <w:tcW w:w="2272" w:type="dxa"/>
            <w:tcBorders>
              <w:top w:val="nil"/>
              <w:left w:val="nil"/>
              <w:bottom w:val="single" w:sz="4" w:space="0" w:color="auto"/>
              <w:right w:val="single" w:sz="4" w:space="0" w:color="auto"/>
            </w:tcBorders>
            <w:noWrap/>
            <w:hideMark/>
          </w:tcPr>
          <w:p w:rsidR="00A13FB9" w:rsidRPr="00CC2317" w:rsidRDefault="00A13FB9" w:rsidP="00CC2317">
            <w:pPr>
              <w:spacing w:before="60" w:after="60"/>
            </w:pPr>
            <w:r w:rsidRPr="00CC2317">
              <w:t>$1,</w:t>
            </w:r>
            <w:r w:rsidR="00CC2317" w:rsidRPr="00CC2317">
              <w:t>486,500</w:t>
            </w:r>
          </w:p>
        </w:tc>
        <w:tc>
          <w:tcPr>
            <w:tcW w:w="2273" w:type="dxa"/>
            <w:tcBorders>
              <w:top w:val="nil"/>
              <w:left w:val="nil"/>
              <w:bottom w:val="single" w:sz="4" w:space="0" w:color="auto"/>
              <w:right w:val="single" w:sz="4" w:space="0" w:color="auto"/>
            </w:tcBorders>
            <w:noWrap/>
            <w:hideMark/>
          </w:tcPr>
          <w:p w:rsidR="00A13FB9" w:rsidRPr="00CC2317" w:rsidRDefault="00A13FB9" w:rsidP="00CC2317">
            <w:pPr>
              <w:spacing w:before="60" w:after="60"/>
            </w:pPr>
            <w:r w:rsidRPr="00CC2317">
              <w:t>$3,</w:t>
            </w:r>
            <w:r w:rsidR="00CC2317" w:rsidRPr="00CC2317">
              <w:t>370,050</w:t>
            </w:r>
          </w:p>
        </w:tc>
      </w:tr>
    </w:tbl>
    <w:p w:rsidR="00B153DC" w:rsidRPr="000D6A45" w:rsidRDefault="00B153DC" w:rsidP="00D404FA">
      <w:pPr>
        <w:pStyle w:val="Heading2"/>
      </w:pPr>
      <w:bookmarkStart w:id="134" w:name="_Toc306808249"/>
      <w:r w:rsidRPr="00B153DC">
        <w:t xml:space="preserve">Scheme </w:t>
      </w:r>
      <w:r>
        <w:t>r</w:t>
      </w:r>
      <w:r w:rsidRPr="00B153DC">
        <w:t>eview</w:t>
      </w:r>
      <w:bookmarkEnd w:id="134"/>
    </w:p>
    <w:p w:rsidR="00D7171F" w:rsidRDefault="00CE41AF" w:rsidP="000D6A45">
      <w:pPr>
        <w:rPr>
          <w:color w:val="000000"/>
          <w:lang w:eastAsia="en-AU"/>
        </w:rPr>
      </w:pPr>
      <w:r>
        <w:rPr>
          <w:color w:val="000000"/>
          <w:lang w:eastAsia="en-AU"/>
        </w:rPr>
        <w:t>The legislation requires that</w:t>
      </w:r>
      <w:r w:rsidR="00F915F8">
        <w:rPr>
          <w:color w:val="000000"/>
          <w:lang w:eastAsia="en-AU"/>
        </w:rPr>
        <w:t xml:space="preserve"> t</w:t>
      </w:r>
      <w:r w:rsidR="00BD41FF" w:rsidRPr="00BD41FF">
        <w:rPr>
          <w:color w:val="000000"/>
          <w:lang w:eastAsia="en-AU"/>
        </w:rPr>
        <w:t xml:space="preserve">he Minister must commence a review of the operation of the Act in January 2014. The review must consider the following: </w:t>
      </w:r>
    </w:p>
    <w:p w:rsidR="00D7171F" w:rsidRDefault="00BD41FF" w:rsidP="00B96C73">
      <w:pPr>
        <w:pStyle w:val="ListParagraph"/>
        <w:numPr>
          <w:ilvl w:val="0"/>
          <w:numId w:val="24"/>
        </w:numPr>
        <w:rPr>
          <w:color w:val="000000"/>
          <w:lang w:eastAsia="en-AU"/>
        </w:rPr>
      </w:pPr>
      <w:r w:rsidRPr="00BD41FF">
        <w:rPr>
          <w:color w:val="000000"/>
          <w:lang w:eastAsia="en-AU"/>
        </w:rPr>
        <w:t xml:space="preserve">the operation of the Act after 2015; </w:t>
      </w:r>
    </w:p>
    <w:p w:rsidR="00D7171F" w:rsidRDefault="00BD41FF" w:rsidP="00B96C73">
      <w:pPr>
        <w:pStyle w:val="ListParagraph"/>
        <w:numPr>
          <w:ilvl w:val="0"/>
          <w:numId w:val="24"/>
        </w:numPr>
        <w:rPr>
          <w:color w:val="000000"/>
          <w:lang w:eastAsia="en-AU"/>
        </w:rPr>
      </w:pPr>
      <w:r w:rsidRPr="00BD41FF">
        <w:rPr>
          <w:color w:val="000000"/>
          <w:lang w:eastAsia="en-AU"/>
        </w:rPr>
        <w:t>any change required to improve the operation of the Act;</w:t>
      </w:r>
      <w:r w:rsidR="00924FB7">
        <w:rPr>
          <w:color w:val="000000"/>
          <w:lang w:eastAsia="en-AU"/>
        </w:rPr>
        <w:t xml:space="preserve"> and</w:t>
      </w:r>
      <w:r w:rsidRPr="00BD41FF">
        <w:rPr>
          <w:color w:val="000000"/>
          <w:lang w:eastAsia="en-AU"/>
        </w:rPr>
        <w:t xml:space="preserve"> </w:t>
      </w:r>
    </w:p>
    <w:p w:rsidR="00D7171F" w:rsidRDefault="00BD41FF" w:rsidP="00B96C73">
      <w:pPr>
        <w:pStyle w:val="ListParagraph"/>
        <w:numPr>
          <w:ilvl w:val="0"/>
          <w:numId w:val="24"/>
        </w:numPr>
        <w:rPr>
          <w:color w:val="000000"/>
          <w:lang w:eastAsia="en-AU"/>
        </w:rPr>
      </w:pPr>
      <w:r w:rsidRPr="00BD41FF">
        <w:rPr>
          <w:color w:val="000000"/>
          <w:lang w:eastAsia="en-AU"/>
        </w:rPr>
        <w:t xml:space="preserve">the impact of national law and policy in relation to energy efficiency on the operation of the Act. </w:t>
      </w:r>
    </w:p>
    <w:p w:rsidR="00D7171F" w:rsidRDefault="00BD41FF" w:rsidP="000D6A45">
      <w:r w:rsidRPr="00BD41FF">
        <w:rPr>
          <w:color w:val="000000"/>
          <w:lang w:eastAsia="en-AU"/>
        </w:rPr>
        <w:t xml:space="preserve">The Minister must present a copy of the report of the review to the Legislative Assembly not later than </w:t>
      </w:r>
      <w:r w:rsidR="00F915F8">
        <w:rPr>
          <w:color w:val="000000"/>
          <w:lang w:eastAsia="en-AU"/>
        </w:rPr>
        <w:t>nine</w:t>
      </w:r>
      <w:r w:rsidRPr="00BD41FF">
        <w:rPr>
          <w:color w:val="000000"/>
          <w:lang w:eastAsia="en-AU"/>
        </w:rPr>
        <w:t xml:space="preserve"> months after the review commenced.</w:t>
      </w:r>
    </w:p>
    <w:p w:rsidR="00636FCD" w:rsidRPr="00636FCD" w:rsidRDefault="00636FCD" w:rsidP="000D6A45">
      <w:pPr>
        <w:rPr>
          <w:rFonts w:cs="Calibri"/>
        </w:rPr>
      </w:pPr>
      <w:bookmarkStart w:id="135" w:name="_Toc303254535"/>
      <w:bookmarkStart w:id="136" w:name="_Toc303254757"/>
      <w:bookmarkStart w:id="137" w:name="_Toc303255151"/>
      <w:bookmarkStart w:id="138" w:name="_Toc303256554"/>
    </w:p>
    <w:p w:rsidR="00636FCD" w:rsidRPr="00636FCD" w:rsidRDefault="00636FCD" w:rsidP="00636FCD">
      <w:pPr>
        <w:spacing w:before="120" w:after="120"/>
        <w:rPr>
          <w:rFonts w:cs="Calibri"/>
        </w:rPr>
      </w:pPr>
    </w:p>
    <w:p w:rsidR="00636FCD" w:rsidRDefault="00636FCD" w:rsidP="005E7B16">
      <w:pPr>
        <w:pStyle w:val="Heading1"/>
      </w:pPr>
      <w:bookmarkStart w:id="139" w:name="_Ref303873889"/>
      <w:bookmarkStart w:id="140" w:name="_Toc306808250"/>
      <w:r>
        <w:t>Appendix A – Summary of Eligible Activities</w:t>
      </w:r>
      <w:bookmarkEnd w:id="139"/>
      <w:bookmarkEnd w:id="140"/>
    </w:p>
    <w:tbl>
      <w:tblPr>
        <w:tblStyle w:val="EPLTablePlain"/>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17"/>
        <w:gridCol w:w="1452"/>
        <w:gridCol w:w="5811"/>
      </w:tblGrid>
      <w:tr w:rsidR="0080544E" w:rsidRPr="00BB1B94" w:rsidTr="00BB1B94">
        <w:trPr>
          <w:cnfStyle w:val="100000000000" w:firstRow="1" w:lastRow="0" w:firstColumn="0" w:lastColumn="0" w:oddVBand="0" w:evenVBand="0" w:oddHBand="0" w:evenHBand="0" w:firstRowFirstColumn="0" w:firstRowLastColumn="0" w:lastRowFirstColumn="0" w:lastRowLastColumn="0"/>
          <w:trHeight w:val="525"/>
        </w:trPr>
        <w:tc>
          <w:tcPr>
            <w:tcW w:w="1917" w:type="dxa"/>
            <w:shd w:val="clear" w:color="auto" w:fill="F2F2F2" w:themeFill="background1" w:themeFillShade="F2"/>
            <w:hideMark/>
          </w:tcPr>
          <w:p w:rsidR="0080544E" w:rsidRPr="00BB1B94" w:rsidRDefault="0080544E" w:rsidP="0080544E">
            <w:pPr>
              <w:pStyle w:val="TableMain"/>
              <w:rPr>
                <w:color w:val="auto"/>
              </w:rPr>
            </w:pPr>
            <w:r w:rsidRPr="00BB1B94">
              <w:rPr>
                <w:color w:val="auto"/>
              </w:rPr>
              <w:t>Measure Name</w:t>
            </w:r>
            <w:r w:rsidR="0071455A" w:rsidRPr="00BB1B94">
              <w:rPr>
                <w:rStyle w:val="FootnoteReference"/>
                <w:color w:val="auto"/>
              </w:rPr>
              <w:footnoteReference w:id="31"/>
            </w:r>
          </w:p>
        </w:tc>
        <w:tc>
          <w:tcPr>
            <w:tcW w:w="1452" w:type="dxa"/>
            <w:shd w:val="clear" w:color="auto" w:fill="F2F2F2" w:themeFill="background1" w:themeFillShade="F2"/>
            <w:hideMark/>
          </w:tcPr>
          <w:p w:rsidR="0080544E" w:rsidRPr="00BB1B94" w:rsidRDefault="0080544E" w:rsidP="0080544E">
            <w:pPr>
              <w:pStyle w:val="TableMain"/>
              <w:rPr>
                <w:color w:val="auto"/>
              </w:rPr>
            </w:pPr>
            <w:r w:rsidRPr="00BB1B94">
              <w:rPr>
                <w:color w:val="auto"/>
              </w:rPr>
              <w:t>End use</w:t>
            </w:r>
          </w:p>
        </w:tc>
        <w:tc>
          <w:tcPr>
            <w:tcW w:w="5811" w:type="dxa"/>
            <w:shd w:val="clear" w:color="auto" w:fill="F2F2F2" w:themeFill="background1" w:themeFillShade="F2"/>
            <w:noWrap/>
            <w:hideMark/>
          </w:tcPr>
          <w:p w:rsidR="0080544E" w:rsidRPr="00BB1B94" w:rsidRDefault="0080544E" w:rsidP="0071455A">
            <w:pPr>
              <w:pStyle w:val="TableMain"/>
              <w:rPr>
                <w:color w:val="auto"/>
              </w:rPr>
            </w:pPr>
            <w:r w:rsidRPr="00BB1B94">
              <w:rPr>
                <w:color w:val="auto"/>
              </w:rPr>
              <w:t>Description</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Install insulation onto an uninsulated ceiling</w:t>
            </w:r>
          </w:p>
        </w:tc>
        <w:tc>
          <w:tcPr>
            <w:tcW w:w="1452" w:type="dxa"/>
            <w:shd w:val="clear" w:color="auto" w:fill="FFFFFF" w:themeFill="background1"/>
            <w:noWrap/>
            <w:hideMark/>
          </w:tcPr>
          <w:p w:rsidR="0080544E" w:rsidRPr="00BB1B94" w:rsidRDefault="0080544E" w:rsidP="0080544E">
            <w:pPr>
              <w:pStyle w:val="TableMain"/>
            </w:pPr>
            <w:r w:rsidRPr="00BB1B94">
              <w:t>Space Heating &amp; Cooling</w:t>
            </w:r>
          </w:p>
        </w:tc>
        <w:tc>
          <w:tcPr>
            <w:tcW w:w="5811" w:type="dxa"/>
            <w:shd w:val="clear" w:color="auto" w:fill="FFFFFF" w:themeFill="background1"/>
            <w:noWrap/>
            <w:hideMark/>
          </w:tcPr>
          <w:p w:rsidR="0080544E" w:rsidRPr="00BB1B94" w:rsidRDefault="0080544E" w:rsidP="0080544E">
            <w:pPr>
              <w:pStyle w:val="TableMain"/>
            </w:pPr>
            <w:r w:rsidRPr="00BB1B94">
              <w:t>Install ceiling insulation to dwellings which currently don't have any insulation installed.</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Install insulation into an uninsulated external wall cavity</w:t>
            </w:r>
          </w:p>
        </w:tc>
        <w:tc>
          <w:tcPr>
            <w:tcW w:w="1452" w:type="dxa"/>
            <w:shd w:val="clear" w:color="auto" w:fill="FFFFFF" w:themeFill="background1"/>
            <w:noWrap/>
            <w:hideMark/>
          </w:tcPr>
          <w:p w:rsidR="0080544E" w:rsidRPr="00BB1B94" w:rsidRDefault="0080544E" w:rsidP="0080544E">
            <w:pPr>
              <w:pStyle w:val="TableMain"/>
            </w:pPr>
            <w:r w:rsidRPr="00BB1B94">
              <w:t>Space Heating &amp; Cooling</w:t>
            </w:r>
          </w:p>
        </w:tc>
        <w:tc>
          <w:tcPr>
            <w:tcW w:w="5811" w:type="dxa"/>
            <w:shd w:val="clear" w:color="auto" w:fill="FFFFFF" w:themeFill="background1"/>
            <w:noWrap/>
            <w:hideMark/>
          </w:tcPr>
          <w:p w:rsidR="0080544E" w:rsidRPr="00BB1B94" w:rsidRDefault="0080544E" w:rsidP="0080544E">
            <w:pPr>
              <w:pStyle w:val="TableMain"/>
            </w:pPr>
            <w:r w:rsidRPr="00BB1B94">
              <w:t>Install wall insulation to dwellings which currently don't have any insulation installed.</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Weather proofing and air sealing</w:t>
            </w:r>
          </w:p>
        </w:tc>
        <w:tc>
          <w:tcPr>
            <w:tcW w:w="1452" w:type="dxa"/>
            <w:shd w:val="clear" w:color="auto" w:fill="FFFFFF" w:themeFill="background1"/>
            <w:noWrap/>
            <w:hideMark/>
          </w:tcPr>
          <w:p w:rsidR="0080544E" w:rsidRPr="00BB1B94" w:rsidRDefault="0080544E" w:rsidP="0080544E">
            <w:pPr>
              <w:pStyle w:val="TableMain"/>
            </w:pPr>
            <w:r w:rsidRPr="00BB1B94">
              <w:t>Space Heating &amp; Cooling</w:t>
            </w:r>
          </w:p>
        </w:tc>
        <w:tc>
          <w:tcPr>
            <w:tcW w:w="5811" w:type="dxa"/>
            <w:shd w:val="clear" w:color="auto" w:fill="FFFFFF" w:themeFill="background1"/>
            <w:noWrap/>
            <w:hideMark/>
          </w:tcPr>
          <w:p w:rsidR="0080544E" w:rsidRPr="00BB1B94" w:rsidRDefault="0080544E" w:rsidP="0080544E">
            <w:pPr>
              <w:pStyle w:val="TableMain"/>
            </w:pPr>
            <w:r w:rsidRPr="00BB1B94">
              <w:t>Items include weather stripping to door frame and a draught arrestor to an external door or door to high ventilation area, fit a draught proofing device (</w:t>
            </w:r>
            <w:r w:rsidR="00B36A28" w:rsidRPr="00BB1B94">
              <w:t>e.g.</w:t>
            </w:r>
            <w:r w:rsidRPr="00BB1B94">
              <w:t xml:space="preserve"> Draft Stoppa) above a ceiling exhaust fan located in a heated area, seal wall vents located in heated areas of an existing dwelling, weather stripping of windows in an existing dwelling and fitting a chimney damper to an open fireplace in an existing dwelling which has electricity or gas fuelled heating as the main form of heating.</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B87723">
            <w:pPr>
              <w:pStyle w:val="TableMain"/>
            </w:pPr>
            <w:r w:rsidRPr="00BB1B94">
              <w:t xml:space="preserve">Replace </w:t>
            </w:r>
            <w:r w:rsidR="00B87723">
              <w:t>S</w:t>
            </w:r>
            <w:r w:rsidRPr="00BB1B94">
              <w:t>G window with new DG window</w:t>
            </w:r>
          </w:p>
        </w:tc>
        <w:tc>
          <w:tcPr>
            <w:tcW w:w="1452" w:type="dxa"/>
            <w:shd w:val="clear" w:color="auto" w:fill="FFFFFF" w:themeFill="background1"/>
            <w:noWrap/>
            <w:hideMark/>
          </w:tcPr>
          <w:p w:rsidR="0080544E" w:rsidRPr="00BB1B94" w:rsidRDefault="0080544E" w:rsidP="0080544E">
            <w:pPr>
              <w:pStyle w:val="TableMain"/>
            </w:pPr>
            <w:r w:rsidRPr="00BB1B94">
              <w:t>Space Heating &amp; Cooling</w:t>
            </w:r>
          </w:p>
        </w:tc>
        <w:tc>
          <w:tcPr>
            <w:tcW w:w="5811" w:type="dxa"/>
            <w:shd w:val="clear" w:color="auto" w:fill="FFFFFF" w:themeFill="background1"/>
            <w:noWrap/>
            <w:hideMark/>
          </w:tcPr>
          <w:p w:rsidR="0080544E" w:rsidRPr="00BB1B94" w:rsidRDefault="0080544E" w:rsidP="0080544E">
            <w:pPr>
              <w:pStyle w:val="TableMain"/>
            </w:pPr>
            <w:r w:rsidRPr="00BB1B94">
              <w:t>Install a new double glazed window to replace a single glazed window in an existing dwelling.</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Install window film to SG window</w:t>
            </w:r>
          </w:p>
        </w:tc>
        <w:tc>
          <w:tcPr>
            <w:tcW w:w="1452" w:type="dxa"/>
            <w:shd w:val="clear" w:color="auto" w:fill="FFFFFF" w:themeFill="background1"/>
            <w:noWrap/>
            <w:hideMark/>
          </w:tcPr>
          <w:p w:rsidR="0080544E" w:rsidRPr="00BB1B94" w:rsidRDefault="0080544E" w:rsidP="0080544E">
            <w:pPr>
              <w:pStyle w:val="TableMain"/>
            </w:pPr>
            <w:r w:rsidRPr="00BB1B94">
              <w:t>Space Heating &amp; Cooling</w:t>
            </w:r>
          </w:p>
        </w:tc>
        <w:tc>
          <w:tcPr>
            <w:tcW w:w="5811" w:type="dxa"/>
            <w:shd w:val="clear" w:color="auto" w:fill="FFFFFF" w:themeFill="background1"/>
            <w:noWrap/>
            <w:hideMark/>
          </w:tcPr>
          <w:p w:rsidR="0080544E" w:rsidRPr="00BB1B94" w:rsidRDefault="0080544E" w:rsidP="0080544E">
            <w:pPr>
              <w:pStyle w:val="TableMain"/>
            </w:pPr>
            <w:r w:rsidRPr="00BB1B94">
              <w:t>Install a clear film on an existing single glazed window to create a closed air space to convert it to a double glazed window.</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Retrofit DG to an existing SG window</w:t>
            </w:r>
          </w:p>
        </w:tc>
        <w:tc>
          <w:tcPr>
            <w:tcW w:w="1452" w:type="dxa"/>
            <w:shd w:val="clear" w:color="auto" w:fill="FFFFFF" w:themeFill="background1"/>
            <w:noWrap/>
            <w:hideMark/>
          </w:tcPr>
          <w:p w:rsidR="0080544E" w:rsidRPr="00BB1B94" w:rsidRDefault="0080544E" w:rsidP="0080544E">
            <w:pPr>
              <w:pStyle w:val="TableMain"/>
            </w:pPr>
            <w:r w:rsidRPr="00BB1B94">
              <w:t>Space Heating &amp; Cooling</w:t>
            </w:r>
          </w:p>
        </w:tc>
        <w:tc>
          <w:tcPr>
            <w:tcW w:w="5811" w:type="dxa"/>
            <w:shd w:val="clear" w:color="auto" w:fill="FFFFFF" w:themeFill="background1"/>
            <w:noWrap/>
            <w:hideMark/>
          </w:tcPr>
          <w:p w:rsidR="0080544E" w:rsidRPr="00BB1B94" w:rsidRDefault="0080544E" w:rsidP="0080544E">
            <w:pPr>
              <w:pStyle w:val="TableMain"/>
            </w:pPr>
            <w:r w:rsidRPr="00BB1B94">
              <w:t>Retrofit an addition</w:t>
            </w:r>
            <w:r w:rsidR="00924FB7">
              <w:t>al</w:t>
            </w:r>
            <w:r w:rsidRPr="00BB1B94">
              <w:t xml:space="preserve"> pane of glass or other suitable clear material to an existing single glazed window in an existing dwelling to form a double glazed window.</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Replace central elec</w:t>
            </w:r>
            <w:r w:rsidR="00924FB7">
              <w:t>tric</w:t>
            </w:r>
            <w:r w:rsidRPr="00BB1B94">
              <w:t xml:space="preserve"> resistive heating with HE central ducted gas</w:t>
            </w:r>
          </w:p>
        </w:tc>
        <w:tc>
          <w:tcPr>
            <w:tcW w:w="1452" w:type="dxa"/>
            <w:shd w:val="clear" w:color="auto" w:fill="FFFFFF" w:themeFill="background1"/>
            <w:noWrap/>
            <w:hideMark/>
          </w:tcPr>
          <w:p w:rsidR="0080544E" w:rsidRPr="00BB1B94" w:rsidRDefault="0080544E" w:rsidP="0080544E">
            <w:pPr>
              <w:pStyle w:val="TableMain"/>
            </w:pPr>
            <w:r w:rsidRPr="00BB1B94">
              <w:t>Space Heating &amp; Cooling</w:t>
            </w:r>
          </w:p>
        </w:tc>
        <w:tc>
          <w:tcPr>
            <w:tcW w:w="5811" w:type="dxa"/>
            <w:shd w:val="clear" w:color="auto" w:fill="FFFFFF" w:themeFill="background1"/>
            <w:noWrap/>
            <w:hideMark/>
          </w:tcPr>
          <w:p w:rsidR="0080544E" w:rsidRPr="00BB1B94" w:rsidRDefault="0080544E" w:rsidP="0080544E">
            <w:pPr>
              <w:pStyle w:val="TableMain"/>
            </w:pPr>
            <w:r w:rsidRPr="00BB1B94">
              <w:t>Install a new high efficiency gas ducted heater to replace an existing central electric heater.</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Install new HE room reverse-cycle air conditioner</w:t>
            </w:r>
          </w:p>
        </w:tc>
        <w:tc>
          <w:tcPr>
            <w:tcW w:w="1452" w:type="dxa"/>
            <w:shd w:val="clear" w:color="auto" w:fill="FFFFFF" w:themeFill="background1"/>
            <w:noWrap/>
            <w:hideMark/>
          </w:tcPr>
          <w:p w:rsidR="0080544E" w:rsidRPr="00BB1B94" w:rsidRDefault="0080544E" w:rsidP="0080544E">
            <w:pPr>
              <w:pStyle w:val="TableMain"/>
            </w:pPr>
            <w:r w:rsidRPr="00BB1B94">
              <w:t>Space Heating &amp; Cooling</w:t>
            </w:r>
          </w:p>
        </w:tc>
        <w:tc>
          <w:tcPr>
            <w:tcW w:w="5811" w:type="dxa"/>
            <w:shd w:val="clear" w:color="auto" w:fill="FFFFFF" w:themeFill="background1"/>
            <w:noWrap/>
            <w:hideMark/>
          </w:tcPr>
          <w:p w:rsidR="0080544E" w:rsidRPr="00BB1B94" w:rsidRDefault="0080544E" w:rsidP="0080544E">
            <w:pPr>
              <w:pStyle w:val="TableMain"/>
            </w:pPr>
            <w:r w:rsidRPr="00BB1B94">
              <w:t>Install new high efficiency room reverse-cycle air conditioner (assuming displacing existing room RCAC)</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Replace &amp; upgrade ducting for existing gas ducted heater</w:t>
            </w:r>
          </w:p>
        </w:tc>
        <w:tc>
          <w:tcPr>
            <w:tcW w:w="1452" w:type="dxa"/>
            <w:shd w:val="clear" w:color="auto" w:fill="FFFFFF" w:themeFill="background1"/>
            <w:noWrap/>
            <w:hideMark/>
          </w:tcPr>
          <w:p w:rsidR="0080544E" w:rsidRPr="00BB1B94" w:rsidRDefault="0080544E" w:rsidP="0080544E">
            <w:pPr>
              <w:pStyle w:val="TableMain"/>
            </w:pPr>
            <w:r w:rsidRPr="00BB1B94">
              <w:t>Space Heating &amp; Cooling</w:t>
            </w:r>
          </w:p>
        </w:tc>
        <w:tc>
          <w:tcPr>
            <w:tcW w:w="5811" w:type="dxa"/>
            <w:shd w:val="clear" w:color="auto" w:fill="FFFFFF" w:themeFill="background1"/>
            <w:noWrap/>
            <w:hideMark/>
          </w:tcPr>
          <w:p w:rsidR="0080544E" w:rsidRPr="00BB1B94" w:rsidRDefault="0080544E" w:rsidP="0080544E">
            <w:pPr>
              <w:pStyle w:val="TableMain"/>
            </w:pPr>
            <w:r w:rsidRPr="00BB1B94">
              <w:t>Remove old ductwork from an existing gas ducted heating system, and replaced with well-sealed high quality ductwork with a minimum R-value of R1.5.</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HE gas ducted replaces existing gas ducted heating</w:t>
            </w:r>
          </w:p>
        </w:tc>
        <w:tc>
          <w:tcPr>
            <w:tcW w:w="1452" w:type="dxa"/>
            <w:shd w:val="clear" w:color="auto" w:fill="FFFFFF" w:themeFill="background1"/>
            <w:noWrap/>
            <w:hideMark/>
          </w:tcPr>
          <w:p w:rsidR="0080544E" w:rsidRPr="00BB1B94" w:rsidRDefault="0080544E" w:rsidP="0080544E">
            <w:pPr>
              <w:pStyle w:val="TableMain"/>
            </w:pPr>
            <w:r w:rsidRPr="00BB1B94">
              <w:t>Space Heating &amp; Cooling</w:t>
            </w:r>
          </w:p>
        </w:tc>
        <w:tc>
          <w:tcPr>
            <w:tcW w:w="5811" w:type="dxa"/>
            <w:shd w:val="clear" w:color="auto" w:fill="FFFFFF" w:themeFill="background1"/>
            <w:noWrap/>
            <w:hideMark/>
          </w:tcPr>
          <w:p w:rsidR="0080544E" w:rsidRPr="00BB1B94" w:rsidRDefault="0080544E" w:rsidP="0080544E">
            <w:pPr>
              <w:pStyle w:val="TableMain"/>
            </w:pPr>
            <w:r w:rsidRPr="00BB1B94">
              <w:t>Install a new high efficiency gas ducted heater to replace an existing gas ducted heater. Note that this is the additional cost of a 5 star unit so the model assumes the unit will be replaced.</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 xml:space="preserve">Replace </w:t>
            </w:r>
            <w:r w:rsidR="00B36A28" w:rsidRPr="00BB1B94">
              <w:t>an</w:t>
            </w:r>
            <w:r w:rsidRPr="00BB1B94">
              <w:t xml:space="preserve"> existing shower rose with a low flow shower rose</w:t>
            </w:r>
          </w:p>
        </w:tc>
        <w:tc>
          <w:tcPr>
            <w:tcW w:w="1452" w:type="dxa"/>
            <w:shd w:val="clear" w:color="auto" w:fill="FFFFFF" w:themeFill="background1"/>
            <w:noWrap/>
            <w:hideMark/>
          </w:tcPr>
          <w:p w:rsidR="0080544E" w:rsidRPr="00BB1B94" w:rsidRDefault="0080544E" w:rsidP="0080544E">
            <w:pPr>
              <w:pStyle w:val="TableMain"/>
            </w:pPr>
            <w:r w:rsidRPr="00BB1B94">
              <w:t>Water Heating</w:t>
            </w:r>
          </w:p>
        </w:tc>
        <w:tc>
          <w:tcPr>
            <w:tcW w:w="5811" w:type="dxa"/>
            <w:shd w:val="clear" w:color="auto" w:fill="FFFFFF" w:themeFill="background1"/>
            <w:noWrap/>
            <w:hideMark/>
          </w:tcPr>
          <w:p w:rsidR="0080544E" w:rsidRPr="00BB1B94" w:rsidRDefault="0080544E" w:rsidP="0080544E">
            <w:pPr>
              <w:pStyle w:val="TableMain"/>
            </w:pPr>
            <w:r w:rsidRPr="00BB1B94">
              <w:t>Replace an existing unrated shower rose with a low flow shower rose (3 Star Water Efficiency Rating or AAA rating).</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Elec</w:t>
            </w:r>
            <w:r w:rsidR="00924FB7">
              <w:t>tric</w:t>
            </w:r>
            <w:r w:rsidRPr="00BB1B94">
              <w:t xml:space="preserve"> storage HW replaced with gas storage HW</w:t>
            </w:r>
          </w:p>
        </w:tc>
        <w:tc>
          <w:tcPr>
            <w:tcW w:w="1452" w:type="dxa"/>
            <w:shd w:val="clear" w:color="auto" w:fill="FFFFFF" w:themeFill="background1"/>
            <w:noWrap/>
            <w:hideMark/>
          </w:tcPr>
          <w:p w:rsidR="0080544E" w:rsidRPr="00BB1B94" w:rsidRDefault="0080544E" w:rsidP="0080544E">
            <w:pPr>
              <w:pStyle w:val="TableMain"/>
            </w:pPr>
            <w:r w:rsidRPr="00BB1B94">
              <w:t>Water Heating</w:t>
            </w:r>
          </w:p>
        </w:tc>
        <w:tc>
          <w:tcPr>
            <w:tcW w:w="5811" w:type="dxa"/>
            <w:shd w:val="clear" w:color="auto" w:fill="FFFFFF" w:themeFill="background1"/>
            <w:noWrap/>
            <w:hideMark/>
          </w:tcPr>
          <w:p w:rsidR="0080544E" w:rsidRPr="00BB1B94" w:rsidRDefault="0080544E" w:rsidP="0080544E">
            <w:pPr>
              <w:pStyle w:val="TableMain"/>
            </w:pPr>
            <w:r w:rsidRPr="00BB1B94">
              <w:t xml:space="preserve">High efficiency 5.0 or 5.5 star gas storage water heater to replace existing electric storage water heater. </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Elec</w:t>
            </w:r>
            <w:r w:rsidR="00924FB7">
              <w:t>tric</w:t>
            </w:r>
            <w:r w:rsidRPr="00BB1B94">
              <w:t xml:space="preserve"> storage HW replaced with gas instantaneous HW</w:t>
            </w:r>
          </w:p>
        </w:tc>
        <w:tc>
          <w:tcPr>
            <w:tcW w:w="1452" w:type="dxa"/>
            <w:shd w:val="clear" w:color="auto" w:fill="FFFFFF" w:themeFill="background1"/>
            <w:noWrap/>
            <w:hideMark/>
          </w:tcPr>
          <w:p w:rsidR="0080544E" w:rsidRPr="00BB1B94" w:rsidRDefault="0080544E" w:rsidP="0080544E">
            <w:pPr>
              <w:pStyle w:val="TableMain"/>
            </w:pPr>
            <w:r w:rsidRPr="00BB1B94">
              <w:t>Water Heating</w:t>
            </w:r>
          </w:p>
        </w:tc>
        <w:tc>
          <w:tcPr>
            <w:tcW w:w="5811" w:type="dxa"/>
            <w:shd w:val="clear" w:color="auto" w:fill="FFFFFF" w:themeFill="background1"/>
            <w:noWrap/>
            <w:hideMark/>
          </w:tcPr>
          <w:p w:rsidR="0080544E" w:rsidRPr="00BB1B94" w:rsidRDefault="0080544E" w:rsidP="0080544E">
            <w:pPr>
              <w:pStyle w:val="TableMain"/>
            </w:pPr>
            <w:r w:rsidRPr="00BB1B94">
              <w:t xml:space="preserve">High efficiency 5.0 or 5.5 star gas instantaneous water heater to replace existing electric storage water heater. </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Elec</w:t>
            </w:r>
            <w:r w:rsidR="00924FB7">
              <w:t>tric</w:t>
            </w:r>
            <w:r w:rsidRPr="00BB1B94">
              <w:t xml:space="preserve"> storage replaced with solar gas-boosted</w:t>
            </w:r>
          </w:p>
        </w:tc>
        <w:tc>
          <w:tcPr>
            <w:tcW w:w="1452" w:type="dxa"/>
            <w:shd w:val="clear" w:color="auto" w:fill="FFFFFF" w:themeFill="background1"/>
            <w:noWrap/>
            <w:hideMark/>
          </w:tcPr>
          <w:p w:rsidR="0080544E" w:rsidRPr="00BB1B94" w:rsidRDefault="0080544E" w:rsidP="0080544E">
            <w:pPr>
              <w:pStyle w:val="TableMain"/>
            </w:pPr>
            <w:r w:rsidRPr="00BB1B94">
              <w:t>Water Heating</w:t>
            </w:r>
          </w:p>
        </w:tc>
        <w:tc>
          <w:tcPr>
            <w:tcW w:w="5811" w:type="dxa"/>
            <w:shd w:val="clear" w:color="auto" w:fill="FFFFFF" w:themeFill="background1"/>
            <w:noWrap/>
            <w:hideMark/>
          </w:tcPr>
          <w:p w:rsidR="0080544E" w:rsidRPr="00BB1B94" w:rsidRDefault="0080544E" w:rsidP="0080544E">
            <w:pPr>
              <w:pStyle w:val="TableMain"/>
            </w:pPr>
            <w:r w:rsidRPr="00BB1B94">
              <w:t>Solar-gas water heater replaces existing electric heater.</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Solar retrofit to existing elec</w:t>
            </w:r>
            <w:r w:rsidR="00924FB7">
              <w:t>tric</w:t>
            </w:r>
            <w:r w:rsidRPr="00BB1B94">
              <w:t xml:space="preserve"> storage</w:t>
            </w:r>
          </w:p>
        </w:tc>
        <w:tc>
          <w:tcPr>
            <w:tcW w:w="1452" w:type="dxa"/>
            <w:shd w:val="clear" w:color="auto" w:fill="FFFFFF" w:themeFill="background1"/>
            <w:noWrap/>
            <w:hideMark/>
          </w:tcPr>
          <w:p w:rsidR="0080544E" w:rsidRPr="00BB1B94" w:rsidRDefault="0080544E" w:rsidP="0080544E">
            <w:pPr>
              <w:pStyle w:val="TableMain"/>
            </w:pPr>
            <w:r w:rsidRPr="00BB1B94">
              <w:t>Water Heating</w:t>
            </w:r>
          </w:p>
        </w:tc>
        <w:tc>
          <w:tcPr>
            <w:tcW w:w="5811" w:type="dxa"/>
            <w:shd w:val="clear" w:color="auto" w:fill="FFFFFF" w:themeFill="background1"/>
            <w:noWrap/>
            <w:hideMark/>
          </w:tcPr>
          <w:p w:rsidR="0080544E" w:rsidRPr="00BB1B94" w:rsidRDefault="0080544E" w:rsidP="0080544E">
            <w:pPr>
              <w:pStyle w:val="TableMain"/>
            </w:pPr>
            <w:r w:rsidRPr="00BB1B94">
              <w:t>Solar retrofit for existing electric water heater.</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Elec</w:t>
            </w:r>
            <w:r w:rsidR="00924FB7">
              <w:t>tric</w:t>
            </w:r>
            <w:r w:rsidRPr="00BB1B94">
              <w:t xml:space="preserve"> storage replaced with heat pump</w:t>
            </w:r>
          </w:p>
        </w:tc>
        <w:tc>
          <w:tcPr>
            <w:tcW w:w="1452" w:type="dxa"/>
            <w:shd w:val="clear" w:color="auto" w:fill="FFFFFF" w:themeFill="background1"/>
            <w:noWrap/>
            <w:hideMark/>
          </w:tcPr>
          <w:p w:rsidR="0080544E" w:rsidRPr="00BB1B94" w:rsidRDefault="0080544E" w:rsidP="0080544E">
            <w:pPr>
              <w:pStyle w:val="TableMain"/>
            </w:pPr>
            <w:r w:rsidRPr="00BB1B94">
              <w:t>Water Heating</w:t>
            </w:r>
          </w:p>
        </w:tc>
        <w:tc>
          <w:tcPr>
            <w:tcW w:w="5811" w:type="dxa"/>
            <w:shd w:val="clear" w:color="auto" w:fill="FFFFFF" w:themeFill="background1"/>
            <w:noWrap/>
            <w:hideMark/>
          </w:tcPr>
          <w:p w:rsidR="0080544E" w:rsidRPr="00BB1B94" w:rsidRDefault="0080544E" w:rsidP="0080544E">
            <w:pPr>
              <w:pStyle w:val="TableMain"/>
            </w:pPr>
            <w:r w:rsidRPr="00BB1B94">
              <w:t>Heat pump HW for existing electric water heater.</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Existing gas storage WH replaced with solar gas-boosted</w:t>
            </w:r>
          </w:p>
        </w:tc>
        <w:tc>
          <w:tcPr>
            <w:tcW w:w="1452" w:type="dxa"/>
            <w:shd w:val="clear" w:color="auto" w:fill="FFFFFF" w:themeFill="background1"/>
            <w:noWrap/>
            <w:hideMark/>
          </w:tcPr>
          <w:p w:rsidR="0080544E" w:rsidRPr="00BB1B94" w:rsidRDefault="0080544E" w:rsidP="0080544E">
            <w:pPr>
              <w:pStyle w:val="TableMain"/>
            </w:pPr>
            <w:r w:rsidRPr="00BB1B94">
              <w:t>Water Heating</w:t>
            </w:r>
          </w:p>
        </w:tc>
        <w:tc>
          <w:tcPr>
            <w:tcW w:w="5811" w:type="dxa"/>
            <w:shd w:val="clear" w:color="auto" w:fill="FFFFFF" w:themeFill="background1"/>
            <w:noWrap/>
            <w:hideMark/>
          </w:tcPr>
          <w:p w:rsidR="0080544E" w:rsidRPr="00BB1B94" w:rsidRDefault="0080544E" w:rsidP="0080544E">
            <w:pPr>
              <w:pStyle w:val="TableMain"/>
            </w:pPr>
            <w:r w:rsidRPr="00BB1B94">
              <w:t>An existing gas water heater is replaced with a gas-boosted solar water heater.</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Install a solar pre</w:t>
            </w:r>
            <w:r w:rsidR="00924FB7">
              <w:t>-</w:t>
            </w:r>
            <w:r w:rsidRPr="00BB1B94">
              <w:t>heater on a natural gas HW heater</w:t>
            </w:r>
          </w:p>
        </w:tc>
        <w:tc>
          <w:tcPr>
            <w:tcW w:w="1452" w:type="dxa"/>
            <w:shd w:val="clear" w:color="auto" w:fill="FFFFFF" w:themeFill="background1"/>
            <w:noWrap/>
            <w:hideMark/>
          </w:tcPr>
          <w:p w:rsidR="0080544E" w:rsidRPr="00BB1B94" w:rsidRDefault="0080544E" w:rsidP="0080544E">
            <w:pPr>
              <w:pStyle w:val="TableMain"/>
            </w:pPr>
            <w:r w:rsidRPr="00BB1B94">
              <w:t>Water Heating</w:t>
            </w:r>
          </w:p>
        </w:tc>
        <w:tc>
          <w:tcPr>
            <w:tcW w:w="5811" w:type="dxa"/>
            <w:shd w:val="clear" w:color="auto" w:fill="FFFFFF" w:themeFill="background1"/>
            <w:noWrap/>
            <w:hideMark/>
          </w:tcPr>
          <w:p w:rsidR="0080544E" w:rsidRPr="00BB1B94" w:rsidRDefault="0080544E" w:rsidP="0080544E">
            <w:pPr>
              <w:pStyle w:val="TableMain"/>
            </w:pPr>
            <w:r w:rsidRPr="00BB1B94">
              <w:t>An approved solar pre</w:t>
            </w:r>
            <w:r w:rsidR="00924FB7">
              <w:t>-</w:t>
            </w:r>
            <w:r w:rsidRPr="00BB1B94">
              <w:t>heater is fitted to an existing gas water heater.</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Replace incandescent with CFL equivalent</w:t>
            </w:r>
          </w:p>
        </w:tc>
        <w:tc>
          <w:tcPr>
            <w:tcW w:w="1452" w:type="dxa"/>
            <w:shd w:val="clear" w:color="auto" w:fill="FFFFFF" w:themeFill="background1"/>
            <w:noWrap/>
            <w:hideMark/>
          </w:tcPr>
          <w:p w:rsidR="0080544E" w:rsidRPr="00BB1B94" w:rsidRDefault="0080544E" w:rsidP="0080544E">
            <w:pPr>
              <w:pStyle w:val="TableMain"/>
            </w:pPr>
            <w:r w:rsidRPr="00BB1B94">
              <w:t>Equipment &amp; Appliances</w:t>
            </w:r>
          </w:p>
        </w:tc>
        <w:tc>
          <w:tcPr>
            <w:tcW w:w="5811" w:type="dxa"/>
            <w:shd w:val="clear" w:color="auto" w:fill="FFFFFF" w:themeFill="background1"/>
            <w:noWrap/>
            <w:hideMark/>
          </w:tcPr>
          <w:p w:rsidR="0080544E" w:rsidRPr="00BB1B94" w:rsidRDefault="0080544E" w:rsidP="0080544E">
            <w:pPr>
              <w:pStyle w:val="TableMain"/>
            </w:pPr>
            <w:r w:rsidRPr="00BB1B94">
              <w:t>Replace existing incandescent lamp with low energy alternative (CFL or LED)</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Replace 50W QH with LED equivalent (direct replacement)</w:t>
            </w:r>
          </w:p>
        </w:tc>
        <w:tc>
          <w:tcPr>
            <w:tcW w:w="1452" w:type="dxa"/>
            <w:shd w:val="clear" w:color="auto" w:fill="FFFFFF" w:themeFill="background1"/>
            <w:noWrap/>
            <w:hideMark/>
          </w:tcPr>
          <w:p w:rsidR="0080544E" w:rsidRPr="00BB1B94" w:rsidRDefault="0080544E" w:rsidP="0080544E">
            <w:pPr>
              <w:pStyle w:val="TableMain"/>
            </w:pPr>
            <w:r w:rsidRPr="00BB1B94">
              <w:t>Equipment &amp; Appliances</w:t>
            </w:r>
          </w:p>
        </w:tc>
        <w:tc>
          <w:tcPr>
            <w:tcW w:w="5811" w:type="dxa"/>
            <w:shd w:val="clear" w:color="auto" w:fill="FFFFFF" w:themeFill="background1"/>
            <w:noWrap/>
            <w:hideMark/>
          </w:tcPr>
          <w:p w:rsidR="0080544E" w:rsidRPr="00BB1B94" w:rsidRDefault="0080544E" w:rsidP="0080544E">
            <w:pPr>
              <w:pStyle w:val="TableMain"/>
            </w:pPr>
            <w:r w:rsidRPr="00BB1B94">
              <w:t xml:space="preserve">Existing 50 </w:t>
            </w:r>
            <w:r w:rsidR="00924FB7">
              <w:t>w</w:t>
            </w:r>
            <w:r w:rsidRPr="00BB1B94">
              <w:t>att extra low voltage (ELV) halogen reflector lamp is replaced with a suitable ELV low energy alternative (LED).</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Replace 50W QH with CFL equivalent (direct replacement)</w:t>
            </w:r>
          </w:p>
        </w:tc>
        <w:tc>
          <w:tcPr>
            <w:tcW w:w="1452" w:type="dxa"/>
            <w:shd w:val="clear" w:color="auto" w:fill="FFFFFF" w:themeFill="background1"/>
            <w:noWrap/>
            <w:hideMark/>
          </w:tcPr>
          <w:p w:rsidR="0080544E" w:rsidRPr="00BB1B94" w:rsidRDefault="0080544E" w:rsidP="0080544E">
            <w:pPr>
              <w:pStyle w:val="TableMain"/>
            </w:pPr>
            <w:r w:rsidRPr="00BB1B94">
              <w:t>Equipment &amp; Appliances</w:t>
            </w:r>
          </w:p>
        </w:tc>
        <w:tc>
          <w:tcPr>
            <w:tcW w:w="5811" w:type="dxa"/>
            <w:shd w:val="clear" w:color="auto" w:fill="FFFFFF" w:themeFill="background1"/>
            <w:noWrap/>
            <w:hideMark/>
          </w:tcPr>
          <w:p w:rsidR="0080544E" w:rsidRPr="00BB1B94" w:rsidRDefault="0080544E" w:rsidP="0080544E">
            <w:pPr>
              <w:pStyle w:val="TableMain"/>
            </w:pPr>
            <w:r w:rsidRPr="00BB1B94">
              <w:t xml:space="preserve">Existing 50 </w:t>
            </w:r>
            <w:r w:rsidR="00924FB7">
              <w:t>w</w:t>
            </w:r>
            <w:r w:rsidRPr="00BB1B94">
              <w:t>att extra low voltage (ELV) halogen reflector lamp is replaced with a suitable ELV low energy alternative (CFL).</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Replace 50W QH with CFL equivalent (fitting change)</w:t>
            </w:r>
          </w:p>
        </w:tc>
        <w:tc>
          <w:tcPr>
            <w:tcW w:w="1452" w:type="dxa"/>
            <w:shd w:val="clear" w:color="auto" w:fill="FFFFFF" w:themeFill="background1"/>
            <w:noWrap/>
            <w:hideMark/>
          </w:tcPr>
          <w:p w:rsidR="0080544E" w:rsidRPr="00BB1B94" w:rsidRDefault="0080544E" w:rsidP="0080544E">
            <w:pPr>
              <w:pStyle w:val="TableMain"/>
            </w:pPr>
            <w:r w:rsidRPr="00BB1B94">
              <w:t>Equipment &amp; Appliances</w:t>
            </w:r>
          </w:p>
        </w:tc>
        <w:tc>
          <w:tcPr>
            <w:tcW w:w="5811" w:type="dxa"/>
            <w:shd w:val="clear" w:color="auto" w:fill="FFFFFF" w:themeFill="background1"/>
            <w:noWrap/>
            <w:hideMark/>
          </w:tcPr>
          <w:p w:rsidR="0080544E" w:rsidRPr="00BB1B94" w:rsidRDefault="0080544E" w:rsidP="0080544E">
            <w:pPr>
              <w:pStyle w:val="TableMain"/>
            </w:pPr>
            <w:r w:rsidRPr="00BB1B94">
              <w:t xml:space="preserve">Low energy (CFL) down light fitting is installed in an existing home. </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Retirement of Pre-96 refrigerators</w:t>
            </w:r>
          </w:p>
        </w:tc>
        <w:tc>
          <w:tcPr>
            <w:tcW w:w="1452" w:type="dxa"/>
            <w:shd w:val="clear" w:color="auto" w:fill="FFFFFF" w:themeFill="background1"/>
            <w:noWrap/>
            <w:hideMark/>
          </w:tcPr>
          <w:p w:rsidR="0080544E" w:rsidRPr="00BB1B94" w:rsidRDefault="0080544E" w:rsidP="0080544E">
            <w:pPr>
              <w:pStyle w:val="TableMain"/>
            </w:pPr>
            <w:r w:rsidRPr="00BB1B94">
              <w:t>Equipment &amp; Appliances</w:t>
            </w:r>
          </w:p>
        </w:tc>
        <w:tc>
          <w:tcPr>
            <w:tcW w:w="5811" w:type="dxa"/>
            <w:shd w:val="clear" w:color="auto" w:fill="FFFFFF" w:themeFill="background1"/>
            <w:noWrap/>
            <w:hideMark/>
          </w:tcPr>
          <w:p w:rsidR="0080544E" w:rsidRPr="00BB1B94" w:rsidRDefault="0080544E" w:rsidP="0080544E">
            <w:pPr>
              <w:pStyle w:val="TableMain"/>
            </w:pPr>
            <w:r w:rsidRPr="00BB1B94">
              <w:t xml:space="preserve">Retire operating old (&gt;15 years) </w:t>
            </w:r>
            <w:r w:rsidRPr="00A22A08">
              <w:t xml:space="preserve">refrigerator permanently from service and recycle. Applies to 1-door or 2-door refrigerators. </w:t>
            </w:r>
            <w:r w:rsidR="00D6475A" w:rsidRPr="00A22A08">
              <w:t>The old fridge may possibly be replaced at the new fridge</w:t>
            </w:r>
            <w:r w:rsidRPr="00A22A08">
              <w:t xml:space="preserve"> </w:t>
            </w:r>
            <w:r w:rsidR="00A22A08" w:rsidRPr="00A22A08">
              <w:t xml:space="preserve">and </w:t>
            </w:r>
            <w:r w:rsidRPr="00A22A08">
              <w:t>so the energy saving is the difference between the energy used</w:t>
            </w:r>
            <w:r w:rsidRPr="00BB1B94">
              <w:t xml:space="preserve"> by the old fridge and the energy used by a replacement. The cost of any new fridge is not considered in the analysis. </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 xml:space="preserve">Installation of standby power </w:t>
            </w:r>
            <w:r w:rsidR="00924FB7">
              <w:t>c</w:t>
            </w:r>
            <w:r w:rsidRPr="00BB1B94">
              <w:t>ontroller</w:t>
            </w:r>
          </w:p>
        </w:tc>
        <w:tc>
          <w:tcPr>
            <w:tcW w:w="1452" w:type="dxa"/>
            <w:shd w:val="clear" w:color="auto" w:fill="FFFFFF" w:themeFill="background1"/>
            <w:noWrap/>
            <w:hideMark/>
          </w:tcPr>
          <w:p w:rsidR="0080544E" w:rsidRPr="00BB1B94" w:rsidRDefault="0080544E" w:rsidP="0080544E">
            <w:pPr>
              <w:pStyle w:val="TableMain"/>
            </w:pPr>
            <w:r w:rsidRPr="00BB1B94">
              <w:t>Equipment &amp; Appliances</w:t>
            </w:r>
          </w:p>
        </w:tc>
        <w:tc>
          <w:tcPr>
            <w:tcW w:w="5811" w:type="dxa"/>
            <w:shd w:val="clear" w:color="auto" w:fill="FFFFFF" w:themeFill="background1"/>
            <w:noWrap/>
            <w:hideMark/>
          </w:tcPr>
          <w:p w:rsidR="0080544E" w:rsidRPr="00BB1B94" w:rsidRDefault="0080544E" w:rsidP="0080544E">
            <w:pPr>
              <w:pStyle w:val="TableMain"/>
            </w:pPr>
            <w:r w:rsidRPr="00BB1B94">
              <w:t xml:space="preserve">Installation of 'smart power board' to control standby (and possibly active) power consumption for nests of computer and home entertainment equipment. </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HE freezer purchase</w:t>
            </w:r>
          </w:p>
        </w:tc>
        <w:tc>
          <w:tcPr>
            <w:tcW w:w="1452" w:type="dxa"/>
            <w:shd w:val="clear" w:color="auto" w:fill="FFFFFF" w:themeFill="background1"/>
            <w:noWrap/>
            <w:hideMark/>
          </w:tcPr>
          <w:p w:rsidR="0080544E" w:rsidRPr="00BB1B94" w:rsidRDefault="0080544E" w:rsidP="0080544E">
            <w:pPr>
              <w:pStyle w:val="TableMain"/>
            </w:pPr>
            <w:r w:rsidRPr="00BB1B94">
              <w:t>Equipment &amp; Appliances</w:t>
            </w:r>
          </w:p>
        </w:tc>
        <w:tc>
          <w:tcPr>
            <w:tcW w:w="5811" w:type="dxa"/>
            <w:shd w:val="clear" w:color="auto" w:fill="FFFFFF" w:themeFill="background1"/>
            <w:noWrap/>
            <w:hideMark/>
          </w:tcPr>
          <w:p w:rsidR="0080544E" w:rsidRPr="00BB1B94" w:rsidRDefault="0080544E" w:rsidP="00A22A08">
            <w:pPr>
              <w:pStyle w:val="TableMain"/>
            </w:pPr>
            <w:r w:rsidRPr="00BB1B94">
              <w:t xml:space="preserve">Purchase and installation of high efficiency new vertical or chest freezer, with a total volume between 100 and 700 </w:t>
            </w:r>
            <w:r w:rsidR="00924FB7">
              <w:t>l</w:t>
            </w:r>
            <w:r w:rsidRPr="00BB1B94">
              <w:t xml:space="preserve">itres. </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HE refrigerator purchase</w:t>
            </w:r>
          </w:p>
        </w:tc>
        <w:tc>
          <w:tcPr>
            <w:tcW w:w="1452" w:type="dxa"/>
            <w:shd w:val="clear" w:color="auto" w:fill="FFFFFF" w:themeFill="background1"/>
            <w:noWrap/>
            <w:hideMark/>
          </w:tcPr>
          <w:p w:rsidR="0080544E" w:rsidRPr="00BB1B94" w:rsidRDefault="0080544E" w:rsidP="0080544E">
            <w:pPr>
              <w:pStyle w:val="TableMain"/>
            </w:pPr>
            <w:r w:rsidRPr="00BB1B94">
              <w:t>Equipment &amp; Appliances</w:t>
            </w:r>
          </w:p>
        </w:tc>
        <w:tc>
          <w:tcPr>
            <w:tcW w:w="5811" w:type="dxa"/>
            <w:shd w:val="clear" w:color="auto" w:fill="FFFFFF" w:themeFill="background1"/>
            <w:noWrap/>
            <w:hideMark/>
          </w:tcPr>
          <w:p w:rsidR="0080544E" w:rsidRPr="00BB1B94" w:rsidRDefault="0080544E" w:rsidP="00A22A08">
            <w:pPr>
              <w:pStyle w:val="TableMain"/>
            </w:pPr>
            <w:r w:rsidRPr="00BB1B94">
              <w:t xml:space="preserve">Purchase and installation of high efficiency new refrigerator with a total volume between 100 and 700 </w:t>
            </w:r>
            <w:r w:rsidR="00924FB7">
              <w:t>l</w:t>
            </w:r>
            <w:r w:rsidRPr="00BB1B94">
              <w:t xml:space="preserve">itres. </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HE heat pump clothes dryer purchase</w:t>
            </w:r>
          </w:p>
        </w:tc>
        <w:tc>
          <w:tcPr>
            <w:tcW w:w="1452" w:type="dxa"/>
            <w:shd w:val="clear" w:color="auto" w:fill="FFFFFF" w:themeFill="background1"/>
            <w:noWrap/>
            <w:hideMark/>
          </w:tcPr>
          <w:p w:rsidR="0080544E" w:rsidRPr="00BB1B94" w:rsidRDefault="0080544E" w:rsidP="0080544E">
            <w:pPr>
              <w:pStyle w:val="TableMain"/>
            </w:pPr>
            <w:r w:rsidRPr="00BB1B94">
              <w:t>Equipment &amp; Appliances</w:t>
            </w:r>
          </w:p>
        </w:tc>
        <w:tc>
          <w:tcPr>
            <w:tcW w:w="5811" w:type="dxa"/>
            <w:shd w:val="clear" w:color="auto" w:fill="FFFFFF" w:themeFill="background1"/>
            <w:noWrap/>
            <w:hideMark/>
          </w:tcPr>
          <w:p w:rsidR="0080544E" w:rsidRPr="00BB1B94" w:rsidRDefault="0080544E" w:rsidP="00A22A08">
            <w:pPr>
              <w:pStyle w:val="TableMain"/>
            </w:pPr>
            <w:r w:rsidRPr="00BB1B94">
              <w:t xml:space="preserve">Purchase of a high efficiency electric clothes dryer (at least 5-Stars for electric dryers) rather than a market average dryer. </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Installation of HE gas clothes dryer</w:t>
            </w:r>
          </w:p>
        </w:tc>
        <w:tc>
          <w:tcPr>
            <w:tcW w:w="1452" w:type="dxa"/>
            <w:shd w:val="clear" w:color="auto" w:fill="FFFFFF" w:themeFill="background1"/>
            <w:noWrap/>
            <w:hideMark/>
          </w:tcPr>
          <w:p w:rsidR="0080544E" w:rsidRPr="00BB1B94" w:rsidRDefault="0080544E" w:rsidP="0080544E">
            <w:pPr>
              <w:pStyle w:val="TableMain"/>
            </w:pPr>
            <w:r w:rsidRPr="00BB1B94">
              <w:t>Equipment &amp; Appliances</w:t>
            </w:r>
          </w:p>
        </w:tc>
        <w:tc>
          <w:tcPr>
            <w:tcW w:w="5811" w:type="dxa"/>
            <w:shd w:val="clear" w:color="auto" w:fill="FFFFFF" w:themeFill="background1"/>
            <w:noWrap/>
            <w:hideMark/>
          </w:tcPr>
          <w:p w:rsidR="0080544E" w:rsidRPr="00BD7882" w:rsidRDefault="0080544E" w:rsidP="00A22A08">
            <w:pPr>
              <w:pStyle w:val="TableMain"/>
            </w:pPr>
            <w:r w:rsidRPr="00BD7882">
              <w:t xml:space="preserve">Purchase of a high efficiency gas clothes dryer rather than a market average dryer. </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HE television purchase</w:t>
            </w:r>
          </w:p>
        </w:tc>
        <w:tc>
          <w:tcPr>
            <w:tcW w:w="1452" w:type="dxa"/>
            <w:shd w:val="clear" w:color="auto" w:fill="FFFFFF" w:themeFill="background1"/>
            <w:noWrap/>
            <w:hideMark/>
          </w:tcPr>
          <w:p w:rsidR="0080544E" w:rsidRPr="00BB1B94" w:rsidRDefault="0080544E" w:rsidP="0080544E">
            <w:pPr>
              <w:pStyle w:val="TableMain"/>
            </w:pPr>
            <w:r w:rsidRPr="00BB1B94">
              <w:t>Equipment &amp; Appliances</w:t>
            </w:r>
          </w:p>
        </w:tc>
        <w:tc>
          <w:tcPr>
            <w:tcW w:w="5811" w:type="dxa"/>
            <w:shd w:val="clear" w:color="auto" w:fill="FFFFFF" w:themeFill="background1"/>
            <w:noWrap/>
            <w:hideMark/>
          </w:tcPr>
          <w:p w:rsidR="0080544E" w:rsidRPr="00BD7882" w:rsidRDefault="0080544E" w:rsidP="00A22A08">
            <w:pPr>
              <w:pStyle w:val="TableMain"/>
            </w:pPr>
            <w:r w:rsidRPr="00BD7882">
              <w:t>Purchase of a high efficiency television (at least 4-Stars) rather than a market average television</w:t>
            </w:r>
            <w:r w:rsidR="00D6475A" w:rsidRPr="00BD7882">
              <w:t xml:space="preserve">. </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HE dishwasher purchase</w:t>
            </w:r>
          </w:p>
        </w:tc>
        <w:tc>
          <w:tcPr>
            <w:tcW w:w="1452" w:type="dxa"/>
            <w:shd w:val="clear" w:color="auto" w:fill="FFFFFF" w:themeFill="background1"/>
            <w:noWrap/>
            <w:hideMark/>
          </w:tcPr>
          <w:p w:rsidR="0080544E" w:rsidRPr="00BB1B94" w:rsidRDefault="0080544E" w:rsidP="0080544E">
            <w:pPr>
              <w:pStyle w:val="TableMain"/>
            </w:pPr>
            <w:r w:rsidRPr="00BB1B94">
              <w:t>Equipment &amp; Appliances</w:t>
            </w:r>
          </w:p>
        </w:tc>
        <w:tc>
          <w:tcPr>
            <w:tcW w:w="5811" w:type="dxa"/>
            <w:shd w:val="clear" w:color="auto" w:fill="FFFFFF" w:themeFill="background1"/>
            <w:noWrap/>
            <w:hideMark/>
          </w:tcPr>
          <w:p w:rsidR="0080544E" w:rsidRPr="00BD7882" w:rsidRDefault="0080544E" w:rsidP="00BD7882">
            <w:pPr>
              <w:pStyle w:val="TableMain"/>
            </w:pPr>
            <w:r w:rsidRPr="00BD7882">
              <w:t>Purchase of a high efficiency dishwasher rather than a market average dishwasher</w:t>
            </w:r>
            <w:r w:rsidR="001320E1" w:rsidRPr="00BD7882">
              <w:t>.</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HE clothes washer purchase</w:t>
            </w:r>
          </w:p>
        </w:tc>
        <w:tc>
          <w:tcPr>
            <w:tcW w:w="1452" w:type="dxa"/>
            <w:shd w:val="clear" w:color="auto" w:fill="FFFFFF" w:themeFill="background1"/>
            <w:noWrap/>
            <w:hideMark/>
          </w:tcPr>
          <w:p w:rsidR="0080544E" w:rsidRPr="00BB1B94" w:rsidRDefault="0080544E" w:rsidP="0080544E">
            <w:pPr>
              <w:pStyle w:val="TableMain"/>
            </w:pPr>
            <w:r w:rsidRPr="00BB1B94">
              <w:t>Equipment &amp; Appliances</w:t>
            </w:r>
          </w:p>
        </w:tc>
        <w:tc>
          <w:tcPr>
            <w:tcW w:w="5811" w:type="dxa"/>
            <w:shd w:val="clear" w:color="auto" w:fill="FFFFFF" w:themeFill="background1"/>
            <w:noWrap/>
            <w:hideMark/>
          </w:tcPr>
          <w:p w:rsidR="0080544E" w:rsidRPr="00BD7882" w:rsidRDefault="0080544E" w:rsidP="00BD7882">
            <w:pPr>
              <w:pStyle w:val="TableMain"/>
            </w:pPr>
            <w:r w:rsidRPr="00BD7882">
              <w:t xml:space="preserve">Purchase of a high efficiency clothes washer rather than a market average </w:t>
            </w:r>
            <w:r w:rsidR="001320E1" w:rsidRPr="00BD7882">
              <w:t>clothes washer</w:t>
            </w:r>
            <w:r w:rsidRPr="00BD7882">
              <w:t xml:space="preserve">. </w:t>
            </w:r>
          </w:p>
        </w:tc>
      </w:tr>
      <w:tr w:rsidR="0080544E" w:rsidRPr="00BB1B94" w:rsidTr="00BB1B94">
        <w:trPr>
          <w:cantSplit/>
          <w:trHeight w:val="300"/>
        </w:trPr>
        <w:tc>
          <w:tcPr>
            <w:tcW w:w="1917" w:type="dxa"/>
            <w:shd w:val="clear" w:color="auto" w:fill="FFFFFF" w:themeFill="background1"/>
            <w:noWrap/>
            <w:hideMark/>
          </w:tcPr>
          <w:p w:rsidR="0080544E" w:rsidRPr="00BB1B94" w:rsidRDefault="0080544E" w:rsidP="0080544E">
            <w:pPr>
              <w:pStyle w:val="TableMain"/>
            </w:pPr>
            <w:r w:rsidRPr="00BB1B94">
              <w:t>HE pool pump</w:t>
            </w:r>
          </w:p>
        </w:tc>
        <w:tc>
          <w:tcPr>
            <w:tcW w:w="1452" w:type="dxa"/>
            <w:shd w:val="clear" w:color="auto" w:fill="FFFFFF" w:themeFill="background1"/>
            <w:noWrap/>
            <w:hideMark/>
          </w:tcPr>
          <w:p w:rsidR="0080544E" w:rsidRPr="00BB1B94" w:rsidRDefault="0080544E" w:rsidP="0080544E">
            <w:pPr>
              <w:pStyle w:val="TableMain"/>
            </w:pPr>
            <w:r w:rsidRPr="00BB1B94">
              <w:t>Equipment &amp; Appliances</w:t>
            </w:r>
          </w:p>
        </w:tc>
        <w:tc>
          <w:tcPr>
            <w:tcW w:w="5811" w:type="dxa"/>
            <w:shd w:val="clear" w:color="auto" w:fill="FFFFFF" w:themeFill="background1"/>
            <w:noWrap/>
            <w:hideMark/>
          </w:tcPr>
          <w:p w:rsidR="0080544E" w:rsidRPr="00BD7882" w:rsidRDefault="0080544E" w:rsidP="00BD7882">
            <w:pPr>
              <w:pStyle w:val="TableMain"/>
            </w:pPr>
            <w:r w:rsidRPr="00BD7882">
              <w:t>Purchase of a high efficiency pool pump rather than a market average pool pump</w:t>
            </w:r>
            <w:r w:rsidR="001320E1" w:rsidRPr="00BD7882">
              <w:t>.</w:t>
            </w:r>
            <w:r w:rsidRPr="00BD7882">
              <w:t xml:space="preserve"> </w:t>
            </w:r>
          </w:p>
        </w:tc>
      </w:tr>
      <w:tr w:rsidR="0080544E" w:rsidRPr="00BB1B94" w:rsidTr="004A2D09">
        <w:trPr>
          <w:cantSplit/>
          <w:trHeight w:val="482"/>
        </w:trPr>
        <w:tc>
          <w:tcPr>
            <w:tcW w:w="1917" w:type="dxa"/>
            <w:shd w:val="clear" w:color="auto" w:fill="FFFFFF" w:themeFill="background1"/>
            <w:noWrap/>
            <w:hideMark/>
          </w:tcPr>
          <w:p w:rsidR="0080544E" w:rsidRPr="00BB1B94" w:rsidRDefault="0080544E" w:rsidP="0080544E">
            <w:pPr>
              <w:pStyle w:val="TableMain"/>
            </w:pPr>
            <w:r w:rsidRPr="00BB1B94">
              <w:t>Installation of n</w:t>
            </w:r>
            <w:r w:rsidR="001320E1">
              <w:t>-</w:t>
            </w:r>
            <w:r w:rsidRPr="00BB1B94">
              <w:t>home display</w:t>
            </w:r>
          </w:p>
        </w:tc>
        <w:tc>
          <w:tcPr>
            <w:tcW w:w="1452" w:type="dxa"/>
            <w:shd w:val="clear" w:color="auto" w:fill="FFFFFF" w:themeFill="background1"/>
            <w:noWrap/>
            <w:hideMark/>
          </w:tcPr>
          <w:p w:rsidR="0080544E" w:rsidRPr="00BB1B94" w:rsidRDefault="0080544E" w:rsidP="0080544E">
            <w:pPr>
              <w:pStyle w:val="TableMain"/>
            </w:pPr>
            <w:r w:rsidRPr="00BB1B94">
              <w:t>Other</w:t>
            </w:r>
          </w:p>
        </w:tc>
        <w:tc>
          <w:tcPr>
            <w:tcW w:w="5811" w:type="dxa"/>
            <w:shd w:val="clear" w:color="auto" w:fill="FFFFFF" w:themeFill="background1"/>
            <w:noWrap/>
            <w:hideMark/>
          </w:tcPr>
          <w:p w:rsidR="0080544E" w:rsidRPr="00BB1B94" w:rsidRDefault="0080544E" w:rsidP="00BD7882">
            <w:pPr>
              <w:pStyle w:val="TableMain"/>
            </w:pPr>
            <w:r w:rsidRPr="00BB1B94">
              <w:t>Installation of real-time in</w:t>
            </w:r>
            <w:r w:rsidR="001320E1">
              <w:t>-</w:t>
            </w:r>
            <w:r w:rsidRPr="00BB1B94">
              <w:t>home display to change consumer behavi</w:t>
            </w:r>
            <w:r w:rsidRPr="00BD7882">
              <w:t xml:space="preserve">our - this could possibly be just electricity, or could cover both electricity and gas. </w:t>
            </w:r>
            <w:r w:rsidR="00D6475A" w:rsidRPr="00BD7882">
              <w:t>Products which meet the minimum functionality specification a</w:t>
            </w:r>
            <w:r w:rsidR="00BD7882" w:rsidRPr="00BD7882">
              <w:t>re</w:t>
            </w:r>
            <w:r w:rsidR="00D6475A" w:rsidRPr="00BD7882">
              <w:t xml:space="preserve"> allocated </w:t>
            </w:r>
            <w:r w:rsidR="00BD7882" w:rsidRPr="00BD7882">
              <w:t>a</w:t>
            </w:r>
            <w:r w:rsidR="00D6475A" w:rsidRPr="00BD7882">
              <w:t xml:space="preserve"> base level of savings.</w:t>
            </w:r>
            <w:r w:rsidRPr="00BD7882">
              <w:t xml:space="preserve"> Companies with products they claim generate a higher level of savings need</w:t>
            </w:r>
            <w:r w:rsidRPr="00BB1B94">
              <w:t xml:space="preserve"> to submit an independent test report based on Australian field trials to justify a higher level of certificates.</w:t>
            </w:r>
          </w:p>
        </w:tc>
      </w:tr>
    </w:tbl>
    <w:p w:rsidR="00636FCD" w:rsidRPr="00636FCD" w:rsidRDefault="00636FCD" w:rsidP="00636FCD">
      <w:pPr>
        <w:spacing w:before="120" w:after="120"/>
        <w:rPr>
          <w:rFonts w:cs="Calibri"/>
        </w:rPr>
      </w:pPr>
    </w:p>
    <w:p w:rsidR="00FB2188" w:rsidRPr="00FB2188" w:rsidRDefault="00636FCD" w:rsidP="005E7B16">
      <w:pPr>
        <w:pStyle w:val="Heading1"/>
      </w:pPr>
      <w:bookmarkStart w:id="141" w:name="_Ref303796670"/>
      <w:bookmarkStart w:id="142" w:name="_Ref303796675"/>
      <w:bookmarkStart w:id="143" w:name="_Toc306808251"/>
      <w:r w:rsidRPr="00B9662B">
        <w:t xml:space="preserve">Appendix B – Summary of Modelling </w:t>
      </w:r>
      <w:r w:rsidR="0062375B" w:rsidRPr="00B9662B">
        <w:t>Approach</w:t>
      </w:r>
      <w:bookmarkEnd w:id="141"/>
      <w:bookmarkEnd w:id="142"/>
      <w:bookmarkEnd w:id="143"/>
    </w:p>
    <w:p w:rsidR="00AD25D6" w:rsidRPr="00AD25D6" w:rsidRDefault="00AD25D6" w:rsidP="0001670E">
      <w:pPr>
        <w:pStyle w:val="ListBullet"/>
        <w:numPr>
          <w:ilvl w:val="0"/>
          <w:numId w:val="0"/>
        </w:numPr>
        <w:rPr>
          <w:rFonts w:asciiTheme="minorHAnsi" w:hAnsiTheme="minorHAnsi" w:cs="Calibri"/>
          <w:sz w:val="22"/>
          <w:szCs w:val="22"/>
        </w:rPr>
      </w:pPr>
      <w:r w:rsidRPr="00AD25D6">
        <w:rPr>
          <w:rFonts w:asciiTheme="minorHAnsi" w:hAnsiTheme="minorHAnsi" w:cs="Calibri"/>
          <w:sz w:val="22"/>
          <w:szCs w:val="22"/>
        </w:rPr>
        <w:t xml:space="preserve">The </w:t>
      </w:r>
      <w:r w:rsidR="00B36A28">
        <w:rPr>
          <w:rFonts w:asciiTheme="minorHAnsi" w:hAnsiTheme="minorHAnsi" w:cs="Calibri"/>
          <w:sz w:val="22"/>
          <w:szCs w:val="22"/>
        </w:rPr>
        <w:t>p</w:t>
      </w:r>
      <w:r w:rsidRPr="00AD25D6">
        <w:rPr>
          <w:rFonts w:asciiTheme="minorHAnsi" w:hAnsiTheme="minorHAnsi" w:cs="Calibri"/>
          <w:sz w:val="22"/>
          <w:szCs w:val="22"/>
        </w:rPr>
        <w:t>itt&amp;</w:t>
      </w:r>
      <w:r w:rsidR="00B36A28">
        <w:rPr>
          <w:rFonts w:asciiTheme="minorHAnsi" w:hAnsiTheme="minorHAnsi" w:cs="Calibri"/>
          <w:sz w:val="22"/>
          <w:szCs w:val="22"/>
        </w:rPr>
        <w:t>s</w:t>
      </w:r>
      <w:r w:rsidRPr="00AD25D6">
        <w:rPr>
          <w:rFonts w:asciiTheme="minorHAnsi" w:hAnsiTheme="minorHAnsi" w:cs="Calibri"/>
          <w:sz w:val="22"/>
          <w:szCs w:val="22"/>
        </w:rPr>
        <w:t>herry detailed energy baseline was summarised by fuel type end use categories and compared to the high level baseline to get fuel type deviation percentages. Significant deviations were present in the LPG and wood heating and electricity water heating categories. Each detailed “end use category + fuel type” was then adjusted by the corresponding fuel type deviation percentage</w:t>
      </w:r>
      <w:r w:rsidR="00216466">
        <w:rPr>
          <w:rFonts w:asciiTheme="minorHAnsi" w:hAnsiTheme="minorHAnsi" w:cs="Calibri"/>
          <w:sz w:val="22"/>
          <w:szCs w:val="22"/>
        </w:rPr>
        <w:t>,</w:t>
      </w:r>
      <w:r w:rsidRPr="00AD25D6">
        <w:rPr>
          <w:rFonts w:asciiTheme="minorHAnsi" w:hAnsiTheme="minorHAnsi" w:cs="Calibri"/>
          <w:sz w:val="22"/>
          <w:szCs w:val="22"/>
        </w:rPr>
        <w:t xml:space="preserve"> so summation of the detailed baseline agreed with the high level baseline. Energetics has assumed the high level </w:t>
      </w:r>
      <w:r w:rsidR="00A42A4E">
        <w:rPr>
          <w:rFonts w:asciiTheme="minorHAnsi" w:hAnsiTheme="minorHAnsi" w:cs="Calibri"/>
          <w:sz w:val="22"/>
          <w:szCs w:val="22"/>
        </w:rPr>
        <w:t>p</w:t>
      </w:r>
      <w:r w:rsidRPr="00AD25D6">
        <w:rPr>
          <w:rFonts w:asciiTheme="minorHAnsi" w:hAnsiTheme="minorHAnsi" w:cs="Calibri"/>
          <w:sz w:val="22"/>
          <w:szCs w:val="22"/>
        </w:rPr>
        <w:t>itt&amp;</w:t>
      </w:r>
      <w:r w:rsidR="00A42A4E">
        <w:rPr>
          <w:rFonts w:asciiTheme="minorHAnsi" w:hAnsiTheme="minorHAnsi" w:cs="Calibri"/>
          <w:sz w:val="22"/>
          <w:szCs w:val="22"/>
        </w:rPr>
        <w:t>s</w:t>
      </w:r>
      <w:r w:rsidRPr="00AD25D6">
        <w:rPr>
          <w:rFonts w:asciiTheme="minorHAnsi" w:hAnsiTheme="minorHAnsi" w:cs="Calibri"/>
          <w:sz w:val="22"/>
          <w:szCs w:val="22"/>
        </w:rPr>
        <w:t>herry energy baseline is at a sufficient level of accuracy required for the modelling.</w:t>
      </w:r>
    </w:p>
    <w:p w:rsidR="00AD25D6" w:rsidRPr="00AD25D6" w:rsidRDefault="00AD25D6" w:rsidP="0001670E">
      <w:pPr>
        <w:pStyle w:val="ListBullet"/>
        <w:numPr>
          <w:ilvl w:val="0"/>
          <w:numId w:val="0"/>
        </w:numPr>
        <w:rPr>
          <w:rFonts w:asciiTheme="minorHAnsi" w:hAnsiTheme="minorHAnsi" w:cs="Calibri"/>
          <w:sz w:val="22"/>
          <w:szCs w:val="22"/>
        </w:rPr>
      </w:pPr>
      <w:r w:rsidRPr="00AD25D6">
        <w:rPr>
          <w:rFonts w:asciiTheme="minorHAnsi" w:hAnsiTheme="minorHAnsi" w:cs="Calibri"/>
          <w:sz w:val="22"/>
          <w:szCs w:val="22"/>
        </w:rPr>
        <w:t>Electricity and mains gas prices are based on the mid range franchise pricing forecast completed by Energetics and includes pricing impacts from the proposed Carbon Pricing legislation</w:t>
      </w:r>
      <w:r w:rsidR="00166B60">
        <w:rPr>
          <w:rFonts w:asciiTheme="minorHAnsi" w:hAnsiTheme="minorHAnsi" w:cs="Calibri"/>
          <w:sz w:val="22"/>
          <w:szCs w:val="22"/>
        </w:rPr>
        <w:t xml:space="preserve"> plus national </w:t>
      </w:r>
      <w:r w:rsidR="00216466">
        <w:rPr>
          <w:rFonts w:asciiTheme="minorHAnsi" w:hAnsiTheme="minorHAnsi" w:cs="Calibri"/>
          <w:sz w:val="22"/>
          <w:szCs w:val="22"/>
        </w:rPr>
        <w:t>R</w:t>
      </w:r>
      <w:r w:rsidR="00166B60">
        <w:rPr>
          <w:rFonts w:asciiTheme="minorHAnsi" w:hAnsiTheme="minorHAnsi" w:cs="Calibri"/>
          <w:sz w:val="22"/>
          <w:szCs w:val="22"/>
        </w:rPr>
        <w:t xml:space="preserve">enewable </w:t>
      </w:r>
      <w:r w:rsidR="00216466">
        <w:rPr>
          <w:rFonts w:asciiTheme="minorHAnsi" w:hAnsiTheme="minorHAnsi" w:cs="Calibri"/>
          <w:sz w:val="22"/>
          <w:szCs w:val="22"/>
        </w:rPr>
        <w:t>E</w:t>
      </w:r>
      <w:r w:rsidR="00166B60">
        <w:rPr>
          <w:rFonts w:asciiTheme="minorHAnsi" w:hAnsiTheme="minorHAnsi" w:cs="Calibri"/>
          <w:sz w:val="22"/>
          <w:szCs w:val="22"/>
        </w:rPr>
        <w:t xml:space="preserve">nergy </w:t>
      </w:r>
      <w:r w:rsidR="00216466">
        <w:rPr>
          <w:rFonts w:asciiTheme="minorHAnsi" w:hAnsiTheme="minorHAnsi" w:cs="Calibri"/>
          <w:sz w:val="22"/>
          <w:szCs w:val="22"/>
        </w:rPr>
        <w:t>T</w:t>
      </w:r>
      <w:r w:rsidR="00166B60">
        <w:rPr>
          <w:rFonts w:asciiTheme="minorHAnsi" w:hAnsiTheme="minorHAnsi" w:cs="Calibri"/>
          <w:sz w:val="22"/>
          <w:szCs w:val="22"/>
        </w:rPr>
        <w:t>arget schemes</w:t>
      </w:r>
      <w:r w:rsidR="003F79EE">
        <w:rPr>
          <w:rFonts w:asciiTheme="minorHAnsi" w:hAnsiTheme="minorHAnsi" w:cs="Calibri"/>
          <w:sz w:val="22"/>
          <w:szCs w:val="22"/>
        </w:rPr>
        <w:t>.</w:t>
      </w:r>
      <w:r w:rsidRPr="00AD25D6">
        <w:rPr>
          <w:rFonts w:asciiTheme="minorHAnsi" w:hAnsiTheme="minorHAnsi" w:cs="Calibri"/>
          <w:sz w:val="22"/>
          <w:szCs w:val="22"/>
        </w:rPr>
        <w:t xml:space="preserve"> Stationary LPG price forecasts are based on Energetics transport LPG prices and wood prices are </w:t>
      </w:r>
      <w:r w:rsidRPr="00166B60">
        <w:rPr>
          <w:rFonts w:asciiTheme="minorHAnsi" w:hAnsiTheme="minorHAnsi" w:cs="Calibri"/>
          <w:sz w:val="22"/>
          <w:szCs w:val="22"/>
        </w:rPr>
        <w:t>based on $200/tonne with a 2.5% p.a. price escalation</w:t>
      </w:r>
      <w:r w:rsidR="003F79EE" w:rsidRPr="00166B60">
        <w:rPr>
          <w:rFonts w:asciiTheme="minorHAnsi" w:hAnsiTheme="minorHAnsi" w:cs="Calibri"/>
          <w:sz w:val="22"/>
          <w:szCs w:val="22"/>
        </w:rPr>
        <w:t>. Bill cost associated with</w:t>
      </w:r>
      <w:r w:rsidRPr="00166B60">
        <w:rPr>
          <w:rFonts w:asciiTheme="minorHAnsi" w:hAnsiTheme="minorHAnsi" w:cs="Calibri"/>
          <w:sz w:val="22"/>
          <w:szCs w:val="22"/>
        </w:rPr>
        <w:t xml:space="preserve"> LPG and wood consumption is relatively small and therefore the accuracy with the</w:t>
      </w:r>
      <w:r w:rsidRPr="00AD25D6">
        <w:rPr>
          <w:rFonts w:asciiTheme="minorHAnsi" w:hAnsiTheme="minorHAnsi" w:cs="Calibri"/>
          <w:sz w:val="22"/>
          <w:szCs w:val="22"/>
        </w:rPr>
        <w:t xml:space="preserve"> associated pricing assumptions has been considered acceptable.</w:t>
      </w:r>
    </w:p>
    <w:p w:rsidR="00AD25D6" w:rsidRPr="00AD25D6" w:rsidRDefault="00BD7882" w:rsidP="0001670E">
      <w:pPr>
        <w:pStyle w:val="ListBullet"/>
        <w:numPr>
          <w:ilvl w:val="0"/>
          <w:numId w:val="0"/>
        </w:numPr>
        <w:rPr>
          <w:rFonts w:asciiTheme="minorHAnsi" w:hAnsiTheme="minorHAnsi" w:cs="Calibri"/>
          <w:sz w:val="22"/>
          <w:szCs w:val="22"/>
        </w:rPr>
      </w:pPr>
      <w:r>
        <w:rPr>
          <w:rFonts w:asciiTheme="minorHAnsi" w:hAnsiTheme="minorHAnsi" w:cs="Calibri"/>
          <w:sz w:val="22"/>
          <w:szCs w:val="22"/>
        </w:rPr>
        <w:t>Commonwealth</w:t>
      </w:r>
      <w:r w:rsidR="00AD25D6" w:rsidRPr="00AD25D6">
        <w:rPr>
          <w:rFonts w:asciiTheme="minorHAnsi" w:hAnsiTheme="minorHAnsi" w:cs="Calibri"/>
          <w:sz w:val="22"/>
          <w:szCs w:val="22"/>
        </w:rPr>
        <w:t xml:space="preserve"> equipment and appliance stock share and penetration were used to build an equipment stock model for the ACT. Any gaps in the equipment stock model w</w:t>
      </w:r>
      <w:r w:rsidR="00916F57">
        <w:rPr>
          <w:rFonts w:asciiTheme="minorHAnsi" w:hAnsiTheme="minorHAnsi" w:cs="Calibri"/>
          <w:sz w:val="22"/>
          <w:szCs w:val="22"/>
        </w:rPr>
        <w:t>ere</w:t>
      </w:r>
      <w:r w:rsidR="00AD25D6" w:rsidRPr="00AD25D6">
        <w:rPr>
          <w:rFonts w:asciiTheme="minorHAnsi" w:hAnsiTheme="minorHAnsi" w:cs="Calibri"/>
          <w:sz w:val="22"/>
          <w:szCs w:val="22"/>
        </w:rPr>
        <w:t xml:space="preserve"> calculated by reverse engineering the </w:t>
      </w:r>
      <w:r w:rsidR="00916F57">
        <w:rPr>
          <w:rFonts w:asciiTheme="minorHAnsi" w:hAnsiTheme="minorHAnsi" w:cs="Calibri"/>
          <w:sz w:val="22"/>
          <w:szCs w:val="22"/>
        </w:rPr>
        <w:t>p</w:t>
      </w:r>
      <w:r w:rsidR="00AD25D6" w:rsidRPr="00AD25D6">
        <w:rPr>
          <w:rFonts w:asciiTheme="minorHAnsi" w:hAnsiTheme="minorHAnsi" w:cs="Calibri"/>
          <w:sz w:val="22"/>
          <w:szCs w:val="22"/>
        </w:rPr>
        <w:t>itt&amp;</w:t>
      </w:r>
      <w:r w:rsidR="00916F57">
        <w:rPr>
          <w:rFonts w:asciiTheme="minorHAnsi" w:hAnsiTheme="minorHAnsi" w:cs="Calibri"/>
          <w:sz w:val="22"/>
          <w:szCs w:val="22"/>
        </w:rPr>
        <w:t>s</w:t>
      </w:r>
      <w:r w:rsidR="00AD25D6" w:rsidRPr="00AD25D6">
        <w:rPr>
          <w:rFonts w:asciiTheme="minorHAnsi" w:hAnsiTheme="minorHAnsi" w:cs="Calibri"/>
          <w:sz w:val="22"/>
          <w:szCs w:val="22"/>
        </w:rPr>
        <w:t>herry detailed end use category energy baseline</w:t>
      </w:r>
      <w:r w:rsidR="00916F57">
        <w:rPr>
          <w:rFonts w:asciiTheme="minorHAnsi" w:hAnsiTheme="minorHAnsi" w:cs="Calibri"/>
          <w:sz w:val="22"/>
          <w:szCs w:val="22"/>
        </w:rPr>
        <w:t>,</w:t>
      </w:r>
      <w:r w:rsidR="00AD25D6" w:rsidRPr="00AD25D6">
        <w:rPr>
          <w:rFonts w:asciiTheme="minorHAnsi" w:hAnsiTheme="minorHAnsi" w:cs="Calibri"/>
          <w:sz w:val="22"/>
          <w:szCs w:val="22"/>
        </w:rPr>
        <w:t xml:space="preserve"> using the </w:t>
      </w:r>
      <w:r>
        <w:rPr>
          <w:rFonts w:asciiTheme="minorHAnsi" w:hAnsiTheme="minorHAnsi" w:cs="Calibri"/>
          <w:sz w:val="22"/>
          <w:szCs w:val="22"/>
        </w:rPr>
        <w:t xml:space="preserve">Commonwealth </w:t>
      </w:r>
      <w:r w:rsidR="00AD25D6" w:rsidRPr="00AD25D6">
        <w:rPr>
          <w:rFonts w:asciiTheme="minorHAnsi" w:hAnsiTheme="minorHAnsi" w:cs="Calibri"/>
          <w:sz w:val="22"/>
          <w:szCs w:val="22"/>
        </w:rPr>
        <w:t>appliance attributes and usage parameters</w:t>
      </w:r>
      <w:r w:rsidR="00916F57">
        <w:rPr>
          <w:rFonts w:asciiTheme="minorHAnsi" w:hAnsiTheme="minorHAnsi" w:cs="Calibri"/>
          <w:sz w:val="22"/>
          <w:szCs w:val="22"/>
        </w:rPr>
        <w:t>,</w:t>
      </w:r>
      <w:r w:rsidR="00AD25D6" w:rsidRPr="00AD25D6">
        <w:rPr>
          <w:rFonts w:asciiTheme="minorHAnsi" w:hAnsiTheme="minorHAnsi" w:cs="Calibri"/>
          <w:sz w:val="22"/>
          <w:szCs w:val="22"/>
        </w:rPr>
        <w:t xml:space="preserve"> as well as general assumptions. A housing stock model was also generated which provided data on total household numbers, floor areas, house star ratings and insulation characteristics.</w:t>
      </w:r>
    </w:p>
    <w:p w:rsidR="00AD25D6" w:rsidRPr="00AD25D6" w:rsidRDefault="00AD25D6" w:rsidP="0001670E">
      <w:pPr>
        <w:pStyle w:val="ListBullet"/>
        <w:numPr>
          <w:ilvl w:val="0"/>
          <w:numId w:val="0"/>
        </w:numPr>
        <w:rPr>
          <w:rFonts w:asciiTheme="minorHAnsi" w:hAnsiTheme="minorHAnsi" w:cs="Calibri"/>
          <w:sz w:val="22"/>
          <w:szCs w:val="22"/>
        </w:rPr>
      </w:pPr>
      <w:r w:rsidRPr="00AD25D6">
        <w:rPr>
          <w:rFonts w:asciiTheme="minorHAnsi" w:hAnsiTheme="minorHAnsi" w:cs="Calibri"/>
          <w:sz w:val="22"/>
          <w:szCs w:val="22"/>
        </w:rPr>
        <w:t>The measures calculated and used by the Victorian Energy Efficiency Target Scheme (VEET) were replicated for the ACT to reduce time and complexity and to provide consistency across the schemes to ease the transition towards a possible future national scheme. The VEET lifetime abatement figures and costs for measures were used for the ACT modelling with adjustments made where thought to be necessary.</w:t>
      </w:r>
    </w:p>
    <w:p w:rsidR="00AD25D6" w:rsidRPr="00AD25D6" w:rsidRDefault="00AD25D6" w:rsidP="0001670E">
      <w:pPr>
        <w:pStyle w:val="ListBullet"/>
        <w:numPr>
          <w:ilvl w:val="0"/>
          <w:numId w:val="0"/>
        </w:numPr>
        <w:rPr>
          <w:rFonts w:asciiTheme="minorHAnsi" w:hAnsiTheme="minorHAnsi" w:cs="Calibri"/>
          <w:sz w:val="22"/>
          <w:szCs w:val="22"/>
        </w:rPr>
      </w:pPr>
      <w:r w:rsidRPr="00AD25D6">
        <w:rPr>
          <w:rFonts w:asciiTheme="minorHAnsi" w:hAnsiTheme="minorHAnsi" w:cs="Calibri"/>
          <w:sz w:val="22"/>
          <w:szCs w:val="22"/>
        </w:rPr>
        <w:t>The equipment stock model was used to calculate the current size of each measure (opportunity). The VEET assumptions for maximum annual uptake rates (as a percentage of opportunity size) were calculated and directly applied to the size of the ACT opportunities. This provided the maximum units assumed for each measure that could be implemented on an annual basis in the ACT. The uptake rates can be considered as a function of implementation complexity, market capacity to deliver and user acceptance.</w:t>
      </w:r>
    </w:p>
    <w:p w:rsidR="0001670E" w:rsidRDefault="00AD25D6" w:rsidP="0001670E">
      <w:pPr>
        <w:pStyle w:val="ListBullet"/>
        <w:numPr>
          <w:ilvl w:val="0"/>
          <w:numId w:val="0"/>
        </w:numPr>
        <w:rPr>
          <w:rFonts w:asciiTheme="minorHAnsi" w:hAnsiTheme="minorHAnsi" w:cs="Calibri"/>
          <w:sz w:val="22"/>
          <w:szCs w:val="22"/>
        </w:rPr>
      </w:pPr>
      <w:r w:rsidRPr="00AD25D6">
        <w:rPr>
          <w:rFonts w:asciiTheme="minorHAnsi" w:hAnsiTheme="minorHAnsi" w:cs="Calibri"/>
          <w:sz w:val="22"/>
          <w:szCs w:val="22"/>
        </w:rPr>
        <w:t>Each measure was individually analysed drawing on the VEET calculations, figures and assumptions where appropriate and adjusting for ACT climate, housing stock characteristics, appliance energy share and appliance penetration where necessary. For each measure, the energy savings against each fuel type was calculated on a per unit basis. Energy savings are typically calculated as a weighted average calculation based on the equipment stock model and detailed end use energy consumption.</w:t>
      </w:r>
    </w:p>
    <w:p w:rsidR="00AD25D6" w:rsidRPr="0001670E" w:rsidRDefault="00AD25D6" w:rsidP="0001670E">
      <w:pPr>
        <w:pStyle w:val="ListBullet"/>
        <w:numPr>
          <w:ilvl w:val="0"/>
          <w:numId w:val="0"/>
        </w:numPr>
        <w:rPr>
          <w:rFonts w:asciiTheme="minorHAnsi" w:hAnsiTheme="minorHAnsi" w:cs="Calibri"/>
          <w:sz w:val="22"/>
          <w:szCs w:val="22"/>
        </w:rPr>
      </w:pPr>
      <w:r w:rsidRPr="0001670E">
        <w:rPr>
          <w:rFonts w:asciiTheme="minorHAnsi" w:hAnsiTheme="minorHAnsi" w:cs="Calibri"/>
          <w:sz w:val="22"/>
          <w:szCs w:val="22"/>
        </w:rPr>
        <w:t xml:space="preserve">A program model was developed </w:t>
      </w:r>
      <w:r w:rsidR="00916F57">
        <w:rPr>
          <w:rFonts w:asciiTheme="minorHAnsi" w:hAnsiTheme="minorHAnsi" w:cs="Calibri"/>
          <w:sz w:val="22"/>
          <w:szCs w:val="22"/>
        </w:rPr>
        <w:t>to</w:t>
      </w:r>
      <w:r w:rsidRPr="0001670E">
        <w:rPr>
          <w:rFonts w:asciiTheme="minorHAnsi" w:hAnsiTheme="minorHAnsi" w:cs="Calibri"/>
          <w:sz w:val="22"/>
          <w:szCs w:val="22"/>
        </w:rPr>
        <w:t xml:space="preserve"> analyse the outputs from individual measures in the context of a residential energy efficiency abatement program. The following parameters are entered into a model to set up the modelling.</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sz w:val="22"/>
          <w:szCs w:val="22"/>
        </w:rPr>
        <w:t>Program star</w:t>
      </w:r>
      <w:r w:rsidR="00916F57">
        <w:rPr>
          <w:rFonts w:asciiTheme="minorHAnsi" w:hAnsiTheme="minorHAnsi" w:cs="Calibri"/>
          <w:sz w:val="22"/>
          <w:szCs w:val="22"/>
        </w:rPr>
        <w:t>t</w:t>
      </w:r>
      <w:r w:rsidRPr="00AD25D6">
        <w:rPr>
          <w:rFonts w:asciiTheme="minorHAnsi" w:hAnsiTheme="minorHAnsi" w:cs="Calibri"/>
          <w:sz w:val="22"/>
          <w:szCs w:val="22"/>
        </w:rPr>
        <w:t xml:space="preserve"> year</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sz w:val="22"/>
          <w:szCs w:val="22"/>
        </w:rPr>
        <w:t>Program duration (years)</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sz w:val="22"/>
          <w:szCs w:val="22"/>
        </w:rPr>
        <w:t>Administration costs (% of measure cost)</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sz w:val="22"/>
          <w:szCs w:val="22"/>
        </w:rPr>
        <w:t>Incentive cap price ($/tCO2-e)</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sz w:val="22"/>
          <w:szCs w:val="22"/>
        </w:rPr>
        <w:t>Incentive cap price fee ($/tCO2-e)</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sz w:val="22"/>
          <w:szCs w:val="22"/>
        </w:rPr>
        <w:t>NPV discount rate (%)</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sz w:val="22"/>
          <w:szCs w:val="22"/>
        </w:rPr>
        <w:t xml:space="preserve">Number </w:t>
      </w:r>
      <w:r w:rsidR="00916F57">
        <w:rPr>
          <w:rFonts w:asciiTheme="minorHAnsi" w:hAnsiTheme="minorHAnsi" w:cs="Calibri"/>
          <w:sz w:val="22"/>
          <w:szCs w:val="22"/>
        </w:rPr>
        <w:t xml:space="preserve">of </w:t>
      </w:r>
      <w:r w:rsidRPr="00AD25D6">
        <w:rPr>
          <w:rFonts w:asciiTheme="minorHAnsi" w:hAnsiTheme="minorHAnsi" w:cs="Calibri"/>
          <w:sz w:val="22"/>
          <w:szCs w:val="22"/>
        </w:rPr>
        <w:t>years of bill energy savings to be included in the incentive (years)</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sz w:val="22"/>
          <w:szCs w:val="22"/>
        </w:rPr>
        <w:t>Energy savings degradation discount (% p.a.)</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sz w:val="22"/>
          <w:szCs w:val="22"/>
        </w:rPr>
        <w:t>Marginal cost of abatement limit for measures to be included in program ($/tCO2-e)</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sz w:val="22"/>
          <w:szCs w:val="22"/>
        </w:rPr>
        <w:t>Program abatement target (ktCO2-e)</w:t>
      </w:r>
    </w:p>
    <w:p w:rsidR="00AD25D6" w:rsidRPr="00AD25D6" w:rsidRDefault="00AD25D6" w:rsidP="0001670E">
      <w:pPr>
        <w:pStyle w:val="ListBullet"/>
        <w:numPr>
          <w:ilvl w:val="0"/>
          <w:numId w:val="0"/>
        </w:numPr>
        <w:rPr>
          <w:rFonts w:asciiTheme="minorHAnsi" w:hAnsiTheme="minorHAnsi" w:cs="Calibri"/>
          <w:sz w:val="22"/>
          <w:szCs w:val="22"/>
        </w:rPr>
      </w:pPr>
      <w:r w:rsidRPr="00AD25D6">
        <w:rPr>
          <w:rFonts w:asciiTheme="minorHAnsi" w:hAnsiTheme="minorHAnsi" w:cs="Calibri"/>
          <w:sz w:val="22"/>
          <w:szCs w:val="22"/>
        </w:rPr>
        <w:t>The energy savings outputs (MJ/unit p.a.), opportunity size and maximum uptake rates for each measure are fed into the program model. The VEET uptake percentage figures were entered into the program model to determine level of uptake associated with the capital cost that is covered by the householder incentive.</w:t>
      </w:r>
    </w:p>
    <w:p w:rsidR="00AD25D6" w:rsidRPr="00AD25D6" w:rsidRDefault="00AD25D6" w:rsidP="0001670E">
      <w:pPr>
        <w:pStyle w:val="ListBullet"/>
        <w:numPr>
          <w:ilvl w:val="0"/>
          <w:numId w:val="0"/>
        </w:numPr>
        <w:rPr>
          <w:rFonts w:asciiTheme="minorHAnsi" w:hAnsiTheme="minorHAnsi" w:cs="Calibri"/>
          <w:sz w:val="22"/>
          <w:szCs w:val="22"/>
        </w:rPr>
      </w:pPr>
      <w:r w:rsidRPr="00AD25D6">
        <w:rPr>
          <w:rFonts w:asciiTheme="minorHAnsi" w:hAnsiTheme="minorHAnsi" w:cs="Calibri"/>
          <w:sz w:val="22"/>
          <w:szCs w:val="22"/>
        </w:rPr>
        <w:t>The program model calculates the following annual figures for each measure from 2011 to 2060:</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b/>
          <w:sz w:val="22"/>
          <w:szCs w:val="22"/>
        </w:rPr>
        <w:t>Number of units implemented</w:t>
      </w:r>
      <w:r w:rsidRPr="00AD25D6">
        <w:rPr>
          <w:rFonts w:asciiTheme="minorHAnsi" w:hAnsiTheme="minorHAnsi" w:cs="Calibri"/>
          <w:sz w:val="22"/>
          <w:szCs w:val="22"/>
        </w:rPr>
        <w:t xml:space="preserve"> </w:t>
      </w:r>
      <w:r w:rsidRPr="00AD25D6">
        <w:rPr>
          <w:rFonts w:asciiTheme="minorHAnsi" w:hAnsiTheme="minorHAnsi" w:cs="Calibri"/>
          <w:i/>
          <w:sz w:val="22"/>
          <w:szCs w:val="22"/>
        </w:rPr>
        <w:t>– a function of the max</w:t>
      </w:r>
      <w:r w:rsidR="00916F57">
        <w:rPr>
          <w:rFonts w:asciiTheme="minorHAnsi" w:hAnsiTheme="minorHAnsi" w:cs="Calibri"/>
          <w:i/>
          <w:sz w:val="22"/>
          <w:szCs w:val="22"/>
        </w:rPr>
        <w:t>imum</w:t>
      </w:r>
      <w:r w:rsidRPr="00AD25D6">
        <w:rPr>
          <w:rFonts w:asciiTheme="minorHAnsi" w:hAnsiTheme="minorHAnsi" w:cs="Calibri"/>
          <w:i/>
          <w:sz w:val="22"/>
          <w:szCs w:val="22"/>
        </w:rPr>
        <w:t xml:space="preserve"> uptake rate, uptake rate associated with the cost covered by incentive and whether the opportunity size has been reached.</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b/>
          <w:sz w:val="22"/>
          <w:szCs w:val="22"/>
        </w:rPr>
        <w:t>Energy savings against fuel type</w:t>
      </w:r>
      <w:r w:rsidRPr="00AD25D6">
        <w:rPr>
          <w:rFonts w:asciiTheme="minorHAnsi" w:hAnsiTheme="minorHAnsi" w:cs="Calibri"/>
          <w:sz w:val="22"/>
          <w:szCs w:val="22"/>
        </w:rPr>
        <w:t xml:space="preserve"> </w:t>
      </w:r>
      <w:r w:rsidRPr="00AD25D6">
        <w:rPr>
          <w:rFonts w:asciiTheme="minorHAnsi" w:hAnsiTheme="minorHAnsi" w:cs="Calibri"/>
          <w:i/>
          <w:sz w:val="22"/>
          <w:szCs w:val="22"/>
        </w:rPr>
        <w:t>– discounted by energy degradation factor</w:t>
      </w:r>
    </w:p>
    <w:p w:rsidR="00AD25D6" w:rsidRPr="00AD25D6" w:rsidRDefault="00AD25D6" w:rsidP="00AD25D6">
      <w:pPr>
        <w:pStyle w:val="ListBullet2"/>
        <w:tabs>
          <w:tab w:val="clear" w:pos="1418"/>
          <w:tab w:val="num" w:pos="1134"/>
        </w:tabs>
        <w:ind w:left="1134"/>
        <w:rPr>
          <w:rFonts w:asciiTheme="minorHAnsi" w:hAnsiTheme="minorHAnsi" w:cs="Calibri"/>
          <w:b/>
          <w:sz w:val="22"/>
          <w:szCs w:val="22"/>
        </w:rPr>
      </w:pPr>
      <w:r w:rsidRPr="00AD25D6">
        <w:rPr>
          <w:rFonts w:asciiTheme="minorHAnsi" w:hAnsiTheme="minorHAnsi" w:cs="Calibri"/>
          <w:b/>
          <w:sz w:val="22"/>
          <w:szCs w:val="22"/>
        </w:rPr>
        <w:t xml:space="preserve">Abatement factors </w:t>
      </w:r>
      <w:r w:rsidRPr="00AD25D6">
        <w:rPr>
          <w:rFonts w:asciiTheme="minorHAnsi" w:hAnsiTheme="minorHAnsi" w:cs="Calibri"/>
          <w:sz w:val="22"/>
          <w:szCs w:val="22"/>
        </w:rPr>
        <w:t xml:space="preserve">– </w:t>
      </w:r>
      <w:r w:rsidR="00E5522E" w:rsidRPr="00E5522E">
        <w:rPr>
          <w:rFonts w:asciiTheme="minorHAnsi" w:hAnsiTheme="minorHAnsi" w:cs="Calibri"/>
          <w:i/>
          <w:sz w:val="22"/>
          <w:szCs w:val="22"/>
        </w:rPr>
        <w:t>over 1 to 25 year lifetimes</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b/>
          <w:sz w:val="22"/>
          <w:szCs w:val="22"/>
        </w:rPr>
        <w:t>GHG savings (non deemed)</w:t>
      </w:r>
      <w:r w:rsidRPr="00AD25D6">
        <w:rPr>
          <w:rFonts w:asciiTheme="minorHAnsi" w:hAnsiTheme="minorHAnsi" w:cs="Calibri"/>
          <w:sz w:val="22"/>
          <w:szCs w:val="22"/>
        </w:rPr>
        <w:t xml:space="preserve"> </w:t>
      </w:r>
      <w:r w:rsidRPr="00AD25D6">
        <w:rPr>
          <w:rFonts w:asciiTheme="minorHAnsi" w:hAnsiTheme="minorHAnsi" w:cs="Calibri"/>
          <w:i/>
          <w:sz w:val="22"/>
          <w:szCs w:val="22"/>
        </w:rPr>
        <w:t>– fuel type energy savings x emission factor</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b/>
          <w:sz w:val="22"/>
          <w:szCs w:val="22"/>
        </w:rPr>
        <w:t xml:space="preserve">GHG savings (deemed) </w:t>
      </w:r>
      <w:r w:rsidRPr="00AD25D6">
        <w:rPr>
          <w:rFonts w:asciiTheme="minorHAnsi" w:hAnsiTheme="minorHAnsi" w:cs="Calibri"/>
          <w:i/>
          <w:sz w:val="22"/>
          <w:szCs w:val="22"/>
        </w:rPr>
        <w:t>– units implemented x average abatement factor</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b/>
          <w:sz w:val="22"/>
          <w:szCs w:val="22"/>
        </w:rPr>
        <w:t xml:space="preserve">Program costs </w:t>
      </w:r>
      <w:r w:rsidRPr="00AD25D6">
        <w:rPr>
          <w:rFonts w:asciiTheme="minorHAnsi" w:hAnsiTheme="minorHAnsi" w:cs="Calibri"/>
          <w:i/>
          <w:sz w:val="22"/>
          <w:szCs w:val="22"/>
        </w:rPr>
        <w:t>– units implemented x cost per unit</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b/>
          <w:sz w:val="22"/>
          <w:szCs w:val="22"/>
        </w:rPr>
        <w:t>Bill cost savings</w:t>
      </w:r>
      <w:r w:rsidRPr="00AD25D6">
        <w:rPr>
          <w:rFonts w:asciiTheme="minorHAnsi" w:hAnsiTheme="minorHAnsi" w:cs="Calibri"/>
          <w:sz w:val="22"/>
          <w:szCs w:val="22"/>
        </w:rPr>
        <w:t xml:space="preserve"> </w:t>
      </w:r>
      <w:r w:rsidRPr="00AD25D6">
        <w:rPr>
          <w:rFonts w:asciiTheme="minorHAnsi" w:hAnsiTheme="minorHAnsi" w:cs="Calibri"/>
          <w:i/>
          <w:sz w:val="22"/>
          <w:szCs w:val="22"/>
        </w:rPr>
        <w:t>– fuel type energy savings x energy price</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b/>
          <w:sz w:val="22"/>
          <w:szCs w:val="22"/>
        </w:rPr>
        <w:t>Incentive</w:t>
      </w:r>
      <w:r w:rsidRPr="00AD25D6">
        <w:rPr>
          <w:rFonts w:asciiTheme="minorHAnsi" w:hAnsiTheme="minorHAnsi" w:cs="Calibri"/>
          <w:sz w:val="22"/>
          <w:szCs w:val="22"/>
        </w:rPr>
        <w:t xml:space="preserve"> – </w:t>
      </w:r>
      <w:r w:rsidRPr="00AD25D6">
        <w:rPr>
          <w:rFonts w:asciiTheme="minorHAnsi" w:hAnsiTheme="minorHAnsi" w:cs="Calibri"/>
          <w:i/>
          <w:sz w:val="22"/>
          <w:szCs w:val="22"/>
        </w:rPr>
        <w:t>lifetime abatement factor x cap price + n years of first year bill savings</w:t>
      </w:r>
    </w:p>
    <w:p w:rsidR="00AD25D6" w:rsidRPr="00AD25D6" w:rsidRDefault="00AD25D6" w:rsidP="00AD25D6">
      <w:pPr>
        <w:pStyle w:val="ListBullet2"/>
        <w:tabs>
          <w:tab w:val="clear" w:pos="1418"/>
          <w:tab w:val="num" w:pos="1134"/>
        </w:tabs>
        <w:ind w:left="1134"/>
        <w:rPr>
          <w:rFonts w:asciiTheme="minorHAnsi" w:hAnsiTheme="minorHAnsi" w:cs="Calibri"/>
          <w:sz w:val="22"/>
          <w:szCs w:val="22"/>
        </w:rPr>
      </w:pPr>
      <w:r w:rsidRPr="00AD25D6">
        <w:rPr>
          <w:rFonts w:asciiTheme="minorHAnsi" w:hAnsiTheme="minorHAnsi" w:cs="Calibri"/>
          <w:b/>
          <w:sz w:val="22"/>
          <w:szCs w:val="22"/>
        </w:rPr>
        <w:t>Present values</w:t>
      </w:r>
      <w:r w:rsidRPr="00AD25D6">
        <w:rPr>
          <w:rFonts w:asciiTheme="minorHAnsi" w:hAnsiTheme="minorHAnsi" w:cs="Calibri"/>
          <w:sz w:val="22"/>
          <w:szCs w:val="22"/>
        </w:rPr>
        <w:t xml:space="preserve"> </w:t>
      </w:r>
      <w:r w:rsidRPr="00AD25D6">
        <w:rPr>
          <w:rFonts w:asciiTheme="minorHAnsi" w:hAnsiTheme="minorHAnsi" w:cs="Calibri"/>
          <w:i/>
          <w:sz w:val="22"/>
          <w:szCs w:val="22"/>
        </w:rPr>
        <w:t>– for costs and savings</w:t>
      </w:r>
    </w:p>
    <w:p w:rsidR="00AD25D6" w:rsidRPr="00AD25D6" w:rsidRDefault="00AD25D6" w:rsidP="00FA50AF">
      <w:pPr>
        <w:pStyle w:val="ListBullet"/>
        <w:keepNext/>
        <w:numPr>
          <w:ilvl w:val="0"/>
          <w:numId w:val="0"/>
        </w:numPr>
        <w:rPr>
          <w:rFonts w:asciiTheme="minorHAnsi" w:hAnsiTheme="minorHAnsi" w:cs="Calibri"/>
          <w:sz w:val="22"/>
          <w:szCs w:val="22"/>
        </w:rPr>
      </w:pPr>
      <w:r w:rsidRPr="00AD25D6">
        <w:rPr>
          <w:rFonts w:asciiTheme="minorHAnsi" w:hAnsiTheme="minorHAnsi" w:cs="Calibri"/>
          <w:sz w:val="22"/>
          <w:szCs w:val="22"/>
        </w:rPr>
        <w:t>Each measure is summarised by calculating the following:</w:t>
      </w:r>
    </w:p>
    <w:p w:rsidR="00AD25D6" w:rsidRPr="00AD25D6" w:rsidRDefault="00AD25D6" w:rsidP="00FA50AF">
      <w:pPr>
        <w:pStyle w:val="ListBullet2"/>
        <w:keepNext/>
        <w:tabs>
          <w:tab w:val="clear" w:pos="1418"/>
          <w:tab w:val="num" w:pos="1134"/>
        </w:tabs>
        <w:ind w:left="1134"/>
        <w:rPr>
          <w:rFonts w:asciiTheme="minorHAnsi" w:hAnsiTheme="minorHAnsi" w:cs="Calibri"/>
          <w:sz w:val="22"/>
          <w:szCs w:val="22"/>
        </w:rPr>
      </w:pPr>
      <w:r w:rsidRPr="00AD25D6">
        <w:rPr>
          <w:rFonts w:asciiTheme="minorHAnsi" w:hAnsiTheme="minorHAnsi" w:cs="Calibri"/>
          <w:sz w:val="22"/>
          <w:szCs w:val="22"/>
        </w:rPr>
        <w:t>NPV ($)</w:t>
      </w:r>
    </w:p>
    <w:p w:rsidR="00AD25D6" w:rsidRPr="00AD25D6" w:rsidRDefault="00AD25D6" w:rsidP="00FA50AF">
      <w:pPr>
        <w:pStyle w:val="ListBullet2"/>
        <w:keepNext/>
        <w:tabs>
          <w:tab w:val="clear" w:pos="1418"/>
          <w:tab w:val="num" w:pos="1134"/>
        </w:tabs>
        <w:ind w:left="1134"/>
        <w:rPr>
          <w:rFonts w:asciiTheme="minorHAnsi" w:hAnsiTheme="minorHAnsi" w:cs="Calibri"/>
          <w:sz w:val="22"/>
          <w:szCs w:val="22"/>
        </w:rPr>
      </w:pPr>
      <w:r w:rsidRPr="00AD25D6">
        <w:rPr>
          <w:rFonts w:asciiTheme="minorHAnsi" w:hAnsiTheme="minorHAnsi" w:cs="Calibri"/>
          <w:sz w:val="22"/>
          <w:szCs w:val="22"/>
        </w:rPr>
        <w:t>Total abatement (ktCO2-e)</w:t>
      </w:r>
    </w:p>
    <w:p w:rsidR="00AD25D6" w:rsidRPr="00AD25D6" w:rsidRDefault="00AD25D6" w:rsidP="00FA50AF">
      <w:pPr>
        <w:pStyle w:val="ListBullet2"/>
        <w:keepNext/>
        <w:tabs>
          <w:tab w:val="clear" w:pos="1418"/>
          <w:tab w:val="num" w:pos="1134"/>
        </w:tabs>
        <w:ind w:left="1134"/>
        <w:rPr>
          <w:rFonts w:asciiTheme="minorHAnsi" w:hAnsiTheme="minorHAnsi" w:cs="Calibri"/>
          <w:sz w:val="22"/>
          <w:szCs w:val="22"/>
        </w:rPr>
      </w:pPr>
      <w:r w:rsidRPr="00AD25D6">
        <w:rPr>
          <w:rFonts w:asciiTheme="minorHAnsi" w:hAnsiTheme="minorHAnsi" w:cs="Calibri"/>
          <w:sz w:val="22"/>
          <w:szCs w:val="22"/>
        </w:rPr>
        <w:t>Marginal cost of abatement ($/tCO2-e)</w:t>
      </w:r>
    </w:p>
    <w:p w:rsidR="00AD25D6" w:rsidRPr="00AD25D6" w:rsidRDefault="00AD25D6" w:rsidP="00FA50AF">
      <w:pPr>
        <w:pStyle w:val="ListBullet2"/>
        <w:keepNext/>
        <w:tabs>
          <w:tab w:val="clear" w:pos="1418"/>
          <w:tab w:val="num" w:pos="1134"/>
        </w:tabs>
        <w:ind w:left="1134"/>
        <w:rPr>
          <w:rFonts w:asciiTheme="minorHAnsi" w:hAnsiTheme="minorHAnsi" w:cs="Calibri"/>
          <w:sz w:val="22"/>
          <w:szCs w:val="22"/>
        </w:rPr>
      </w:pPr>
      <w:r w:rsidRPr="00AD25D6">
        <w:rPr>
          <w:rFonts w:asciiTheme="minorHAnsi" w:hAnsiTheme="minorHAnsi" w:cs="Calibri"/>
          <w:sz w:val="22"/>
          <w:szCs w:val="22"/>
        </w:rPr>
        <w:t>Whether included in program as per the $/tCO2-e limit set in the program setup</w:t>
      </w:r>
    </w:p>
    <w:p w:rsidR="00AD25D6" w:rsidRDefault="00AD25D6" w:rsidP="0001670E">
      <w:pPr>
        <w:pStyle w:val="ListBullet"/>
        <w:numPr>
          <w:ilvl w:val="0"/>
          <w:numId w:val="0"/>
        </w:numPr>
        <w:rPr>
          <w:rFonts w:asciiTheme="minorHAnsi" w:hAnsiTheme="minorHAnsi" w:cs="Calibri"/>
          <w:sz w:val="22"/>
          <w:szCs w:val="22"/>
        </w:rPr>
      </w:pPr>
      <w:r w:rsidRPr="00AD25D6">
        <w:rPr>
          <w:rFonts w:asciiTheme="minorHAnsi" w:hAnsiTheme="minorHAnsi" w:cs="Calibri"/>
          <w:sz w:val="22"/>
          <w:szCs w:val="22"/>
        </w:rPr>
        <w:t>The entire program is summarised for all measures included showing NPV, total abatement and marginal cost of abatement.</w:t>
      </w:r>
      <w:bookmarkEnd w:id="135"/>
      <w:bookmarkEnd w:id="136"/>
      <w:bookmarkEnd w:id="137"/>
      <w:bookmarkEnd w:id="138"/>
    </w:p>
    <w:p w:rsidR="003F79EE" w:rsidRDefault="003F79EE" w:rsidP="0001670E">
      <w:pPr>
        <w:pStyle w:val="ListBullet"/>
        <w:numPr>
          <w:ilvl w:val="0"/>
          <w:numId w:val="0"/>
        </w:numPr>
        <w:rPr>
          <w:rFonts w:asciiTheme="minorHAnsi" w:hAnsiTheme="minorHAnsi" w:cs="Calibri"/>
          <w:sz w:val="22"/>
          <w:szCs w:val="22"/>
        </w:rPr>
      </w:pPr>
    </w:p>
    <w:sectPr w:rsidR="003F79EE" w:rsidSect="0051648C">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34" w:rsidRDefault="006D6234" w:rsidP="00E42265">
      <w:pPr>
        <w:spacing w:after="0" w:line="240" w:lineRule="auto"/>
      </w:pPr>
      <w:r>
        <w:separator/>
      </w:r>
    </w:p>
  </w:endnote>
  <w:endnote w:type="continuationSeparator" w:id="0">
    <w:p w:rsidR="006D6234" w:rsidRDefault="006D6234" w:rsidP="00E4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C STKaiti">
    <w:altName w:val="MS Mincho"/>
    <w:panose1 w:val="00000000000000000000"/>
    <w:charset w:val="86"/>
    <w:family w:val="auto"/>
    <w:notTrueType/>
    <w:pitch w:val="variable"/>
    <w:sig w:usb0="00000001" w:usb1="080E0000" w:usb2="00000010" w:usb3="00000000" w:csb0="00040000" w:csb1="00000000"/>
  </w:font>
  <w:font w:name="Myriad Pro">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70" w:rsidRDefault="00D47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7E" w:rsidRDefault="009C10C6">
    <w:pPr>
      <w:pStyle w:val="Footer"/>
      <w:jc w:val="right"/>
    </w:pPr>
    <w:r>
      <w:tab/>
    </w:r>
    <w:r w:rsidRPr="00E5522E">
      <w:rPr>
        <w:color w:val="595959" w:themeColor="text1" w:themeTint="A6"/>
      </w:rPr>
      <w:t xml:space="preserve">Page </w:t>
    </w:r>
    <w:r w:rsidRPr="00E5522E">
      <w:rPr>
        <w:color w:val="595959" w:themeColor="text1" w:themeTint="A6"/>
      </w:rPr>
      <w:fldChar w:fldCharType="begin"/>
    </w:r>
    <w:r w:rsidRPr="00E5522E">
      <w:rPr>
        <w:color w:val="595959" w:themeColor="text1" w:themeTint="A6"/>
      </w:rPr>
      <w:instrText xml:space="preserve"> PAGE   \* MERGEFORMAT </w:instrText>
    </w:r>
    <w:r w:rsidRPr="00E5522E">
      <w:rPr>
        <w:color w:val="595959" w:themeColor="text1" w:themeTint="A6"/>
      </w:rPr>
      <w:fldChar w:fldCharType="separate"/>
    </w:r>
    <w:r w:rsidR="00433328">
      <w:rPr>
        <w:noProof/>
        <w:color w:val="595959" w:themeColor="text1" w:themeTint="A6"/>
      </w:rPr>
      <w:t>2</w:t>
    </w:r>
    <w:r w:rsidRPr="00E5522E">
      <w:rPr>
        <w:color w:val="595959" w:themeColor="text1" w:themeTint="A6"/>
      </w:rPr>
      <w:fldChar w:fldCharType="end"/>
    </w:r>
    <w:r w:rsidRPr="00E5522E">
      <w:rPr>
        <w:color w:val="595959" w:themeColor="text1" w:themeTint="A6"/>
      </w:rPr>
      <w:t xml:space="preserve"> of </w:t>
    </w:r>
    <w:r w:rsidR="006F5BB0">
      <w:rPr>
        <w:noProof/>
        <w:color w:val="595959" w:themeColor="text1" w:themeTint="A6"/>
      </w:rPr>
      <w:fldChar w:fldCharType="begin"/>
    </w:r>
    <w:r w:rsidR="006F5BB0">
      <w:rPr>
        <w:noProof/>
        <w:color w:val="595959" w:themeColor="text1" w:themeTint="A6"/>
      </w:rPr>
      <w:instrText xml:space="preserve"> NUMPAGES   \* MERGEFORMAT </w:instrText>
    </w:r>
    <w:r w:rsidR="006F5BB0">
      <w:rPr>
        <w:noProof/>
        <w:color w:val="595959" w:themeColor="text1" w:themeTint="A6"/>
      </w:rPr>
      <w:fldChar w:fldCharType="separate"/>
    </w:r>
    <w:r w:rsidR="00433328">
      <w:rPr>
        <w:noProof/>
        <w:color w:val="595959" w:themeColor="text1" w:themeTint="A6"/>
      </w:rPr>
      <w:t>2</w:t>
    </w:r>
    <w:r w:rsidR="006F5BB0">
      <w:rPr>
        <w:noProof/>
        <w:color w:val="595959" w:themeColor="text1" w:themeTint="A6"/>
      </w:rPr>
      <w:fldChar w:fldCharType="end"/>
    </w:r>
  </w:p>
  <w:p w:rsidR="009C10C6" w:rsidRPr="00F43F18" w:rsidRDefault="00F43F18" w:rsidP="00F43F18">
    <w:pPr>
      <w:pStyle w:val="Footer"/>
      <w:jc w:val="center"/>
      <w:rPr>
        <w:rFonts w:ascii="Arial" w:hAnsi="Arial" w:cs="Arial"/>
        <w:color w:val="595959" w:themeColor="text1" w:themeTint="A6"/>
        <w:sz w:val="14"/>
      </w:rPr>
    </w:pPr>
    <w:r w:rsidRPr="00F43F18">
      <w:rPr>
        <w:rFonts w:ascii="Arial" w:hAnsi="Arial" w:cs="Arial"/>
        <w:color w:val="595959" w:themeColor="text1" w:themeTint="A6"/>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7E" w:rsidRPr="00F43F18" w:rsidRDefault="00F43F18" w:rsidP="00F43F18">
    <w:pPr>
      <w:pStyle w:val="Footer"/>
      <w:jc w:val="center"/>
      <w:rPr>
        <w:rFonts w:ascii="Arial" w:hAnsi="Arial" w:cs="Arial"/>
        <w:sz w:val="14"/>
      </w:rPr>
    </w:pPr>
    <w:r w:rsidRPr="00F43F1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34" w:rsidRDefault="006D6234" w:rsidP="00E42265">
      <w:pPr>
        <w:spacing w:after="0" w:line="240" w:lineRule="auto"/>
      </w:pPr>
      <w:r>
        <w:separator/>
      </w:r>
    </w:p>
  </w:footnote>
  <w:footnote w:type="continuationSeparator" w:id="0">
    <w:p w:rsidR="006D6234" w:rsidRDefault="006D6234" w:rsidP="00E42265">
      <w:pPr>
        <w:spacing w:after="0" w:line="240" w:lineRule="auto"/>
      </w:pPr>
      <w:r>
        <w:continuationSeparator/>
      </w:r>
    </w:p>
  </w:footnote>
  <w:footnote w:id="1">
    <w:p w:rsidR="008140BD" w:rsidRDefault="009C10C6">
      <w:pPr>
        <w:pStyle w:val="FootnoteText"/>
      </w:pPr>
      <w:r w:rsidRPr="00315479">
        <w:rPr>
          <w:rStyle w:val="FootnoteReference"/>
          <w:rFonts w:asciiTheme="minorHAnsi" w:hAnsiTheme="minorHAnsi" w:cs="Calibri"/>
        </w:rPr>
        <w:footnoteRef/>
      </w:r>
      <w:r w:rsidRPr="00315479">
        <w:rPr>
          <w:rFonts w:asciiTheme="minorHAnsi" w:hAnsiTheme="minorHAnsi" w:cs="Calibri"/>
        </w:rPr>
        <w:t xml:space="preserve"> These figures are ‘nominal’ and not discounted for inflation of costs of capital.</w:t>
      </w:r>
    </w:p>
  </w:footnote>
  <w:footnote w:id="2">
    <w:p w:rsidR="008140BD" w:rsidRDefault="009C10C6">
      <w:pPr>
        <w:pStyle w:val="FootnoteText"/>
      </w:pPr>
      <w:r w:rsidRPr="00171FE0">
        <w:rPr>
          <w:rStyle w:val="FootnoteReference"/>
          <w:rFonts w:asciiTheme="minorHAnsi" w:hAnsiTheme="minorHAnsi" w:cs="Calibri"/>
        </w:rPr>
        <w:footnoteRef/>
      </w:r>
      <w:r w:rsidRPr="00171FE0">
        <w:rPr>
          <w:rFonts w:asciiTheme="minorHAnsi" w:hAnsiTheme="minorHAnsi" w:cs="Calibri"/>
        </w:rPr>
        <w:t xml:space="preserve"> MCE Final report on the Council of Australian Governments’ Independent Review of Energy Market Directions, 2002, </w:t>
      </w:r>
      <w:r w:rsidRPr="00171FE0">
        <w:rPr>
          <w:rFonts w:asciiTheme="minorHAnsi" w:hAnsiTheme="minorHAnsi" w:cs="Calibri"/>
          <w:i/>
        </w:rPr>
        <w:t>Towards a Truly National and Efficient Energy Market</w:t>
      </w:r>
    </w:p>
  </w:footnote>
  <w:footnote w:id="3">
    <w:p w:rsidR="008140BD" w:rsidRDefault="009C10C6" w:rsidP="00592FF7">
      <w:pPr>
        <w:pStyle w:val="FootnoteText"/>
      </w:pPr>
      <w:r>
        <w:rPr>
          <w:rStyle w:val="FootnoteReference"/>
          <w:rFonts w:asciiTheme="minorHAnsi" w:hAnsiTheme="minorHAnsi" w:cs="Calibri"/>
        </w:rPr>
        <w:footnoteRef/>
      </w:r>
      <w:r w:rsidRPr="003C2017">
        <w:rPr>
          <w:rFonts w:asciiTheme="minorHAnsi" w:hAnsiTheme="minorHAnsi" w:cs="Calibri"/>
        </w:rPr>
        <w:t xml:space="preserve"> ABARE, 2010, </w:t>
      </w:r>
      <w:r w:rsidRPr="003C2017">
        <w:rPr>
          <w:rFonts w:asciiTheme="minorHAnsi" w:hAnsiTheme="minorHAnsi" w:cs="Calibri"/>
          <w:i/>
        </w:rPr>
        <w:t>Energy in Australia</w:t>
      </w:r>
    </w:p>
  </w:footnote>
  <w:footnote w:id="4">
    <w:p w:rsidR="008140BD" w:rsidRDefault="009C10C6" w:rsidP="00592FF7">
      <w:pPr>
        <w:pStyle w:val="FootnoteText"/>
      </w:pPr>
      <w:r w:rsidRPr="00BA1F90">
        <w:rPr>
          <w:rStyle w:val="FootnoteReference"/>
          <w:rFonts w:asciiTheme="minorHAnsi" w:hAnsiTheme="minorHAnsi" w:cs="Calibri"/>
        </w:rPr>
        <w:footnoteRef/>
      </w:r>
      <w:r w:rsidRPr="00BA1F90">
        <w:rPr>
          <w:rFonts w:asciiTheme="minorHAnsi" w:hAnsiTheme="minorHAnsi" w:cs="Calibri"/>
        </w:rPr>
        <w:t xml:space="preserve"> Garnaut, R, 2008, </w:t>
      </w:r>
      <w:r w:rsidRPr="00BA1F90">
        <w:rPr>
          <w:rFonts w:asciiTheme="minorHAnsi" w:hAnsiTheme="minorHAnsi" w:cs="Calibri"/>
          <w:i/>
        </w:rPr>
        <w:t>Garnaut Climate Change Review</w:t>
      </w:r>
      <w:r w:rsidRPr="00BA1F90">
        <w:rPr>
          <w:rFonts w:asciiTheme="minorHAnsi" w:hAnsiTheme="minorHAnsi" w:cs="Calibri"/>
        </w:rPr>
        <w:t>, Cambridge University Press</w:t>
      </w:r>
    </w:p>
  </w:footnote>
  <w:footnote w:id="5">
    <w:p w:rsidR="008140BD" w:rsidRDefault="009C10C6">
      <w:pPr>
        <w:pStyle w:val="FootnoteText"/>
      </w:pPr>
      <w:r w:rsidRPr="003C2017">
        <w:rPr>
          <w:rStyle w:val="FootnoteReference"/>
          <w:rFonts w:asciiTheme="minorHAnsi" w:hAnsiTheme="minorHAnsi" w:cs="Calibri"/>
        </w:rPr>
        <w:footnoteRef/>
      </w:r>
      <w:r w:rsidRPr="003C2017">
        <w:rPr>
          <w:rFonts w:asciiTheme="minorHAnsi" w:hAnsiTheme="minorHAnsi" w:cs="Calibri"/>
        </w:rPr>
        <w:t xml:space="preserve"> ACT Government, 2010, </w:t>
      </w:r>
      <w:r w:rsidRPr="003C2017">
        <w:rPr>
          <w:rFonts w:asciiTheme="minorHAnsi" w:hAnsiTheme="minorHAnsi" w:cs="Calibri"/>
          <w:i/>
        </w:rPr>
        <w:t xml:space="preserve">ACT Greenhouse Gas Inventory 2008 </w:t>
      </w:r>
      <w:hyperlink r:id="rId1" w:history="1">
        <w:r w:rsidRPr="003C2017">
          <w:rPr>
            <w:rStyle w:val="Hyperlink"/>
            <w:rFonts w:asciiTheme="minorHAnsi" w:hAnsiTheme="minorHAnsi" w:cs="Calibri"/>
          </w:rPr>
          <w:t>http://www.environment.act.gov.au/__data/assets/pdf_file/0015/200175/ACT_Greenhouse_Gas_Inventory_2008.pdf</w:t>
        </w:r>
      </w:hyperlink>
    </w:p>
  </w:footnote>
  <w:footnote w:id="6">
    <w:p w:rsidR="008140BD" w:rsidRDefault="009C10C6">
      <w:pPr>
        <w:pStyle w:val="FootnoteText"/>
      </w:pPr>
      <w:r w:rsidRPr="00530955">
        <w:rPr>
          <w:rStyle w:val="FootnoteReference"/>
          <w:rFonts w:ascii="Calibri" w:hAnsi="Calibri" w:cs="Calibri"/>
        </w:rPr>
        <w:footnoteRef/>
      </w:r>
      <w:r w:rsidRPr="00530955">
        <w:rPr>
          <w:rFonts w:ascii="Calibri" w:hAnsi="Calibri" w:cs="Calibri"/>
        </w:rPr>
        <w:t xml:space="preserve"> ACOSS</w:t>
      </w:r>
      <w:r>
        <w:rPr>
          <w:rFonts w:ascii="Calibri" w:hAnsi="Calibri" w:cs="Calibri"/>
        </w:rPr>
        <w:t>,</w:t>
      </w:r>
      <w:r w:rsidRPr="00530955">
        <w:rPr>
          <w:rFonts w:ascii="Calibri" w:hAnsi="Calibri" w:cs="Calibri"/>
        </w:rPr>
        <w:t xml:space="preserve"> 2009, </w:t>
      </w:r>
      <w:r w:rsidRPr="00530955">
        <w:rPr>
          <w:rFonts w:ascii="Calibri" w:hAnsi="Calibri" w:cs="Calibri"/>
          <w:i/>
        </w:rPr>
        <w:t>Energy and Equity</w:t>
      </w:r>
      <w:r w:rsidRPr="00530955">
        <w:rPr>
          <w:rFonts w:ascii="Calibri" w:hAnsi="Calibri" w:cs="Calibri"/>
        </w:rPr>
        <w:t xml:space="preserve"> </w:t>
      </w:r>
      <w:hyperlink r:id="rId2" w:history="1">
        <w:r w:rsidRPr="00530955">
          <w:rPr>
            <w:rStyle w:val="Hyperlink"/>
            <w:rFonts w:ascii="Calibri" w:hAnsi="Calibri" w:cs="Calibri"/>
          </w:rPr>
          <w:t>http://acoss.org.au/images/uploads/4204__EnergyEquity_low_res.pdf</w:t>
        </w:r>
      </w:hyperlink>
    </w:p>
  </w:footnote>
  <w:footnote w:id="7">
    <w:p w:rsidR="008140BD" w:rsidRDefault="009C10C6" w:rsidP="00171FE0">
      <w:pPr>
        <w:pStyle w:val="FootnoteText"/>
      </w:pPr>
      <w:r w:rsidRPr="00171FE0">
        <w:rPr>
          <w:rStyle w:val="FootnoteReference"/>
          <w:rFonts w:ascii="Calibri" w:hAnsi="Calibri" w:cs="Calibri"/>
        </w:rPr>
        <w:footnoteRef/>
      </w:r>
      <w:r w:rsidRPr="00171FE0">
        <w:rPr>
          <w:rFonts w:ascii="Calibri" w:hAnsi="Calibri" w:cs="Calibri"/>
        </w:rPr>
        <w:t xml:space="preserve"> Energy Efficiency Council, 2009</w:t>
      </w:r>
    </w:p>
  </w:footnote>
  <w:footnote w:id="8">
    <w:p w:rsidR="008140BD" w:rsidRDefault="009C10C6">
      <w:pPr>
        <w:spacing w:after="0"/>
      </w:pPr>
      <w:r w:rsidRPr="00171FE0">
        <w:rPr>
          <w:rStyle w:val="FootnoteReference"/>
          <w:sz w:val="20"/>
          <w:szCs w:val="20"/>
        </w:rPr>
        <w:footnoteRef/>
      </w:r>
      <w:r w:rsidRPr="00171FE0">
        <w:rPr>
          <w:sz w:val="20"/>
          <w:szCs w:val="20"/>
        </w:rPr>
        <w:t xml:space="preserve"> Garnaut, R, 2008, </w:t>
      </w:r>
      <w:r w:rsidRPr="00171FE0">
        <w:rPr>
          <w:i/>
          <w:sz w:val="20"/>
          <w:szCs w:val="20"/>
        </w:rPr>
        <w:t>Garnaut Climate Change Review</w:t>
      </w:r>
      <w:r w:rsidRPr="00171FE0">
        <w:rPr>
          <w:sz w:val="20"/>
          <w:szCs w:val="20"/>
        </w:rPr>
        <w:t>, Cambridge University PressP408</w:t>
      </w:r>
    </w:p>
  </w:footnote>
  <w:footnote w:id="9">
    <w:p w:rsidR="008140BD" w:rsidRDefault="009C10C6" w:rsidP="00171FE0">
      <w:pPr>
        <w:autoSpaceDE w:val="0"/>
        <w:autoSpaceDN w:val="0"/>
        <w:adjustRightInd w:val="0"/>
        <w:spacing w:after="0" w:line="240" w:lineRule="auto"/>
      </w:pPr>
      <w:r w:rsidRPr="00E12685">
        <w:rPr>
          <w:rStyle w:val="FootnoteReference"/>
          <w:sz w:val="20"/>
          <w:szCs w:val="20"/>
        </w:rPr>
        <w:footnoteRef/>
      </w:r>
      <w:r w:rsidRPr="00E12685">
        <w:rPr>
          <w:rFonts w:cs="Calibri"/>
          <w:sz w:val="20"/>
          <w:szCs w:val="20"/>
          <w:lang w:eastAsia="en-AU"/>
        </w:rPr>
        <w:t xml:space="preserve"> </w:t>
      </w:r>
      <w:r w:rsidRPr="00E12685">
        <w:rPr>
          <w:rFonts w:cs="Calibri"/>
          <w:sz w:val="20"/>
          <w:szCs w:val="20"/>
        </w:rPr>
        <w:t xml:space="preserve">Gillingham, K, Newell, RG &amp; Palmer, K, 2009, </w:t>
      </w:r>
      <w:r w:rsidRPr="00E12685">
        <w:rPr>
          <w:rFonts w:cs="Calibri"/>
          <w:i/>
          <w:sz w:val="20"/>
          <w:szCs w:val="20"/>
        </w:rPr>
        <w:t>Energy Efficiency Economics and Policy</w:t>
      </w:r>
      <w:r w:rsidRPr="00E12685">
        <w:rPr>
          <w:rFonts w:cs="Calibri"/>
          <w:sz w:val="20"/>
          <w:szCs w:val="20"/>
        </w:rPr>
        <w:t>, Resources for the Future</w:t>
      </w:r>
      <w:r w:rsidRPr="00E12685" w:rsidDel="00E12685">
        <w:rPr>
          <w:rFonts w:cs="Calibri"/>
          <w:sz w:val="20"/>
          <w:szCs w:val="20"/>
          <w:lang w:eastAsia="en-AU"/>
        </w:rPr>
        <w:t xml:space="preserve"> </w:t>
      </w:r>
    </w:p>
  </w:footnote>
  <w:footnote w:id="10">
    <w:p w:rsidR="008140BD" w:rsidRDefault="009C10C6" w:rsidP="00171FE0">
      <w:pPr>
        <w:autoSpaceDE w:val="0"/>
        <w:autoSpaceDN w:val="0"/>
        <w:adjustRightInd w:val="0"/>
        <w:spacing w:after="0" w:line="240" w:lineRule="auto"/>
      </w:pPr>
      <w:r w:rsidRPr="00BD41FF">
        <w:rPr>
          <w:rStyle w:val="FootnoteReference"/>
          <w:rFonts w:asciiTheme="minorHAnsi" w:hAnsiTheme="minorHAnsi" w:cs="Calibri"/>
          <w:sz w:val="20"/>
          <w:szCs w:val="20"/>
        </w:rPr>
        <w:footnoteRef/>
      </w:r>
      <w:r w:rsidRPr="00BD41FF">
        <w:rPr>
          <w:rFonts w:asciiTheme="minorHAnsi" w:hAnsiTheme="minorHAnsi" w:cs="Calibri"/>
          <w:sz w:val="20"/>
          <w:szCs w:val="20"/>
        </w:rPr>
        <w:t xml:space="preserve"> </w:t>
      </w:r>
      <w:r w:rsidRPr="00BD41FF">
        <w:rPr>
          <w:rFonts w:asciiTheme="minorHAnsi" w:hAnsiTheme="minorHAnsi" w:cs="Calibri"/>
          <w:sz w:val="20"/>
          <w:szCs w:val="20"/>
          <w:lang w:eastAsia="en-AU"/>
        </w:rPr>
        <w:t xml:space="preserve">Hausman, J.A, 1979, </w:t>
      </w:r>
      <w:r w:rsidRPr="00BD41FF">
        <w:rPr>
          <w:rFonts w:asciiTheme="minorHAnsi" w:hAnsiTheme="minorHAnsi" w:cs="Calibri"/>
          <w:i/>
          <w:iCs/>
          <w:sz w:val="20"/>
          <w:szCs w:val="20"/>
          <w:lang w:eastAsia="en-AU"/>
        </w:rPr>
        <w:t>Individual Discount Rates and the Purchase and Utilisation of Energy-Using Durables</w:t>
      </w:r>
      <w:r w:rsidRPr="00BD41FF">
        <w:rPr>
          <w:rFonts w:asciiTheme="minorHAnsi" w:hAnsiTheme="minorHAnsi" w:cs="Calibri"/>
          <w:sz w:val="20"/>
          <w:szCs w:val="20"/>
          <w:lang w:eastAsia="en-AU"/>
        </w:rPr>
        <w:t xml:space="preserve">. Bell Journal of Economics, p10, </w:t>
      </w:r>
      <w:r w:rsidRPr="00DF5533">
        <w:rPr>
          <w:rFonts w:asciiTheme="minorHAnsi" w:hAnsiTheme="minorHAnsi" w:cs="Calibri"/>
          <w:i/>
          <w:sz w:val="20"/>
          <w:szCs w:val="20"/>
          <w:lang w:eastAsia="en-AU"/>
        </w:rPr>
        <w:t>cited in</w:t>
      </w:r>
      <w:r w:rsidRPr="00DF5533">
        <w:rPr>
          <w:rFonts w:asciiTheme="minorHAnsi" w:hAnsiTheme="minorHAnsi" w:cs="Calibri"/>
          <w:sz w:val="20"/>
          <w:szCs w:val="20"/>
          <w:lang w:eastAsia="en-AU"/>
        </w:rPr>
        <w:t xml:space="preserve"> </w:t>
      </w:r>
      <w:r>
        <w:rPr>
          <w:rFonts w:asciiTheme="minorHAnsi" w:hAnsiTheme="minorHAnsi" w:cs="Calibri"/>
          <w:sz w:val="20"/>
          <w:szCs w:val="20"/>
          <w:lang w:eastAsia="en-AU"/>
        </w:rPr>
        <w:t xml:space="preserve">Department of Primary Industries Victoria, 2008, </w:t>
      </w:r>
      <w:r w:rsidRPr="00DF5533">
        <w:rPr>
          <w:sz w:val="20"/>
          <w:szCs w:val="20"/>
          <w:lang w:eastAsia="en-AU"/>
        </w:rPr>
        <w:t>Proposed Victorian Energy</w:t>
      </w:r>
      <w:r>
        <w:rPr>
          <w:sz w:val="20"/>
          <w:szCs w:val="20"/>
          <w:lang w:eastAsia="en-AU"/>
        </w:rPr>
        <w:t xml:space="preserve"> Efficiency Target Regulations Regulatory Impact Statement.</w:t>
      </w:r>
    </w:p>
  </w:footnote>
  <w:footnote w:id="11">
    <w:p w:rsidR="008140BD" w:rsidRDefault="009C10C6" w:rsidP="00B60362">
      <w:pPr>
        <w:pStyle w:val="FootnoteText"/>
      </w:pPr>
      <w:r w:rsidRPr="00BD41FF">
        <w:rPr>
          <w:rStyle w:val="FootnoteReference"/>
          <w:rFonts w:asciiTheme="minorHAnsi" w:hAnsiTheme="minorHAnsi" w:cs="Calibri"/>
        </w:rPr>
        <w:footnoteRef/>
      </w:r>
      <w:r w:rsidRPr="00BD41FF">
        <w:rPr>
          <w:rFonts w:asciiTheme="minorHAnsi" w:hAnsiTheme="minorHAnsi" w:cs="Calibri"/>
        </w:rPr>
        <w:t xml:space="preserve"> </w:t>
      </w:r>
      <w:r w:rsidRPr="00BD41FF">
        <w:rPr>
          <w:rFonts w:asciiTheme="minorHAnsi" w:hAnsiTheme="minorHAnsi" w:cs="Calibri"/>
          <w:lang w:val="en-US"/>
        </w:rPr>
        <w:t>Ibid.</w:t>
      </w:r>
    </w:p>
  </w:footnote>
  <w:footnote w:id="12">
    <w:p w:rsidR="008140BD" w:rsidRDefault="009C10C6" w:rsidP="00EA30C6">
      <w:r w:rsidRPr="00BD41FF">
        <w:rPr>
          <w:rStyle w:val="FootnoteReference"/>
          <w:rFonts w:asciiTheme="minorHAnsi" w:hAnsiTheme="minorHAnsi" w:cs="Calibri"/>
          <w:sz w:val="20"/>
          <w:szCs w:val="20"/>
        </w:rPr>
        <w:footnoteRef/>
      </w:r>
      <w:r w:rsidRPr="00BD41FF">
        <w:rPr>
          <w:rFonts w:asciiTheme="minorHAnsi" w:hAnsiTheme="minorHAnsi" w:cs="Calibri"/>
          <w:sz w:val="20"/>
          <w:szCs w:val="20"/>
        </w:rPr>
        <w:t xml:space="preserve"> </w:t>
      </w:r>
      <w:r w:rsidRPr="00BD41FF">
        <w:rPr>
          <w:rFonts w:asciiTheme="minorHAnsi" w:hAnsiTheme="minorHAnsi" w:cs="Calibri"/>
          <w:sz w:val="20"/>
          <w:szCs w:val="20"/>
          <w:lang w:eastAsia="en-AU"/>
        </w:rPr>
        <w:t xml:space="preserve">National Institute of Economic and Industry Research, 2007, </w:t>
      </w:r>
      <w:r w:rsidRPr="00BD41FF">
        <w:rPr>
          <w:rFonts w:asciiTheme="minorHAnsi" w:hAnsiTheme="minorHAnsi" w:cs="Calibri"/>
          <w:i/>
          <w:iCs/>
          <w:sz w:val="20"/>
          <w:szCs w:val="20"/>
          <w:lang w:eastAsia="en-AU"/>
        </w:rPr>
        <w:t>The Own Price Elasticity of Demand for Electricity in</w:t>
      </w:r>
      <w:r w:rsidRPr="00BD41FF">
        <w:rPr>
          <w:rFonts w:asciiTheme="minorHAnsi" w:hAnsiTheme="minorHAnsi" w:cs="Calibri"/>
          <w:sz w:val="20"/>
          <w:szCs w:val="20"/>
          <w:lang w:eastAsia="en-AU"/>
        </w:rPr>
        <w:t xml:space="preserve"> </w:t>
      </w:r>
      <w:r w:rsidRPr="00BD41FF">
        <w:rPr>
          <w:rFonts w:asciiTheme="minorHAnsi" w:hAnsiTheme="minorHAnsi" w:cs="Calibri"/>
          <w:i/>
          <w:iCs/>
          <w:sz w:val="20"/>
          <w:szCs w:val="20"/>
          <w:lang w:eastAsia="en-AU"/>
        </w:rPr>
        <w:t>NEM Regions: A report for the National Electricity Market Management Company (NEMMCo), cited in</w:t>
      </w:r>
      <w:r w:rsidRPr="00BD41FF">
        <w:rPr>
          <w:rFonts w:asciiTheme="minorHAnsi" w:hAnsiTheme="minorHAnsi" w:cs="Calibri"/>
          <w:sz w:val="20"/>
          <w:szCs w:val="20"/>
        </w:rPr>
        <w:t xml:space="preserve"> Fear, J &amp; Denniss, R, 2009, </w:t>
      </w:r>
      <w:r w:rsidRPr="00BD41FF">
        <w:rPr>
          <w:rFonts w:asciiTheme="minorHAnsi" w:hAnsiTheme="minorHAnsi" w:cs="Calibri"/>
          <w:i/>
          <w:sz w:val="20"/>
          <w:szCs w:val="20"/>
        </w:rPr>
        <w:t>Zero-sum game? The human dimensions of emissions trading</w:t>
      </w:r>
      <w:r w:rsidRPr="00BD41FF">
        <w:rPr>
          <w:rFonts w:asciiTheme="minorHAnsi" w:hAnsiTheme="minorHAnsi" w:cs="Calibri"/>
          <w:sz w:val="20"/>
          <w:szCs w:val="20"/>
        </w:rPr>
        <w:t>, The Australia Institute</w:t>
      </w:r>
    </w:p>
  </w:footnote>
  <w:footnote w:id="13">
    <w:p w:rsidR="008140BD" w:rsidRDefault="009C10C6" w:rsidP="00FA20BF">
      <w:pPr>
        <w:tabs>
          <w:tab w:val="left" w:pos="2280"/>
        </w:tabs>
        <w:spacing w:after="0"/>
      </w:pPr>
      <w:r w:rsidRPr="00BD41FF">
        <w:rPr>
          <w:rStyle w:val="FootnoteReference"/>
          <w:sz w:val="20"/>
          <w:szCs w:val="20"/>
        </w:rPr>
        <w:footnoteRef/>
      </w:r>
      <w:r w:rsidRPr="00BD41FF">
        <w:rPr>
          <w:sz w:val="20"/>
          <w:szCs w:val="20"/>
        </w:rPr>
        <w:t xml:space="preserve"> Garnaut, R, 2008, </w:t>
      </w:r>
      <w:r w:rsidRPr="00BD41FF">
        <w:rPr>
          <w:i/>
          <w:sz w:val="20"/>
          <w:szCs w:val="20"/>
        </w:rPr>
        <w:t>Garnaut Climate Change Review</w:t>
      </w:r>
      <w:r w:rsidRPr="00BD41FF">
        <w:rPr>
          <w:sz w:val="20"/>
          <w:szCs w:val="20"/>
        </w:rPr>
        <w:t>, Cambridge University Press, p389</w:t>
      </w:r>
      <w:r w:rsidRPr="00BD41FF">
        <w:rPr>
          <w:sz w:val="20"/>
          <w:szCs w:val="20"/>
        </w:rPr>
        <w:tab/>
      </w:r>
    </w:p>
  </w:footnote>
  <w:footnote w:id="14">
    <w:p w:rsidR="008140BD" w:rsidRDefault="009C10C6">
      <w:pPr>
        <w:pStyle w:val="FootnoteText"/>
      </w:pPr>
      <w:r>
        <w:rPr>
          <w:rStyle w:val="FootnoteReference"/>
        </w:rPr>
        <w:footnoteRef/>
      </w:r>
      <w:r>
        <w:t xml:space="preserve"> </w:t>
      </w:r>
      <w:r w:rsidRPr="00BD41FF">
        <w:rPr>
          <w:rFonts w:asciiTheme="minorHAnsi" w:hAnsiTheme="minorHAnsi" w:cs="Calibri"/>
          <w:i/>
        </w:rPr>
        <w:t>AEMO, 2011, Energy and Demand Projections</w:t>
      </w:r>
    </w:p>
  </w:footnote>
  <w:footnote w:id="15">
    <w:p w:rsidR="008140BD" w:rsidRDefault="009C10C6" w:rsidP="00D93489">
      <w:pPr>
        <w:autoSpaceDE w:val="0"/>
        <w:autoSpaceDN w:val="0"/>
        <w:adjustRightInd w:val="0"/>
        <w:spacing w:after="0" w:line="240" w:lineRule="auto"/>
      </w:pPr>
      <w:r>
        <w:rPr>
          <w:rStyle w:val="FootnoteReference"/>
          <w:sz w:val="20"/>
          <w:szCs w:val="20"/>
        </w:rPr>
        <w:footnoteRef/>
      </w:r>
      <w:r w:rsidRPr="00BD41FF">
        <w:rPr>
          <w:rFonts w:cs="Calibri"/>
          <w:sz w:val="20"/>
          <w:szCs w:val="20"/>
          <w:lang w:eastAsia="en-AU"/>
        </w:rPr>
        <w:t xml:space="preserve">Productivity Commission Submission to the Garnaut Climate Change Review, 2008, </w:t>
      </w:r>
      <w:r w:rsidRPr="00BD41FF">
        <w:rPr>
          <w:rFonts w:cs="Calibri"/>
          <w:i/>
          <w:iCs/>
          <w:sz w:val="20"/>
          <w:szCs w:val="20"/>
          <w:lang w:eastAsia="en-AU"/>
        </w:rPr>
        <w:t>What Role for Policies to Supplement an Emissions Trading Scheme?</w:t>
      </w:r>
      <w:r w:rsidRPr="00BD41FF">
        <w:rPr>
          <w:rFonts w:cs="Calibri"/>
          <w:sz w:val="20"/>
          <w:szCs w:val="20"/>
          <w:lang w:eastAsia="en-AU"/>
        </w:rPr>
        <w:t>, p 14</w:t>
      </w:r>
    </w:p>
  </w:footnote>
  <w:footnote w:id="16">
    <w:p w:rsidR="008140BD" w:rsidRDefault="009C10C6" w:rsidP="00903C14">
      <w:pPr>
        <w:autoSpaceDE w:val="0"/>
        <w:autoSpaceDN w:val="0"/>
        <w:adjustRightInd w:val="0"/>
        <w:spacing w:after="0" w:line="240" w:lineRule="auto"/>
      </w:pPr>
      <w:r w:rsidRPr="00393F62">
        <w:rPr>
          <w:rStyle w:val="FootnoteReference"/>
          <w:sz w:val="20"/>
          <w:szCs w:val="20"/>
        </w:rPr>
        <w:footnoteRef/>
      </w:r>
      <w:r w:rsidRPr="00393F62">
        <w:rPr>
          <w:rFonts w:cs="Calibri"/>
          <w:sz w:val="20"/>
          <w:szCs w:val="20"/>
          <w:lang w:eastAsia="en-AU"/>
        </w:rPr>
        <w:t xml:space="preserve">Productivity Commission, </w:t>
      </w:r>
      <w:r w:rsidRPr="00393F62">
        <w:rPr>
          <w:rFonts w:cs="Calibri"/>
          <w:i/>
          <w:iCs/>
          <w:sz w:val="20"/>
          <w:szCs w:val="20"/>
          <w:lang w:eastAsia="en-AU"/>
        </w:rPr>
        <w:t>The Private Cost Effectiveness of Improving Energy Efficiency</w:t>
      </w:r>
      <w:r>
        <w:rPr>
          <w:rFonts w:cs="Calibri"/>
          <w:sz w:val="20"/>
          <w:szCs w:val="20"/>
          <w:lang w:eastAsia="en-AU"/>
        </w:rPr>
        <w:t>, 2005, p105</w:t>
      </w:r>
    </w:p>
  </w:footnote>
  <w:footnote w:id="17">
    <w:p w:rsidR="008140BD" w:rsidRDefault="009C10C6" w:rsidP="00903C14">
      <w:pPr>
        <w:autoSpaceDE w:val="0"/>
        <w:autoSpaceDN w:val="0"/>
        <w:adjustRightInd w:val="0"/>
        <w:spacing w:after="0" w:line="240" w:lineRule="auto"/>
      </w:pPr>
      <w:r w:rsidRPr="00393F62">
        <w:rPr>
          <w:rStyle w:val="FootnoteReference"/>
          <w:sz w:val="20"/>
          <w:szCs w:val="20"/>
        </w:rPr>
        <w:footnoteRef/>
      </w:r>
      <w:r w:rsidRPr="00393F62">
        <w:rPr>
          <w:sz w:val="20"/>
          <w:szCs w:val="20"/>
        </w:rPr>
        <w:t xml:space="preserve"> </w:t>
      </w:r>
      <w:r w:rsidRPr="00393F62">
        <w:rPr>
          <w:rFonts w:cs="Calibri"/>
          <w:sz w:val="20"/>
          <w:szCs w:val="20"/>
          <w:lang w:eastAsia="en-AU"/>
        </w:rPr>
        <w:t>International Energy Agency, 2007</w:t>
      </w:r>
      <w:r>
        <w:rPr>
          <w:rFonts w:cs="Calibri"/>
          <w:sz w:val="20"/>
          <w:szCs w:val="20"/>
          <w:lang w:eastAsia="en-AU"/>
        </w:rPr>
        <w:t xml:space="preserve">, </w:t>
      </w:r>
      <w:r w:rsidRPr="00393F62">
        <w:rPr>
          <w:rFonts w:cs="Calibri"/>
          <w:i/>
          <w:iCs/>
          <w:sz w:val="20"/>
          <w:szCs w:val="20"/>
          <w:lang w:eastAsia="en-AU"/>
        </w:rPr>
        <w:t>Mind the Gap – Quantifying Principal-Agent Problems in Energy Efficiency</w:t>
      </w:r>
      <w:r w:rsidRPr="00393F62">
        <w:rPr>
          <w:rFonts w:cs="Calibri"/>
          <w:sz w:val="20"/>
          <w:szCs w:val="20"/>
          <w:lang w:eastAsia="en-AU"/>
        </w:rPr>
        <w:t>,  p. 11</w:t>
      </w:r>
    </w:p>
  </w:footnote>
  <w:footnote w:id="18">
    <w:p w:rsidR="008140BD" w:rsidRDefault="009C10C6">
      <w:pPr>
        <w:pStyle w:val="FootnoteText"/>
      </w:pPr>
      <w:r w:rsidRPr="00AD6B1F">
        <w:rPr>
          <w:rStyle w:val="FootnoteReference"/>
          <w:rFonts w:ascii="Calibri" w:hAnsi="Calibri" w:cs="Calibri"/>
        </w:rPr>
        <w:footnoteRef/>
      </w:r>
      <w:r w:rsidRPr="00AD6B1F">
        <w:rPr>
          <w:rFonts w:ascii="Calibri" w:hAnsi="Calibri" w:cs="Calibri"/>
        </w:rPr>
        <w:t xml:space="preserve"> The Australian Academy of Technological Sciences and Engineering (ATSE), 2009, </w:t>
      </w:r>
      <w:r>
        <w:rPr>
          <w:rStyle w:val="Emphasis"/>
          <w:rFonts w:ascii="Calibri" w:hAnsi="Calibri" w:cs="Calibri"/>
        </w:rPr>
        <w:t xml:space="preserve">The Hidden Costs of </w:t>
      </w:r>
      <w:r w:rsidRPr="00AD6B1F">
        <w:rPr>
          <w:rStyle w:val="Emphasis"/>
          <w:rFonts w:ascii="Calibri" w:hAnsi="Calibri" w:cs="Calibri"/>
        </w:rPr>
        <w:t>Electricity: Externalities of Power Generation in Australia</w:t>
      </w:r>
      <w:r w:rsidRPr="00AD6B1F">
        <w:rPr>
          <w:rFonts w:ascii="Calibri" w:hAnsi="Calibri" w:cs="Calibri"/>
        </w:rPr>
        <w:t>, p.2.</w:t>
      </w:r>
    </w:p>
  </w:footnote>
  <w:footnote w:id="19">
    <w:p w:rsidR="008140BD" w:rsidRDefault="009C10C6">
      <w:pPr>
        <w:pStyle w:val="FootnoteText"/>
      </w:pPr>
      <w:r w:rsidRPr="00BD41FF">
        <w:rPr>
          <w:rStyle w:val="FootnoteReference"/>
          <w:rFonts w:asciiTheme="minorHAnsi" w:hAnsiTheme="minorHAnsi" w:cs="Calibri"/>
        </w:rPr>
        <w:footnoteRef/>
      </w:r>
      <w:r w:rsidRPr="00BD41FF">
        <w:rPr>
          <w:rFonts w:asciiTheme="minorHAnsi" w:hAnsiTheme="minorHAnsi" w:cs="Calibri"/>
        </w:rPr>
        <w:t xml:space="preserve"> Garnaut, R, 2008, The Garnaut Climate Change Review: Final Report</w:t>
      </w:r>
      <w:r>
        <w:rPr>
          <w:rFonts w:asciiTheme="minorHAnsi" w:hAnsiTheme="minorHAnsi" w:cs="Calibri"/>
        </w:rPr>
        <w:t xml:space="preserve">, </w:t>
      </w:r>
      <w:hyperlink r:id="rId3" w:history="1">
        <w:r w:rsidRPr="00BD41FF">
          <w:rPr>
            <w:rStyle w:val="Hyperlink"/>
            <w:rFonts w:asciiTheme="minorHAnsi" w:hAnsiTheme="minorHAnsi" w:cs="Calibri"/>
          </w:rPr>
          <w:t>http://www.garnautreview.org.au/chp18.htm</w:t>
        </w:r>
      </w:hyperlink>
    </w:p>
  </w:footnote>
  <w:footnote w:id="20">
    <w:p w:rsidR="008140BD" w:rsidRDefault="009C10C6" w:rsidP="00AD6B1F">
      <w:pPr>
        <w:spacing w:before="120" w:after="120"/>
      </w:pPr>
      <w:r w:rsidRPr="009826E8">
        <w:rPr>
          <w:rStyle w:val="FootnoteReference"/>
          <w:sz w:val="20"/>
          <w:szCs w:val="20"/>
        </w:rPr>
        <w:footnoteRef/>
      </w:r>
      <w:r w:rsidRPr="009826E8">
        <w:rPr>
          <w:sz w:val="20"/>
          <w:szCs w:val="20"/>
        </w:rPr>
        <w:t xml:space="preserve"> </w:t>
      </w:r>
      <w:hyperlink r:id="rId4" w:history="1">
        <w:r>
          <w:rPr>
            <w:rStyle w:val="Hyperlink"/>
            <w:sz w:val="20"/>
            <w:szCs w:val="20"/>
          </w:rPr>
          <w:t>http://www.hansard.act.gov.au/hansard/2011/pdfs/P110816.pdf</w:t>
        </w:r>
      </w:hyperlink>
    </w:p>
  </w:footnote>
  <w:footnote w:id="21">
    <w:p w:rsidR="008140BD" w:rsidRDefault="009C10C6" w:rsidP="0071578B">
      <w:pPr>
        <w:pStyle w:val="FootnoteText"/>
      </w:pPr>
      <w:r w:rsidRPr="00AD6B1F">
        <w:rPr>
          <w:rStyle w:val="FootnoteReference"/>
          <w:rFonts w:ascii="Calibri" w:hAnsi="Calibri" w:cs="Calibri"/>
        </w:rPr>
        <w:footnoteRef/>
      </w:r>
      <w:r w:rsidRPr="00AD6B1F">
        <w:rPr>
          <w:rFonts w:ascii="Calibri" w:hAnsi="Calibri" w:cs="Calibri"/>
        </w:rPr>
        <w:t xml:space="preserve"> </w:t>
      </w:r>
      <w:r w:rsidRPr="009826E8">
        <w:rPr>
          <w:rFonts w:asciiTheme="minorHAnsi" w:hAnsiTheme="minorHAnsi" w:cs="Calibri"/>
        </w:rPr>
        <w:t xml:space="preserve">Prime Minister’s Task Group on Energy Efficiency, </w:t>
      </w:r>
      <w:r w:rsidRPr="009826E8">
        <w:rPr>
          <w:rFonts w:asciiTheme="minorHAnsi" w:hAnsiTheme="minorHAnsi" w:cs="Calibri"/>
          <w:i/>
        </w:rPr>
        <w:t>Report of the Prime Minister’s Task Group on Energy Efficiency</w:t>
      </w:r>
      <w:r w:rsidRPr="009826E8">
        <w:rPr>
          <w:rFonts w:asciiTheme="minorHAnsi" w:hAnsiTheme="minorHAnsi" w:cs="Calibri"/>
        </w:rPr>
        <w:t xml:space="preserve">, 2010 </w:t>
      </w:r>
      <w:hyperlink r:id="rId5" w:history="1">
        <w:r w:rsidRPr="009826E8">
          <w:rPr>
            <w:rStyle w:val="Hyperlink"/>
            <w:rFonts w:asciiTheme="minorHAnsi" w:hAnsiTheme="minorHAnsi" w:cs="Calibri"/>
          </w:rPr>
          <w:t>http://www.climatechange.gov.au/government/submissions/pm-task-group.aspx</w:t>
        </w:r>
      </w:hyperlink>
    </w:p>
  </w:footnote>
  <w:footnote w:id="22">
    <w:p w:rsidR="008140BD" w:rsidRDefault="009C10C6" w:rsidP="005F3ED8">
      <w:pPr>
        <w:pStyle w:val="FootnoteText"/>
      </w:pPr>
      <w:r w:rsidRPr="00AD6B1F">
        <w:rPr>
          <w:rStyle w:val="FootnoteReference"/>
          <w:rFonts w:ascii="Calibri" w:hAnsi="Calibri" w:cs="Calibri"/>
        </w:rPr>
        <w:footnoteRef/>
      </w:r>
      <w:r w:rsidRPr="00AD6B1F">
        <w:rPr>
          <w:rFonts w:ascii="Calibri" w:hAnsi="Calibri" w:cs="Calibri"/>
        </w:rPr>
        <w:t xml:space="preserve"> Da</w:t>
      </w:r>
      <w:r>
        <w:rPr>
          <w:rFonts w:ascii="Calibri" w:hAnsi="Calibri" w:cs="Calibri"/>
        </w:rPr>
        <w:t>ley, J., Edis, T. And Reichl, J,</w:t>
      </w:r>
      <w:r w:rsidRPr="00AD6B1F">
        <w:rPr>
          <w:rFonts w:ascii="Calibri" w:hAnsi="Calibri" w:cs="Calibri"/>
        </w:rPr>
        <w:t xml:space="preserve"> 2011, Learning the hard way: Australian policies to reduce carbon emissions, Grattan Institute, Melbourne</w:t>
      </w:r>
    </w:p>
  </w:footnote>
  <w:footnote w:id="23">
    <w:p w:rsidR="008140BD" w:rsidRDefault="009C10C6">
      <w:r w:rsidRPr="00BD41FF">
        <w:rPr>
          <w:rStyle w:val="FootnoteReference"/>
          <w:sz w:val="20"/>
          <w:szCs w:val="20"/>
        </w:rPr>
        <w:footnoteRef/>
      </w:r>
      <w:r w:rsidRPr="00BD41FF">
        <w:rPr>
          <w:sz w:val="20"/>
          <w:szCs w:val="20"/>
        </w:rPr>
        <w:t xml:space="preserve"> </w:t>
      </w:r>
      <w:hyperlink r:id="rId6" w:history="1">
        <w:r w:rsidRPr="00BD41FF">
          <w:rPr>
            <w:rStyle w:val="Hyperlink"/>
            <w:sz w:val="20"/>
            <w:szCs w:val="20"/>
          </w:rPr>
          <w:t>http://www.energyrating.gov.au/library/pubs/201110-retro-review-e3-program.pdf</w:t>
        </w:r>
      </w:hyperlink>
    </w:p>
  </w:footnote>
  <w:footnote w:id="24">
    <w:p w:rsidR="008140BD" w:rsidRDefault="009C10C6" w:rsidP="00261223">
      <w:pPr>
        <w:autoSpaceDE w:val="0"/>
        <w:autoSpaceDN w:val="0"/>
        <w:adjustRightInd w:val="0"/>
        <w:spacing w:after="0" w:line="240" w:lineRule="auto"/>
      </w:pPr>
      <w:r w:rsidRPr="00BD41FF">
        <w:rPr>
          <w:rStyle w:val="FootnoteReference"/>
          <w:rFonts w:asciiTheme="minorHAnsi" w:hAnsiTheme="minorHAnsi" w:cs="Calibri"/>
          <w:sz w:val="20"/>
          <w:szCs w:val="20"/>
        </w:rPr>
        <w:footnoteRef/>
      </w:r>
      <w:r w:rsidRPr="00BD41FF">
        <w:rPr>
          <w:rFonts w:asciiTheme="minorHAnsi" w:hAnsiTheme="minorHAnsi" w:cs="Calibri"/>
          <w:sz w:val="20"/>
          <w:szCs w:val="20"/>
        </w:rPr>
        <w:t xml:space="preserve"> </w:t>
      </w:r>
      <w:r w:rsidRPr="00BD41FF">
        <w:rPr>
          <w:rFonts w:asciiTheme="minorHAnsi" w:hAnsiTheme="minorHAnsi" w:cs="Calibri"/>
          <w:sz w:val="20"/>
          <w:szCs w:val="20"/>
          <w:lang w:eastAsia="en-AU"/>
        </w:rPr>
        <w:t xml:space="preserve">Department of the Environment, Water, Heritage and the Arts, (2008) </w:t>
      </w:r>
      <w:r w:rsidRPr="00BD41FF">
        <w:rPr>
          <w:rFonts w:asciiTheme="minorHAnsi" w:hAnsiTheme="minorHAnsi" w:cs="Calibri"/>
          <w:i/>
          <w:iCs/>
          <w:sz w:val="20"/>
          <w:szCs w:val="20"/>
          <w:lang w:eastAsia="en-AU"/>
        </w:rPr>
        <w:t>Consultation RIS for the Mandatory</w:t>
      </w:r>
      <w:r>
        <w:rPr>
          <w:rFonts w:asciiTheme="minorHAnsi" w:hAnsiTheme="minorHAnsi" w:cs="Calibri"/>
          <w:i/>
          <w:iCs/>
          <w:sz w:val="20"/>
          <w:szCs w:val="20"/>
          <w:lang w:eastAsia="en-AU"/>
        </w:rPr>
        <w:t xml:space="preserve"> </w:t>
      </w:r>
      <w:r w:rsidRPr="00BD41FF">
        <w:rPr>
          <w:rFonts w:asciiTheme="minorHAnsi" w:hAnsiTheme="minorHAnsi" w:cs="Calibri"/>
          <w:i/>
          <w:iCs/>
          <w:sz w:val="20"/>
          <w:szCs w:val="20"/>
          <w:lang w:eastAsia="en-AU"/>
        </w:rPr>
        <w:t>Disclosure of Commercial Office Building Energy Efficiency</w:t>
      </w:r>
      <w:r w:rsidRPr="00BD41FF">
        <w:rPr>
          <w:rFonts w:asciiTheme="minorHAnsi" w:hAnsiTheme="minorHAnsi" w:cs="Calibri"/>
          <w:sz w:val="20"/>
          <w:szCs w:val="20"/>
          <w:lang w:eastAsia="en-AU"/>
        </w:rPr>
        <w:t>, p42</w:t>
      </w:r>
    </w:p>
  </w:footnote>
  <w:footnote w:id="25">
    <w:p w:rsidR="008140BD" w:rsidRDefault="009C10C6" w:rsidP="004A1468">
      <w:pPr>
        <w:pStyle w:val="FootnoteText"/>
      </w:pPr>
      <w:r w:rsidRPr="00BD41FF">
        <w:rPr>
          <w:rStyle w:val="FootnoteReference"/>
          <w:rFonts w:asciiTheme="minorHAnsi" w:hAnsiTheme="minorHAnsi" w:cs="Calibri"/>
        </w:rPr>
        <w:footnoteRef/>
      </w:r>
      <w:r w:rsidRPr="00BD41FF">
        <w:rPr>
          <w:rFonts w:asciiTheme="minorHAnsi" w:hAnsiTheme="minorHAnsi" w:cs="Calibri"/>
        </w:rPr>
        <w:t xml:space="preserve"> Prime Minister’s Task Group on Energy Efficiency, </w:t>
      </w:r>
      <w:r w:rsidRPr="00BD41FF">
        <w:rPr>
          <w:rFonts w:asciiTheme="minorHAnsi" w:hAnsiTheme="minorHAnsi" w:cs="Calibri"/>
          <w:i/>
        </w:rPr>
        <w:t>Report of the Prime Minister’s Task Group on Energy Efficiency</w:t>
      </w:r>
      <w:r w:rsidRPr="00BD41FF">
        <w:rPr>
          <w:rFonts w:asciiTheme="minorHAnsi" w:hAnsiTheme="minorHAnsi" w:cs="Calibri"/>
        </w:rPr>
        <w:t xml:space="preserve">, 2010 </w:t>
      </w:r>
      <w:hyperlink r:id="rId7" w:history="1">
        <w:r w:rsidRPr="00BD41FF">
          <w:rPr>
            <w:rStyle w:val="Hyperlink"/>
            <w:rFonts w:asciiTheme="minorHAnsi" w:hAnsiTheme="minorHAnsi" w:cs="Calibri"/>
          </w:rPr>
          <w:t>http://www.climatechange.gov.au/government/submissions/pm-task-group.aspx</w:t>
        </w:r>
      </w:hyperlink>
    </w:p>
  </w:footnote>
  <w:footnote w:id="26">
    <w:p w:rsidR="008140BD" w:rsidRDefault="009C10C6" w:rsidP="00D32E7C">
      <w:pPr>
        <w:pStyle w:val="FootnoteText"/>
      </w:pPr>
      <w:r w:rsidRPr="00393F62">
        <w:rPr>
          <w:rStyle w:val="FootnoteReference"/>
          <w:rFonts w:ascii="Calibri" w:hAnsi="Calibri" w:cs="Calibri"/>
        </w:rPr>
        <w:footnoteRef/>
      </w:r>
      <w:r w:rsidRPr="00393F62">
        <w:rPr>
          <w:rFonts w:ascii="Calibri" w:hAnsi="Calibri" w:cs="Calibri"/>
        </w:rPr>
        <w:t xml:space="preserve"> Daley, J., Edis, T. And Reichl, J.</w:t>
      </w:r>
      <w:r>
        <w:rPr>
          <w:rFonts w:ascii="Calibri" w:hAnsi="Calibri" w:cs="Calibri"/>
        </w:rPr>
        <w:t>,</w:t>
      </w:r>
      <w:r w:rsidRPr="00393F62">
        <w:rPr>
          <w:rFonts w:ascii="Calibri" w:hAnsi="Calibri" w:cs="Calibri"/>
        </w:rPr>
        <w:t xml:space="preserve"> 2011, Learning the hard way: Australian policies to reduce carbon emissions, Grattan Institute, Melbourne</w:t>
      </w:r>
    </w:p>
  </w:footnote>
  <w:footnote w:id="27">
    <w:p w:rsidR="008140BD" w:rsidRDefault="009C10C6" w:rsidP="007F3E79">
      <w:pPr>
        <w:pStyle w:val="FootnoteText"/>
      </w:pPr>
      <w:r w:rsidRPr="003C2017">
        <w:rPr>
          <w:rStyle w:val="FootnoteReference"/>
          <w:rFonts w:asciiTheme="minorHAnsi" w:hAnsiTheme="minorHAnsi" w:cs="Calibri"/>
        </w:rPr>
        <w:footnoteRef/>
      </w:r>
      <w:r w:rsidRPr="003C2017">
        <w:rPr>
          <w:rFonts w:asciiTheme="minorHAnsi" w:hAnsiTheme="minorHAnsi" w:cs="Calibri"/>
        </w:rPr>
        <w:t xml:space="preserve"> Figure obtained from the Community Services Directorate</w:t>
      </w:r>
    </w:p>
  </w:footnote>
  <w:footnote w:id="28">
    <w:p w:rsidR="008140BD" w:rsidRDefault="009C10C6" w:rsidP="007F3E79">
      <w:pPr>
        <w:pStyle w:val="FootnoteText"/>
      </w:pPr>
      <w:r w:rsidRPr="003C2017">
        <w:rPr>
          <w:rStyle w:val="FootnoteReference"/>
          <w:rFonts w:asciiTheme="minorHAnsi" w:hAnsiTheme="minorHAnsi" w:cs="Calibri"/>
        </w:rPr>
        <w:footnoteRef/>
      </w:r>
      <w:r w:rsidRPr="003C2017">
        <w:rPr>
          <w:rFonts w:asciiTheme="minorHAnsi" w:hAnsiTheme="minorHAnsi" w:cs="Calibri"/>
        </w:rPr>
        <w:t xml:space="preserve"> Figure provided by ACT Revenue Office</w:t>
      </w:r>
    </w:p>
  </w:footnote>
  <w:footnote w:id="29">
    <w:p w:rsidR="008140BD" w:rsidRDefault="009C10C6">
      <w:pPr>
        <w:pStyle w:val="FootnoteText"/>
      </w:pPr>
      <w:r w:rsidRPr="007D3351">
        <w:rPr>
          <w:rStyle w:val="FootnoteReference"/>
          <w:rFonts w:asciiTheme="minorHAnsi" w:hAnsiTheme="minorHAnsi" w:cs="Calibri"/>
        </w:rPr>
        <w:footnoteRef/>
      </w:r>
      <w:r w:rsidRPr="007D3351">
        <w:rPr>
          <w:rFonts w:asciiTheme="minorHAnsi" w:hAnsiTheme="minorHAnsi" w:cs="Calibri"/>
        </w:rPr>
        <w:t xml:space="preserve"> </w:t>
      </w:r>
      <w:r>
        <w:rPr>
          <w:rFonts w:asciiTheme="minorHAnsi" w:hAnsiTheme="minorHAnsi" w:cs="Calibri"/>
        </w:rPr>
        <w:t xml:space="preserve">Actual reductions expected from the Scheme are 742tCO2-e. This reflects </w:t>
      </w:r>
      <w:r w:rsidRPr="007D3351">
        <w:rPr>
          <w:rFonts w:asciiTheme="minorHAnsi" w:hAnsiTheme="minorHAnsi" w:cs="Calibri"/>
        </w:rPr>
        <w:t>that 15</w:t>
      </w:r>
      <w:r>
        <w:rPr>
          <w:rFonts w:asciiTheme="minorHAnsi" w:hAnsiTheme="minorHAnsi" w:cs="Calibri"/>
        </w:rPr>
        <w:t xml:space="preserve"> per cent</w:t>
      </w:r>
      <w:r w:rsidRPr="007D3351">
        <w:rPr>
          <w:rFonts w:asciiTheme="minorHAnsi" w:hAnsiTheme="minorHAnsi" w:cs="Calibri"/>
        </w:rPr>
        <w:t xml:space="preserve"> of the targets are expected to be met through Energy Savings Contributions by Tier 2 suppliers</w:t>
      </w:r>
      <w:r>
        <w:rPr>
          <w:rFonts w:asciiTheme="minorHAnsi" w:hAnsiTheme="minorHAnsi" w:cs="Calibri"/>
        </w:rPr>
        <w:t xml:space="preserve">. </w:t>
      </w:r>
      <w:r w:rsidRPr="007D3351">
        <w:rPr>
          <w:rFonts w:asciiTheme="minorHAnsi" w:hAnsiTheme="minorHAnsi" w:cs="Calibri"/>
        </w:rPr>
        <w:t xml:space="preserve">See </w:t>
      </w:r>
      <w:r>
        <w:rPr>
          <w:rFonts w:asciiTheme="minorHAnsi" w:hAnsiTheme="minorHAnsi" w:cs="Calibri"/>
        </w:rPr>
        <w:t xml:space="preserve">page </w:t>
      </w:r>
      <w:r w:rsidRPr="007D3351">
        <w:rPr>
          <w:rFonts w:asciiTheme="minorHAnsi" w:hAnsiTheme="minorHAnsi" w:cs="Calibri"/>
        </w:rPr>
        <w:fldChar w:fldCharType="begin"/>
      </w:r>
      <w:r w:rsidRPr="007D3351">
        <w:rPr>
          <w:rFonts w:asciiTheme="minorHAnsi" w:hAnsiTheme="minorHAnsi" w:cs="Calibri"/>
        </w:rPr>
        <w:instrText xml:space="preserve"> PAGEREF _Ref306802809 \h </w:instrText>
      </w:r>
      <w:r w:rsidRPr="007D3351">
        <w:rPr>
          <w:rFonts w:asciiTheme="minorHAnsi" w:hAnsiTheme="minorHAnsi" w:cs="Calibri"/>
        </w:rPr>
      </w:r>
      <w:r w:rsidRPr="007D3351">
        <w:rPr>
          <w:rFonts w:asciiTheme="minorHAnsi" w:hAnsiTheme="minorHAnsi" w:cs="Calibri"/>
        </w:rPr>
        <w:fldChar w:fldCharType="separate"/>
      </w:r>
      <w:r w:rsidRPr="007D3351">
        <w:rPr>
          <w:rFonts w:asciiTheme="minorHAnsi" w:hAnsiTheme="minorHAnsi" w:cs="Calibri"/>
          <w:noProof/>
        </w:rPr>
        <w:t>51</w:t>
      </w:r>
      <w:r w:rsidRPr="007D3351">
        <w:rPr>
          <w:rFonts w:asciiTheme="minorHAnsi" w:hAnsiTheme="minorHAnsi" w:cs="Calibri"/>
        </w:rPr>
        <w:fldChar w:fldCharType="end"/>
      </w:r>
      <w:r>
        <w:rPr>
          <w:rFonts w:asciiTheme="minorHAnsi" w:hAnsiTheme="minorHAnsi" w:cs="Calibri"/>
        </w:rPr>
        <w:t xml:space="preserve"> for more information. This discounting approach applies to all benefits set out in the modelling results.</w:t>
      </w:r>
    </w:p>
  </w:footnote>
  <w:footnote w:id="30">
    <w:p w:rsidR="008140BD" w:rsidRDefault="009C10C6">
      <w:pPr>
        <w:pStyle w:val="FootnoteText"/>
      </w:pPr>
      <w:r w:rsidRPr="009E5B2E">
        <w:rPr>
          <w:rStyle w:val="FootnoteReference"/>
          <w:rFonts w:asciiTheme="minorHAnsi" w:hAnsiTheme="minorHAnsi" w:cs="Calibri"/>
          <w:sz w:val="18"/>
          <w:szCs w:val="18"/>
        </w:rPr>
        <w:footnoteRef/>
      </w:r>
      <w:r w:rsidRPr="009E5B2E">
        <w:rPr>
          <w:rFonts w:asciiTheme="minorHAnsi" w:hAnsiTheme="minorHAnsi" w:cs="Calibri"/>
          <w:sz w:val="18"/>
          <w:szCs w:val="18"/>
        </w:rPr>
        <w:t xml:space="preserve"> Th</w:t>
      </w:r>
      <w:r>
        <w:rPr>
          <w:rFonts w:asciiTheme="minorHAnsi" w:hAnsiTheme="minorHAnsi" w:cs="Calibri"/>
          <w:sz w:val="18"/>
          <w:szCs w:val="18"/>
        </w:rPr>
        <w:t>ese</w:t>
      </w:r>
      <w:r w:rsidRPr="009E5B2E">
        <w:rPr>
          <w:rFonts w:asciiTheme="minorHAnsi" w:hAnsiTheme="minorHAnsi" w:cs="Calibri"/>
          <w:sz w:val="18"/>
          <w:szCs w:val="18"/>
        </w:rPr>
        <w:t xml:space="preserve"> results have been discounted in relation to the extent of supplier meeting obligations by making Energy Savings Contributions as opposed to undertaking energy saving activities</w:t>
      </w:r>
      <w:r>
        <w:rPr>
          <w:rFonts w:asciiTheme="minorHAnsi" w:hAnsiTheme="minorHAnsi" w:cs="Calibri"/>
          <w:sz w:val="18"/>
          <w:szCs w:val="18"/>
        </w:rPr>
        <w:t xml:space="preserve"> (see page </w:t>
      </w:r>
      <w:r>
        <w:rPr>
          <w:rFonts w:asciiTheme="minorHAnsi" w:hAnsiTheme="minorHAnsi" w:cs="Calibri"/>
          <w:sz w:val="18"/>
          <w:szCs w:val="18"/>
        </w:rPr>
        <w:fldChar w:fldCharType="begin"/>
      </w:r>
      <w:r>
        <w:rPr>
          <w:rFonts w:asciiTheme="minorHAnsi" w:hAnsiTheme="minorHAnsi" w:cs="Calibri"/>
          <w:sz w:val="18"/>
          <w:szCs w:val="18"/>
        </w:rPr>
        <w:instrText xml:space="preserve"> PAGEREF _Ref306804443 \h </w:instrText>
      </w:r>
      <w:r>
        <w:rPr>
          <w:rFonts w:asciiTheme="minorHAnsi" w:hAnsiTheme="minorHAnsi" w:cs="Calibri"/>
          <w:sz w:val="18"/>
          <w:szCs w:val="18"/>
        </w:rPr>
      </w:r>
      <w:r>
        <w:rPr>
          <w:rFonts w:asciiTheme="minorHAnsi" w:hAnsiTheme="minorHAnsi" w:cs="Calibri"/>
          <w:sz w:val="18"/>
          <w:szCs w:val="18"/>
        </w:rPr>
        <w:fldChar w:fldCharType="separate"/>
      </w:r>
      <w:r>
        <w:rPr>
          <w:rFonts w:asciiTheme="minorHAnsi" w:hAnsiTheme="minorHAnsi" w:cs="Calibri"/>
          <w:noProof/>
          <w:sz w:val="18"/>
          <w:szCs w:val="18"/>
        </w:rPr>
        <w:t>51</w:t>
      </w:r>
      <w:r>
        <w:rPr>
          <w:rFonts w:asciiTheme="minorHAnsi" w:hAnsiTheme="minorHAnsi" w:cs="Calibri"/>
          <w:sz w:val="18"/>
          <w:szCs w:val="18"/>
        </w:rPr>
        <w:fldChar w:fldCharType="end"/>
      </w:r>
      <w:r>
        <w:rPr>
          <w:rFonts w:asciiTheme="minorHAnsi" w:hAnsiTheme="minorHAnsi" w:cs="Calibri"/>
          <w:sz w:val="18"/>
          <w:szCs w:val="18"/>
        </w:rPr>
        <w:t>).</w:t>
      </w:r>
    </w:p>
  </w:footnote>
  <w:footnote w:id="31">
    <w:p w:rsidR="008140BD" w:rsidRDefault="009C10C6" w:rsidP="0071455A">
      <w:pPr>
        <w:pStyle w:val="FootnoteText"/>
      </w:pPr>
      <w:r w:rsidRPr="00900285">
        <w:rPr>
          <w:rStyle w:val="FootnoteReference"/>
          <w:rFonts w:asciiTheme="minorHAnsi" w:hAnsiTheme="minorHAnsi" w:cs="Calibri"/>
          <w:b/>
        </w:rPr>
        <w:footnoteRef/>
      </w:r>
      <w:r w:rsidRPr="00900285">
        <w:rPr>
          <w:rFonts w:asciiTheme="minorHAnsi" w:hAnsiTheme="minorHAnsi" w:cs="Calibri"/>
        </w:rPr>
        <w:t xml:space="preserve"> Activity definitions sourced from the Essential Services Commission Victoria (</w:t>
      </w:r>
      <w:hyperlink r:id="rId8" w:history="1">
        <w:r w:rsidRPr="00900285">
          <w:rPr>
            <w:rStyle w:val="Hyperlink"/>
            <w:rFonts w:asciiTheme="minorHAnsi" w:hAnsiTheme="minorHAnsi" w:cs="Calibri"/>
          </w:rPr>
          <w:t>http://www.veet.vic.gov.au/Public/Public.aspx?id=VEETActivities</w:t>
        </w:r>
      </w:hyperlink>
      <w:r w:rsidRPr="00900285">
        <w:rPr>
          <w:rFonts w:asciiTheme="minorHAnsi" w:hAnsiTheme="minorHAnsi"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70" w:rsidRDefault="00D47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C6" w:rsidRDefault="009C10C6">
    <w:pPr>
      <w:pStyle w:val="Header"/>
      <w:jc w:val="right"/>
      <w:rPr>
        <w:color w:val="595959" w:themeColor="text1" w:themeTint="A6"/>
      </w:rPr>
    </w:pPr>
    <w:r w:rsidRPr="00E5522E">
      <w:rPr>
        <w:color w:val="595959" w:themeColor="text1" w:themeTint="A6"/>
      </w:rPr>
      <w:t>EEIS - Regulatory Impact Statement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70" w:rsidRDefault="00D47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9FC1F1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654144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4AA8B1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3920BE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59855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B23F62"/>
    <w:multiLevelType w:val="hybridMultilevel"/>
    <w:tmpl w:val="AA088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2093EB6"/>
    <w:multiLevelType w:val="hybridMultilevel"/>
    <w:tmpl w:val="3B2C6474"/>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7F02691"/>
    <w:multiLevelType w:val="hybridMultilevel"/>
    <w:tmpl w:val="AB22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154744"/>
    <w:multiLevelType w:val="hybridMultilevel"/>
    <w:tmpl w:val="884A2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8853FA"/>
    <w:multiLevelType w:val="hybridMultilevel"/>
    <w:tmpl w:val="E0E2C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06526D"/>
    <w:multiLevelType w:val="hybridMultilevel"/>
    <w:tmpl w:val="95BE2D90"/>
    <w:lvl w:ilvl="0" w:tplc="0C090011">
      <w:start w:val="1"/>
      <w:numFmt w:val="decimal"/>
      <w:lvlText w:val="%1)"/>
      <w:lvlJc w:val="left"/>
      <w:pPr>
        <w:ind w:left="36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1" w15:restartNumberingAfterBreak="0">
    <w:nsid w:val="0E200C0E"/>
    <w:multiLevelType w:val="hybridMultilevel"/>
    <w:tmpl w:val="636A4FEE"/>
    <w:lvl w:ilvl="0" w:tplc="8D38428C">
      <w:start w:val="5"/>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B81538"/>
    <w:multiLevelType w:val="hybridMultilevel"/>
    <w:tmpl w:val="6956A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400ACA"/>
    <w:multiLevelType w:val="hybridMultilevel"/>
    <w:tmpl w:val="1024A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47743E"/>
    <w:multiLevelType w:val="hybridMultilevel"/>
    <w:tmpl w:val="64824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852FC0"/>
    <w:multiLevelType w:val="hybridMultilevel"/>
    <w:tmpl w:val="11BE2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EE46B8"/>
    <w:multiLevelType w:val="hybridMultilevel"/>
    <w:tmpl w:val="97D08AF0"/>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21CF4923"/>
    <w:multiLevelType w:val="multilevel"/>
    <w:tmpl w:val="3392BFE2"/>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28"/>
      <w:numFmt w:val="decimal"/>
      <w:lvlRestart w:val="0"/>
      <w:pStyle w:val="AH5Sec"/>
      <w:lvlText w:val="%5"/>
      <w:lvlJc w:val="left"/>
      <w:pPr>
        <w:tabs>
          <w:tab w:val="num" w:pos="1100"/>
        </w:tabs>
        <w:ind w:left="1100" w:hanging="1100"/>
      </w:pPr>
      <w:rPr>
        <w:rFonts w:cs="Times New Roman" w:hint="default"/>
        <w:b/>
        <w:i w:val="0"/>
      </w:rPr>
    </w:lvl>
    <w:lvl w:ilvl="5">
      <w:start w:val="1"/>
      <w:numFmt w:val="decimal"/>
      <w:pStyle w:val="Amain"/>
      <w:lvlText w:val="(%6)"/>
      <w:lvlJc w:val="right"/>
      <w:pPr>
        <w:tabs>
          <w:tab w:val="num" w:pos="1100"/>
        </w:tabs>
        <w:ind w:left="1100" w:hanging="200"/>
      </w:pPr>
      <w:rPr>
        <w:rFonts w:cs="Times New Roman" w:hint="default"/>
        <w:b w:val="0"/>
      </w:rPr>
    </w:lvl>
    <w:lvl w:ilvl="6">
      <w:start w:val="1"/>
      <w:numFmt w:val="lowerLetter"/>
      <w:pStyle w:val="Apara"/>
      <w:lvlText w:val="(%7)"/>
      <w:lvlJc w:val="right"/>
      <w:pPr>
        <w:tabs>
          <w:tab w:val="num" w:pos="1600"/>
        </w:tabs>
        <w:ind w:left="1600" w:hanging="200"/>
      </w:pPr>
      <w:rPr>
        <w:rFonts w:cs="Times New Roman" w:hint="default"/>
        <w:b w:val="0"/>
        <w:i w:val="0"/>
      </w:rPr>
    </w:lvl>
    <w:lvl w:ilvl="7">
      <w:start w:val="1"/>
      <w:numFmt w:val="lowerRoman"/>
      <w:pStyle w:val="Asubpara"/>
      <w:lvlText w:val="(%8)"/>
      <w:lvlJc w:val="right"/>
      <w:pPr>
        <w:tabs>
          <w:tab w:val="num" w:pos="2140"/>
        </w:tabs>
        <w:ind w:left="2140" w:hanging="200"/>
      </w:pPr>
      <w:rPr>
        <w:rFonts w:cs="Times New Roman" w:hint="default"/>
        <w:b w:val="0"/>
        <w:i w:val="0"/>
      </w:rPr>
    </w:lvl>
    <w:lvl w:ilvl="8">
      <w:start w:val="1"/>
      <w:numFmt w:val="upperLetter"/>
      <w:pStyle w:val="Asubsubpara"/>
      <w:lvlText w:val="(%9)"/>
      <w:lvlJc w:val="right"/>
      <w:pPr>
        <w:tabs>
          <w:tab w:val="num" w:pos="2660"/>
        </w:tabs>
        <w:ind w:left="2660" w:hanging="200"/>
      </w:pPr>
      <w:rPr>
        <w:rFonts w:cs="Times New Roman" w:hint="default"/>
        <w:b w:val="0"/>
        <w:i w:val="0"/>
      </w:rPr>
    </w:lvl>
  </w:abstractNum>
  <w:abstractNum w:abstractNumId="18" w15:restartNumberingAfterBreak="0">
    <w:nsid w:val="23604A13"/>
    <w:multiLevelType w:val="hybridMultilevel"/>
    <w:tmpl w:val="0DAAA266"/>
    <w:lvl w:ilvl="0" w:tplc="0C09000F">
      <w:start w:val="1"/>
      <w:numFmt w:val="decimal"/>
      <w:lvlText w:val="%1."/>
      <w:lvlJc w:val="left"/>
      <w:pPr>
        <w:tabs>
          <w:tab w:val="num" w:pos="360"/>
        </w:tabs>
        <w:ind w:left="360" w:hanging="360"/>
      </w:pPr>
      <w:rPr>
        <w:rFonts w:cs="Times New Roman"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481192"/>
    <w:multiLevelType w:val="hybridMultilevel"/>
    <w:tmpl w:val="7DDE1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982AD0"/>
    <w:multiLevelType w:val="hybridMultilevel"/>
    <w:tmpl w:val="40FA250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1" w15:restartNumberingAfterBreak="0">
    <w:nsid w:val="3391710E"/>
    <w:multiLevelType w:val="hybridMultilevel"/>
    <w:tmpl w:val="EEF61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2F1EBA"/>
    <w:multiLevelType w:val="hybridMultilevel"/>
    <w:tmpl w:val="3E76C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403B1F"/>
    <w:multiLevelType w:val="hybridMultilevel"/>
    <w:tmpl w:val="AC500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9134B5"/>
    <w:multiLevelType w:val="hybridMultilevel"/>
    <w:tmpl w:val="62D625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6820D0"/>
    <w:multiLevelType w:val="hybridMultilevel"/>
    <w:tmpl w:val="C52E0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1E6704"/>
    <w:multiLevelType w:val="hybridMultilevel"/>
    <w:tmpl w:val="B1B0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3B48DC"/>
    <w:multiLevelType w:val="hybridMultilevel"/>
    <w:tmpl w:val="C8C48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060B28"/>
    <w:multiLevelType w:val="hybridMultilevel"/>
    <w:tmpl w:val="62B4F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1826D7"/>
    <w:multiLevelType w:val="hybridMultilevel"/>
    <w:tmpl w:val="A0CA1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FA6189"/>
    <w:multiLevelType w:val="hybridMultilevel"/>
    <w:tmpl w:val="12489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E06C06"/>
    <w:multiLevelType w:val="hybridMultilevel"/>
    <w:tmpl w:val="D61A3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A94460"/>
    <w:multiLevelType w:val="hybridMultilevel"/>
    <w:tmpl w:val="C1E2B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993204"/>
    <w:multiLevelType w:val="hybridMultilevel"/>
    <w:tmpl w:val="FBC2C8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541805"/>
    <w:multiLevelType w:val="hybridMultilevel"/>
    <w:tmpl w:val="93D60ACE"/>
    <w:lvl w:ilvl="0" w:tplc="0C09000F">
      <w:start w:val="1"/>
      <w:numFmt w:val="decimal"/>
      <w:lvlText w:val="%1."/>
      <w:lvlJc w:val="left"/>
      <w:pPr>
        <w:ind w:left="720" w:hanging="360"/>
      </w:pPr>
      <w:rPr>
        <w:rFonts w:cs="Times New Roman" w:hint="default"/>
      </w:rPr>
    </w:lvl>
    <w:lvl w:ilvl="1" w:tplc="E9A873FE">
      <w:start w:val="1"/>
      <w:numFmt w:val="lowerLetter"/>
      <w:lvlText w:val="(%2)"/>
      <w:lvlJc w:val="left"/>
      <w:pPr>
        <w:ind w:left="1440" w:hanging="360"/>
      </w:pPr>
      <w:rPr>
        <w:rFonts w:cs="Times New Roman" w:hint="default"/>
        <w:i/>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A5012D"/>
    <w:multiLevelType w:val="hybridMultilevel"/>
    <w:tmpl w:val="A7AE546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BCE31C2"/>
    <w:multiLevelType w:val="hybridMultilevel"/>
    <w:tmpl w:val="35DEDD90"/>
    <w:lvl w:ilvl="0" w:tplc="0C090017">
      <w:start w:val="1"/>
      <w:numFmt w:val="lowerLetter"/>
      <w:lvlText w:val="%1)"/>
      <w:lvlJc w:val="left"/>
      <w:pPr>
        <w:ind w:left="720" w:hanging="360"/>
      </w:pPr>
      <w:rPr>
        <w:rFonts w:cs="Times New Roman"/>
      </w:rPr>
    </w:lvl>
    <w:lvl w:ilvl="1" w:tplc="0C090017">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611F3CCD"/>
    <w:multiLevelType w:val="hybridMultilevel"/>
    <w:tmpl w:val="7F069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387A63"/>
    <w:multiLevelType w:val="hybridMultilevel"/>
    <w:tmpl w:val="15C0D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64140F"/>
    <w:multiLevelType w:val="hybridMultilevel"/>
    <w:tmpl w:val="7C66C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F977C1"/>
    <w:multiLevelType w:val="hybridMultilevel"/>
    <w:tmpl w:val="0BBC9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F66B61"/>
    <w:multiLevelType w:val="hybridMultilevel"/>
    <w:tmpl w:val="574C5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517A43"/>
    <w:multiLevelType w:val="hybridMultilevel"/>
    <w:tmpl w:val="501CB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DD75A7"/>
    <w:multiLevelType w:val="hybridMultilevel"/>
    <w:tmpl w:val="981E6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B47F3A"/>
    <w:multiLevelType w:val="multilevel"/>
    <w:tmpl w:val="3710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155048"/>
    <w:multiLevelType w:val="multilevel"/>
    <w:tmpl w:val="D97E644E"/>
    <w:lvl w:ilvl="0">
      <w:start w:val="1"/>
      <w:numFmt w:val="decimal"/>
      <w:pStyle w:val="ListBullet"/>
      <w:lvlText w:val="%1."/>
      <w:lvlJc w:val="left"/>
      <w:pPr>
        <w:tabs>
          <w:tab w:val="num" w:pos="851"/>
        </w:tabs>
        <w:ind w:left="851" w:hanging="567"/>
      </w:pPr>
      <w:rPr>
        <w:rFonts w:cs="Times New Roman" w:hint="default"/>
        <w:color w:val="3E3A39"/>
        <w:sz w:val="16"/>
      </w:rPr>
    </w:lvl>
    <w:lvl w:ilvl="1">
      <w:start w:val="1"/>
      <w:numFmt w:val="bullet"/>
      <w:pStyle w:val="ListBullet2"/>
      <w:lvlText w:val=""/>
      <w:lvlJc w:val="left"/>
      <w:pPr>
        <w:tabs>
          <w:tab w:val="num" w:pos="1418"/>
        </w:tabs>
        <w:ind w:left="1418" w:hanging="567"/>
      </w:pPr>
      <w:rPr>
        <w:rFonts w:ascii="Symbol" w:hAnsi="Symbol" w:hint="default"/>
        <w:color w:val="3E3A39"/>
        <w:sz w:val="16"/>
      </w:rPr>
    </w:lvl>
    <w:lvl w:ilvl="2">
      <w:start w:val="1"/>
      <w:numFmt w:val="bullet"/>
      <w:pStyle w:val="ListBullet3"/>
      <w:lvlText w:val=""/>
      <w:lvlJc w:val="left"/>
      <w:pPr>
        <w:tabs>
          <w:tab w:val="num" w:pos="1985"/>
        </w:tabs>
        <w:ind w:left="1985" w:hanging="567"/>
      </w:pPr>
      <w:rPr>
        <w:rFonts w:ascii="Symbol" w:hAnsi="Symbol" w:hint="default"/>
        <w:color w:val="3E3A39"/>
        <w:sz w:val="16"/>
      </w:rPr>
    </w:lvl>
    <w:lvl w:ilvl="3">
      <w:start w:val="1"/>
      <w:numFmt w:val="bullet"/>
      <w:pStyle w:val="ListBullet4"/>
      <w:lvlText w:val=""/>
      <w:lvlJc w:val="left"/>
      <w:pPr>
        <w:tabs>
          <w:tab w:val="num" w:pos="2552"/>
        </w:tabs>
        <w:ind w:left="2552" w:hanging="567"/>
      </w:pPr>
      <w:rPr>
        <w:rFonts w:ascii="Symbol" w:hAnsi="Symbol" w:hint="default"/>
        <w:color w:val="3E3A39"/>
        <w:sz w:val="16"/>
      </w:rPr>
    </w:lvl>
    <w:lvl w:ilvl="4">
      <w:start w:val="1"/>
      <w:numFmt w:val="bullet"/>
      <w:pStyle w:val="ListBullet5"/>
      <w:lvlText w:val=""/>
      <w:lvlJc w:val="left"/>
      <w:pPr>
        <w:tabs>
          <w:tab w:val="num" w:pos="3119"/>
        </w:tabs>
        <w:ind w:left="3119" w:hanging="567"/>
      </w:pPr>
      <w:rPr>
        <w:rFonts w:ascii="Symbol" w:hAnsi="Symbol" w:hint="default"/>
        <w:sz w:val="16"/>
      </w:rPr>
    </w:lvl>
    <w:lvl w:ilvl="5">
      <w:start w:val="1"/>
      <w:numFmt w:val="bullet"/>
      <w:lvlText w:val=""/>
      <w:lvlJc w:val="left"/>
      <w:pPr>
        <w:tabs>
          <w:tab w:val="num" w:pos="3686"/>
        </w:tabs>
        <w:ind w:left="3686" w:hanging="567"/>
      </w:pPr>
      <w:rPr>
        <w:rFonts w:ascii="Symbol" w:hAnsi="Symbol" w:hint="default"/>
        <w:sz w:val="16"/>
      </w:rPr>
    </w:lvl>
    <w:lvl w:ilvl="6">
      <w:start w:val="1"/>
      <w:numFmt w:val="bullet"/>
      <w:lvlText w:val=""/>
      <w:lvlJc w:val="left"/>
      <w:pPr>
        <w:tabs>
          <w:tab w:val="num" w:pos="4253"/>
        </w:tabs>
        <w:ind w:left="4253" w:hanging="567"/>
      </w:pPr>
      <w:rPr>
        <w:rFonts w:ascii="Symbol" w:hAnsi="Symbol" w:hint="default"/>
        <w:sz w:val="16"/>
      </w:rPr>
    </w:lvl>
    <w:lvl w:ilvl="7">
      <w:start w:val="1"/>
      <w:numFmt w:val="bullet"/>
      <w:lvlText w:val=""/>
      <w:lvlJc w:val="left"/>
      <w:pPr>
        <w:tabs>
          <w:tab w:val="num" w:pos="4820"/>
        </w:tabs>
        <w:ind w:left="4820" w:hanging="567"/>
      </w:pPr>
      <w:rPr>
        <w:rFonts w:ascii="Symbol" w:hAnsi="Symbol" w:hint="default"/>
        <w:sz w:val="16"/>
      </w:rPr>
    </w:lvl>
    <w:lvl w:ilvl="8">
      <w:start w:val="1"/>
      <w:numFmt w:val="bullet"/>
      <w:lvlText w:val=""/>
      <w:lvlJc w:val="left"/>
      <w:pPr>
        <w:tabs>
          <w:tab w:val="num" w:pos="5387"/>
        </w:tabs>
        <w:ind w:left="5387" w:hanging="567"/>
      </w:pPr>
      <w:rPr>
        <w:rFonts w:ascii="Symbol" w:hAnsi="Symbol" w:hint="default"/>
        <w:sz w:val="16"/>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8"/>
  </w:num>
  <w:num w:numId="8">
    <w:abstractNumId w:val="33"/>
  </w:num>
  <w:num w:numId="9">
    <w:abstractNumId w:val="21"/>
  </w:num>
  <w:num w:numId="10">
    <w:abstractNumId w:val="13"/>
  </w:num>
  <w:num w:numId="11">
    <w:abstractNumId w:val="8"/>
  </w:num>
  <w:num w:numId="12">
    <w:abstractNumId w:val="39"/>
  </w:num>
  <w:num w:numId="13">
    <w:abstractNumId w:val="19"/>
  </w:num>
  <w:num w:numId="14">
    <w:abstractNumId w:val="40"/>
  </w:num>
  <w:num w:numId="15">
    <w:abstractNumId w:val="30"/>
  </w:num>
  <w:num w:numId="16">
    <w:abstractNumId w:val="26"/>
  </w:num>
  <w:num w:numId="17">
    <w:abstractNumId w:val="27"/>
  </w:num>
  <w:num w:numId="18">
    <w:abstractNumId w:val="22"/>
  </w:num>
  <w:num w:numId="19">
    <w:abstractNumId w:val="38"/>
  </w:num>
  <w:num w:numId="20">
    <w:abstractNumId w:val="34"/>
  </w:num>
  <w:num w:numId="21">
    <w:abstractNumId w:val="28"/>
  </w:num>
  <w:num w:numId="22">
    <w:abstractNumId w:val="16"/>
  </w:num>
  <w:num w:numId="23">
    <w:abstractNumId w:val="12"/>
  </w:num>
  <w:num w:numId="24">
    <w:abstractNumId w:val="7"/>
  </w:num>
  <w:num w:numId="25">
    <w:abstractNumId w:val="45"/>
  </w:num>
  <w:num w:numId="26">
    <w:abstractNumId w:val="42"/>
  </w:num>
  <w:num w:numId="27">
    <w:abstractNumId w:val="9"/>
  </w:num>
  <w:num w:numId="28">
    <w:abstractNumId w:val="14"/>
  </w:num>
  <w:num w:numId="29">
    <w:abstractNumId w:val="24"/>
  </w:num>
  <w:num w:numId="30">
    <w:abstractNumId w:val="29"/>
  </w:num>
  <w:num w:numId="31">
    <w:abstractNumId w:val="37"/>
  </w:num>
  <w:num w:numId="32">
    <w:abstractNumId w:val="43"/>
  </w:num>
  <w:num w:numId="33">
    <w:abstractNumId w:val="41"/>
  </w:num>
  <w:num w:numId="34">
    <w:abstractNumId w:val="32"/>
  </w:num>
  <w:num w:numId="35">
    <w:abstractNumId w:val="5"/>
  </w:num>
  <w:num w:numId="36">
    <w:abstractNumId w:val="15"/>
  </w:num>
  <w:num w:numId="37">
    <w:abstractNumId w:val="25"/>
  </w:num>
  <w:num w:numId="38">
    <w:abstractNumId w:val="31"/>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6"/>
  </w:num>
  <w:num w:numId="42">
    <w:abstractNumId w:val="17"/>
  </w:num>
  <w:num w:numId="43">
    <w:abstractNumId w:val="23"/>
  </w:num>
  <w:num w:numId="44">
    <w:abstractNumId w:val="11"/>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67BE"/>
    <w:rsid w:val="00002D01"/>
    <w:rsid w:val="000057D5"/>
    <w:rsid w:val="000061B7"/>
    <w:rsid w:val="00007229"/>
    <w:rsid w:val="0001447B"/>
    <w:rsid w:val="0001670E"/>
    <w:rsid w:val="0002731F"/>
    <w:rsid w:val="00034BD0"/>
    <w:rsid w:val="000376EB"/>
    <w:rsid w:val="00047E06"/>
    <w:rsid w:val="0005184B"/>
    <w:rsid w:val="00053B29"/>
    <w:rsid w:val="00053BA6"/>
    <w:rsid w:val="00055397"/>
    <w:rsid w:val="00055636"/>
    <w:rsid w:val="0005643D"/>
    <w:rsid w:val="00056625"/>
    <w:rsid w:val="000618B4"/>
    <w:rsid w:val="00061E09"/>
    <w:rsid w:val="00062E1B"/>
    <w:rsid w:val="000644AB"/>
    <w:rsid w:val="000653C6"/>
    <w:rsid w:val="00065DDC"/>
    <w:rsid w:val="00066850"/>
    <w:rsid w:val="00074161"/>
    <w:rsid w:val="0007538F"/>
    <w:rsid w:val="0007639A"/>
    <w:rsid w:val="00086042"/>
    <w:rsid w:val="00090105"/>
    <w:rsid w:val="00091F4F"/>
    <w:rsid w:val="000925E8"/>
    <w:rsid w:val="00092B6A"/>
    <w:rsid w:val="00095788"/>
    <w:rsid w:val="00095F70"/>
    <w:rsid w:val="00096C4D"/>
    <w:rsid w:val="000A12F1"/>
    <w:rsid w:val="000A1EA1"/>
    <w:rsid w:val="000A26B1"/>
    <w:rsid w:val="000A2F62"/>
    <w:rsid w:val="000A5F74"/>
    <w:rsid w:val="000A6054"/>
    <w:rsid w:val="000A6422"/>
    <w:rsid w:val="000A6966"/>
    <w:rsid w:val="000A7826"/>
    <w:rsid w:val="000B1982"/>
    <w:rsid w:val="000B5DBC"/>
    <w:rsid w:val="000C034B"/>
    <w:rsid w:val="000C46E0"/>
    <w:rsid w:val="000C566B"/>
    <w:rsid w:val="000C7ACB"/>
    <w:rsid w:val="000D6A45"/>
    <w:rsid w:val="000D6AA8"/>
    <w:rsid w:val="000D6D2A"/>
    <w:rsid w:val="000E2B8C"/>
    <w:rsid w:val="000E62AA"/>
    <w:rsid w:val="000E6646"/>
    <w:rsid w:val="000E6C77"/>
    <w:rsid w:val="000F214E"/>
    <w:rsid w:val="000F399E"/>
    <w:rsid w:val="000F3E82"/>
    <w:rsid w:val="000F6B8B"/>
    <w:rsid w:val="000F7B16"/>
    <w:rsid w:val="00105D35"/>
    <w:rsid w:val="00117C0A"/>
    <w:rsid w:val="0012054A"/>
    <w:rsid w:val="00120F4A"/>
    <w:rsid w:val="00121597"/>
    <w:rsid w:val="0012265A"/>
    <w:rsid w:val="00127043"/>
    <w:rsid w:val="00130AD8"/>
    <w:rsid w:val="001320E1"/>
    <w:rsid w:val="00133775"/>
    <w:rsid w:val="0013486B"/>
    <w:rsid w:val="00136C2E"/>
    <w:rsid w:val="001375ED"/>
    <w:rsid w:val="001415EE"/>
    <w:rsid w:val="00142C73"/>
    <w:rsid w:val="00143B53"/>
    <w:rsid w:val="00147182"/>
    <w:rsid w:val="00150381"/>
    <w:rsid w:val="00150EE8"/>
    <w:rsid w:val="00153713"/>
    <w:rsid w:val="001570F6"/>
    <w:rsid w:val="0015789E"/>
    <w:rsid w:val="00161967"/>
    <w:rsid w:val="00162155"/>
    <w:rsid w:val="00162CF3"/>
    <w:rsid w:val="00164A8D"/>
    <w:rsid w:val="00166B60"/>
    <w:rsid w:val="00171FE0"/>
    <w:rsid w:val="00174C49"/>
    <w:rsid w:val="00175BEA"/>
    <w:rsid w:val="00180824"/>
    <w:rsid w:val="0018085E"/>
    <w:rsid w:val="0018102B"/>
    <w:rsid w:val="00181183"/>
    <w:rsid w:val="00182B3A"/>
    <w:rsid w:val="00183B52"/>
    <w:rsid w:val="00185A82"/>
    <w:rsid w:val="001934BF"/>
    <w:rsid w:val="00195D26"/>
    <w:rsid w:val="00196A93"/>
    <w:rsid w:val="001A17EB"/>
    <w:rsid w:val="001A64F1"/>
    <w:rsid w:val="001B4015"/>
    <w:rsid w:val="001B4DAA"/>
    <w:rsid w:val="001C1ED2"/>
    <w:rsid w:val="001C200A"/>
    <w:rsid w:val="001C2745"/>
    <w:rsid w:val="001C2BF0"/>
    <w:rsid w:val="001D0DAC"/>
    <w:rsid w:val="001D17AD"/>
    <w:rsid w:val="001D1E16"/>
    <w:rsid w:val="001D57D8"/>
    <w:rsid w:val="001D5C57"/>
    <w:rsid w:val="001E0F81"/>
    <w:rsid w:val="001E2E25"/>
    <w:rsid w:val="001E35B7"/>
    <w:rsid w:val="001E4903"/>
    <w:rsid w:val="001E5888"/>
    <w:rsid w:val="001F0443"/>
    <w:rsid w:val="001F0CAD"/>
    <w:rsid w:val="001F24B9"/>
    <w:rsid w:val="001F2F34"/>
    <w:rsid w:val="001F3CC9"/>
    <w:rsid w:val="001F67A6"/>
    <w:rsid w:val="001F6F14"/>
    <w:rsid w:val="00200CD4"/>
    <w:rsid w:val="0020199C"/>
    <w:rsid w:val="00202E75"/>
    <w:rsid w:val="002069B9"/>
    <w:rsid w:val="00210C7D"/>
    <w:rsid w:val="00214AF8"/>
    <w:rsid w:val="00216466"/>
    <w:rsid w:val="002166CE"/>
    <w:rsid w:val="002224D2"/>
    <w:rsid w:val="002234A2"/>
    <w:rsid w:val="00224542"/>
    <w:rsid w:val="00224572"/>
    <w:rsid w:val="0022538B"/>
    <w:rsid w:val="00226CB4"/>
    <w:rsid w:val="00232449"/>
    <w:rsid w:val="00233C3B"/>
    <w:rsid w:val="00235959"/>
    <w:rsid w:val="00237A6D"/>
    <w:rsid w:val="002422FA"/>
    <w:rsid w:val="00251C44"/>
    <w:rsid w:val="00251DC9"/>
    <w:rsid w:val="00253B7C"/>
    <w:rsid w:val="00253F0D"/>
    <w:rsid w:val="00260320"/>
    <w:rsid w:val="00261223"/>
    <w:rsid w:val="002628CF"/>
    <w:rsid w:val="002649B5"/>
    <w:rsid w:val="00265371"/>
    <w:rsid w:val="002656BC"/>
    <w:rsid w:val="00266457"/>
    <w:rsid w:val="00267BD4"/>
    <w:rsid w:val="00270E58"/>
    <w:rsid w:val="002764C2"/>
    <w:rsid w:val="00277C9D"/>
    <w:rsid w:val="00281C3D"/>
    <w:rsid w:val="00286765"/>
    <w:rsid w:val="00287B0F"/>
    <w:rsid w:val="00290501"/>
    <w:rsid w:val="00290959"/>
    <w:rsid w:val="00292F03"/>
    <w:rsid w:val="0029331F"/>
    <w:rsid w:val="0029429B"/>
    <w:rsid w:val="00294E94"/>
    <w:rsid w:val="002A312E"/>
    <w:rsid w:val="002A4759"/>
    <w:rsid w:val="002A6EA5"/>
    <w:rsid w:val="002A76EA"/>
    <w:rsid w:val="002A7838"/>
    <w:rsid w:val="002B0C53"/>
    <w:rsid w:val="002B2878"/>
    <w:rsid w:val="002B33CF"/>
    <w:rsid w:val="002B3C6E"/>
    <w:rsid w:val="002B618F"/>
    <w:rsid w:val="002C0EE9"/>
    <w:rsid w:val="002C2B88"/>
    <w:rsid w:val="002C60A9"/>
    <w:rsid w:val="002C635D"/>
    <w:rsid w:val="002D1321"/>
    <w:rsid w:val="002D18AC"/>
    <w:rsid w:val="002D400A"/>
    <w:rsid w:val="002D4899"/>
    <w:rsid w:val="002D4CDB"/>
    <w:rsid w:val="002E529B"/>
    <w:rsid w:val="002E6745"/>
    <w:rsid w:val="002F07F2"/>
    <w:rsid w:val="002F0A92"/>
    <w:rsid w:val="002F45BB"/>
    <w:rsid w:val="002F4E99"/>
    <w:rsid w:val="002F52A6"/>
    <w:rsid w:val="002F5F62"/>
    <w:rsid w:val="00305057"/>
    <w:rsid w:val="0031085F"/>
    <w:rsid w:val="0031242C"/>
    <w:rsid w:val="00315479"/>
    <w:rsid w:val="00316A3A"/>
    <w:rsid w:val="003217F4"/>
    <w:rsid w:val="003221DA"/>
    <w:rsid w:val="0032225C"/>
    <w:rsid w:val="0032549E"/>
    <w:rsid w:val="003254F2"/>
    <w:rsid w:val="0032728A"/>
    <w:rsid w:val="003322F5"/>
    <w:rsid w:val="0033477F"/>
    <w:rsid w:val="0034068B"/>
    <w:rsid w:val="00340DBD"/>
    <w:rsid w:val="00345111"/>
    <w:rsid w:val="00345F25"/>
    <w:rsid w:val="00350E07"/>
    <w:rsid w:val="003524C9"/>
    <w:rsid w:val="003537B9"/>
    <w:rsid w:val="0035620B"/>
    <w:rsid w:val="00361391"/>
    <w:rsid w:val="00362165"/>
    <w:rsid w:val="003621FF"/>
    <w:rsid w:val="00365BDA"/>
    <w:rsid w:val="00365CF8"/>
    <w:rsid w:val="003776BC"/>
    <w:rsid w:val="00377F4D"/>
    <w:rsid w:val="00380599"/>
    <w:rsid w:val="00380FBA"/>
    <w:rsid w:val="003822A8"/>
    <w:rsid w:val="003824EB"/>
    <w:rsid w:val="003825F3"/>
    <w:rsid w:val="0038264F"/>
    <w:rsid w:val="003858EF"/>
    <w:rsid w:val="00393F62"/>
    <w:rsid w:val="00393FD3"/>
    <w:rsid w:val="00397427"/>
    <w:rsid w:val="003A3281"/>
    <w:rsid w:val="003A349A"/>
    <w:rsid w:val="003A52A1"/>
    <w:rsid w:val="003A6B5B"/>
    <w:rsid w:val="003B22F9"/>
    <w:rsid w:val="003B2752"/>
    <w:rsid w:val="003B468B"/>
    <w:rsid w:val="003C1EDB"/>
    <w:rsid w:val="003C2017"/>
    <w:rsid w:val="003C3A96"/>
    <w:rsid w:val="003C3F6B"/>
    <w:rsid w:val="003D120E"/>
    <w:rsid w:val="003D208D"/>
    <w:rsid w:val="003D2838"/>
    <w:rsid w:val="003D2E85"/>
    <w:rsid w:val="003D31E0"/>
    <w:rsid w:val="003D3D3F"/>
    <w:rsid w:val="003D6680"/>
    <w:rsid w:val="003E0DE2"/>
    <w:rsid w:val="003E1483"/>
    <w:rsid w:val="003E5097"/>
    <w:rsid w:val="003E5EBE"/>
    <w:rsid w:val="003E64E7"/>
    <w:rsid w:val="003E708E"/>
    <w:rsid w:val="003E70D5"/>
    <w:rsid w:val="003E73E0"/>
    <w:rsid w:val="003F03FE"/>
    <w:rsid w:val="003F4D80"/>
    <w:rsid w:val="003F524A"/>
    <w:rsid w:val="003F79EE"/>
    <w:rsid w:val="00405438"/>
    <w:rsid w:val="0040545F"/>
    <w:rsid w:val="0040674E"/>
    <w:rsid w:val="00412427"/>
    <w:rsid w:val="00412E93"/>
    <w:rsid w:val="0041660B"/>
    <w:rsid w:val="004213F0"/>
    <w:rsid w:val="00422AB6"/>
    <w:rsid w:val="004253D9"/>
    <w:rsid w:val="00425C5B"/>
    <w:rsid w:val="00425F22"/>
    <w:rsid w:val="00432826"/>
    <w:rsid w:val="00433328"/>
    <w:rsid w:val="004336D6"/>
    <w:rsid w:val="00433BC3"/>
    <w:rsid w:val="00434C6C"/>
    <w:rsid w:val="004513A9"/>
    <w:rsid w:val="004530C5"/>
    <w:rsid w:val="00453E3F"/>
    <w:rsid w:val="00454F5F"/>
    <w:rsid w:val="00456168"/>
    <w:rsid w:val="004634F6"/>
    <w:rsid w:val="00463C98"/>
    <w:rsid w:val="00464321"/>
    <w:rsid w:val="004644DF"/>
    <w:rsid w:val="00466802"/>
    <w:rsid w:val="00466950"/>
    <w:rsid w:val="00470316"/>
    <w:rsid w:val="00473600"/>
    <w:rsid w:val="00473676"/>
    <w:rsid w:val="00473AF4"/>
    <w:rsid w:val="00476F58"/>
    <w:rsid w:val="004809B3"/>
    <w:rsid w:val="00481E84"/>
    <w:rsid w:val="00482DAA"/>
    <w:rsid w:val="004856B6"/>
    <w:rsid w:val="00485960"/>
    <w:rsid w:val="00486F6B"/>
    <w:rsid w:val="00494B42"/>
    <w:rsid w:val="004A0818"/>
    <w:rsid w:val="004A1468"/>
    <w:rsid w:val="004A1E3B"/>
    <w:rsid w:val="004A2D09"/>
    <w:rsid w:val="004A2EB5"/>
    <w:rsid w:val="004A315C"/>
    <w:rsid w:val="004A4805"/>
    <w:rsid w:val="004A4A47"/>
    <w:rsid w:val="004A778E"/>
    <w:rsid w:val="004A7948"/>
    <w:rsid w:val="004A7DFB"/>
    <w:rsid w:val="004B1024"/>
    <w:rsid w:val="004B22EA"/>
    <w:rsid w:val="004B2B28"/>
    <w:rsid w:val="004B6078"/>
    <w:rsid w:val="004B77C0"/>
    <w:rsid w:val="004C14DF"/>
    <w:rsid w:val="004C68A9"/>
    <w:rsid w:val="004C6CBD"/>
    <w:rsid w:val="004C7031"/>
    <w:rsid w:val="004D0021"/>
    <w:rsid w:val="004D08C9"/>
    <w:rsid w:val="004D11AF"/>
    <w:rsid w:val="004D4A80"/>
    <w:rsid w:val="004E09B4"/>
    <w:rsid w:val="004E1662"/>
    <w:rsid w:val="004E525B"/>
    <w:rsid w:val="004F1FA3"/>
    <w:rsid w:val="004F7A03"/>
    <w:rsid w:val="004F7B0C"/>
    <w:rsid w:val="0050106E"/>
    <w:rsid w:val="005029C4"/>
    <w:rsid w:val="00503DD4"/>
    <w:rsid w:val="00505500"/>
    <w:rsid w:val="0050561B"/>
    <w:rsid w:val="005061BD"/>
    <w:rsid w:val="00507347"/>
    <w:rsid w:val="0051040D"/>
    <w:rsid w:val="00512869"/>
    <w:rsid w:val="00512E3F"/>
    <w:rsid w:val="00513E3A"/>
    <w:rsid w:val="005147F1"/>
    <w:rsid w:val="0051648C"/>
    <w:rsid w:val="0051651E"/>
    <w:rsid w:val="005176C7"/>
    <w:rsid w:val="00521362"/>
    <w:rsid w:val="00523A97"/>
    <w:rsid w:val="00524946"/>
    <w:rsid w:val="00527D19"/>
    <w:rsid w:val="00530955"/>
    <w:rsid w:val="00531755"/>
    <w:rsid w:val="00532095"/>
    <w:rsid w:val="005323BA"/>
    <w:rsid w:val="005324B0"/>
    <w:rsid w:val="00535295"/>
    <w:rsid w:val="0053596D"/>
    <w:rsid w:val="0053662E"/>
    <w:rsid w:val="00537ECB"/>
    <w:rsid w:val="00542944"/>
    <w:rsid w:val="005432D4"/>
    <w:rsid w:val="005445A6"/>
    <w:rsid w:val="00545851"/>
    <w:rsid w:val="00546F8D"/>
    <w:rsid w:val="00550A53"/>
    <w:rsid w:val="00552BF2"/>
    <w:rsid w:val="00552E05"/>
    <w:rsid w:val="00553FB5"/>
    <w:rsid w:val="005544DC"/>
    <w:rsid w:val="005559AC"/>
    <w:rsid w:val="00555B2F"/>
    <w:rsid w:val="00556EBB"/>
    <w:rsid w:val="00557D35"/>
    <w:rsid w:val="005629CD"/>
    <w:rsid w:val="00564795"/>
    <w:rsid w:val="005656AF"/>
    <w:rsid w:val="0056575F"/>
    <w:rsid w:val="00567C0F"/>
    <w:rsid w:val="00571658"/>
    <w:rsid w:val="00572FA9"/>
    <w:rsid w:val="00575C89"/>
    <w:rsid w:val="00577B0B"/>
    <w:rsid w:val="00582FC8"/>
    <w:rsid w:val="00583F54"/>
    <w:rsid w:val="00586042"/>
    <w:rsid w:val="005878DD"/>
    <w:rsid w:val="00590121"/>
    <w:rsid w:val="0059024A"/>
    <w:rsid w:val="00591C35"/>
    <w:rsid w:val="00592FF7"/>
    <w:rsid w:val="00595B38"/>
    <w:rsid w:val="005965B2"/>
    <w:rsid w:val="005A1326"/>
    <w:rsid w:val="005A5B06"/>
    <w:rsid w:val="005A7863"/>
    <w:rsid w:val="005B0472"/>
    <w:rsid w:val="005B17F9"/>
    <w:rsid w:val="005B1A35"/>
    <w:rsid w:val="005B22AC"/>
    <w:rsid w:val="005B58E5"/>
    <w:rsid w:val="005B735F"/>
    <w:rsid w:val="005B7D3F"/>
    <w:rsid w:val="005C1712"/>
    <w:rsid w:val="005C763A"/>
    <w:rsid w:val="005C7703"/>
    <w:rsid w:val="005C774B"/>
    <w:rsid w:val="005D0C75"/>
    <w:rsid w:val="005D0ECD"/>
    <w:rsid w:val="005D13DA"/>
    <w:rsid w:val="005D2583"/>
    <w:rsid w:val="005D69F7"/>
    <w:rsid w:val="005E00E8"/>
    <w:rsid w:val="005E0396"/>
    <w:rsid w:val="005E0EBC"/>
    <w:rsid w:val="005E29ED"/>
    <w:rsid w:val="005E3650"/>
    <w:rsid w:val="005E3F21"/>
    <w:rsid w:val="005E53CC"/>
    <w:rsid w:val="005E7B16"/>
    <w:rsid w:val="005F0E2A"/>
    <w:rsid w:val="005F198D"/>
    <w:rsid w:val="005F3ED8"/>
    <w:rsid w:val="005F5A49"/>
    <w:rsid w:val="005F6167"/>
    <w:rsid w:val="005F712F"/>
    <w:rsid w:val="005F7A04"/>
    <w:rsid w:val="00600C69"/>
    <w:rsid w:val="00603085"/>
    <w:rsid w:val="0061308C"/>
    <w:rsid w:val="00613C08"/>
    <w:rsid w:val="006177EF"/>
    <w:rsid w:val="00617FAA"/>
    <w:rsid w:val="0062375B"/>
    <w:rsid w:val="00624907"/>
    <w:rsid w:val="00624C57"/>
    <w:rsid w:val="00624F3B"/>
    <w:rsid w:val="00625B48"/>
    <w:rsid w:val="00625F5B"/>
    <w:rsid w:val="0063033A"/>
    <w:rsid w:val="00630537"/>
    <w:rsid w:val="00635810"/>
    <w:rsid w:val="00636FCD"/>
    <w:rsid w:val="00637460"/>
    <w:rsid w:val="00640037"/>
    <w:rsid w:val="00640191"/>
    <w:rsid w:val="00643439"/>
    <w:rsid w:val="006440FC"/>
    <w:rsid w:val="0064542C"/>
    <w:rsid w:val="0064798D"/>
    <w:rsid w:val="00650AC7"/>
    <w:rsid w:val="00655BD2"/>
    <w:rsid w:val="00655ED1"/>
    <w:rsid w:val="006567BE"/>
    <w:rsid w:val="00670B30"/>
    <w:rsid w:val="00671649"/>
    <w:rsid w:val="0067199C"/>
    <w:rsid w:val="00672B72"/>
    <w:rsid w:val="00673BEB"/>
    <w:rsid w:val="00674A4C"/>
    <w:rsid w:val="00675716"/>
    <w:rsid w:val="0068036E"/>
    <w:rsid w:val="006807EC"/>
    <w:rsid w:val="00681D6A"/>
    <w:rsid w:val="00684442"/>
    <w:rsid w:val="0068489F"/>
    <w:rsid w:val="006858A3"/>
    <w:rsid w:val="006867E4"/>
    <w:rsid w:val="00687EFE"/>
    <w:rsid w:val="00690FAA"/>
    <w:rsid w:val="00693BCF"/>
    <w:rsid w:val="00694EB1"/>
    <w:rsid w:val="00695CCB"/>
    <w:rsid w:val="00696CED"/>
    <w:rsid w:val="00697436"/>
    <w:rsid w:val="006A1F94"/>
    <w:rsid w:val="006A294E"/>
    <w:rsid w:val="006A3B6C"/>
    <w:rsid w:val="006A56FF"/>
    <w:rsid w:val="006A573F"/>
    <w:rsid w:val="006A580C"/>
    <w:rsid w:val="006A69BF"/>
    <w:rsid w:val="006B139B"/>
    <w:rsid w:val="006B1BD2"/>
    <w:rsid w:val="006B3E5D"/>
    <w:rsid w:val="006B45F1"/>
    <w:rsid w:val="006B5982"/>
    <w:rsid w:val="006B726C"/>
    <w:rsid w:val="006C2EFF"/>
    <w:rsid w:val="006C4209"/>
    <w:rsid w:val="006C4EDD"/>
    <w:rsid w:val="006C611A"/>
    <w:rsid w:val="006C7DEF"/>
    <w:rsid w:val="006D40DB"/>
    <w:rsid w:val="006D50A8"/>
    <w:rsid w:val="006D5A1F"/>
    <w:rsid w:val="006D6234"/>
    <w:rsid w:val="006D64D9"/>
    <w:rsid w:val="006D7C65"/>
    <w:rsid w:val="006E06C7"/>
    <w:rsid w:val="006E133C"/>
    <w:rsid w:val="006E564A"/>
    <w:rsid w:val="006E5D2E"/>
    <w:rsid w:val="006E5F04"/>
    <w:rsid w:val="006E6CB8"/>
    <w:rsid w:val="006F0513"/>
    <w:rsid w:val="006F3A88"/>
    <w:rsid w:val="00700250"/>
    <w:rsid w:val="007041DF"/>
    <w:rsid w:val="00704992"/>
    <w:rsid w:val="0070663A"/>
    <w:rsid w:val="00706B8A"/>
    <w:rsid w:val="00707C11"/>
    <w:rsid w:val="0071455A"/>
    <w:rsid w:val="0071578B"/>
    <w:rsid w:val="00715BAF"/>
    <w:rsid w:val="00720EE1"/>
    <w:rsid w:val="007231B5"/>
    <w:rsid w:val="007232B1"/>
    <w:rsid w:val="007232D9"/>
    <w:rsid w:val="00723C00"/>
    <w:rsid w:val="00724D09"/>
    <w:rsid w:val="00725431"/>
    <w:rsid w:val="007269FB"/>
    <w:rsid w:val="00727877"/>
    <w:rsid w:val="00736E60"/>
    <w:rsid w:val="007433B4"/>
    <w:rsid w:val="007447FD"/>
    <w:rsid w:val="00745BAA"/>
    <w:rsid w:val="00746F1E"/>
    <w:rsid w:val="007502D2"/>
    <w:rsid w:val="00750858"/>
    <w:rsid w:val="007516E7"/>
    <w:rsid w:val="00752677"/>
    <w:rsid w:val="00753694"/>
    <w:rsid w:val="00754E95"/>
    <w:rsid w:val="0075622C"/>
    <w:rsid w:val="007562D7"/>
    <w:rsid w:val="00756997"/>
    <w:rsid w:val="00760994"/>
    <w:rsid w:val="00760E45"/>
    <w:rsid w:val="00760E8F"/>
    <w:rsid w:val="00761814"/>
    <w:rsid w:val="00764E6D"/>
    <w:rsid w:val="00765FF2"/>
    <w:rsid w:val="00767668"/>
    <w:rsid w:val="00776177"/>
    <w:rsid w:val="007764C2"/>
    <w:rsid w:val="00783F55"/>
    <w:rsid w:val="00784790"/>
    <w:rsid w:val="00785651"/>
    <w:rsid w:val="007861D4"/>
    <w:rsid w:val="00786385"/>
    <w:rsid w:val="007876C3"/>
    <w:rsid w:val="00790CBF"/>
    <w:rsid w:val="00796113"/>
    <w:rsid w:val="00796E80"/>
    <w:rsid w:val="007A121A"/>
    <w:rsid w:val="007A2D8A"/>
    <w:rsid w:val="007A50B0"/>
    <w:rsid w:val="007A729B"/>
    <w:rsid w:val="007A7F27"/>
    <w:rsid w:val="007B0D37"/>
    <w:rsid w:val="007B1638"/>
    <w:rsid w:val="007B192D"/>
    <w:rsid w:val="007B1DE5"/>
    <w:rsid w:val="007B6E58"/>
    <w:rsid w:val="007C245E"/>
    <w:rsid w:val="007C3772"/>
    <w:rsid w:val="007C39B4"/>
    <w:rsid w:val="007C42A2"/>
    <w:rsid w:val="007C7A2C"/>
    <w:rsid w:val="007D1851"/>
    <w:rsid w:val="007D3351"/>
    <w:rsid w:val="007D4DCB"/>
    <w:rsid w:val="007D5396"/>
    <w:rsid w:val="007D6D87"/>
    <w:rsid w:val="007E3C78"/>
    <w:rsid w:val="007E709E"/>
    <w:rsid w:val="007F3DFA"/>
    <w:rsid w:val="007F3E79"/>
    <w:rsid w:val="007F3FA8"/>
    <w:rsid w:val="007F7E18"/>
    <w:rsid w:val="008002E4"/>
    <w:rsid w:val="008004C9"/>
    <w:rsid w:val="00800B69"/>
    <w:rsid w:val="0080278B"/>
    <w:rsid w:val="008039EF"/>
    <w:rsid w:val="0080544E"/>
    <w:rsid w:val="008064A6"/>
    <w:rsid w:val="00807341"/>
    <w:rsid w:val="008106D5"/>
    <w:rsid w:val="008130D6"/>
    <w:rsid w:val="008140BD"/>
    <w:rsid w:val="00814E9D"/>
    <w:rsid w:val="00816D55"/>
    <w:rsid w:val="0082141D"/>
    <w:rsid w:val="008244BE"/>
    <w:rsid w:val="00824884"/>
    <w:rsid w:val="00824F04"/>
    <w:rsid w:val="00825A47"/>
    <w:rsid w:val="00826D13"/>
    <w:rsid w:val="00832F53"/>
    <w:rsid w:val="0083360D"/>
    <w:rsid w:val="008338B7"/>
    <w:rsid w:val="008354EA"/>
    <w:rsid w:val="00837AF1"/>
    <w:rsid w:val="00844C7A"/>
    <w:rsid w:val="0084600F"/>
    <w:rsid w:val="008474EE"/>
    <w:rsid w:val="008501FB"/>
    <w:rsid w:val="00850D12"/>
    <w:rsid w:val="008511D4"/>
    <w:rsid w:val="00854A88"/>
    <w:rsid w:val="00856B4E"/>
    <w:rsid w:val="00861FDA"/>
    <w:rsid w:val="008624C8"/>
    <w:rsid w:val="0086485C"/>
    <w:rsid w:val="0086530F"/>
    <w:rsid w:val="00870D77"/>
    <w:rsid w:val="00873A1F"/>
    <w:rsid w:val="00875A81"/>
    <w:rsid w:val="008850DF"/>
    <w:rsid w:val="00887244"/>
    <w:rsid w:val="00887D12"/>
    <w:rsid w:val="00890440"/>
    <w:rsid w:val="00891993"/>
    <w:rsid w:val="008948CD"/>
    <w:rsid w:val="00895723"/>
    <w:rsid w:val="00896037"/>
    <w:rsid w:val="0089705E"/>
    <w:rsid w:val="0089732C"/>
    <w:rsid w:val="008A0E5C"/>
    <w:rsid w:val="008A42EA"/>
    <w:rsid w:val="008A5C4D"/>
    <w:rsid w:val="008B0149"/>
    <w:rsid w:val="008B1035"/>
    <w:rsid w:val="008B4F48"/>
    <w:rsid w:val="008B7B6F"/>
    <w:rsid w:val="008C0D5D"/>
    <w:rsid w:val="008C16F0"/>
    <w:rsid w:val="008C1B00"/>
    <w:rsid w:val="008C522C"/>
    <w:rsid w:val="008C5AF7"/>
    <w:rsid w:val="008C649E"/>
    <w:rsid w:val="008C6E6B"/>
    <w:rsid w:val="008C73B5"/>
    <w:rsid w:val="008C7B4E"/>
    <w:rsid w:val="008D1DF2"/>
    <w:rsid w:val="008D1FD7"/>
    <w:rsid w:val="008D2D70"/>
    <w:rsid w:val="008D397E"/>
    <w:rsid w:val="008D47FE"/>
    <w:rsid w:val="008D4CB7"/>
    <w:rsid w:val="008D5A86"/>
    <w:rsid w:val="008E0F08"/>
    <w:rsid w:val="008E324C"/>
    <w:rsid w:val="008E5843"/>
    <w:rsid w:val="008E5EB9"/>
    <w:rsid w:val="008E7A4F"/>
    <w:rsid w:val="008E7C48"/>
    <w:rsid w:val="008F1468"/>
    <w:rsid w:val="008F5DD4"/>
    <w:rsid w:val="008F6DAE"/>
    <w:rsid w:val="00900285"/>
    <w:rsid w:val="0090083D"/>
    <w:rsid w:val="00900BCF"/>
    <w:rsid w:val="00903C14"/>
    <w:rsid w:val="00911137"/>
    <w:rsid w:val="009116FE"/>
    <w:rsid w:val="00911718"/>
    <w:rsid w:val="0091343A"/>
    <w:rsid w:val="009155DB"/>
    <w:rsid w:val="00916F57"/>
    <w:rsid w:val="00924ABB"/>
    <w:rsid w:val="00924FB7"/>
    <w:rsid w:val="00925DDF"/>
    <w:rsid w:val="009275D6"/>
    <w:rsid w:val="00933197"/>
    <w:rsid w:val="00934B7C"/>
    <w:rsid w:val="009404F0"/>
    <w:rsid w:val="009405F2"/>
    <w:rsid w:val="00940E5F"/>
    <w:rsid w:val="009411FA"/>
    <w:rsid w:val="0094160C"/>
    <w:rsid w:val="00941C45"/>
    <w:rsid w:val="0094394F"/>
    <w:rsid w:val="0095256F"/>
    <w:rsid w:val="00955575"/>
    <w:rsid w:val="00955DDF"/>
    <w:rsid w:val="00957213"/>
    <w:rsid w:val="009602EB"/>
    <w:rsid w:val="00960FB0"/>
    <w:rsid w:val="00961641"/>
    <w:rsid w:val="00964663"/>
    <w:rsid w:val="00965B00"/>
    <w:rsid w:val="00972F3F"/>
    <w:rsid w:val="0097496A"/>
    <w:rsid w:val="00981EF4"/>
    <w:rsid w:val="009826E8"/>
    <w:rsid w:val="009836BD"/>
    <w:rsid w:val="00984E3E"/>
    <w:rsid w:val="00990C8A"/>
    <w:rsid w:val="00994CAC"/>
    <w:rsid w:val="0099763C"/>
    <w:rsid w:val="009A0B1F"/>
    <w:rsid w:val="009A5623"/>
    <w:rsid w:val="009B024A"/>
    <w:rsid w:val="009B34BA"/>
    <w:rsid w:val="009B359D"/>
    <w:rsid w:val="009C10C6"/>
    <w:rsid w:val="009C282C"/>
    <w:rsid w:val="009C295A"/>
    <w:rsid w:val="009C2EE0"/>
    <w:rsid w:val="009C4081"/>
    <w:rsid w:val="009C4835"/>
    <w:rsid w:val="009C4B34"/>
    <w:rsid w:val="009D0CE3"/>
    <w:rsid w:val="009D4C04"/>
    <w:rsid w:val="009D4F39"/>
    <w:rsid w:val="009E028B"/>
    <w:rsid w:val="009E0552"/>
    <w:rsid w:val="009E09ED"/>
    <w:rsid w:val="009E1CFD"/>
    <w:rsid w:val="009E28A0"/>
    <w:rsid w:val="009E2CE8"/>
    <w:rsid w:val="009E3783"/>
    <w:rsid w:val="009E45BA"/>
    <w:rsid w:val="009E5B2E"/>
    <w:rsid w:val="009F161D"/>
    <w:rsid w:val="009F52D4"/>
    <w:rsid w:val="009F572E"/>
    <w:rsid w:val="009F5C93"/>
    <w:rsid w:val="009F6000"/>
    <w:rsid w:val="00A00B5F"/>
    <w:rsid w:val="00A013B6"/>
    <w:rsid w:val="00A0260D"/>
    <w:rsid w:val="00A05020"/>
    <w:rsid w:val="00A111D9"/>
    <w:rsid w:val="00A12799"/>
    <w:rsid w:val="00A13FB9"/>
    <w:rsid w:val="00A1564D"/>
    <w:rsid w:val="00A16000"/>
    <w:rsid w:val="00A17F2F"/>
    <w:rsid w:val="00A21AE0"/>
    <w:rsid w:val="00A21BFC"/>
    <w:rsid w:val="00A22A08"/>
    <w:rsid w:val="00A22FAE"/>
    <w:rsid w:val="00A25796"/>
    <w:rsid w:val="00A26FA7"/>
    <w:rsid w:val="00A30A6E"/>
    <w:rsid w:val="00A30EB9"/>
    <w:rsid w:val="00A32DA7"/>
    <w:rsid w:val="00A34D5F"/>
    <w:rsid w:val="00A36CFB"/>
    <w:rsid w:val="00A40006"/>
    <w:rsid w:val="00A4289C"/>
    <w:rsid w:val="00A42A4E"/>
    <w:rsid w:val="00A45088"/>
    <w:rsid w:val="00A51F48"/>
    <w:rsid w:val="00A53B15"/>
    <w:rsid w:val="00A543BB"/>
    <w:rsid w:val="00A55CC4"/>
    <w:rsid w:val="00A56BB7"/>
    <w:rsid w:val="00A57BCB"/>
    <w:rsid w:val="00A603CE"/>
    <w:rsid w:val="00A617E2"/>
    <w:rsid w:val="00A6388D"/>
    <w:rsid w:val="00A658DB"/>
    <w:rsid w:val="00A65DB3"/>
    <w:rsid w:val="00A670FF"/>
    <w:rsid w:val="00A672ED"/>
    <w:rsid w:val="00A704DE"/>
    <w:rsid w:val="00A8227C"/>
    <w:rsid w:val="00A827CE"/>
    <w:rsid w:val="00A85818"/>
    <w:rsid w:val="00A86196"/>
    <w:rsid w:val="00A87F6B"/>
    <w:rsid w:val="00A9257E"/>
    <w:rsid w:val="00A926E6"/>
    <w:rsid w:val="00A95447"/>
    <w:rsid w:val="00A9558E"/>
    <w:rsid w:val="00AA1DB0"/>
    <w:rsid w:val="00AA30E0"/>
    <w:rsid w:val="00AA61DA"/>
    <w:rsid w:val="00AB0A54"/>
    <w:rsid w:val="00AB19E6"/>
    <w:rsid w:val="00AB224F"/>
    <w:rsid w:val="00AB2D00"/>
    <w:rsid w:val="00AB4A75"/>
    <w:rsid w:val="00AB4D55"/>
    <w:rsid w:val="00AC0525"/>
    <w:rsid w:val="00AC0E31"/>
    <w:rsid w:val="00AC2B5F"/>
    <w:rsid w:val="00AC308C"/>
    <w:rsid w:val="00AC43D9"/>
    <w:rsid w:val="00AC52BC"/>
    <w:rsid w:val="00AC5595"/>
    <w:rsid w:val="00AC6AB0"/>
    <w:rsid w:val="00AD034B"/>
    <w:rsid w:val="00AD25D6"/>
    <w:rsid w:val="00AD3015"/>
    <w:rsid w:val="00AD334F"/>
    <w:rsid w:val="00AD5B23"/>
    <w:rsid w:val="00AD6B1F"/>
    <w:rsid w:val="00AE0993"/>
    <w:rsid w:val="00AE19A2"/>
    <w:rsid w:val="00AE2E92"/>
    <w:rsid w:val="00AE494F"/>
    <w:rsid w:val="00AE4D22"/>
    <w:rsid w:val="00AE5248"/>
    <w:rsid w:val="00AF4A0E"/>
    <w:rsid w:val="00AF5E51"/>
    <w:rsid w:val="00AF6D31"/>
    <w:rsid w:val="00AF771E"/>
    <w:rsid w:val="00B00B32"/>
    <w:rsid w:val="00B01E50"/>
    <w:rsid w:val="00B02AEB"/>
    <w:rsid w:val="00B03EAB"/>
    <w:rsid w:val="00B06753"/>
    <w:rsid w:val="00B10EBA"/>
    <w:rsid w:val="00B13113"/>
    <w:rsid w:val="00B13F4B"/>
    <w:rsid w:val="00B142F5"/>
    <w:rsid w:val="00B14B24"/>
    <w:rsid w:val="00B153DC"/>
    <w:rsid w:val="00B15F18"/>
    <w:rsid w:val="00B21ABB"/>
    <w:rsid w:val="00B240D5"/>
    <w:rsid w:val="00B24B51"/>
    <w:rsid w:val="00B31C9D"/>
    <w:rsid w:val="00B3352D"/>
    <w:rsid w:val="00B33686"/>
    <w:rsid w:val="00B339DD"/>
    <w:rsid w:val="00B353C0"/>
    <w:rsid w:val="00B36847"/>
    <w:rsid w:val="00B36A28"/>
    <w:rsid w:val="00B36AAA"/>
    <w:rsid w:val="00B41FD6"/>
    <w:rsid w:val="00B43B35"/>
    <w:rsid w:val="00B44366"/>
    <w:rsid w:val="00B448BC"/>
    <w:rsid w:val="00B46D4B"/>
    <w:rsid w:val="00B47AE4"/>
    <w:rsid w:val="00B51ABC"/>
    <w:rsid w:val="00B60245"/>
    <w:rsid w:val="00B60362"/>
    <w:rsid w:val="00B63178"/>
    <w:rsid w:val="00B64753"/>
    <w:rsid w:val="00B64BFA"/>
    <w:rsid w:val="00B64F42"/>
    <w:rsid w:val="00B6535A"/>
    <w:rsid w:val="00B6756A"/>
    <w:rsid w:val="00B73594"/>
    <w:rsid w:val="00B74AA4"/>
    <w:rsid w:val="00B74CDB"/>
    <w:rsid w:val="00B74D93"/>
    <w:rsid w:val="00B76CF2"/>
    <w:rsid w:val="00B77537"/>
    <w:rsid w:val="00B84DFE"/>
    <w:rsid w:val="00B8758C"/>
    <w:rsid w:val="00B87723"/>
    <w:rsid w:val="00B90449"/>
    <w:rsid w:val="00B92E96"/>
    <w:rsid w:val="00B95DAF"/>
    <w:rsid w:val="00B964E6"/>
    <w:rsid w:val="00B9662B"/>
    <w:rsid w:val="00B96C73"/>
    <w:rsid w:val="00B96EC0"/>
    <w:rsid w:val="00BA1F90"/>
    <w:rsid w:val="00BA24D8"/>
    <w:rsid w:val="00BA3E22"/>
    <w:rsid w:val="00BA680C"/>
    <w:rsid w:val="00BB14F0"/>
    <w:rsid w:val="00BB1B94"/>
    <w:rsid w:val="00BB7FE2"/>
    <w:rsid w:val="00BC0E97"/>
    <w:rsid w:val="00BC6EEE"/>
    <w:rsid w:val="00BC7FA0"/>
    <w:rsid w:val="00BD15F2"/>
    <w:rsid w:val="00BD2F7E"/>
    <w:rsid w:val="00BD41FF"/>
    <w:rsid w:val="00BD648B"/>
    <w:rsid w:val="00BD6AD3"/>
    <w:rsid w:val="00BD7882"/>
    <w:rsid w:val="00BE200B"/>
    <w:rsid w:val="00BE5093"/>
    <w:rsid w:val="00BE5591"/>
    <w:rsid w:val="00BE67DC"/>
    <w:rsid w:val="00BF2474"/>
    <w:rsid w:val="00BF415A"/>
    <w:rsid w:val="00BF7E2F"/>
    <w:rsid w:val="00C015AC"/>
    <w:rsid w:val="00C02E7A"/>
    <w:rsid w:val="00C036C8"/>
    <w:rsid w:val="00C10AE6"/>
    <w:rsid w:val="00C10E07"/>
    <w:rsid w:val="00C13D68"/>
    <w:rsid w:val="00C16F52"/>
    <w:rsid w:val="00C20ADB"/>
    <w:rsid w:val="00C20C3B"/>
    <w:rsid w:val="00C221F3"/>
    <w:rsid w:val="00C22831"/>
    <w:rsid w:val="00C23556"/>
    <w:rsid w:val="00C241C9"/>
    <w:rsid w:val="00C26582"/>
    <w:rsid w:val="00C26C9F"/>
    <w:rsid w:val="00C31550"/>
    <w:rsid w:val="00C332D1"/>
    <w:rsid w:val="00C377FA"/>
    <w:rsid w:val="00C422E1"/>
    <w:rsid w:val="00C51C2F"/>
    <w:rsid w:val="00C566FF"/>
    <w:rsid w:val="00C62EFD"/>
    <w:rsid w:val="00C630BF"/>
    <w:rsid w:val="00C63E5E"/>
    <w:rsid w:val="00C641A7"/>
    <w:rsid w:val="00C72155"/>
    <w:rsid w:val="00C735D8"/>
    <w:rsid w:val="00C74262"/>
    <w:rsid w:val="00C75A1A"/>
    <w:rsid w:val="00C813E5"/>
    <w:rsid w:val="00C82B6C"/>
    <w:rsid w:val="00C84AA4"/>
    <w:rsid w:val="00C85B32"/>
    <w:rsid w:val="00C86462"/>
    <w:rsid w:val="00C90695"/>
    <w:rsid w:val="00C9147B"/>
    <w:rsid w:val="00C96B95"/>
    <w:rsid w:val="00C9782E"/>
    <w:rsid w:val="00CA078E"/>
    <w:rsid w:val="00CA15F4"/>
    <w:rsid w:val="00CA1CC0"/>
    <w:rsid w:val="00CA4564"/>
    <w:rsid w:val="00CA4D99"/>
    <w:rsid w:val="00CA7235"/>
    <w:rsid w:val="00CA7706"/>
    <w:rsid w:val="00CB19BC"/>
    <w:rsid w:val="00CB370B"/>
    <w:rsid w:val="00CB709B"/>
    <w:rsid w:val="00CC0E39"/>
    <w:rsid w:val="00CC0F19"/>
    <w:rsid w:val="00CC1F20"/>
    <w:rsid w:val="00CC2317"/>
    <w:rsid w:val="00CC335D"/>
    <w:rsid w:val="00CC3956"/>
    <w:rsid w:val="00CC4F63"/>
    <w:rsid w:val="00CC60C7"/>
    <w:rsid w:val="00CD19D4"/>
    <w:rsid w:val="00CD3538"/>
    <w:rsid w:val="00CD46DA"/>
    <w:rsid w:val="00CD4FED"/>
    <w:rsid w:val="00CD54D1"/>
    <w:rsid w:val="00CD6883"/>
    <w:rsid w:val="00CE0553"/>
    <w:rsid w:val="00CE41AF"/>
    <w:rsid w:val="00CE6F1E"/>
    <w:rsid w:val="00CE7BBC"/>
    <w:rsid w:val="00CF0348"/>
    <w:rsid w:val="00CF06FD"/>
    <w:rsid w:val="00CF16C6"/>
    <w:rsid w:val="00CF3C47"/>
    <w:rsid w:val="00CF3CB8"/>
    <w:rsid w:val="00CF4B7D"/>
    <w:rsid w:val="00CF4BBF"/>
    <w:rsid w:val="00CF6282"/>
    <w:rsid w:val="00D02E07"/>
    <w:rsid w:val="00D03022"/>
    <w:rsid w:val="00D04187"/>
    <w:rsid w:val="00D05399"/>
    <w:rsid w:val="00D06EB9"/>
    <w:rsid w:val="00D07856"/>
    <w:rsid w:val="00D07999"/>
    <w:rsid w:val="00D104C9"/>
    <w:rsid w:val="00D10916"/>
    <w:rsid w:val="00D118D0"/>
    <w:rsid w:val="00D11D79"/>
    <w:rsid w:val="00D12805"/>
    <w:rsid w:val="00D13789"/>
    <w:rsid w:val="00D17A2D"/>
    <w:rsid w:val="00D20416"/>
    <w:rsid w:val="00D21206"/>
    <w:rsid w:val="00D2196D"/>
    <w:rsid w:val="00D246C8"/>
    <w:rsid w:val="00D24ABA"/>
    <w:rsid w:val="00D26774"/>
    <w:rsid w:val="00D27CE6"/>
    <w:rsid w:val="00D32623"/>
    <w:rsid w:val="00D32E7C"/>
    <w:rsid w:val="00D34316"/>
    <w:rsid w:val="00D37DAA"/>
    <w:rsid w:val="00D40320"/>
    <w:rsid w:val="00D404FA"/>
    <w:rsid w:val="00D42088"/>
    <w:rsid w:val="00D44526"/>
    <w:rsid w:val="00D44761"/>
    <w:rsid w:val="00D47C70"/>
    <w:rsid w:val="00D5144B"/>
    <w:rsid w:val="00D51585"/>
    <w:rsid w:val="00D51CBB"/>
    <w:rsid w:val="00D53137"/>
    <w:rsid w:val="00D5527B"/>
    <w:rsid w:val="00D60764"/>
    <w:rsid w:val="00D62237"/>
    <w:rsid w:val="00D62437"/>
    <w:rsid w:val="00D63983"/>
    <w:rsid w:val="00D6475A"/>
    <w:rsid w:val="00D6728A"/>
    <w:rsid w:val="00D67CED"/>
    <w:rsid w:val="00D7171F"/>
    <w:rsid w:val="00D74B09"/>
    <w:rsid w:val="00D75922"/>
    <w:rsid w:val="00D7618F"/>
    <w:rsid w:val="00D77982"/>
    <w:rsid w:val="00D812B8"/>
    <w:rsid w:val="00D834CE"/>
    <w:rsid w:val="00D850DD"/>
    <w:rsid w:val="00D86A0C"/>
    <w:rsid w:val="00D86BAA"/>
    <w:rsid w:val="00D874EB"/>
    <w:rsid w:val="00D90737"/>
    <w:rsid w:val="00D91212"/>
    <w:rsid w:val="00D93489"/>
    <w:rsid w:val="00D93C8B"/>
    <w:rsid w:val="00D95625"/>
    <w:rsid w:val="00DA2B37"/>
    <w:rsid w:val="00DA6166"/>
    <w:rsid w:val="00DB12B8"/>
    <w:rsid w:val="00DB21BC"/>
    <w:rsid w:val="00DB29EE"/>
    <w:rsid w:val="00DB6C16"/>
    <w:rsid w:val="00DC282F"/>
    <w:rsid w:val="00DC2F3B"/>
    <w:rsid w:val="00DC5048"/>
    <w:rsid w:val="00DD0E31"/>
    <w:rsid w:val="00DD48FA"/>
    <w:rsid w:val="00DD5964"/>
    <w:rsid w:val="00DD6F60"/>
    <w:rsid w:val="00DE052D"/>
    <w:rsid w:val="00DE3351"/>
    <w:rsid w:val="00DE62DA"/>
    <w:rsid w:val="00DE63F5"/>
    <w:rsid w:val="00DE6AC7"/>
    <w:rsid w:val="00DE7176"/>
    <w:rsid w:val="00DF0100"/>
    <w:rsid w:val="00DF364F"/>
    <w:rsid w:val="00DF4D17"/>
    <w:rsid w:val="00DF5533"/>
    <w:rsid w:val="00DF63A6"/>
    <w:rsid w:val="00DF6564"/>
    <w:rsid w:val="00DF6B28"/>
    <w:rsid w:val="00DF6C35"/>
    <w:rsid w:val="00E05014"/>
    <w:rsid w:val="00E0505E"/>
    <w:rsid w:val="00E07034"/>
    <w:rsid w:val="00E12685"/>
    <w:rsid w:val="00E12B08"/>
    <w:rsid w:val="00E13F29"/>
    <w:rsid w:val="00E141E1"/>
    <w:rsid w:val="00E154AE"/>
    <w:rsid w:val="00E1698D"/>
    <w:rsid w:val="00E16DC2"/>
    <w:rsid w:val="00E17CFB"/>
    <w:rsid w:val="00E17E1C"/>
    <w:rsid w:val="00E20BA0"/>
    <w:rsid w:val="00E258A7"/>
    <w:rsid w:val="00E26543"/>
    <w:rsid w:val="00E271A9"/>
    <w:rsid w:val="00E2721C"/>
    <w:rsid w:val="00E27AFD"/>
    <w:rsid w:val="00E27D73"/>
    <w:rsid w:val="00E31386"/>
    <w:rsid w:val="00E31FE6"/>
    <w:rsid w:val="00E42265"/>
    <w:rsid w:val="00E4489C"/>
    <w:rsid w:val="00E45EF2"/>
    <w:rsid w:val="00E46465"/>
    <w:rsid w:val="00E46825"/>
    <w:rsid w:val="00E54834"/>
    <w:rsid w:val="00E54982"/>
    <w:rsid w:val="00E5522E"/>
    <w:rsid w:val="00E64A4D"/>
    <w:rsid w:val="00E65ABD"/>
    <w:rsid w:val="00E67970"/>
    <w:rsid w:val="00E72257"/>
    <w:rsid w:val="00E7398D"/>
    <w:rsid w:val="00E75D30"/>
    <w:rsid w:val="00E772B0"/>
    <w:rsid w:val="00E77B4C"/>
    <w:rsid w:val="00E80549"/>
    <w:rsid w:val="00E83204"/>
    <w:rsid w:val="00E85C70"/>
    <w:rsid w:val="00E86515"/>
    <w:rsid w:val="00E878DF"/>
    <w:rsid w:val="00E91BF5"/>
    <w:rsid w:val="00E954C7"/>
    <w:rsid w:val="00E95F63"/>
    <w:rsid w:val="00E97BF8"/>
    <w:rsid w:val="00EA1AAD"/>
    <w:rsid w:val="00EA30C6"/>
    <w:rsid w:val="00EA4FBC"/>
    <w:rsid w:val="00EA52FD"/>
    <w:rsid w:val="00EA6D6B"/>
    <w:rsid w:val="00EA7AF5"/>
    <w:rsid w:val="00EB0228"/>
    <w:rsid w:val="00EB22E6"/>
    <w:rsid w:val="00EB398A"/>
    <w:rsid w:val="00EB4F13"/>
    <w:rsid w:val="00EB589D"/>
    <w:rsid w:val="00EC0BDC"/>
    <w:rsid w:val="00EC20E7"/>
    <w:rsid w:val="00EC27E5"/>
    <w:rsid w:val="00EC359C"/>
    <w:rsid w:val="00EC415B"/>
    <w:rsid w:val="00EC4D11"/>
    <w:rsid w:val="00ED16B7"/>
    <w:rsid w:val="00ED63C8"/>
    <w:rsid w:val="00ED6C60"/>
    <w:rsid w:val="00ED6D7A"/>
    <w:rsid w:val="00EE6493"/>
    <w:rsid w:val="00EE7212"/>
    <w:rsid w:val="00EF24BD"/>
    <w:rsid w:val="00EF2665"/>
    <w:rsid w:val="00EF287A"/>
    <w:rsid w:val="00EF3080"/>
    <w:rsid w:val="00EF58EF"/>
    <w:rsid w:val="00EF5979"/>
    <w:rsid w:val="00EF64CF"/>
    <w:rsid w:val="00EF6C2B"/>
    <w:rsid w:val="00F00371"/>
    <w:rsid w:val="00F0511B"/>
    <w:rsid w:val="00F07510"/>
    <w:rsid w:val="00F12D31"/>
    <w:rsid w:val="00F15458"/>
    <w:rsid w:val="00F200EB"/>
    <w:rsid w:val="00F22029"/>
    <w:rsid w:val="00F236BE"/>
    <w:rsid w:val="00F25D2F"/>
    <w:rsid w:val="00F31214"/>
    <w:rsid w:val="00F3181B"/>
    <w:rsid w:val="00F3215D"/>
    <w:rsid w:val="00F3260F"/>
    <w:rsid w:val="00F345B8"/>
    <w:rsid w:val="00F364A2"/>
    <w:rsid w:val="00F41423"/>
    <w:rsid w:val="00F43A21"/>
    <w:rsid w:val="00F43D90"/>
    <w:rsid w:val="00F43F18"/>
    <w:rsid w:val="00F454DB"/>
    <w:rsid w:val="00F468AD"/>
    <w:rsid w:val="00F46A33"/>
    <w:rsid w:val="00F47084"/>
    <w:rsid w:val="00F472DB"/>
    <w:rsid w:val="00F4773C"/>
    <w:rsid w:val="00F47D04"/>
    <w:rsid w:val="00F50C45"/>
    <w:rsid w:val="00F512A2"/>
    <w:rsid w:val="00F53171"/>
    <w:rsid w:val="00F53B82"/>
    <w:rsid w:val="00F55AE2"/>
    <w:rsid w:val="00F570EC"/>
    <w:rsid w:val="00F61138"/>
    <w:rsid w:val="00F61E77"/>
    <w:rsid w:val="00F6509F"/>
    <w:rsid w:val="00F651DD"/>
    <w:rsid w:val="00F66E78"/>
    <w:rsid w:val="00F70E4D"/>
    <w:rsid w:val="00F736D0"/>
    <w:rsid w:val="00F74F0C"/>
    <w:rsid w:val="00F763EC"/>
    <w:rsid w:val="00F83866"/>
    <w:rsid w:val="00F86C87"/>
    <w:rsid w:val="00F86D48"/>
    <w:rsid w:val="00F87211"/>
    <w:rsid w:val="00F915F8"/>
    <w:rsid w:val="00F91DBA"/>
    <w:rsid w:val="00F92714"/>
    <w:rsid w:val="00F932E3"/>
    <w:rsid w:val="00F97245"/>
    <w:rsid w:val="00FA157F"/>
    <w:rsid w:val="00FA19D6"/>
    <w:rsid w:val="00FA20BF"/>
    <w:rsid w:val="00FA33BB"/>
    <w:rsid w:val="00FA50AF"/>
    <w:rsid w:val="00FA7A23"/>
    <w:rsid w:val="00FB0918"/>
    <w:rsid w:val="00FB2188"/>
    <w:rsid w:val="00FB2F77"/>
    <w:rsid w:val="00FB367B"/>
    <w:rsid w:val="00FB3C8D"/>
    <w:rsid w:val="00FB5D13"/>
    <w:rsid w:val="00FB7E04"/>
    <w:rsid w:val="00FC0442"/>
    <w:rsid w:val="00FC05D2"/>
    <w:rsid w:val="00FC436B"/>
    <w:rsid w:val="00FC66AB"/>
    <w:rsid w:val="00FC7A17"/>
    <w:rsid w:val="00FD08D6"/>
    <w:rsid w:val="00FD1172"/>
    <w:rsid w:val="00FD2FC7"/>
    <w:rsid w:val="00FD65B2"/>
    <w:rsid w:val="00FD68F9"/>
    <w:rsid w:val="00FD759F"/>
    <w:rsid w:val="00FE2483"/>
    <w:rsid w:val="00FE5D2D"/>
    <w:rsid w:val="00FF391D"/>
    <w:rsid w:val="00FF4990"/>
    <w:rsid w:val="00FF5CCC"/>
    <w:rsid w:val="00FF6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898B40-574D-4D3D-9790-BBC44450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0" w:unhideWhenUsed="1" w:qFormat="1"/>
    <w:lsdException w:name="List Bullet" w:semiHidden="1" w:uiPriority="0" w:unhideWhenUsed="1"/>
    <w:lsdException w:name="List Number"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13"/>
    <w:pPr>
      <w:spacing w:before="160" w:after="160" w:line="276" w:lineRule="auto"/>
    </w:pPr>
    <w:rPr>
      <w:sz w:val="22"/>
      <w:szCs w:val="22"/>
      <w:lang w:eastAsia="en-US"/>
    </w:rPr>
  </w:style>
  <w:style w:type="paragraph" w:styleId="Heading1">
    <w:name w:val="heading 1"/>
    <w:aliases w:val="D&amp;M,D&amp;M 1"/>
    <w:basedOn w:val="Normal"/>
    <w:next w:val="Normal"/>
    <w:link w:val="Heading1Char"/>
    <w:autoRedefine/>
    <w:uiPriority w:val="9"/>
    <w:qFormat/>
    <w:rsid w:val="005E7B16"/>
    <w:pPr>
      <w:keepNext/>
      <w:pageBreakBefore/>
      <w:spacing w:before="120" w:after="120"/>
      <w:outlineLvl w:val="0"/>
    </w:pPr>
    <w:rPr>
      <w:rFonts w:asciiTheme="majorHAnsi" w:hAnsiTheme="majorHAnsi"/>
      <w:bCs/>
      <w:color w:val="365F91" w:themeColor="accent1" w:themeShade="BF"/>
      <w:kern w:val="32"/>
      <w:sz w:val="40"/>
      <w:szCs w:val="36"/>
    </w:rPr>
  </w:style>
  <w:style w:type="paragraph" w:styleId="Heading2">
    <w:name w:val="heading 2"/>
    <w:aliases w:val="D&amp;M2,D&amp;M 2"/>
    <w:basedOn w:val="Normal"/>
    <w:next w:val="Normal"/>
    <w:link w:val="Heading2Char"/>
    <w:autoRedefine/>
    <w:uiPriority w:val="9"/>
    <w:unhideWhenUsed/>
    <w:qFormat/>
    <w:rsid w:val="00D404FA"/>
    <w:pPr>
      <w:keepNext/>
      <w:spacing w:before="360" w:after="120"/>
      <w:outlineLvl w:val="1"/>
    </w:pPr>
    <w:rPr>
      <w:rFonts w:asciiTheme="majorHAnsi" w:hAnsiTheme="majorHAnsi" w:cs="Calibri"/>
      <w:bCs/>
      <w:iCs/>
      <w:color w:val="365F91" w:themeColor="accent1" w:themeShade="BF"/>
      <w:sz w:val="28"/>
      <w:szCs w:val="28"/>
      <w:lang w:eastAsia="en-AU"/>
    </w:rPr>
  </w:style>
  <w:style w:type="paragraph" w:styleId="Heading3">
    <w:name w:val="heading 3"/>
    <w:basedOn w:val="Normal"/>
    <w:next w:val="Normal"/>
    <w:link w:val="Heading3Char"/>
    <w:autoRedefine/>
    <w:uiPriority w:val="9"/>
    <w:unhideWhenUsed/>
    <w:qFormat/>
    <w:rsid w:val="00BF415A"/>
    <w:pPr>
      <w:keepNext/>
      <w:spacing w:before="240" w:after="60"/>
      <w:outlineLvl w:val="2"/>
    </w:pPr>
    <w:rPr>
      <w:rFonts w:asciiTheme="majorHAnsi" w:hAnsiTheme="majorHAnsi"/>
      <w:bCs/>
      <w:color w:val="365F91" w:themeColor="accent1" w:themeShade="BF"/>
      <w:szCs w:val="26"/>
    </w:rPr>
  </w:style>
  <w:style w:type="paragraph" w:styleId="Heading4">
    <w:name w:val="heading 4"/>
    <w:aliases w:val="D&amp;M4,D&amp;M 4"/>
    <w:basedOn w:val="Heading3"/>
    <w:next w:val="BodyText"/>
    <w:link w:val="Heading4Char"/>
    <w:uiPriority w:val="9"/>
    <w:qFormat/>
    <w:rsid w:val="00AD25D6"/>
    <w:pPr>
      <w:tabs>
        <w:tab w:val="num" w:pos="0"/>
      </w:tabs>
      <w:spacing w:after="240" w:line="240" w:lineRule="auto"/>
      <w:jc w:val="both"/>
      <w:outlineLvl w:val="3"/>
    </w:pPr>
    <w:rPr>
      <w:rFonts w:ascii="Times New Roman" w:eastAsia="SC STKaiti" w:hAnsi="Times New Roman"/>
      <w:bCs w:val="0"/>
      <w:color w:val="DD6225"/>
      <w:szCs w:val="40"/>
      <w:lang w:eastAsia="zh-CN"/>
    </w:rPr>
  </w:style>
  <w:style w:type="paragraph" w:styleId="Heading5">
    <w:name w:val="heading 5"/>
    <w:basedOn w:val="Heading4"/>
    <w:next w:val="BodyText"/>
    <w:link w:val="Heading5Char"/>
    <w:uiPriority w:val="9"/>
    <w:qFormat/>
    <w:rsid w:val="00AD25D6"/>
    <w:pPr>
      <w:outlineLvl w:val="4"/>
    </w:pPr>
    <w:rPr>
      <w:bCs/>
      <w:i/>
      <w:iCs/>
      <w:szCs w:val="24"/>
    </w:rPr>
  </w:style>
  <w:style w:type="paragraph" w:styleId="Heading6">
    <w:name w:val="heading 6"/>
    <w:basedOn w:val="Heading5"/>
    <w:next w:val="BodyText"/>
    <w:link w:val="Heading6Char"/>
    <w:uiPriority w:val="9"/>
    <w:qFormat/>
    <w:rsid w:val="00AD25D6"/>
    <w:pPr>
      <w:outlineLvl w:val="5"/>
    </w:pPr>
    <w:rPr>
      <w:b/>
      <w:bCs w:val="0"/>
      <w:sz w:val="20"/>
      <w:szCs w:val="20"/>
    </w:rPr>
  </w:style>
  <w:style w:type="paragraph" w:styleId="Heading7">
    <w:name w:val="heading 7"/>
    <w:aliases w:val="Letter Heading"/>
    <w:basedOn w:val="Heading6"/>
    <w:next w:val="BodyText"/>
    <w:link w:val="Heading7Char"/>
    <w:uiPriority w:val="9"/>
    <w:qFormat/>
    <w:rsid w:val="00AD25D6"/>
    <w:pPr>
      <w:outlineLvl w:val="6"/>
    </w:pPr>
    <w:rPr>
      <w:i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mp;M Char,D&amp;M 1 Char"/>
    <w:basedOn w:val="DefaultParagraphFont"/>
    <w:link w:val="Heading1"/>
    <w:uiPriority w:val="9"/>
    <w:locked/>
    <w:rsid w:val="005E7B16"/>
    <w:rPr>
      <w:rFonts w:asciiTheme="majorHAnsi" w:hAnsiTheme="majorHAnsi" w:cs="Times New Roman"/>
      <w:bCs/>
      <w:color w:val="365F91" w:themeColor="accent1" w:themeShade="BF"/>
      <w:kern w:val="32"/>
      <w:sz w:val="36"/>
      <w:szCs w:val="36"/>
      <w:lang w:val="x-none" w:eastAsia="en-US"/>
    </w:rPr>
  </w:style>
  <w:style w:type="character" w:customStyle="1" w:styleId="Heading2Char">
    <w:name w:val="Heading 2 Char"/>
    <w:aliases w:val="D&amp;M2 Char,D&amp;M 2 Char"/>
    <w:basedOn w:val="DefaultParagraphFont"/>
    <w:link w:val="Heading2"/>
    <w:uiPriority w:val="9"/>
    <w:locked/>
    <w:rsid w:val="00D404FA"/>
    <w:rPr>
      <w:rFonts w:asciiTheme="majorHAnsi" w:hAnsiTheme="majorHAnsi" w:cs="Calibri"/>
      <w:bCs/>
      <w:iCs/>
      <w:color w:val="365F91" w:themeColor="accent1" w:themeShade="BF"/>
      <w:sz w:val="28"/>
      <w:szCs w:val="28"/>
    </w:rPr>
  </w:style>
  <w:style w:type="character" w:customStyle="1" w:styleId="Heading3Char">
    <w:name w:val="Heading 3 Char"/>
    <w:basedOn w:val="DefaultParagraphFont"/>
    <w:link w:val="Heading3"/>
    <w:uiPriority w:val="9"/>
    <w:locked/>
    <w:rsid w:val="00BF415A"/>
    <w:rPr>
      <w:rFonts w:asciiTheme="majorHAnsi" w:hAnsiTheme="majorHAnsi" w:cs="Times New Roman"/>
      <w:bCs/>
      <w:color w:val="365F91" w:themeColor="accent1" w:themeShade="BF"/>
      <w:sz w:val="26"/>
      <w:szCs w:val="26"/>
      <w:lang w:val="x-none" w:eastAsia="en-US"/>
    </w:rPr>
  </w:style>
  <w:style w:type="character" w:customStyle="1" w:styleId="Heading4Char">
    <w:name w:val="Heading 4 Char"/>
    <w:aliases w:val="D&amp;M4 Char,D&amp;M 4 Char"/>
    <w:basedOn w:val="DefaultParagraphFont"/>
    <w:link w:val="Heading4"/>
    <w:uiPriority w:val="9"/>
    <w:locked/>
    <w:rsid w:val="00AD25D6"/>
    <w:rPr>
      <w:rFonts w:ascii="Times New Roman" w:eastAsia="SC STKaiti" w:hAnsi="Times New Roman" w:cs="Times New Roman"/>
      <w:color w:val="DD6225"/>
      <w:sz w:val="40"/>
      <w:szCs w:val="40"/>
      <w:lang w:val="x-none" w:eastAsia="zh-CN"/>
    </w:rPr>
  </w:style>
  <w:style w:type="character" w:customStyle="1" w:styleId="Heading5Char">
    <w:name w:val="Heading 5 Char"/>
    <w:basedOn w:val="DefaultParagraphFont"/>
    <w:link w:val="Heading5"/>
    <w:uiPriority w:val="9"/>
    <w:locked/>
    <w:rsid w:val="00AD25D6"/>
    <w:rPr>
      <w:rFonts w:ascii="Times New Roman" w:eastAsia="SC STKaiti" w:hAnsi="Times New Roman" w:cs="Times New Roman"/>
      <w:bCs/>
      <w:i/>
      <w:iCs/>
      <w:color w:val="DD6225"/>
      <w:sz w:val="24"/>
      <w:szCs w:val="24"/>
      <w:lang w:val="x-none" w:eastAsia="zh-CN"/>
    </w:rPr>
  </w:style>
  <w:style w:type="character" w:customStyle="1" w:styleId="Heading6Char">
    <w:name w:val="Heading 6 Char"/>
    <w:basedOn w:val="DefaultParagraphFont"/>
    <w:link w:val="Heading6"/>
    <w:uiPriority w:val="9"/>
    <w:locked/>
    <w:rsid w:val="00AD25D6"/>
    <w:rPr>
      <w:rFonts w:ascii="Times New Roman" w:eastAsia="SC STKaiti" w:hAnsi="Times New Roman" w:cs="Times New Roman"/>
      <w:b/>
      <w:i/>
      <w:iCs/>
      <w:color w:val="DD6225"/>
      <w:lang w:val="x-none" w:eastAsia="zh-CN"/>
    </w:rPr>
  </w:style>
  <w:style w:type="character" w:customStyle="1" w:styleId="Heading7Char">
    <w:name w:val="Heading 7 Char"/>
    <w:aliases w:val="Letter Heading Char"/>
    <w:basedOn w:val="DefaultParagraphFont"/>
    <w:link w:val="Heading7"/>
    <w:uiPriority w:val="9"/>
    <w:locked/>
    <w:rsid w:val="00AD25D6"/>
    <w:rPr>
      <w:rFonts w:ascii="Times New Roman" w:eastAsia="SC STKaiti" w:hAnsi="Times New Roman" w:cs="Times New Roman"/>
      <w:b/>
      <w:iCs/>
      <w:color w:val="DD6225"/>
      <w:sz w:val="24"/>
      <w:szCs w:val="24"/>
      <w:lang w:val="x-none" w:eastAsia="zh-CN"/>
    </w:rPr>
  </w:style>
  <w:style w:type="paragraph" w:styleId="ListParagraph">
    <w:name w:val="List Paragraph"/>
    <w:basedOn w:val="Normal"/>
    <w:link w:val="ListParagraphChar"/>
    <w:uiPriority w:val="34"/>
    <w:qFormat/>
    <w:rsid w:val="005A5B06"/>
    <w:pPr>
      <w:ind w:left="720"/>
      <w:contextualSpacing/>
    </w:pPr>
  </w:style>
  <w:style w:type="paragraph" w:styleId="FootnoteText">
    <w:name w:val="footnote text"/>
    <w:basedOn w:val="Normal"/>
    <w:link w:val="FootnoteTextChar"/>
    <w:uiPriority w:val="99"/>
    <w:semiHidden/>
    <w:rsid w:val="00E42265"/>
    <w:pPr>
      <w:spacing w:after="0" w:line="240" w:lineRule="auto"/>
    </w:pPr>
    <w:rPr>
      <w:rFonts w:ascii="Times New Roman" w:hAnsi="Times New Roman"/>
      <w:sz w:val="20"/>
      <w:szCs w:val="20"/>
      <w:lang w:eastAsia="en-AU"/>
    </w:rPr>
  </w:style>
  <w:style w:type="character" w:customStyle="1" w:styleId="FootnoteTextChar">
    <w:name w:val="Footnote Text Char"/>
    <w:basedOn w:val="DefaultParagraphFont"/>
    <w:link w:val="FootnoteText"/>
    <w:uiPriority w:val="99"/>
    <w:semiHidden/>
    <w:locked/>
    <w:rsid w:val="00E42265"/>
    <w:rPr>
      <w:rFonts w:ascii="Times New Roman" w:hAnsi="Times New Roman" w:cs="Times New Roman"/>
    </w:rPr>
  </w:style>
  <w:style w:type="character" w:styleId="FootnoteReference">
    <w:name w:val="footnote reference"/>
    <w:basedOn w:val="DefaultParagraphFont"/>
    <w:uiPriority w:val="99"/>
    <w:semiHidden/>
    <w:rsid w:val="00E42265"/>
    <w:rPr>
      <w:rFonts w:cs="Times New Roman"/>
      <w:vertAlign w:val="superscript"/>
    </w:rPr>
  </w:style>
  <w:style w:type="paragraph" w:customStyle="1" w:styleId="Default">
    <w:name w:val="Default"/>
    <w:rsid w:val="00F3215D"/>
    <w:pPr>
      <w:widowControl w:val="0"/>
      <w:autoSpaceDE w:val="0"/>
      <w:autoSpaceDN w:val="0"/>
      <w:adjustRightInd w:val="0"/>
    </w:pPr>
    <w:rPr>
      <w:rFonts w:ascii="Myriad Pro" w:hAnsi="Myriad Pro" w:cs="Myriad Pro"/>
      <w:color w:val="000000"/>
      <w:sz w:val="24"/>
      <w:szCs w:val="24"/>
    </w:rPr>
  </w:style>
  <w:style w:type="paragraph" w:customStyle="1" w:styleId="CM56">
    <w:name w:val="CM56"/>
    <w:basedOn w:val="Default"/>
    <w:next w:val="Default"/>
    <w:rsid w:val="00F3215D"/>
    <w:rPr>
      <w:rFonts w:cs="Times New Roman"/>
      <w:color w:val="auto"/>
    </w:rPr>
  </w:style>
  <w:style w:type="paragraph" w:customStyle="1" w:styleId="CM47">
    <w:name w:val="CM47"/>
    <w:basedOn w:val="Default"/>
    <w:next w:val="Default"/>
    <w:rsid w:val="00E95F63"/>
    <w:rPr>
      <w:rFonts w:eastAsia="PMingLiU" w:cs="Times New Roman"/>
      <w:color w:val="auto"/>
    </w:rPr>
  </w:style>
  <w:style w:type="paragraph" w:styleId="Title">
    <w:name w:val="Title"/>
    <w:basedOn w:val="Normal"/>
    <w:next w:val="Normal"/>
    <w:link w:val="TitleChar"/>
    <w:autoRedefine/>
    <w:uiPriority w:val="10"/>
    <w:qFormat/>
    <w:rsid w:val="00B448BC"/>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locked/>
    <w:rsid w:val="00B448BC"/>
    <w:rPr>
      <w:rFonts w:eastAsia="Times New Roman" w:cs="Times New Roman"/>
      <w:b/>
      <w:bCs/>
      <w:kern w:val="28"/>
      <w:sz w:val="32"/>
      <w:szCs w:val="32"/>
      <w:lang w:val="x-none" w:eastAsia="en-US"/>
    </w:rPr>
  </w:style>
  <w:style w:type="table" w:styleId="TableGrid">
    <w:name w:val="Table Grid"/>
    <w:basedOn w:val="TableNormal"/>
    <w:uiPriority w:val="59"/>
    <w:rsid w:val="0089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3. Table text"/>
    <w:uiPriority w:val="1"/>
    <w:qFormat/>
    <w:rsid w:val="002E529B"/>
    <w:pPr>
      <w:spacing w:before="60" w:after="60"/>
    </w:pPr>
  </w:style>
  <w:style w:type="paragraph" w:styleId="NormalWeb">
    <w:name w:val="Normal (Web)"/>
    <w:basedOn w:val="Normal"/>
    <w:uiPriority w:val="99"/>
    <w:unhideWhenUsed/>
    <w:rsid w:val="00B353C0"/>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20"/>
    <w:qFormat/>
    <w:rsid w:val="00B353C0"/>
    <w:rPr>
      <w:rFonts w:cs="Times New Roman"/>
      <w:i/>
      <w:iCs/>
    </w:rPr>
  </w:style>
  <w:style w:type="character" w:styleId="Strong">
    <w:name w:val="Strong"/>
    <w:basedOn w:val="DefaultParagraphFont"/>
    <w:uiPriority w:val="22"/>
    <w:qFormat/>
    <w:rsid w:val="00B353C0"/>
    <w:rPr>
      <w:rFonts w:cs="Times New Roman"/>
      <w:b/>
      <w:bCs/>
    </w:rPr>
  </w:style>
  <w:style w:type="paragraph" w:styleId="TOCHeading">
    <w:name w:val="TOC Heading"/>
    <w:basedOn w:val="Heading1"/>
    <w:next w:val="Normal"/>
    <w:uiPriority w:val="39"/>
    <w:semiHidden/>
    <w:unhideWhenUsed/>
    <w:qFormat/>
    <w:rsid w:val="00B448BC"/>
    <w:pPr>
      <w:keepLines/>
      <w:spacing w:before="480" w:after="0"/>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rsid w:val="00767668"/>
    <w:pPr>
      <w:spacing w:before="120" w:after="0"/>
    </w:pPr>
    <w:rPr>
      <w:rFonts w:asciiTheme="minorHAnsi" w:hAnsiTheme="minorHAnsi" w:cs="Calibri"/>
      <w:b/>
      <w:bCs/>
      <w:i/>
      <w:iCs/>
      <w:sz w:val="24"/>
      <w:szCs w:val="24"/>
    </w:rPr>
  </w:style>
  <w:style w:type="paragraph" w:styleId="TOC2">
    <w:name w:val="toc 2"/>
    <w:basedOn w:val="Normal"/>
    <w:next w:val="Normal"/>
    <w:autoRedefine/>
    <w:uiPriority w:val="39"/>
    <w:unhideWhenUsed/>
    <w:rsid w:val="002D18AC"/>
    <w:pPr>
      <w:spacing w:before="120" w:after="0"/>
      <w:ind w:left="220"/>
    </w:pPr>
    <w:rPr>
      <w:rFonts w:asciiTheme="minorHAnsi" w:hAnsiTheme="minorHAnsi" w:cs="Calibri"/>
      <w:b/>
      <w:bCs/>
    </w:rPr>
  </w:style>
  <w:style w:type="paragraph" w:styleId="TOC3">
    <w:name w:val="toc 3"/>
    <w:basedOn w:val="Normal"/>
    <w:next w:val="Normal"/>
    <w:autoRedefine/>
    <w:uiPriority w:val="39"/>
    <w:unhideWhenUsed/>
    <w:rsid w:val="002D18AC"/>
    <w:pPr>
      <w:spacing w:after="0"/>
      <w:ind w:left="440"/>
    </w:pPr>
    <w:rPr>
      <w:rFonts w:asciiTheme="minorHAnsi" w:hAnsiTheme="minorHAnsi" w:cs="Calibri"/>
      <w:sz w:val="20"/>
      <w:szCs w:val="20"/>
    </w:rPr>
  </w:style>
  <w:style w:type="character" w:styleId="Hyperlink">
    <w:name w:val="Hyperlink"/>
    <w:basedOn w:val="DefaultParagraphFont"/>
    <w:uiPriority w:val="99"/>
    <w:unhideWhenUsed/>
    <w:rsid w:val="00B448BC"/>
    <w:rPr>
      <w:rFonts w:cs="Times New Roman"/>
      <w:color w:val="0000FF"/>
      <w:u w:val="single"/>
    </w:rPr>
  </w:style>
  <w:style w:type="paragraph" w:styleId="Caption">
    <w:name w:val="caption"/>
    <w:basedOn w:val="Normal"/>
    <w:next w:val="Normal"/>
    <w:uiPriority w:val="35"/>
    <w:unhideWhenUsed/>
    <w:qFormat/>
    <w:rsid w:val="00425C5B"/>
    <w:rPr>
      <w:b/>
      <w:bCs/>
      <w:sz w:val="20"/>
      <w:szCs w:val="20"/>
    </w:rPr>
  </w:style>
  <w:style w:type="table" w:customStyle="1" w:styleId="LightList1">
    <w:name w:val="Light List1"/>
    <w:basedOn w:val="TableNormal"/>
    <w:uiPriority w:val="61"/>
    <w:rsid w:val="0018085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ody1">
    <w:name w:val="body1"/>
    <w:basedOn w:val="Normal"/>
    <w:rsid w:val="00D874EB"/>
    <w:pPr>
      <w:spacing w:before="100" w:beforeAutospacing="1" w:after="100" w:afterAutospacing="1" w:line="240" w:lineRule="auto"/>
    </w:pPr>
    <w:rPr>
      <w:rFonts w:ascii="Times New Roman" w:hAnsi="Times New Roman"/>
      <w:sz w:val="24"/>
      <w:szCs w:val="24"/>
      <w:lang w:eastAsia="en-AU"/>
    </w:rPr>
  </w:style>
  <w:style w:type="paragraph" w:customStyle="1" w:styleId="body">
    <w:name w:val="body"/>
    <w:basedOn w:val="Normal"/>
    <w:rsid w:val="00D874EB"/>
    <w:pPr>
      <w:spacing w:before="100" w:beforeAutospacing="1" w:after="100" w:afterAutospacing="1" w:line="240" w:lineRule="auto"/>
    </w:pPr>
    <w:rPr>
      <w:rFonts w:ascii="Times New Roman" w:hAnsi="Times New Roman"/>
      <w:sz w:val="24"/>
      <w:szCs w:val="24"/>
      <w:lang w:eastAsia="en-AU"/>
    </w:rPr>
  </w:style>
  <w:style w:type="paragraph" w:customStyle="1" w:styleId="2HeadingH2">
    <w:name w:val="2. Heading H2"/>
    <w:basedOn w:val="Heading2"/>
    <w:link w:val="2HeadingH2Char"/>
    <w:qFormat/>
    <w:rsid w:val="00FD1172"/>
    <w:pPr>
      <w:spacing w:line="240" w:lineRule="auto"/>
    </w:pPr>
    <w:rPr>
      <w:rFonts w:ascii="Cambria" w:hAnsi="Cambria" w:cs="Times New Roman"/>
      <w:color w:val="365F91"/>
    </w:rPr>
  </w:style>
  <w:style w:type="character" w:customStyle="1" w:styleId="2HeadingH2Char">
    <w:name w:val="2. Heading H2 Char"/>
    <w:basedOn w:val="Heading2Char"/>
    <w:link w:val="2HeadingH2"/>
    <w:locked/>
    <w:rsid w:val="00FD1172"/>
    <w:rPr>
      <w:rFonts w:ascii="Cambria" w:hAnsi="Cambria" w:cs="Calibri"/>
      <w:bCs/>
      <w:iCs/>
      <w:color w:val="365F91"/>
      <w:sz w:val="28"/>
      <w:szCs w:val="28"/>
    </w:rPr>
  </w:style>
  <w:style w:type="character" w:styleId="CommentReference">
    <w:name w:val="annotation reference"/>
    <w:basedOn w:val="DefaultParagraphFont"/>
    <w:uiPriority w:val="99"/>
    <w:semiHidden/>
    <w:unhideWhenUsed/>
    <w:rsid w:val="008D4CB7"/>
    <w:rPr>
      <w:rFonts w:cs="Times New Roman"/>
      <w:sz w:val="16"/>
      <w:szCs w:val="16"/>
    </w:rPr>
  </w:style>
  <w:style w:type="paragraph" w:styleId="CommentText">
    <w:name w:val="annotation text"/>
    <w:basedOn w:val="Normal"/>
    <w:link w:val="CommentTextChar"/>
    <w:uiPriority w:val="99"/>
    <w:semiHidden/>
    <w:unhideWhenUsed/>
    <w:rsid w:val="008D4CB7"/>
    <w:rPr>
      <w:sz w:val="20"/>
      <w:szCs w:val="20"/>
    </w:rPr>
  </w:style>
  <w:style w:type="character" w:customStyle="1" w:styleId="CommentTextChar">
    <w:name w:val="Comment Text Char"/>
    <w:basedOn w:val="DefaultParagraphFont"/>
    <w:link w:val="CommentText"/>
    <w:uiPriority w:val="99"/>
    <w:semiHidden/>
    <w:locked/>
    <w:rsid w:val="008D4CB7"/>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8D4CB7"/>
    <w:rPr>
      <w:b/>
      <w:bCs/>
    </w:rPr>
  </w:style>
  <w:style w:type="character" w:customStyle="1" w:styleId="CommentSubjectChar">
    <w:name w:val="Comment Subject Char"/>
    <w:basedOn w:val="CommentTextChar"/>
    <w:link w:val="CommentSubject"/>
    <w:uiPriority w:val="99"/>
    <w:semiHidden/>
    <w:locked/>
    <w:rsid w:val="008D4CB7"/>
    <w:rPr>
      <w:rFonts w:cs="Times New Roman"/>
      <w:b/>
      <w:bCs/>
      <w:lang w:val="x-none" w:eastAsia="en-US"/>
    </w:rPr>
  </w:style>
  <w:style w:type="paragraph" w:styleId="BalloonText">
    <w:name w:val="Balloon Text"/>
    <w:basedOn w:val="Normal"/>
    <w:link w:val="BalloonTextChar"/>
    <w:uiPriority w:val="99"/>
    <w:semiHidden/>
    <w:unhideWhenUsed/>
    <w:rsid w:val="008D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CB7"/>
    <w:rPr>
      <w:rFonts w:ascii="Tahoma" w:hAnsi="Tahoma" w:cs="Tahoma"/>
      <w:sz w:val="16"/>
      <w:szCs w:val="16"/>
      <w:lang w:val="x-none" w:eastAsia="en-US"/>
    </w:rPr>
  </w:style>
  <w:style w:type="paragraph" w:styleId="Header">
    <w:name w:val="header"/>
    <w:basedOn w:val="Normal"/>
    <w:link w:val="HeaderChar"/>
    <w:uiPriority w:val="99"/>
    <w:unhideWhenUsed/>
    <w:rsid w:val="002F07F2"/>
    <w:pPr>
      <w:tabs>
        <w:tab w:val="center" w:pos="4513"/>
        <w:tab w:val="right" w:pos="9026"/>
      </w:tabs>
    </w:pPr>
  </w:style>
  <w:style w:type="character" w:customStyle="1" w:styleId="HeaderChar">
    <w:name w:val="Header Char"/>
    <w:basedOn w:val="DefaultParagraphFont"/>
    <w:link w:val="Header"/>
    <w:uiPriority w:val="99"/>
    <w:semiHidden/>
    <w:locked/>
    <w:rsid w:val="002F07F2"/>
    <w:rPr>
      <w:rFonts w:cs="Times New Roman"/>
      <w:sz w:val="22"/>
      <w:szCs w:val="22"/>
      <w:lang w:val="x-none" w:eastAsia="en-US"/>
    </w:rPr>
  </w:style>
  <w:style w:type="paragraph" w:styleId="Footer">
    <w:name w:val="footer"/>
    <w:basedOn w:val="Normal"/>
    <w:link w:val="FooterChar"/>
    <w:uiPriority w:val="99"/>
    <w:unhideWhenUsed/>
    <w:rsid w:val="002F07F2"/>
    <w:pPr>
      <w:tabs>
        <w:tab w:val="center" w:pos="4513"/>
        <w:tab w:val="right" w:pos="9026"/>
      </w:tabs>
    </w:pPr>
  </w:style>
  <w:style w:type="character" w:customStyle="1" w:styleId="FooterChar">
    <w:name w:val="Footer Char"/>
    <w:basedOn w:val="DefaultParagraphFont"/>
    <w:link w:val="Footer"/>
    <w:uiPriority w:val="99"/>
    <w:locked/>
    <w:rsid w:val="002F07F2"/>
    <w:rPr>
      <w:rFonts w:cs="Times New Roman"/>
      <w:sz w:val="22"/>
      <w:szCs w:val="22"/>
      <w:lang w:val="x-none" w:eastAsia="en-US"/>
    </w:rPr>
  </w:style>
  <w:style w:type="paragraph" w:styleId="EndnoteText">
    <w:name w:val="endnote text"/>
    <w:basedOn w:val="Normal"/>
    <w:link w:val="EndnoteTextChar"/>
    <w:uiPriority w:val="99"/>
    <w:semiHidden/>
    <w:unhideWhenUsed/>
    <w:rsid w:val="00AC559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C5595"/>
    <w:rPr>
      <w:rFonts w:ascii="Calibri" w:eastAsia="Times New Roman" w:hAnsi="Calibri" w:cs="Times New Roman"/>
      <w:lang w:val="x-none" w:eastAsia="en-US"/>
    </w:rPr>
  </w:style>
  <w:style w:type="character" w:styleId="EndnoteReference">
    <w:name w:val="endnote reference"/>
    <w:basedOn w:val="DefaultParagraphFont"/>
    <w:uiPriority w:val="99"/>
    <w:semiHidden/>
    <w:unhideWhenUsed/>
    <w:rsid w:val="00AC5595"/>
    <w:rPr>
      <w:rFonts w:cs="Times New Roman"/>
      <w:vertAlign w:val="superscript"/>
    </w:rPr>
  </w:style>
  <w:style w:type="paragraph" w:styleId="Revision">
    <w:name w:val="Revision"/>
    <w:hidden/>
    <w:uiPriority w:val="99"/>
    <w:semiHidden/>
    <w:rsid w:val="00961641"/>
    <w:rPr>
      <w:sz w:val="22"/>
      <w:szCs w:val="22"/>
      <w:lang w:eastAsia="en-US"/>
    </w:rPr>
  </w:style>
  <w:style w:type="character" w:styleId="FollowedHyperlink">
    <w:name w:val="FollowedHyperlink"/>
    <w:basedOn w:val="DefaultParagraphFont"/>
    <w:uiPriority w:val="99"/>
    <w:semiHidden/>
    <w:unhideWhenUsed/>
    <w:rsid w:val="00591C35"/>
    <w:rPr>
      <w:rFonts w:cs="Times New Roman"/>
      <w:color w:val="800080" w:themeColor="followedHyperlink"/>
      <w:u w:val="single"/>
    </w:rPr>
  </w:style>
  <w:style w:type="character" w:customStyle="1" w:styleId="subscript">
    <w:name w:val="subscript"/>
    <w:basedOn w:val="DefaultParagraphFont"/>
    <w:rsid w:val="00BA1F90"/>
    <w:rPr>
      <w:rFonts w:cs="Times New Roman"/>
    </w:rPr>
  </w:style>
  <w:style w:type="table" w:customStyle="1" w:styleId="LightShading1">
    <w:name w:val="Light Shading1"/>
    <w:basedOn w:val="TableNormal"/>
    <w:uiPriority w:val="60"/>
    <w:rsid w:val="000E62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List2">
    <w:name w:val="Light List2"/>
    <w:basedOn w:val="TableNormal"/>
    <w:uiPriority w:val="61"/>
    <w:rsid w:val="000E62A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0E62A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pPr>
      <w:rPr>
        <w:rFonts w:cs="Times New Roman"/>
        <w:b/>
        <w:bCs/>
        <w:color w:val="FFFFFF" w:themeColor="background1"/>
      </w:rPr>
      <w:tblPr/>
      <w:tcPr>
        <w:shd w:val="clear" w:color="auto" w:fill="8064A2" w:themeFill="accent4"/>
      </w:tcPr>
    </w:tblStylePr>
    <w:tblStylePr w:type="lastRow">
      <w:pPr>
        <w:spacing w:before="0" w:after="0"/>
      </w:pPr>
      <w:rPr>
        <w:rFonts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OC4">
    <w:name w:val="toc 4"/>
    <w:basedOn w:val="Normal"/>
    <w:next w:val="Normal"/>
    <w:autoRedefine/>
    <w:uiPriority w:val="39"/>
    <w:unhideWhenUsed/>
    <w:rsid w:val="00A013B6"/>
    <w:pPr>
      <w:spacing w:after="0"/>
      <w:ind w:left="660"/>
    </w:pPr>
    <w:rPr>
      <w:rFonts w:asciiTheme="minorHAnsi" w:hAnsiTheme="minorHAnsi" w:cs="Calibri"/>
      <w:sz w:val="20"/>
      <w:szCs w:val="20"/>
    </w:rPr>
  </w:style>
  <w:style w:type="paragraph" w:styleId="TOC5">
    <w:name w:val="toc 5"/>
    <w:basedOn w:val="Normal"/>
    <w:next w:val="Normal"/>
    <w:autoRedefine/>
    <w:uiPriority w:val="39"/>
    <w:unhideWhenUsed/>
    <w:rsid w:val="00A013B6"/>
    <w:pPr>
      <w:spacing w:after="0"/>
      <w:ind w:left="880"/>
    </w:pPr>
    <w:rPr>
      <w:rFonts w:asciiTheme="minorHAnsi" w:hAnsiTheme="minorHAnsi" w:cs="Calibri"/>
      <w:sz w:val="20"/>
      <w:szCs w:val="20"/>
    </w:rPr>
  </w:style>
  <w:style w:type="paragraph" w:styleId="TOC6">
    <w:name w:val="toc 6"/>
    <w:basedOn w:val="Normal"/>
    <w:next w:val="Normal"/>
    <w:autoRedefine/>
    <w:uiPriority w:val="39"/>
    <w:unhideWhenUsed/>
    <w:rsid w:val="00A013B6"/>
    <w:pPr>
      <w:spacing w:after="0"/>
      <w:ind w:left="1100"/>
    </w:pPr>
    <w:rPr>
      <w:rFonts w:asciiTheme="minorHAnsi" w:hAnsiTheme="minorHAnsi" w:cs="Calibri"/>
      <w:sz w:val="20"/>
      <w:szCs w:val="20"/>
    </w:rPr>
  </w:style>
  <w:style w:type="paragraph" w:styleId="TOC7">
    <w:name w:val="toc 7"/>
    <w:basedOn w:val="Normal"/>
    <w:next w:val="Normal"/>
    <w:autoRedefine/>
    <w:uiPriority w:val="39"/>
    <w:unhideWhenUsed/>
    <w:rsid w:val="00A013B6"/>
    <w:pPr>
      <w:spacing w:after="0"/>
      <w:ind w:left="1320"/>
    </w:pPr>
    <w:rPr>
      <w:rFonts w:asciiTheme="minorHAnsi" w:hAnsiTheme="minorHAnsi" w:cs="Calibri"/>
      <w:sz w:val="20"/>
      <w:szCs w:val="20"/>
    </w:rPr>
  </w:style>
  <w:style w:type="paragraph" w:styleId="TOC8">
    <w:name w:val="toc 8"/>
    <w:basedOn w:val="Normal"/>
    <w:next w:val="Normal"/>
    <w:autoRedefine/>
    <w:uiPriority w:val="39"/>
    <w:unhideWhenUsed/>
    <w:rsid w:val="00A013B6"/>
    <w:pPr>
      <w:spacing w:after="0"/>
      <w:ind w:left="1540"/>
    </w:pPr>
    <w:rPr>
      <w:rFonts w:asciiTheme="minorHAnsi" w:hAnsiTheme="minorHAnsi" w:cs="Calibri"/>
      <w:sz w:val="20"/>
      <w:szCs w:val="20"/>
    </w:rPr>
  </w:style>
  <w:style w:type="paragraph" w:styleId="TOC9">
    <w:name w:val="toc 9"/>
    <w:basedOn w:val="Normal"/>
    <w:next w:val="Normal"/>
    <w:autoRedefine/>
    <w:uiPriority w:val="39"/>
    <w:unhideWhenUsed/>
    <w:rsid w:val="00A013B6"/>
    <w:pPr>
      <w:spacing w:after="0"/>
      <w:ind w:left="1760"/>
    </w:pPr>
    <w:rPr>
      <w:rFonts w:asciiTheme="minorHAnsi" w:hAnsiTheme="minorHAnsi" w:cs="Calibri"/>
      <w:sz w:val="20"/>
      <w:szCs w:val="20"/>
    </w:rPr>
  </w:style>
  <w:style w:type="paragraph" w:styleId="ListBullet">
    <w:name w:val="List Bullet"/>
    <w:basedOn w:val="BodyText"/>
    <w:uiPriority w:val="99"/>
    <w:rsid w:val="00AD25D6"/>
    <w:pPr>
      <w:numPr>
        <w:numId w:val="25"/>
      </w:numPr>
      <w:spacing w:after="160" w:line="288" w:lineRule="auto"/>
      <w:jc w:val="both"/>
    </w:pPr>
    <w:rPr>
      <w:rFonts w:ascii="Arial" w:eastAsia="SC STKaiti" w:hAnsi="Arial" w:cs="Arial"/>
      <w:sz w:val="20"/>
      <w:szCs w:val="18"/>
      <w:lang w:eastAsia="en-AU"/>
    </w:rPr>
  </w:style>
  <w:style w:type="paragraph" w:styleId="ListBullet2">
    <w:name w:val="List Bullet 2"/>
    <w:basedOn w:val="BodyText"/>
    <w:uiPriority w:val="99"/>
    <w:rsid w:val="00AD25D6"/>
    <w:pPr>
      <w:numPr>
        <w:ilvl w:val="1"/>
        <w:numId w:val="25"/>
      </w:numPr>
      <w:spacing w:after="160" w:line="288" w:lineRule="auto"/>
      <w:jc w:val="both"/>
    </w:pPr>
    <w:rPr>
      <w:rFonts w:ascii="Arial" w:eastAsia="SC STKaiti" w:hAnsi="Arial" w:cs="Arial"/>
      <w:sz w:val="20"/>
      <w:szCs w:val="24"/>
      <w:lang w:eastAsia="zh-CN"/>
    </w:rPr>
  </w:style>
  <w:style w:type="paragraph" w:styleId="ListBullet3">
    <w:name w:val="List Bullet 3"/>
    <w:basedOn w:val="BodyText"/>
    <w:uiPriority w:val="99"/>
    <w:rsid w:val="00AD25D6"/>
    <w:pPr>
      <w:numPr>
        <w:ilvl w:val="2"/>
        <w:numId w:val="25"/>
      </w:numPr>
      <w:spacing w:after="160" w:line="288" w:lineRule="auto"/>
      <w:jc w:val="both"/>
    </w:pPr>
    <w:rPr>
      <w:rFonts w:ascii="Arial" w:eastAsia="SC STKaiti" w:hAnsi="Arial" w:cs="Arial"/>
      <w:sz w:val="20"/>
      <w:szCs w:val="24"/>
      <w:lang w:eastAsia="zh-CN"/>
    </w:rPr>
  </w:style>
  <w:style w:type="paragraph" w:styleId="ListBullet4">
    <w:name w:val="List Bullet 4"/>
    <w:basedOn w:val="BodyText"/>
    <w:autoRedefine/>
    <w:uiPriority w:val="99"/>
    <w:rsid w:val="00AD25D6"/>
    <w:pPr>
      <w:numPr>
        <w:ilvl w:val="3"/>
        <w:numId w:val="25"/>
      </w:numPr>
      <w:spacing w:after="160" w:line="288" w:lineRule="auto"/>
      <w:jc w:val="both"/>
    </w:pPr>
    <w:rPr>
      <w:rFonts w:ascii="Arial" w:eastAsia="SimSun" w:hAnsi="Arial" w:cs="Arial"/>
      <w:sz w:val="20"/>
      <w:szCs w:val="20"/>
      <w:lang w:eastAsia="zh-CN"/>
    </w:rPr>
  </w:style>
  <w:style w:type="paragraph" w:styleId="ListBullet5">
    <w:name w:val="List Bullet 5"/>
    <w:basedOn w:val="BodyText"/>
    <w:autoRedefine/>
    <w:uiPriority w:val="99"/>
    <w:rsid w:val="00AD25D6"/>
    <w:pPr>
      <w:numPr>
        <w:ilvl w:val="4"/>
        <w:numId w:val="25"/>
      </w:numPr>
      <w:spacing w:after="160" w:line="288" w:lineRule="auto"/>
      <w:jc w:val="both"/>
    </w:pPr>
    <w:rPr>
      <w:rFonts w:ascii="Arial" w:eastAsia="SimSun" w:hAnsi="Arial" w:cs="Arial"/>
      <w:sz w:val="20"/>
      <w:szCs w:val="20"/>
      <w:lang w:eastAsia="zh-CN"/>
    </w:rPr>
  </w:style>
  <w:style w:type="paragraph" w:styleId="BodyText">
    <w:name w:val="Body Text"/>
    <w:basedOn w:val="Normal"/>
    <w:link w:val="BodyTextChar"/>
    <w:uiPriority w:val="99"/>
    <w:unhideWhenUsed/>
    <w:rsid w:val="00AD25D6"/>
    <w:pPr>
      <w:spacing w:after="120"/>
    </w:pPr>
  </w:style>
  <w:style w:type="character" w:customStyle="1" w:styleId="BodyTextChar">
    <w:name w:val="Body Text Char"/>
    <w:basedOn w:val="DefaultParagraphFont"/>
    <w:link w:val="BodyText"/>
    <w:uiPriority w:val="99"/>
    <w:locked/>
    <w:rsid w:val="00AD25D6"/>
    <w:rPr>
      <w:rFonts w:cs="Times New Roman"/>
      <w:sz w:val="22"/>
      <w:szCs w:val="22"/>
      <w:lang w:val="x-none" w:eastAsia="en-US"/>
    </w:rPr>
  </w:style>
  <w:style w:type="table" w:customStyle="1" w:styleId="EPLTablePlain">
    <w:name w:val="EPL_Table_Plain"/>
    <w:basedOn w:val="TableNormal"/>
    <w:rsid w:val="0080544E"/>
    <w:rPr>
      <w:rFonts w:ascii="Arial" w:hAnsi="Arial"/>
      <w:sz w:val="18"/>
      <w:lang w:eastAsia="ja-JP"/>
    </w:rPr>
    <w:tblPr>
      <w:tblBorders>
        <w:top w:val="single" w:sz="2" w:space="0" w:color="C0C0C0"/>
        <w:left w:val="single" w:sz="2" w:space="0" w:color="FFFFFF"/>
        <w:bottom w:val="single" w:sz="2" w:space="0" w:color="C0C0C0"/>
        <w:right w:val="single" w:sz="2" w:space="0" w:color="FFFFFF"/>
        <w:insideH w:val="single" w:sz="2" w:space="0" w:color="C0C0C0"/>
        <w:insideV w:val="single" w:sz="2" w:space="0" w:color="FFFFFF"/>
      </w:tblBorders>
    </w:tblPr>
    <w:tcPr>
      <w:shd w:val="clear" w:color="auto" w:fill="F3F3F3"/>
    </w:tcPr>
    <w:tblStylePr w:type="firstRow">
      <w:rPr>
        <w:rFonts w:ascii="Arial" w:hAnsi="Arial" w:cs="Times New Roman"/>
        <w:b/>
        <w:color w:val="FFFFFF"/>
        <w:sz w:val="18"/>
      </w:rPr>
      <w:tblPr/>
      <w:trPr>
        <w:cantSplit/>
        <w:tblHeader/>
      </w:tr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DD6225"/>
      </w:tcPr>
    </w:tblStylePr>
  </w:style>
  <w:style w:type="paragraph" w:customStyle="1" w:styleId="TableMain">
    <w:name w:val="Table Main"/>
    <w:uiPriority w:val="99"/>
    <w:rsid w:val="0080544E"/>
    <w:pPr>
      <w:spacing w:before="120" w:after="120"/>
    </w:pPr>
    <w:rPr>
      <w:rFonts w:ascii="Arial" w:eastAsia="SC STKaiti" w:hAnsi="Arial" w:cs="Arial"/>
      <w:sz w:val="18"/>
      <w:szCs w:val="18"/>
      <w:lang w:eastAsia="zh-CN"/>
    </w:rPr>
  </w:style>
  <w:style w:type="character" w:customStyle="1" w:styleId="ListParagraphChar">
    <w:name w:val="List Paragraph Char"/>
    <w:basedOn w:val="DefaultParagraphFont"/>
    <w:link w:val="ListParagraph"/>
    <w:uiPriority w:val="34"/>
    <w:locked/>
    <w:rsid w:val="005445A6"/>
    <w:rPr>
      <w:rFonts w:cs="Times New Roman"/>
      <w:sz w:val="22"/>
      <w:szCs w:val="22"/>
      <w:lang w:val="x-none" w:eastAsia="en-US"/>
    </w:rPr>
  </w:style>
  <w:style w:type="paragraph" w:customStyle="1" w:styleId="Amain">
    <w:name w:val="A main"/>
    <w:basedOn w:val="Normal"/>
    <w:rsid w:val="00251C44"/>
    <w:pPr>
      <w:numPr>
        <w:ilvl w:val="5"/>
        <w:numId w:val="42"/>
      </w:numPr>
      <w:spacing w:before="80" w:after="60" w:line="240" w:lineRule="auto"/>
      <w:jc w:val="both"/>
      <w:outlineLvl w:val="5"/>
    </w:pPr>
    <w:rPr>
      <w:rFonts w:ascii="Times New Roman" w:hAnsi="Times New Roman"/>
      <w:sz w:val="24"/>
      <w:szCs w:val="20"/>
    </w:rPr>
  </w:style>
  <w:style w:type="paragraph" w:customStyle="1" w:styleId="Apara">
    <w:name w:val="A para"/>
    <w:basedOn w:val="Normal"/>
    <w:rsid w:val="00251C44"/>
    <w:pPr>
      <w:numPr>
        <w:ilvl w:val="6"/>
        <w:numId w:val="42"/>
      </w:numPr>
      <w:spacing w:before="80" w:after="60" w:line="240" w:lineRule="auto"/>
      <w:jc w:val="both"/>
      <w:outlineLvl w:val="6"/>
    </w:pPr>
    <w:rPr>
      <w:rFonts w:ascii="Times New Roman" w:hAnsi="Times New Roman"/>
      <w:sz w:val="24"/>
      <w:szCs w:val="20"/>
    </w:rPr>
  </w:style>
  <w:style w:type="paragraph" w:customStyle="1" w:styleId="Asubpara">
    <w:name w:val="A subpara"/>
    <w:basedOn w:val="Normal"/>
    <w:rsid w:val="00251C44"/>
    <w:pPr>
      <w:numPr>
        <w:ilvl w:val="7"/>
        <w:numId w:val="42"/>
      </w:numPr>
      <w:spacing w:before="80" w:after="60" w:line="240" w:lineRule="auto"/>
      <w:jc w:val="both"/>
      <w:outlineLvl w:val="7"/>
    </w:pPr>
    <w:rPr>
      <w:rFonts w:ascii="Times New Roman" w:hAnsi="Times New Roman"/>
      <w:sz w:val="24"/>
      <w:szCs w:val="20"/>
    </w:rPr>
  </w:style>
  <w:style w:type="paragraph" w:customStyle="1" w:styleId="Asubsubpara">
    <w:name w:val="A subsubpara"/>
    <w:basedOn w:val="Normal"/>
    <w:rsid w:val="00251C44"/>
    <w:pPr>
      <w:numPr>
        <w:ilvl w:val="8"/>
        <w:numId w:val="42"/>
      </w:numPr>
      <w:spacing w:before="80" w:after="60" w:line="240" w:lineRule="auto"/>
      <w:jc w:val="both"/>
      <w:outlineLvl w:val="8"/>
    </w:pPr>
    <w:rPr>
      <w:rFonts w:ascii="Times New Roman" w:hAnsi="Times New Roman"/>
      <w:sz w:val="24"/>
      <w:szCs w:val="20"/>
    </w:rPr>
  </w:style>
  <w:style w:type="paragraph" w:customStyle="1" w:styleId="AH5Sec">
    <w:name w:val="A H5 Sec"/>
    <w:aliases w:val="s"/>
    <w:basedOn w:val="Normal"/>
    <w:next w:val="Amain"/>
    <w:rsid w:val="00251C44"/>
    <w:pPr>
      <w:keepNext/>
      <w:numPr>
        <w:ilvl w:val="4"/>
        <w:numId w:val="42"/>
      </w:numPr>
      <w:tabs>
        <w:tab w:val="left" w:pos="2600"/>
      </w:tabs>
      <w:spacing w:before="180" w:after="60" w:line="240" w:lineRule="auto"/>
      <w:jc w:val="both"/>
      <w:outlineLvl w:val="4"/>
    </w:pPr>
    <w:rPr>
      <w:rFonts w:ascii="Arial"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94546">
      <w:marLeft w:val="0"/>
      <w:marRight w:val="0"/>
      <w:marTop w:val="0"/>
      <w:marBottom w:val="0"/>
      <w:divBdr>
        <w:top w:val="none" w:sz="0" w:space="0" w:color="auto"/>
        <w:left w:val="none" w:sz="0" w:space="0" w:color="auto"/>
        <w:bottom w:val="none" w:sz="0" w:space="0" w:color="auto"/>
        <w:right w:val="none" w:sz="0" w:space="0" w:color="auto"/>
      </w:divBdr>
    </w:div>
    <w:div w:id="866794549">
      <w:marLeft w:val="0"/>
      <w:marRight w:val="0"/>
      <w:marTop w:val="0"/>
      <w:marBottom w:val="0"/>
      <w:divBdr>
        <w:top w:val="none" w:sz="0" w:space="0" w:color="auto"/>
        <w:left w:val="none" w:sz="0" w:space="0" w:color="auto"/>
        <w:bottom w:val="none" w:sz="0" w:space="0" w:color="auto"/>
        <w:right w:val="none" w:sz="0" w:space="0" w:color="auto"/>
      </w:divBdr>
    </w:div>
    <w:div w:id="866794550">
      <w:marLeft w:val="0"/>
      <w:marRight w:val="0"/>
      <w:marTop w:val="0"/>
      <w:marBottom w:val="0"/>
      <w:divBdr>
        <w:top w:val="none" w:sz="0" w:space="0" w:color="auto"/>
        <w:left w:val="none" w:sz="0" w:space="0" w:color="auto"/>
        <w:bottom w:val="none" w:sz="0" w:space="0" w:color="auto"/>
        <w:right w:val="none" w:sz="0" w:space="0" w:color="auto"/>
      </w:divBdr>
    </w:div>
    <w:div w:id="866794551">
      <w:marLeft w:val="0"/>
      <w:marRight w:val="0"/>
      <w:marTop w:val="0"/>
      <w:marBottom w:val="0"/>
      <w:divBdr>
        <w:top w:val="none" w:sz="0" w:space="0" w:color="auto"/>
        <w:left w:val="none" w:sz="0" w:space="0" w:color="auto"/>
        <w:bottom w:val="none" w:sz="0" w:space="0" w:color="auto"/>
        <w:right w:val="none" w:sz="0" w:space="0" w:color="auto"/>
      </w:divBdr>
    </w:div>
    <w:div w:id="866794552">
      <w:marLeft w:val="0"/>
      <w:marRight w:val="0"/>
      <w:marTop w:val="0"/>
      <w:marBottom w:val="0"/>
      <w:divBdr>
        <w:top w:val="none" w:sz="0" w:space="0" w:color="auto"/>
        <w:left w:val="none" w:sz="0" w:space="0" w:color="auto"/>
        <w:bottom w:val="none" w:sz="0" w:space="0" w:color="auto"/>
        <w:right w:val="none" w:sz="0" w:space="0" w:color="auto"/>
      </w:divBdr>
    </w:div>
    <w:div w:id="866794557">
      <w:marLeft w:val="0"/>
      <w:marRight w:val="0"/>
      <w:marTop w:val="0"/>
      <w:marBottom w:val="0"/>
      <w:divBdr>
        <w:top w:val="none" w:sz="0" w:space="0" w:color="auto"/>
        <w:left w:val="none" w:sz="0" w:space="0" w:color="auto"/>
        <w:bottom w:val="none" w:sz="0" w:space="0" w:color="auto"/>
        <w:right w:val="none" w:sz="0" w:space="0" w:color="auto"/>
      </w:divBdr>
      <w:divsChild>
        <w:div w:id="866794639">
          <w:marLeft w:val="0"/>
          <w:marRight w:val="0"/>
          <w:marTop w:val="0"/>
          <w:marBottom w:val="0"/>
          <w:divBdr>
            <w:top w:val="none" w:sz="0" w:space="0" w:color="auto"/>
            <w:left w:val="none" w:sz="0" w:space="0" w:color="auto"/>
            <w:bottom w:val="none" w:sz="0" w:space="0" w:color="auto"/>
            <w:right w:val="none" w:sz="0" w:space="0" w:color="auto"/>
          </w:divBdr>
          <w:divsChild>
            <w:div w:id="866794563">
              <w:marLeft w:val="0"/>
              <w:marRight w:val="0"/>
              <w:marTop w:val="0"/>
              <w:marBottom w:val="327"/>
              <w:divBdr>
                <w:top w:val="none" w:sz="0" w:space="0" w:color="auto"/>
                <w:left w:val="none" w:sz="0" w:space="0" w:color="auto"/>
                <w:bottom w:val="none" w:sz="0" w:space="0" w:color="auto"/>
                <w:right w:val="none" w:sz="0" w:space="0" w:color="auto"/>
              </w:divBdr>
              <w:divsChild>
                <w:div w:id="866794685">
                  <w:marLeft w:val="0"/>
                  <w:marRight w:val="0"/>
                  <w:marTop w:val="0"/>
                  <w:marBottom w:val="0"/>
                  <w:divBdr>
                    <w:top w:val="none" w:sz="0" w:space="0" w:color="auto"/>
                    <w:left w:val="none" w:sz="0" w:space="0" w:color="auto"/>
                    <w:bottom w:val="none" w:sz="0" w:space="0" w:color="auto"/>
                    <w:right w:val="none" w:sz="0" w:space="0" w:color="auto"/>
                  </w:divBdr>
                  <w:divsChild>
                    <w:div w:id="866794626">
                      <w:marLeft w:val="0"/>
                      <w:marRight w:val="0"/>
                      <w:marTop w:val="0"/>
                      <w:marBottom w:val="0"/>
                      <w:divBdr>
                        <w:top w:val="none" w:sz="0" w:space="0" w:color="auto"/>
                        <w:left w:val="none" w:sz="0" w:space="0" w:color="auto"/>
                        <w:bottom w:val="none" w:sz="0" w:space="0" w:color="auto"/>
                        <w:right w:val="none" w:sz="0" w:space="0" w:color="auto"/>
                      </w:divBdr>
                      <w:divsChild>
                        <w:div w:id="866794589">
                          <w:marLeft w:val="0"/>
                          <w:marRight w:val="0"/>
                          <w:marTop w:val="0"/>
                          <w:marBottom w:val="0"/>
                          <w:divBdr>
                            <w:top w:val="none" w:sz="0" w:space="0" w:color="auto"/>
                            <w:left w:val="none" w:sz="0" w:space="0" w:color="auto"/>
                            <w:bottom w:val="none" w:sz="0" w:space="0" w:color="auto"/>
                            <w:right w:val="none" w:sz="0" w:space="0" w:color="auto"/>
                          </w:divBdr>
                          <w:divsChild>
                            <w:div w:id="8667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794561">
      <w:marLeft w:val="0"/>
      <w:marRight w:val="0"/>
      <w:marTop w:val="0"/>
      <w:marBottom w:val="0"/>
      <w:divBdr>
        <w:top w:val="none" w:sz="0" w:space="0" w:color="auto"/>
        <w:left w:val="none" w:sz="0" w:space="0" w:color="auto"/>
        <w:bottom w:val="none" w:sz="0" w:space="0" w:color="auto"/>
        <w:right w:val="none" w:sz="0" w:space="0" w:color="auto"/>
      </w:divBdr>
    </w:div>
    <w:div w:id="866794562">
      <w:marLeft w:val="0"/>
      <w:marRight w:val="0"/>
      <w:marTop w:val="0"/>
      <w:marBottom w:val="0"/>
      <w:divBdr>
        <w:top w:val="none" w:sz="0" w:space="0" w:color="auto"/>
        <w:left w:val="none" w:sz="0" w:space="0" w:color="auto"/>
        <w:bottom w:val="none" w:sz="0" w:space="0" w:color="auto"/>
        <w:right w:val="none" w:sz="0" w:space="0" w:color="auto"/>
      </w:divBdr>
    </w:div>
    <w:div w:id="866794566">
      <w:marLeft w:val="0"/>
      <w:marRight w:val="0"/>
      <w:marTop w:val="0"/>
      <w:marBottom w:val="0"/>
      <w:divBdr>
        <w:top w:val="none" w:sz="0" w:space="0" w:color="auto"/>
        <w:left w:val="none" w:sz="0" w:space="0" w:color="auto"/>
        <w:bottom w:val="none" w:sz="0" w:space="0" w:color="auto"/>
        <w:right w:val="none" w:sz="0" w:space="0" w:color="auto"/>
      </w:divBdr>
      <w:divsChild>
        <w:div w:id="866794587">
          <w:marLeft w:val="0"/>
          <w:marRight w:val="0"/>
          <w:marTop w:val="0"/>
          <w:marBottom w:val="0"/>
          <w:divBdr>
            <w:top w:val="none" w:sz="0" w:space="0" w:color="auto"/>
            <w:left w:val="none" w:sz="0" w:space="0" w:color="auto"/>
            <w:bottom w:val="none" w:sz="0" w:space="0" w:color="auto"/>
            <w:right w:val="none" w:sz="0" w:space="0" w:color="auto"/>
          </w:divBdr>
          <w:divsChild>
            <w:div w:id="866794664">
              <w:marLeft w:val="0"/>
              <w:marRight w:val="0"/>
              <w:marTop w:val="0"/>
              <w:marBottom w:val="0"/>
              <w:divBdr>
                <w:top w:val="none" w:sz="0" w:space="0" w:color="auto"/>
                <w:left w:val="none" w:sz="0" w:space="0" w:color="auto"/>
                <w:bottom w:val="none" w:sz="0" w:space="0" w:color="auto"/>
                <w:right w:val="none" w:sz="0" w:space="0" w:color="auto"/>
              </w:divBdr>
              <w:divsChild>
                <w:div w:id="866794597">
                  <w:marLeft w:val="0"/>
                  <w:marRight w:val="0"/>
                  <w:marTop w:val="0"/>
                  <w:marBottom w:val="0"/>
                  <w:divBdr>
                    <w:top w:val="none" w:sz="0" w:space="0" w:color="auto"/>
                    <w:left w:val="none" w:sz="0" w:space="0" w:color="auto"/>
                    <w:bottom w:val="none" w:sz="0" w:space="0" w:color="auto"/>
                    <w:right w:val="none" w:sz="0" w:space="0" w:color="auto"/>
                  </w:divBdr>
                  <w:divsChild>
                    <w:div w:id="866794683">
                      <w:marLeft w:val="0"/>
                      <w:marRight w:val="0"/>
                      <w:marTop w:val="0"/>
                      <w:marBottom w:val="0"/>
                      <w:divBdr>
                        <w:top w:val="none" w:sz="0" w:space="0" w:color="auto"/>
                        <w:left w:val="none" w:sz="0" w:space="0" w:color="auto"/>
                        <w:bottom w:val="none" w:sz="0" w:space="0" w:color="auto"/>
                        <w:right w:val="none" w:sz="0" w:space="0" w:color="auto"/>
                      </w:divBdr>
                      <w:divsChild>
                        <w:div w:id="866794682">
                          <w:marLeft w:val="0"/>
                          <w:marRight w:val="0"/>
                          <w:marTop w:val="0"/>
                          <w:marBottom w:val="0"/>
                          <w:divBdr>
                            <w:top w:val="none" w:sz="0" w:space="0" w:color="auto"/>
                            <w:left w:val="none" w:sz="0" w:space="0" w:color="auto"/>
                            <w:bottom w:val="none" w:sz="0" w:space="0" w:color="auto"/>
                            <w:right w:val="none" w:sz="0" w:space="0" w:color="auto"/>
                          </w:divBdr>
                          <w:divsChild>
                            <w:div w:id="866794574">
                              <w:marLeft w:val="0"/>
                              <w:marRight w:val="0"/>
                              <w:marTop w:val="0"/>
                              <w:marBottom w:val="0"/>
                              <w:divBdr>
                                <w:top w:val="none" w:sz="0" w:space="0" w:color="auto"/>
                                <w:left w:val="none" w:sz="0" w:space="0" w:color="auto"/>
                                <w:bottom w:val="none" w:sz="0" w:space="0" w:color="auto"/>
                                <w:right w:val="none" w:sz="0" w:space="0" w:color="auto"/>
                              </w:divBdr>
                              <w:divsChild>
                                <w:div w:id="866794654">
                                  <w:marLeft w:val="0"/>
                                  <w:marRight w:val="0"/>
                                  <w:marTop w:val="0"/>
                                  <w:marBottom w:val="0"/>
                                  <w:divBdr>
                                    <w:top w:val="none" w:sz="0" w:space="0" w:color="auto"/>
                                    <w:left w:val="none" w:sz="0" w:space="0" w:color="auto"/>
                                    <w:bottom w:val="none" w:sz="0" w:space="0" w:color="auto"/>
                                    <w:right w:val="none" w:sz="0" w:space="0" w:color="auto"/>
                                  </w:divBdr>
                                  <w:divsChild>
                                    <w:div w:id="8667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94570">
      <w:marLeft w:val="0"/>
      <w:marRight w:val="0"/>
      <w:marTop w:val="0"/>
      <w:marBottom w:val="0"/>
      <w:divBdr>
        <w:top w:val="none" w:sz="0" w:space="0" w:color="auto"/>
        <w:left w:val="none" w:sz="0" w:space="0" w:color="auto"/>
        <w:bottom w:val="none" w:sz="0" w:space="0" w:color="auto"/>
        <w:right w:val="none" w:sz="0" w:space="0" w:color="auto"/>
      </w:divBdr>
      <w:divsChild>
        <w:div w:id="866794595">
          <w:marLeft w:val="0"/>
          <w:marRight w:val="0"/>
          <w:marTop w:val="0"/>
          <w:marBottom w:val="0"/>
          <w:divBdr>
            <w:top w:val="none" w:sz="0" w:space="0" w:color="auto"/>
            <w:left w:val="none" w:sz="0" w:space="0" w:color="auto"/>
            <w:bottom w:val="none" w:sz="0" w:space="0" w:color="auto"/>
            <w:right w:val="none" w:sz="0" w:space="0" w:color="auto"/>
          </w:divBdr>
          <w:divsChild>
            <w:div w:id="866794677">
              <w:marLeft w:val="0"/>
              <w:marRight w:val="0"/>
              <w:marTop w:val="0"/>
              <w:marBottom w:val="0"/>
              <w:divBdr>
                <w:top w:val="none" w:sz="0" w:space="0" w:color="auto"/>
                <w:left w:val="none" w:sz="0" w:space="0" w:color="auto"/>
                <w:bottom w:val="none" w:sz="0" w:space="0" w:color="auto"/>
                <w:right w:val="none" w:sz="0" w:space="0" w:color="auto"/>
              </w:divBdr>
              <w:divsChild>
                <w:div w:id="866794641">
                  <w:marLeft w:val="0"/>
                  <w:marRight w:val="0"/>
                  <w:marTop w:val="0"/>
                  <w:marBottom w:val="0"/>
                  <w:divBdr>
                    <w:top w:val="none" w:sz="0" w:space="0" w:color="auto"/>
                    <w:left w:val="none" w:sz="0" w:space="0" w:color="auto"/>
                    <w:bottom w:val="none" w:sz="0" w:space="0" w:color="auto"/>
                    <w:right w:val="none" w:sz="0" w:space="0" w:color="auto"/>
                  </w:divBdr>
                  <w:divsChild>
                    <w:div w:id="866794596">
                      <w:marLeft w:val="0"/>
                      <w:marRight w:val="0"/>
                      <w:marTop w:val="0"/>
                      <w:marBottom w:val="0"/>
                      <w:divBdr>
                        <w:top w:val="none" w:sz="0" w:space="0" w:color="auto"/>
                        <w:left w:val="none" w:sz="0" w:space="0" w:color="auto"/>
                        <w:bottom w:val="none" w:sz="0" w:space="0" w:color="auto"/>
                        <w:right w:val="none" w:sz="0" w:space="0" w:color="auto"/>
                      </w:divBdr>
                      <w:divsChild>
                        <w:div w:id="866794667">
                          <w:marLeft w:val="0"/>
                          <w:marRight w:val="0"/>
                          <w:marTop w:val="0"/>
                          <w:marBottom w:val="0"/>
                          <w:divBdr>
                            <w:top w:val="none" w:sz="0" w:space="0" w:color="auto"/>
                            <w:left w:val="none" w:sz="0" w:space="0" w:color="auto"/>
                            <w:bottom w:val="none" w:sz="0" w:space="0" w:color="auto"/>
                            <w:right w:val="none" w:sz="0" w:space="0" w:color="auto"/>
                          </w:divBdr>
                          <w:divsChild>
                            <w:div w:id="866794548">
                              <w:marLeft w:val="0"/>
                              <w:marRight w:val="0"/>
                              <w:marTop w:val="0"/>
                              <w:marBottom w:val="0"/>
                              <w:divBdr>
                                <w:top w:val="none" w:sz="0" w:space="0" w:color="auto"/>
                                <w:left w:val="none" w:sz="0" w:space="0" w:color="auto"/>
                                <w:bottom w:val="none" w:sz="0" w:space="0" w:color="auto"/>
                                <w:right w:val="none" w:sz="0" w:space="0" w:color="auto"/>
                              </w:divBdr>
                              <w:divsChild>
                                <w:div w:id="866794571">
                                  <w:marLeft w:val="0"/>
                                  <w:marRight w:val="0"/>
                                  <w:marTop w:val="0"/>
                                  <w:marBottom w:val="0"/>
                                  <w:divBdr>
                                    <w:top w:val="none" w:sz="0" w:space="0" w:color="auto"/>
                                    <w:left w:val="none" w:sz="0" w:space="0" w:color="auto"/>
                                    <w:bottom w:val="none" w:sz="0" w:space="0" w:color="auto"/>
                                    <w:right w:val="none" w:sz="0" w:space="0" w:color="auto"/>
                                  </w:divBdr>
                                  <w:divsChild>
                                    <w:div w:id="8667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94576">
      <w:marLeft w:val="0"/>
      <w:marRight w:val="0"/>
      <w:marTop w:val="0"/>
      <w:marBottom w:val="0"/>
      <w:divBdr>
        <w:top w:val="none" w:sz="0" w:space="0" w:color="auto"/>
        <w:left w:val="none" w:sz="0" w:space="0" w:color="auto"/>
        <w:bottom w:val="none" w:sz="0" w:space="0" w:color="auto"/>
        <w:right w:val="none" w:sz="0" w:space="0" w:color="auto"/>
      </w:divBdr>
    </w:div>
    <w:div w:id="866794578">
      <w:marLeft w:val="0"/>
      <w:marRight w:val="0"/>
      <w:marTop w:val="0"/>
      <w:marBottom w:val="0"/>
      <w:divBdr>
        <w:top w:val="none" w:sz="0" w:space="0" w:color="auto"/>
        <w:left w:val="none" w:sz="0" w:space="0" w:color="auto"/>
        <w:bottom w:val="none" w:sz="0" w:space="0" w:color="auto"/>
        <w:right w:val="none" w:sz="0" w:space="0" w:color="auto"/>
      </w:divBdr>
    </w:div>
    <w:div w:id="866794584">
      <w:marLeft w:val="0"/>
      <w:marRight w:val="0"/>
      <w:marTop w:val="0"/>
      <w:marBottom w:val="0"/>
      <w:divBdr>
        <w:top w:val="none" w:sz="0" w:space="0" w:color="auto"/>
        <w:left w:val="none" w:sz="0" w:space="0" w:color="auto"/>
        <w:bottom w:val="none" w:sz="0" w:space="0" w:color="auto"/>
        <w:right w:val="none" w:sz="0" w:space="0" w:color="auto"/>
      </w:divBdr>
    </w:div>
    <w:div w:id="866794588">
      <w:marLeft w:val="0"/>
      <w:marRight w:val="0"/>
      <w:marTop w:val="0"/>
      <w:marBottom w:val="0"/>
      <w:divBdr>
        <w:top w:val="none" w:sz="0" w:space="0" w:color="auto"/>
        <w:left w:val="none" w:sz="0" w:space="0" w:color="auto"/>
        <w:bottom w:val="none" w:sz="0" w:space="0" w:color="auto"/>
        <w:right w:val="none" w:sz="0" w:space="0" w:color="auto"/>
      </w:divBdr>
      <w:divsChild>
        <w:div w:id="866794559">
          <w:marLeft w:val="0"/>
          <w:marRight w:val="0"/>
          <w:marTop w:val="0"/>
          <w:marBottom w:val="0"/>
          <w:divBdr>
            <w:top w:val="none" w:sz="0" w:space="0" w:color="auto"/>
            <w:left w:val="none" w:sz="0" w:space="0" w:color="auto"/>
            <w:bottom w:val="none" w:sz="0" w:space="0" w:color="auto"/>
            <w:right w:val="none" w:sz="0" w:space="0" w:color="auto"/>
          </w:divBdr>
          <w:divsChild>
            <w:div w:id="866794580">
              <w:marLeft w:val="0"/>
              <w:marRight w:val="0"/>
              <w:marTop w:val="0"/>
              <w:marBottom w:val="0"/>
              <w:divBdr>
                <w:top w:val="none" w:sz="0" w:space="0" w:color="auto"/>
                <w:left w:val="none" w:sz="0" w:space="0" w:color="auto"/>
                <w:bottom w:val="none" w:sz="0" w:space="0" w:color="auto"/>
                <w:right w:val="none" w:sz="0" w:space="0" w:color="auto"/>
              </w:divBdr>
              <w:divsChild>
                <w:div w:id="866794622">
                  <w:marLeft w:val="0"/>
                  <w:marRight w:val="0"/>
                  <w:marTop w:val="0"/>
                  <w:marBottom w:val="0"/>
                  <w:divBdr>
                    <w:top w:val="none" w:sz="0" w:space="0" w:color="auto"/>
                    <w:left w:val="none" w:sz="0" w:space="0" w:color="auto"/>
                    <w:bottom w:val="none" w:sz="0" w:space="0" w:color="auto"/>
                    <w:right w:val="none" w:sz="0" w:space="0" w:color="auto"/>
                  </w:divBdr>
                  <w:divsChild>
                    <w:div w:id="866794619">
                      <w:marLeft w:val="0"/>
                      <w:marRight w:val="0"/>
                      <w:marTop w:val="0"/>
                      <w:marBottom w:val="0"/>
                      <w:divBdr>
                        <w:top w:val="none" w:sz="0" w:space="0" w:color="auto"/>
                        <w:left w:val="none" w:sz="0" w:space="0" w:color="auto"/>
                        <w:bottom w:val="none" w:sz="0" w:space="0" w:color="auto"/>
                        <w:right w:val="none" w:sz="0" w:space="0" w:color="auto"/>
                      </w:divBdr>
                      <w:divsChild>
                        <w:div w:id="866794564">
                          <w:marLeft w:val="0"/>
                          <w:marRight w:val="0"/>
                          <w:marTop w:val="0"/>
                          <w:marBottom w:val="0"/>
                          <w:divBdr>
                            <w:top w:val="none" w:sz="0" w:space="0" w:color="auto"/>
                            <w:left w:val="none" w:sz="0" w:space="0" w:color="auto"/>
                            <w:bottom w:val="none" w:sz="0" w:space="0" w:color="auto"/>
                            <w:right w:val="none" w:sz="0" w:space="0" w:color="auto"/>
                          </w:divBdr>
                          <w:divsChild>
                            <w:div w:id="866794575">
                              <w:marLeft w:val="0"/>
                              <w:marRight w:val="0"/>
                              <w:marTop w:val="0"/>
                              <w:marBottom w:val="0"/>
                              <w:divBdr>
                                <w:top w:val="none" w:sz="0" w:space="0" w:color="auto"/>
                                <w:left w:val="none" w:sz="0" w:space="0" w:color="auto"/>
                                <w:bottom w:val="none" w:sz="0" w:space="0" w:color="auto"/>
                                <w:right w:val="none" w:sz="0" w:space="0" w:color="auto"/>
                              </w:divBdr>
                              <w:divsChild>
                                <w:div w:id="866794581">
                                  <w:marLeft w:val="0"/>
                                  <w:marRight w:val="0"/>
                                  <w:marTop w:val="0"/>
                                  <w:marBottom w:val="0"/>
                                  <w:divBdr>
                                    <w:top w:val="none" w:sz="0" w:space="0" w:color="auto"/>
                                    <w:left w:val="none" w:sz="0" w:space="0" w:color="auto"/>
                                    <w:bottom w:val="none" w:sz="0" w:space="0" w:color="auto"/>
                                    <w:right w:val="none" w:sz="0" w:space="0" w:color="auto"/>
                                  </w:divBdr>
                                  <w:divsChild>
                                    <w:div w:id="866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94590">
      <w:marLeft w:val="0"/>
      <w:marRight w:val="0"/>
      <w:marTop w:val="0"/>
      <w:marBottom w:val="0"/>
      <w:divBdr>
        <w:top w:val="none" w:sz="0" w:space="0" w:color="auto"/>
        <w:left w:val="none" w:sz="0" w:space="0" w:color="auto"/>
        <w:bottom w:val="none" w:sz="0" w:space="0" w:color="auto"/>
        <w:right w:val="none" w:sz="0" w:space="0" w:color="auto"/>
      </w:divBdr>
    </w:div>
    <w:div w:id="866794592">
      <w:marLeft w:val="0"/>
      <w:marRight w:val="0"/>
      <w:marTop w:val="0"/>
      <w:marBottom w:val="0"/>
      <w:divBdr>
        <w:top w:val="none" w:sz="0" w:space="0" w:color="auto"/>
        <w:left w:val="none" w:sz="0" w:space="0" w:color="auto"/>
        <w:bottom w:val="none" w:sz="0" w:space="0" w:color="auto"/>
        <w:right w:val="none" w:sz="0" w:space="0" w:color="auto"/>
      </w:divBdr>
      <w:divsChild>
        <w:div w:id="866794621">
          <w:marLeft w:val="0"/>
          <w:marRight w:val="0"/>
          <w:marTop w:val="0"/>
          <w:marBottom w:val="0"/>
          <w:divBdr>
            <w:top w:val="none" w:sz="0" w:space="0" w:color="auto"/>
            <w:left w:val="none" w:sz="0" w:space="0" w:color="auto"/>
            <w:bottom w:val="none" w:sz="0" w:space="0" w:color="auto"/>
            <w:right w:val="none" w:sz="0" w:space="0" w:color="auto"/>
          </w:divBdr>
          <w:divsChild>
            <w:div w:id="866794569">
              <w:marLeft w:val="0"/>
              <w:marRight w:val="0"/>
              <w:marTop w:val="0"/>
              <w:marBottom w:val="0"/>
              <w:divBdr>
                <w:top w:val="none" w:sz="0" w:space="0" w:color="auto"/>
                <w:left w:val="none" w:sz="0" w:space="0" w:color="auto"/>
                <w:bottom w:val="none" w:sz="0" w:space="0" w:color="auto"/>
                <w:right w:val="none" w:sz="0" w:space="0" w:color="auto"/>
              </w:divBdr>
              <w:divsChild>
                <w:div w:id="866794687">
                  <w:marLeft w:val="0"/>
                  <w:marRight w:val="0"/>
                  <w:marTop w:val="0"/>
                  <w:marBottom w:val="0"/>
                  <w:divBdr>
                    <w:top w:val="none" w:sz="0" w:space="0" w:color="auto"/>
                    <w:left w:val="none" w:sz="0" w:space="0" w:color="auto"/>
                    <w:bottom w:val="none" w:sz="0" w:space="0" w:color="auto"/>
                    <w:right w:val="none" w:sz="0" w:space="0" w:color="auto"/>
                  </w:divBdr>
                  <w:divsChild>
                    <w:div w:id="866794608">
                      <w:marLeft w:val="0"/>
                      <w:marRight w:val="0"/>
                      <w:marTop w:val="0"/>
                      <w:marBottom w:val="0"/>
                      <w:divBdr>
                        <w:top w:val="none" w:sz="0" w:space="0" w:color="auto"/>
                        <w:left w:val="none" w:sz="0" w:space="0" w:color="auto"/>
                        <w:bottom w:val="none" w:sz="0" w:space="0" w:color="auto"/>
                        <w:right w:val="none" w:sz="0" w:space="0" w:color="auto"/>
                      </w:divBdr>
                      <w:divsChild>
                        <w:div w:id="8667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794593">
      <w:marLeft w:val="0"/>
      <w:marRight w:val="0"/>
      <w:marTop w:val="0"/>
      <w:marBottom w:val="0"/>
      <w:divBdr>
        <w:top w:val="none" w:sz="0" w:space="0" w:color="auto"/>
        <w:left w:val="none" w:sz="0" w:space="0" w:color="auto"/>
        <w:bottom w:val="none" w:sz="0" w:space="0" w:color="auto"/>
        <w:right w:val="none" w:sz="0" w:space="0" w:color="auto"/>
      </w:divBdr>
    </w:div>
    <w:div w:id="866794594">
      <w:marLeft w:val="0"/>
      <w:marRight w:val="0"/>
      <w:marTop w:val="0"/>
      <w:marBottom w:val="0"/>
      <w:divBdr>
        <w:top w:val="none" w:sz="0" w:space="0" w:color="auto"/>
        <w:left w:val="none" w:sz="0" w:space="0" w:color="auto"/>
        <w:bottom w:val="none" w:sz="0" w:space="0" w:color="auto"/>
        <w:right w:val="none" w:sz="0" w:space="0" w:color="auto"/>
      </w:divBdr>
      <w:divsChild>
        <w:div w:id="866794583">
          <w:marLeft w:val="0"/>
          <w:marRight w:val="0"/>
          <w:marTop w:val="0"/>
          <w:marBottom w:val="0"/>
          <w:divBdr>
            <w:top w:val="none" w:sz="0" w:space="0" w:color="auto"/>
            <w:left w:val="none" w:sz="0" w:space="0" w:color="auto"/>
            <w:bottom w:val="none" w:sz="0" w:space="0" w:color="auto"/>
            <w:right w:val="none" w:sz="0" w:space="0" w:color="auto"/>
          </w:divBdr>
          <w:divsChild>
            <w:div w:id="866794568">
              <w:marLeft w:val="0"/>
              <w:marRight w:val="0"/>
              <w:marTop w:val="0"/>
              <w:marBottom w:val="0"/>
              <w:divBdr>
                <w:top w:val="none" w:sz="0" w:space="0" w:color="auto"/>
                <w:left w:val="none" w:sz="0" w:space="0" w:color="auto"/>
                <w:bottom w:val="none" w:sz="0" w:space="0" w:color="auto"/>
                <w:right w:val="none" w:sz="0" w:space="0" w:color="auto"/>
              </w:divBdr>
              <w:divsChild>
                <w:div w:id="866794598">
                  <w:marLeft w:val="94"/>
                  <w:marRight w:val="0"/>
                  <w:marTop w:val="0"/>
                  <w:marBottom w:val="0"/>
                  <w:divBdr>
                    <w:top w:val="none" w:sz="0" w:space="0" w:color="auto"/>
                    <w:left w:val="none" w:sz="0" w:space="0" w:color="auto"/>
                    <w:bottom w:val="none" w:sz="0" w:space="0" w:color="auto"/>
                    <w:right w:val="none" w:sz="0" w:space="0" w:color="auto"/>
                  </w:divBdr>
                  <w:divsChild>
                    <w:div w:id="8667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4601">
      <w:marLeft w:val="0"/>
      <w:marRight w:val="0"/>
      <w:marTop w:val="0"/>
      <w:marBottom w:val="0"/>
      <w:divBdr>
        <w:top w:val="none" w:sz="0" w:space="0" w:color="auto"/>
        <w:left w:val="none" w:sz="0" w:space="0" w:color="auto"/>
        <w:bottom w:val="none" w:sz="0" w:space="0" w:color="auto"/>
        <w:right w:val="none" w:sz="0" w:space="0" w:color="auto"/>
      </w:divBdr>
    </w:div>
    <w:div w:id="866794602">
      <w:marLeft w:val="0"/>
      <w:marRight w:val="0"/>
      <w:marTop w:val="0"/>
      <w:marBottom w:val="0"/>
      <w:divBdr>
        <w:top w:val="none" w:sz="0" w:space="0" w:color="auto"/>
        <w:left w:val="none" w:sz="0" w:space="0" w:color="auto"/>
        <w:bottom w:val="none" w:sz="0" w:space="0" w:color="auto"/>
        <w:right w:val="none" w:sz="0" w:space="0" w:color="auto"/>
      </w:divBdr>
    </w:div>
    <w:div w:id="866794604">
      <w:marLeft w:val="0"/>
      <w:marRight w:val="0"/>
      <w:marTop w:val="0"/>
      <w:marBottom w:val="0"/>
      <w:divBdr>
        <w:top w:val="none" w:sz="0" w:space="0" w:color="auto"/>
        <w:left w:val="none" w:sz="0" w:space="0" w:color="auto"/>
        <w:bottom w:val="none" w:sz="0" w:space="0" w:color="auto"/>
        <w:right w:val="none" w:sz="0" w:space="0" w:color="auto"/>
      </w:divBdr>
    </w:div>
    <w:div w:id="866794605">
      <w:marLeft w:val="0"/>
      <w:marRight w:val="0"/>
      <w:marTop w:val="0"/>
      <w:marBottom w:val="0"/>
      <w:divBdr>
        <w:top w:val="none" w:sz="0" w:space="0" w:color="auto"/>
        <w:left w:val="none" w:sz="0" w:space="0" w:color="auto"/>
        <w:bottom w:val="none" w:sz="0" w:space="0" w:color="auto"/>
        <w:right w:val="none" w:sz="0" w:space="0" w:color="auto"/>
      </w:divBdr>
      <w:divsChild>
        <w:div w:id="866794582">
          <w:marLeft w:val="0"/>
          <w:marRight w:val="0"/>
          <w:marTop w:val="0"/>
          <w:marBottom w:val="0"/>
          <w:divBdr>
            <w:top w:val="none" w:sz="0" w:space="0" w:color="auto"/>
            <w:left w:val="none" w:sz="0" w:space="0" w:color="auto"/>
            <w:bottom w:val="none" w:sz="0" w:space="0" w:color="auto"/>
            <w:right w:val="none" w:sz="0" w:space="0" w:color="auto"/>
          </w:divBdr>
          <w:divsChild>
            <w:div w:id="866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4606">
      <w:marLeft w:val="0"/>
      <w:marRight w:val="0"/>
      <w:marTop w:val="0"/>
      <w:marBottom w:val="0"/>
      <w:divBdr>
        <w:top w:val="none" w:sz="0" w:space="0" w:color="auto"/>
        <w:left w:val="none" w:sz="0" w:space="0" w:color="auto"/>
        <w:bottom w:val="none" w:sz="0" w:space="0" w:color="auto"/>
        <w:right w:val="none" w:sz="0" w:space="0" w:color="auto"/>
      </w:divBdr>
    </w:div>
    <w:div w:id="866794607">
      <w:marLeft w:val="0"/>
      <w:marRight w:val="0"/>
      <w:marTop w:val="0"/>
      <w:marBottom w:val="0"/>
      <w:divBdr>
        <w:top w:val="none" w:sz="0" w:space="0" w:color="auto"/>
        <w:left w:val="none" w:sz="0" w:space="0" w:color="auto"/>
        <w:bottom w:val="none" w:sz="0" w:space="0" w:color="auto"/>
        <w:right w:val="none" w:sz="0" w:space="0" w:color="auto"/>
      </w:divBdr>
      <w:divsChild>
        <w:div w:id="866794577">
          <w:marLeft w:val="0"/>
          <w:marRight w:val="0"/>
          <w:marTop w:val="0"/>
          <w:marBottom w:val="0"/>
          <w:divBdr>
            <w:top w:val="none" w:sz="0" w:space="0" w:color="auto"/>
            <w:left w:val="none" w:sz="0" w:space="0" w:color="auto"/>
            <w:bottom w:val="none" w:sz="0" w:space="0" w:color="auto"/>
            <w:right w:val="none" w:sz="0" w:space="0" w:color="auto"/>
          </w:divBdr>
          <w:divsChild>
            <w:div w:id="866794617">
              <w:marLeft w:val="187"/>
              <w:marRight w:val="187"/>
              <w:marTop w:val="187"/>
              <w:marBottom w:val="187"/>
              <w:divBdr>
                <w:top w:val="none" w:sz="0" w:space="0" w:color="auto"/>
                <w:left w:val="none" w:sz="0" w:space="0" w:color="auto"/>
                <w:bottom w:val="none" w:sz="0" w:space="0" w:color="auto"/>
                <w:right w:val="none" w:sz="0" w:space="0" w:color="auto"/>
              </w:divBdr>
            </w:div>
          </w:divsChild>
        </w:div>
      </w:divsChild>
    </w:div>
    <w:div w:id="866794609">
      <w:marLeft w:val="0"/>
      <w:marRight w:val="0"/>
      <w:marTop w:val="0"/>
      <w:marBottom w:val="0"/>
      <w:divBdr>
        <w:top w:val="none" w:sz="0" w:space="0" w:color="auto"/>
        <w:left w:val="none" w:sz="0" w:space="0" w:color="auto"/>
        <w:bottom w:val="none" w:sz="0" w:space="0" w:color="auto"/>
        <w:right w:val="none" w:sz="0" w:space="0" w:color="auto"/>
      </w:divBdr>
    </w:div>
    <w:div w:id="866794610">
      <w:marLeft w:val="0"/>
      <w:marRight w:val="0"/>
      <w:marTop w:val="0"/>
      <w:marBottom w:val="0"/>
      <w:divBdr>
        <w:top w:val="none" w:sz="0" w:space="0" w:color="auto"/>
        <w:left w:val="none" w:sz="0" w:space="0" w:color="auto"/>
        <w:bottom w:val="none" w:sz="0" w:space="0" w:color="auto"/>
        <w:right w:val="none" w:sz="0" w:space="0" w:color="auto"/>
      </w:divBdr>
    </w:div>
    <w:div w:id="866794611">
      <w:marLeft w:val="0"/>
      <w:marRight w:val="0"/>
      <w:marTop w:val="0"/>
      <w:marBottom w:val="0"/>
      <w:divBdr>
        <w:top w:val="none" w:sz="0" w:space="0" w:color="auto"/>
        <w:left w:val="none" w:sz="0" w:space="0" w:color="auto"/>
        <w:bottom w:val="none" w:sz="0" w:space="0" w:color="auto"/>
        <w:right w:val="none" w:sz="0" w:space="0" w:color="auto"/>
      </w:divBdr>
    </w:div>
    <w:div w:id="866794612">
      <w:marLeft w:val="0"/>
      <w:marRight w:val="0"/>
      <w:marTop w:val="0"/>
      <w:marBottom w:val="0"/>
      <w:divBdr>
        <w:top w:val="none" w:sz="0" w:space="0" w:color="auto"/>
        <w:left w:val="none" w:sz="0" w:space="0" w:color="auto"/>
        <w:bottom w:val="none" w:sz="0" w:space="0" w:color="auto"/>
        <w:right w:val="none" w:sz="0" w:space="0" w:color="auto"/>
      </w:divBdr>
    </w:div>
    <w:div w:id="866794613">
      <w:marLeft w:val="0"/>
      <w:marRight w:val="0"/>
      <w:marTop w:val="0"/>
      <w:marBottom w:val="0"/>
      <w:divBdr>
        <w:top w:val="none" w:sz="0" w:space="0" w:color="auto"/>
        <w:left w:val="none" w:sz="0" w:space="0" w:color="auto"/>
        <w:bottom w:val="none" w:sz="0" w:space="0" w:color="auto"/>
        <w:right w:val="none" w:sz="0" w:space="0" w:color="auto"/>
      </w:divBdr>
      <w:divsChild>
        <w:div w:id="866794579">
          <w:marLeft w:val="0"/>
          <w:marRight w:val="0"/>
          <w:marTop w:val="0"/>
          <w:marBottom w:val="0"/>
          <w:divBdr>
            <w:top w:val="none" w:sz="0" w:space="0" w:color="auto"/>
            <w:left w:val="none" w:sz="0" w:space="0" w:color="auto"/>
            <w:bottom w:val="none" w:sz="0" w:space="0" w:color="auto"/>
            <w:right w:val="none" w:sz="0" w:space="0" w:color="auto"/>
          </w:divBdr>
          <w:divsChild>
            <w:div w:id="866794632">
              <w:marLeft w:val="0"/>
              <w:marRight w:val="0"/>
              <w:marTop w:val="0"/>
              <w:marBottom w:val="0"/>
              <w:divBdr>
                <w:top w:val="none" w:sz="0" w:space="0" w:color="auto"/>
                <w:left w:val="none" w:sz="0" w:space="0" w:color="auto"/>
                <w:bottom w:val="none" w:sz="0" w:space="0" w:color="auto"/>
                <w:right w:val="none" w:sz="0" w:space="0" w:color="auto"/>
              </w:divBdr>
              <w:divsChild>
                <w:div w:id="866794693">
                  <w:marLeft w:val="0"/>
                  <w:marRight w:val="0"/>
                  <w:marTop w:val="0"/>
                  <w:marBottom w:val="0"/>
                  <w:divBdr>
                    <w:top w:val="none" w:sz="0" w:space="0" w:color="auto"/>
                    <w:left w:val="none" w:sz="0" w:space="0" w:color="auto"/>
                    <w:bottom w:val="none" w:sz="0" w:space="0" w:color="auto"/>
                    <w:right w:val="none" w:sz="0" w:space="0" w:color="auto"/>
                  </w:divBdr>
                  <w:divsChild>
                    <w:div w:id="866794547">
                      <w:marLeft w:val="0"/>
                      <w:marRight w:val="0"/>
                      <w:marTop w:val="0"/>
                      <w:marBottom w:val="0"/>
                      <w:divBdr>
                        <w:top w:val="none" w:sz="0" w:space="0" w:color="auto"/>
                        <w:left w:val="none" w:sz="0" w:space="0" w:color="auto"/>
                        <w:bottom w:val="none" w:sz="0" w:space="0" w:color="auto"/>
                        <w:right w:val="none" w:sz="0" w:space="0" w:color="auto"/>
                      </w:divBdr>
                      <w:divsChild>
                        <w:div w:id="866794553">
                          <w:marLeft w:val="0"/>
                          <w:marRight w:val="0"/>
                          <w:marTop w:val="0"/>
                          <w:marBottom w:val="0"/>
                          <w:divBdr>
                            <w:top w:val="none" w:sz="0" w:space="0" w:color="auto"/>
                            <w:left w:val="none" w:sz="0" w:space="0" w:color="auto"/>
                            <w:bottom w:val="none" w:sz="0" w:space="0" w:color="auto"/>
                            <w:right w:val="none" w:sz="0" w:space="0" w:color="auto"/>
                          </w:divBdr>
                          <w:divsChild>
                            <w:div w:id="866794638">
                              <w:marLeft w:val="0"/>
                              <w:marRight w:val="0"/>
                              <w:marTop w:val="0"/>
                              <w:marBottom w:val="0"/>
                              <w:divBdr>
                                <w:top w:val="none" w:sz="0" w:space="0" w:color="auto"/>
                                <w:left w:val="none" w:sz="0" w:space="0" w:color="auto"/>
                                <w:bottom w:val="none" w:sz="0" w:space="0" w:color="auto"/>
                                <w:right w:val="none" w:sz="0" w:space="0" w:color="auto"/>
                              </w:divBdr>
                              <w:divsChild>
                                <w:div w:id="866794649">
                                  <w:marLeft w:val="0"/>
                                  <w:marRight w:val="0"/>
                                  <w:marTop w:val="0"/>
                                  <w:marBottom w:val="0"/>
                                  <w:divBdr>
                                    <w:top w:val="none" w:sz="0" w:space="0" w:color="auto"/>
                                    <w:left w:val="none" w:sz="0" w:space="0" w:color="auto"/>
                                    <w:bottom w:val="none" w:sz="0" w:space="0" w:color="auto"/>
                                    <w:right w:val="none" w:sz="0" w:space="0" w:color="auto"/>
                                  </w:divBdr>
                                  <w:divsChild>
                                    <w:div w:id="8667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94623">
      <w:marLeft w:val="0"/>
      <w:marRight w:val="0"/>
      <w:marTop w:val="0"/>
      <w:marBottom w:val="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sChild>
        <w:div w:id="866794629">
          <w:marLeft w:val="0"/>
          <w:marRight w:val="0"/>
          <w:marTop w:val="0"/>
          <w:marBottom w:val="0"/>
          <w:divBdr>
            <w:top w:val="none" w:sz="0" w:space="0" w:color="auto"/>
            <w:left w:val="none" w:sz="0" w:space="0" w:color="auto"/>
            <w:bottom w:val="none" w:sz="0" w:space="0" w:color="auto"/>
            <w:right w:val="none" w:sz="0" w:space="0" w:color="auto"/>
          </w:divBdr>
          <w:divsChild>
            <w:div w:id="8667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4631">
      <w:marLeft w:val="0"/>
      <w:marRight w:val="0"/>
      <w:marTop w:val="0"/>
      <w:marBottom w:val="0"/>
      <w:divBdr>
        <w:top w:val="none" w:sz="0" w:space="0" w:color="auto"/>
        <w:left w:val="none" w:sz="0" w:space="0" w:color="auto"/>
        <w:bottom w:val="none" w:sz="0" w:space="0" w:color="auto"/>
        <w:right w:val="none" w:sz="0" w:space="0" w:color="auto"/>
      </w:divBdr>
      <w:divsChild>
        <w:div w:id="866794662">
          <w:marLeft w:val="0"/>
          <w:marRight w:val="0"/>
          <w:marTop w:val="0"/>
          <w:marBottom w:val="0"/>
          <w:divBdr>
            <w:top w:val="none" w:sz="0" w:space="0" w:color="auto"/>
            <w:left w:val="none" w:sz="0" w:space="0" w:color="auto"/>
            <w:bottom w:val="none" w:sz="0" w:space="0" w:color="auto"/>
            <w:right w:val="none" w:sz="0" w:space="0" w:color="auto"/>
          </w:divBdr>
          <w:divsChild>
            <w:div w:id="866794652">
              <w:marLeft w:val="0"/>
              <w:marRight w:val="0"/>
              <w:marTop w:val="0"/>
              <w:marBottom w:val="0"/>
              <w:divBdr>
                <w:top w:val="none" w:sz="0" w:space="0" w:color="auto"/>
                <w:left w:val="none" w:sz="0" w:space="0" w:color="auto"/>
                <w:bottom w:val="none" w:sz="0" w:space="0" w:color="auto"/>
                <w:right w:val="none" w:sz="0" w:space="0" w:color="auto"/>
              </w:divBdr>
              <w:divsChild>
                <w:div w:id="866794648">
                  <w:marLeft w:val="0"/>
                  <w:marRight w:val="0"/>
                  <w:marTop w:val="0"/>
                  <w:marBottom w:val="0"/>
                  <w:divBdr>
                    <w:top w:val="none" w:sz="0" w:space="0" w:color="auto"/>
                    <w:left w:val="none" w:sz="0" w:space="0" w:color="auto"/>
                    <w:bottom w:val="none" w:sz="0" w:space="0" w:color="auto"/>
                    <w:right w:val="none" w:sz="0" w:space="0" w:color="auto"/>
                  </w:divBdr>
                  <w:divsChild>
                    <w:div w:id="866794572">
                      <w:marLeft w:val="0"/>
                      <w:marRight w:val="0"/>
                      <w:marTop w:val="0"/>
                      <w:marBottom w:val="0"/>
                      <w:divBdr>
                        <w:top w:val="none" w:sz="0" w:space="0" w:color="auto"/>
                        <w:left w:val="none" w:sz="0" w:space="0" w:color="auto"/>
                        <w:bottom w:val="none" w:sz="0" w:space="0" w:color="auto"/>
                        <w:right w:val="none" w:sz="0" w:space="0" w:color="auto"/>
                      </w:divBdr>
                      <w:divsChild>
                        <w:div w:id="866794618">
                          <w:marLeft w:val="0"/>
                          <w:marRight w:val="0"/>
                          <w:marTop w:val="0"/>
                          <w:marBottom w:val="0"/>
                          <w:divBdr>
                            <w:top w:val="none" w:sz="0" w:space="0" w:color="auto"/>
                            <w:left w:val="none" w:sz="0" w:space="0" w:color="auto"/>
                            <w:bottom w:val="none" w:sz="0" w:space="0" w:color="auto"/>
                            <w:right w:val="none" w:sz="0" w:space="0" w:color="auto"/>
                          </w:divBdr>
                          <w:divsChild>
                            <w:div w:id="866794633">
                              <w:marLeft w:val="0"/>
                              <w:marRight w:val="0"/>
                              <w:marTop w:val="0"/>
                              <w:marBottom w:val="0"/>
                              <w:divBdr>
                                <w:top w:val="none" w:sz="0" w:space="0" w:color="auto"/>
                                <w:left w:val="none" w:sz="0" w:space="0" w:color="auto"/>
                                <w:bottom w:val="none" w:sz="0" w:space="0" w:color="auto"/>
                                <w:right w:val="none" w:sz="0" w:space="0" w:color="auto"/>
                              </w:divBdr>
                              <w:divsChild>
                                <w:div w:id="866794614">
                                  <w:marLeft w:val="0"/>
                                  <w:marRight w:val="0"/>
                                  <w:marTop w:val="0"/>
                                  <w:marBottom w:val="0"/>
                                  <w:divBdr>
                                    <w:top w:val="none" w:sz="0" w:space="0" w:color="auto"/>
                                    <w:left w:val="none" w:sz="0" w:space="0" w:color="auto"/>
                                    <w:bottom w:val="none" w:sz="0" w:space="0" w:color="auto"/>
                                    <w:right w:val="none" w:sz="0" w:space="0" w:color="auto"/>
                                  </w:divBdr>
                                  <w:divsChild>
                                    <w:div w:id="8667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94634">
      <w:marLeft w:val="0"/>
      <w:marRight w:val="0"/>
      <w:marTop w:val="0"/>
      <w:marBottom w:val="0"/>
      <w:divBdr>
        <w:top w:val="none" w:sz="0" w:space="0" w:color="auto"/>
        <w:left w:val="none" w:sz="0" w:space="0" w:color="auto"/>
        <w:bottom w:val="none" w:sz="0" w:space="0" w:color="auto"/>
        <w:right w:val="none" w:sz="0" w:space="0" w:color="auto"/>
      </w:divBdr>
    </w:div>
    <w:div w:id="866794637">
      <w:marLeft w:val="0"/>
      <w:marRight w:val="0"/>
      <w:marTop w:val="0"/>
      <w:marBottom w:val="0"/>
      <w:divBdr>
        <w:top w:val="none" w:sz="0" w:space="0" w:color="auto"/>
        <w:left w:val="none" w:sz="0" w:space="0" w:color="auto"/>
        <w:bottom w:val="none" w:sz="0" w:space="0" w:color="auto"/>
        <w:right w:val="none" w:sz="0" w:space="0" w:color="auto"/>
      </w:divBdr>
    </w:div>
    <w:div w:id="866794640">
      <w:marLeft w:val="0"/>
      <w:marRight w:val="0"/>
      <w:marTop w:val="0"/>
      <w:marBottom w:val="0"/>
      <w:divBdr>
        <w:top w:val="none" w:sz="0" w:space="0" w:color="auto"/>
        <w:left w:val="none" w:sz="0" w:space="0" w:color="auto"/>
        <w:bottom w:val="none" w:sz="0" w:space="0" w:color="auto"/>
        <w:right w:val="none" w:sz="0" w:space="0" w:color="auto"/>
      </w:divBdr>
      <w:divsChild>
        <w:div w:id="866794668">
          <w:marLeft w:val="0"/>
          <w:marRight w:val="0"/>
          <w:marTop w:val="0"/>
          <w:marBottom w:val="0"/>
          <w:divBdr>
            <w:top w:val="none" w:sz="0" w:space="0" w:color="auto"/>
            <w:left w:val="none" w:sz="0" w:space="0" w:color="auto"/>
            <w:bottom w:val="none" w:sz="0" w:space="0" w:color="auto"/>
            <w:right w:val="none" w:sz="0" w:space="0" w:color="auto"/>
          </w:divBdr>
          <w:divsChild>
            <w:div w:id="866794625">
              <w:marLeft w:val="0"/>
              <w:marRight w:val="0"/>
              <w:marTop w:val="0"/>
              <w:marBottom w:val="0"/>
              <w:divBdr>
                <w:top w:val="none" w:sz="0" w:space="0" w:color="auto"/>
                <w:left w:val="none" w:sz="0" w:space="0" w:color="auto"/>
                <w:bottom w:val="none" w:sz="0" w:space="0" w:color="auto"/>
                <w:right w:val="none" w:sz="0" w:space="0" w:color="auto"/>
              </w:divBdr>
              <w:divsChild>
                <w:div w:id="866794679">
                  <w:marLeft w:val="0"/>
                  <w:marRight w:val="0"/>
                  <w:marTop w:val="0"/>
                  <w:marBottom w:val="0"/>
                  <w:divBdr>
                    <w:top w:val="none" w:sz="0" w:space="0" w:color="auto"/>
                    <w:left w:val="none" w:sz="0" w:space="0" w:color="auto"/>
                    <w:bottom w:val="none" w:sz="0" w:space="0" w:color="auto"/>
                    <w:right w:val="none" w:sz="0" w:space="0" w:color="auto"/>
                  </w:divBdr>
                  <w:divsChild>
                    <w:div w:id="866794655">
                      <w:marLeft w:val="0"/>
                      <w:marRight w:val="0"/>
                      <w:marTop w:val="0"/>
                      <w:marBottom w:val="0"/>
                      <w:divBdr>
                        <w:top w:val="none" w:sz="0" w:space="0" w:color="auto"/>
                        <w:left w:val="none" w:sz="0" w:space="0" w:color="auto"/>
                        <w:bottom w:val="none" w:sz="0" w:space="0" w:color="auto"/>
                        <w:right w:val="none" w:sz="0" w:space="0" w:color="auto"/>
                      </w:divBdr>
                      <w:divsChild>
                        <w:div w:id="866794690">
                          <w:marLeft w:val="0"/>
                          <w:marRight w:val="0"/>
                          <w:marTop w:val="0"/>
                          <w:marBottom w:val="0"/>
                          <w:divBdr>
                            <w:top w:val="none" w:sz="0" w:space="0" w:color="auto"/>
                            <w:left w:val="none" w:sz="0" w:space="0" w:color="auto"/>
                            <w:bottom w:val="none" w:sz="0" w:space="0" w:color="auto"/>
                            <w:right w:val="none" w:sz="0" w:space="0" w:color="auto"/>
                          </w:divBdr>
                          <w:divsChild>
                            <w:div w:id="866794636">
                              <w:marLeft w:val="0"/>
                              <w:marRight w:val="0"/>
                              <w:marTop w:val="0"/>
                              <w:marBottom w:val="0"/>
                              <w:divBdr>
                                <w:top w:val="none" w:sz="0" w:space="0" w:color="auto"/>
                                <w:left w:val="none" w:sz="0" w:space="0" w:color="auto"/>
                                <w:bottom w:val="none" w:sz="0" w:space="0" w:color="auto"/>
                                <w:right w:val="none" w:sz="0" w:space="0" w:color="auto"/>
                              </w:divBdr>
                              <w:divsChild>
                                <w:div w:id="866794567">
                                  <w:marLeft w:val="0"/>
                                  <w:marRight w:val="0"/>
                                  <w:marTop w:val="0"/>
                                  <w:marBottom w:val="0"/>
                                  <w:divBdr>
                                    <w:top w:val="none" w:sz="0" w:space="0" w:color="auto"/>
                                    <w:left w:val="none" w:sz="0" w:space="0" w:color="auto"/>
                                    <w:bottom w:val="none" w:sz="0" w:space="0" w:color="auto"/>
                                    <w:right w:val="none" w:sz="0" w:space="0" w:color="auto"/>
                                  </w:divBdr>
                                  <w:divsChild>
                                    <w:div w:id="8667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94643">
      <w:marLeft w:val="0"/>
      <w:marRight w:val="0"/>
      <w:marTop w:val="0"/>
      <w:marBottom w:val="0"/>
      <w:divBdr>
        <w:top w:val="none" w:sz="0" w:space="0" w:color="auto"/>
        <w:left w:val="none" w:sz="0" w:space="0" w:color="auto"/>
        <w:bottom w:val="none" w:sz="0" w:space="0" w:color="auto"/>
        <w:right w:val="none" w:sz="0" w:space="0" w:color="auto"/>
      </w:divBdr>
    </w:div>
    <w:div w:id="866794646">
      <w:marLeft w:val="0"/>
      <w:marRight w:val="0"/>
      <w:marTop w:val="0"/>
      <w:marBottom w:val="0"/>
      <w:divBdr>
        <w:top w:val="none" w:sz="0" w:space="0" w:color="auto"/>
        <w:left w:val="none" w:sz="0" w:space="0" w:color="auto"/>
        <w:bottom w:val="none" w:sz="0" w:space="0" w:color="auto"/>
        <w:right w:val="none" w:sz="0" w:space="0" w:color="auto"/>
      </w:divBdr>
      <w:divsChild>
        <w:div w:id="866794560">
          <w:marLeft w:val="0"/>
          <w:marRight w:val="0"/>
          <w:marTop w:val="0"/>
          <w:marBottom w:val="0"/>
          <w:divBdr>
            <w:top w:val="none" w:sz="0" w:space="0" w:color="auto"/>
            <w:left w:val="none" w:sz="0" w:space="0" w:color="auto"/>
            <w:bottom w:val="none" w:sz="0" w:space="0" w:color="auto"/>
            <w:right w:val="none" w:sz="0" w:space="0" w:color="auto"/>
          </w:divBdr>
          <w:divsChild>
            <w:div w:id="866794661">
              <w:marLeft w:val="0"/>
              <w:marRight w:val="0"/>
              <w:marTop w:val="0"/>
              <w:marBottom w:val="0"/>
              <w:divBdr>
                <w:top w:val="none" w:sz="0" w:space="0" w:color="auto"/>
                <w:left w:val="none" w:sz="0" w:space="0" w:color="auto"/>
                <w:bottom w:val="none" w:sz="0" w:space="0" w:color="auto"/>
                <w:right w:val="none" w:sz="0" w:space="0" w:color="auto"/>
              </w:divBdr>
              <w:divsChild>
                <w:div w:id="866794556">
                  <w:marLeft w:val="0"/>
                  <w:marRight w:val="0"/>
                  <w:marTop w:val="0"/>
                  <w:marBottom w:val="0"/>
                  <w:divBdr>
                    <w:top w:val="none" w:sz="0" w:space="0" w:color="auto"/>
                    <w:left w:val="none" w:sz="0" w:space="0" w:color="auto"/>
                    <w:bottom w:val="none" w:sz="0" w:space="0" w:color="auto"/>
                    <w:right w:val="none" w:sz="0" w:space="0" w:color="auto"/>
                  </w:divBdr>
                  <w:divsChild>
                    <w:div w:id="866794635">
                      <w:marLeft w:val="0"/>
                      <w:marRight w:val="0"/>
                      <w:marTop w:val="0"/>
                      <w:marBottom w:val="0"/>
                      <w:divBdr>
                        <w:top w:val="none" w:sz="0" w:space="0" w:color="auto"/>
                        <w:left w:val="none" w:sz="0" w:space="0" w:color="auto"/>
                        <w:bottom w:val="none" w:sz="0" w:space="0" w:color="auto"/>
                        <w:right w:val="none" w:sz="0" w:space="0" w:color="auto"/>
                      </w:divBdr>
                      <w:divsChild>
                        <w:div w:id="866794645">
                          <w:marLeft w:val="0"/>
                          <w:marRight w:val="0"/>
                          <w:marTop w:val="0"/>
                          <w:marBottom w:val="0"/>
                          <w:divBdr>
                            <w:top w:val="none" w:sz="0" w:space="0" w:color="auto"/>
                            <w:left w:val="none" w:sz="0" w:space="0" w:color="auto"/>
                            <w:bottom w:val="none" w:sz="0" w:space="0" w:color="auto"/>
                            <w:right w:val="none" w:sz="0" w:space="0" w:color="auto"/>
                          </w:divBdr>
                          <w:divsChild>
                            <w:div w:id="866794603">
                              <w:marLeft w:val="0"/>
                              <w:marRight w:val="0"/>
                              <w:marTop w:val="0"/>
                              <w:marBottom w:val="0"/>
                              <w:divBdr>
                                <w:top w:val="none" w:sz="0" w:space="0" w:color="auto"/>
                                <w:left w:val="none" w:sz="0" w:space="0" w:color="auto"/>
                                <w:bottom w:val="none" w:sz="0" w:space="0" w:color="auto"/>
                                <w:right w:val="none" w:sz="0" w:space="0" w:color="auto"/>
                              </w:divBdr>
                              <w:divsChild>
                                <w:div w:id="866794653">
                                  <w:marLeft w:val="0"/>
                                  <w:marRight w:val="0"/>
                                  <w:marTop w:val="0"/>
                                  <w:marBottom w:val="0"/>
                                  <w:divBdr>
                                    <w:top w:val="none" w:sz="0" w:space="0" w:color="auto"/>
                                    <w:left w:val="none" w:sz="0" w:space="0" w:color="auto"/>
                                    <w:bottom w:val="none" w:sz="0" w:space="0" w:color="auto"/>
                                    <w:right w:val="none" w:sz="0" w:space="0" w:color="auto"/>
                                  </w:divBdr>
                                  <w:divsChild>
                                    <w:div w:id="8667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94647">
      <w:marLeft w:val="0"/>
      <w:marRight w:val="0"/>
      <w:marTop w:val="0"/>
      <w:marBottom w:val="0"/>
      <w:divBdr>
        <w:top w:val="none" w:sz="0" w:space="0" w:color="auto"/>
        <w:left w:val="none" w:sz="0" w:space="0" w:color="auto"/>
        <w:bottom w:val="none" w:sz="0" w:space="0" w:color="auto"/>
        <w:right w:val="none" w:sz="0" w:space="0" w:color="auto"/>
      </w:divBdr>
    </w:div>
    <w:div w:id="866794651">
      <w:marLeft w:val="0"/>
      <w:marRight w:val="0"/>
      <w:marTop w:val="0"/>
      <w:marBottom w:val="0"/>
      <w:divBdr>
        <w:top w:val="none" w:sz="0" w:space="0" w:color="auto"/>
        <w:left w:val="none" w:sz="0" w:space="0" w:color="auto"/>
        <w:bottom w:val="none" w:sz="0" w:space="0" w:color="auto"/>
        <w:right w:val="none" w:sz="0" w:space="0" w:color="auto"/>
      </w:divBdr>
    </w:div>
    <w:div w:id="866794656">
      <w:marLeft w:val="0"/>
      <w:marRight w:val="0"/>
      <w:marTop w:val="0"/>
      <w:marBottom w:val="0"/>
      <w:divBdr>
        <w:top w:val="none" w:sz="0" w:space="0" w:color="auto"/>
        <w:left w:val="none" w:sz="0" w:space="0" w:color="auto"/>
        <w:bottom w:val="none" w:sz="0" w:space="0" w:color="auto"/>
        <w:right w:val="none" w:sz="0" w:space="0" w:color="auto"/>
      </w:divBdr>
    </w:div>
    <w:div w:id="866794658">
      <w:marLeft w:val="0"/>
      <w:marRight w:val="0"/>
      <w:marTop w:val="0"/>
      <w:marBottom w:val="0"/>
      <w:divBdr>
        <w:top w:val="none" w:sz="0" w:space="0" w:color="auto"/>
        <w:left w:val="none" w:sz="0" w:space="0" w:color="auto"/>
        <w:bottom w:val="none" w:sz="0" w:space="0" w:color="auto"/>
        <w:right w:val="none" w:sz="0" w:space="0" w:color="auto"/>
      </w:divBdr>
    </w:div>
    <w:div w:id="866794659">
      <w:marLeft w:val="0"/>
      <w:marRight w:val="0"/>
      <w:marTop w:val="0"/>
      <w:marBottom w:val="0"/>
      <w:divBdr>
        <w:top w:val="none" w:sz="0" w:space="0" w:color="auto"/>
        <w:left w:val="none" w:sz="0" w:space="0" w:color="auto"/>
        <w:bottom w:val="none" w:sz="0" w:space="0" w:color="auto"/>
        <w:right w:val="none" w:sz="0" w:space="0" w:color="auto"/>
      </w:divBdr>
    </w:div>
    <w:div w:id="866794660">
      <w:marLeft w:val="0"/>
      <w:marRight w:val="0"/>
      <w:marTop w:val="0"/>
      <w:marBottom w:val="0"/>
      <w:divBdr>
        <w:top w:val="none" w:sz="0" w:space="0" w:color="auto"/>
        <w:left w:val="none" w:sz="0" w:space="0" w:color="auto"/>
        <w:bottom w:val="none" w:sz="0" w:space="0" w:color="auto"/>
        <w:right w:val="none" w:sz="0" w:space="0" w:color="auto"/>
      </w:divBdr>
    </w:div>
    <w:div w:id="866794663">
      <w:marLeft w:val="0"/>
      <w:marRight w:val="0"/>
      <w:marTop w:val="0"/>
      <w:marBottom w:val="0"/>
      <w:divBdr>
        <w:top w:val="none" w:sz="0" w:space="0" w:color="auto"/>
        <w:left w:val="none" w:sz="0" w:space="0" w:color="auto"/>
        <w:bottom w:val="none" w:sz="0" w:space="0" w:color="auto"/>
        <w:right w:val="none" w:sz="0" w:space="0" w:color="auto"/>
      </w:divBdr>
    </w:div>
    <w:div w:id="866794665">
      <w:marLeft w:val="0"/>
      <w:marRight w:val="0"/>
      <w:marTop w:val="0"/>
      <w:marBottom w:val="0"/>
      <w:divBdr>
        <w:top w:val="none" w:sz="0" w:space="0" w:color="auto"/>
        <w:left w:val="none" w:sz="0" w:space="0" w:color="auto"/>
        <w:bottom w:val="none" w:sz="0" w:space="0" w:color="auto"/>
        <w:right w:val="none" w:sz="0" w:space="0" w:color="auto"/>
      </w:divBdr>
    </w:div>
    <w:div w:id="866794669">
      <w:marLeft w:val="0"/>
      <w:marRight w:val="0"/>
      <w:marTop w:val="0"/>
      <w:marBottom w:val="91"/>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none" w:sz="0" w:space="0" w:color="auto"/>
            <w:left w:val="none" w:sz="0" w:space="0" w:color="auto"/>
            <w:bottom w:val="none" w:sz="0" w:space="0" w:color="auto"/>
            <w:right w:val="none" w:sz="0" w:space="0" w:color="auto"/>
          </w:divBdr>
        </w:div>
      </w:divsChild>
    </w:div>
    <w:div w:id="866794675">
      <w:marLeft w:val="0"/>
      <w:marRight w:val="0"/>
      <w:marTop w:val="0"/>
      <w:marBottom w:val="0"/>
      <w:divBdr>
        <w:top w:val="none" w:sz="0" w:space="0" w:color="auto"/>
        <w:left w:val="none" w:sz="0" w:space="0" w:color="auto"/>
        <w:bottom w:val="none" w:sz="0" w:space="0" w:color="auto"/>
        <w:right w:val="none" w:sz="0" w:space="0" w:color="auto"/>
      </w:divBdr>
    </w:div>
    <w:div w:id="866794676">
      <w:marLeft w:val="0"/>
      <w:marRight w:val="0"/>
      <w:marTop w:val="0"/>
      <w:marBottom w:val="0"/>
      <w:divBdr>
        <w:top w:val="none" w:sz="0" w:space="0" w:color="auto"/>
        <w:left w:val="none" w:sz="0" w:space="0" w:color="auto"/>
        <w:bottom w:val="none" w:sz="0" w:space="0" w:color="auto"/>
        <w:right w:val="none" w:sz="0" w:space="0" w:color="auto"/>
      </w:divBdr>
    </w:div>
    <w:div w:id="866794678">
      <w:marLeft w:val="0"/>
      <w:marRight w:val="0"/>
      <w:marTop w:val="0"/>
      <w:marBottom w:val="0"/>
      <w:divBdr>
        <w:top w:val="none" w:sz="0" w:space="0" w:color="auto"/>
        <w:left w:val="none" w:sz="0" w:space="0" w:color="auto"/>
        <w:bottom w:val="none" w:sz="0" w:space="0" w:color="auto"/>
        <w:right w:val="none" w:sz="0" w:space="0" w:color="auto"/>
      </w:divBdr>
      <w:divsChild>
        <w:div w:id="866794644">
          <w:marLeft w:val="0"/>
          <w:marRight w:val="0"/>
          <w:marTop w:val="0"/>
          <w:marBottom w:val="0"/>
          <w:divBdr>
            <w:top w:val="none" w:sz="0" w:space="0" w:color="auto"/>
            <w:left w:val="none" w:sz="0" w:space="0" w:color="auto"/>
            <w:bottom w:val="none" w:sz="0" w:space="0" w:color="auto"/>
            <w:right w:val="none" w:sz="0" w:space="0" w:color="auto"/>
          </w:divBdr>
          <w:divsChild>
            <w:div w:id="866794642">
              <w:marLeft w:val="0"/>
              <w:marRight w:val="0"/>
              <w:marTop w:val="0"/>
              <w:marBottom w:val="0"/>
              <w:divBdr>
                <w:top w:val="none" w:sz="0" w:space="0" w:color="auto"/>
                <w:left w:val="none" w:sz="0" w:space="0" w:color="auto"/>
                <w:bottom w:val="none" w:sz="0" w:space="0" w:color="auto"/>
                <w:right w:val="none" w:sz="0" w:space="0" w:color="auto"/>
              </w:divBdr>
              <w:divsChild>
                <w:div w:id="866794671">
                  <w:marLeft w:val="0"/>
                  <w:marRight w:val="0"/>
                  <w:marTop w:val="0"/>
                  <w:marBottom w:val="0"/>
                  <w:divBdr>
                    <w:top w:val="none" w:sz="0" w:space="0" w:color="auto"/>
                    <w:left w:val="none" w:sz="0" w:space="0" w:color="auto"/>
                    <w:bottom w:val="none" w:sz="0" w:space="0" w:color="auto"/>
                    <w:right w:val="none" w:sz="0" w:space="0" w:color="auto"/>
                  </w:divBdr>
                  <w:divsChild>
                    <w:div w:id="866794650">
                      <w:marLeft w:val="0"/>
                      <w:marRight w:val="0"/>
                      <w:marTop w:val="0"/>
                      <w:marBottom w:val="0"/>
                      <w:divBdr>
                        <w:top w:val="none" w:sz="0" w:space="0" w:color="auto"/>
                        <w:left w:val="none" w:sz="0" w:space="0" w:color="auto"/>
                        <w:bottom w:val="none" w:sz="0" w:space="0" w:color="auto"/>
                        <w:right w:val="none" w:sz="0" w:space="0" w:color="auto"/>
                      </w:divBdr>
                      <w:divsChild>
                        <w:div w:id="866794628">
                          <w:marLeft w:val="0"/>
                          <w:marRight w:val="0"/>
                          <w:marTop w:val="0"/>
                          <w:marBottom w:val="0"/>
                          <w:divBdr>
                            <w:top w:val="none" w:sz="0" w:space="0" w:color="auto"/>
                            <w:left w:val="none" w:sz="0" w:space="0" w:color="auto"/>
                            <w:bottom w:val="none" w:sz="0" w:space="0" w:color="auto"/>
                            <w:right w:val="none" w:sz="0" w:space="0" w:color="auto"/>
                          </w:divBdr>
                          <w:divsChild>
                            <w:div w:id="866794554">
                              <w:marLeft w:val="0"/>
                              <w:marRight w:val="0"/>
                              <w:marTop w:val="0"/>
                              <w:marBottom w:val="0"/>
                              <w:divBdr>
                                <w:top w:val="none" w:sz="0" w:space="0" w:color="auto"/>
                                <w:left w:val="none" w:sz="0" w:space="0" w:color="auto"/>
                                <w:bottom w:val="none" w:sz="0" w:space="0" w:color="auto"/>
                                <w:right w:val="none" w:sz="0" w:space="0" w:color="auto"/>
                              </w:divBdr>
                              <w:divsChild>
                                <w:div w:id="866794680">
                                  <w:marLeft w:val="0"/>
                                  <w:marRight w:val="0"/>
                                  <w:marTop w:val="0"/>
                                  <w:marBottom w:val="0"/>
                                  <w:divBdr>
                                    <w:top w:val="none" w:sz="0" w:space="0" w:color="auto"/>
                                    <w:left w:val="none" w:sz="0" w:space="0" w:color="auto"/>
                                    <w:bottom w:val="none" w:sz="0" w:space="0" w:color="auto"/>
                                    <w:right w:val="none" w:sz="0" w:space="0" w:color="auto"/>
                                  </w:divBdr>
                                  <w:divsChild>
                                    <w:div w:id="8667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94684">
      <w:marLeft w:val="0"/>
      <w:marRight w:val="0"/>
      <w:marTop w:val="0"/>
      <w:marBottom w:val="0"/>
      <w:divBdr>
        <w:top w:val="none" w:sz="0" w:space="0" w:color="auto"/>
        <w:left w:val="none" w:sz="0" w:space="0" w:color="auto"/>
        <w:bottom w:val="none" w:sz="0" w:space="0" w:color="auto"/>
        <w:right w:val="none" w:sz="0" w:space="0" w:color="auto"/>
      </w:divBdr>
    </w:div>
    <w:div w:id="866794691">
      <w:marLeft w:val="0"/>
      <w:marRight w:val="0"/>
      <w:marTop w:val="0"/>
      <w:marBottom w:val="0"/>
      <w:divBdr>
        <w:top w:val="none" w:sz="0" w:space="0" w:color="auto"/>
        <w:left w:val="none" w:sz="0" w:space="0" w:color="auto"/>
        <w:bottom w:val="none" w:sz="0" w:space="0" w:color="auto"/>
        <w:right w:val="none" w:sz="0" w:space="0" w:color="auto"/>
      </w:divBdr>
      <w:divsChild>
        <w:div w:id="866794689">
          <w:marLeft w:val="0"/>
          <w:marRight w:val="0"/>
          <w:marTop w:val="0"/>
          <w:marBottom w:val="0"/>
          <w:divBdr>
            <w:top w:val="none" w:sz="0" w:space="0" w:color="auto"/>
            <w:left w:val="none" w:sz="0" w:space="0" w:color="auto"/>
            <w:bottom w:val="none" w:sz="0" w:space="0" w:color="auto"/>
            <w:right w:val="none" w:sz="0" w:space="0" w:color="auto"/>
          </w:divBdr>
          <w:divsChild>
            <w:div w:id="8667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4692">
      <w:marLeft w:val="0"/>
      <w:marRight w:val="0"/>
      <w:marTop w:val="0"/>
      <w:marBottom w:val="0"/>
      <w:divBdr>
        <w:top w:val="none" w:sz="0" w:space="0" w:color="auto"/>
        <w:left w:val="none" w:sz="0" w:space="0" w:color="auto"/>
        <w:bottom w:val="none" w:sz="0" w:space="0" w:color="auto"/>
        <w:right w:val="none" w:sz="0" w:space="0" w:color="auto"/>
      </w:divBdr>
    </w:div>
    <w:div w:id="866794694">
      <w:marLeft w:val="0"/>
      <w:marRight w:val="0"/>
      <w:marTop w:val="0"/>
      <w:marBottom w:val="0"/>
      <w:divBdr>
        <w:top w:val="none" w:sz="0" w:space="0" w:color="auto"/>
        <w:left w:val="none" w:sz="0" w:space="0" w:color="auto"/>
        <w:bottom w:val="none" w:sz="0" w:space="0" w:color="auto"/>
        <w:right w:val="none" w:sz="0" w:space="0" w:color="auto"/>
      </w:divBdr>
    </w:div>
    <w:div w:id="866794695">
      <w:marLeft w:val="0"/>
      <w:marRight w:val="0"/>
      <w:marTop w:val="0"/>
      <w:marBottom w:val="0"/>
      <w:divBdr>
        <w:top w:val="none" w:sz="0" w:space="0" w:color="auto"/>
        <w:left w:val="none" w:sz="0" w:space="0" w:color="auto"/>
        <w:bottom w:val="none" w:sz="0" w:space="0" w:color="auto"/>
        <w:right w:val="none" w:sz="0" w:space="0" w:color="auto"/>
      </w:divBdr>
      <w:divsChild>
        <w:div w:id="866794565">
          <w:marLeft w:val="0"/>
          <w:marRight w:val="0"/>
          <w:marTop w:val="0"/>
          <w:marBottom w:val="0"/>
          <w:divBdr>
            <w:top w:val="none" w:sz="0" w:space="0" w:color="auto"/>
            <w:left w:val="none" w:sz="0" w:space="0" w:color="auto"/>
            <w:bottom w:val="none" w:sz="0" w:space="0" w:color="auto"/>
            <w:right w:val="none" w:sz="0" w:space="0" w:color="auto"/>
          </w:divBdr>
          <w:divsChild>
            <w:div w:id="866794627">
              <w:marLeft w:val="0"/>
              <w:marRight w:val="0"/>
              <w:marTop w:val="0"/>
              <w:marBottom w:val="0"/>
              <w:divBdr>
                <w:top w:val="none" w:sz="0" w:space="0" w:color="auto"/>
                <w:left w:val="none" w:sz="0" w:space="0" w:color="auto"/>
                <w:bottom w:val="none" w:sz="0" w:space="0" w:color="auto"/>
                <w:right w:val="none" w:sz="0" w:space="0" w:color="auto"/>
              </w:divBdr>
              <w:divsChild>
                <w:div w:id="866794674">
                  <w:marLeft w:val="0"/>
                  <w:marRight w:val="0"/>
                  <w:marTop w:val="0"/>
                  <w:marBottom w:val="0"/>
                  <w:divBdr>
                    <w:top w:val="none" w:sz="0" w:space="0" w:color="auto"/>
                    <w:left w:val="none" w:sz="0" w:space="0" w:color="auto"/>
                    <w:bottom w:val="none" w:sz="0" w:space="0" w:color="auto"/>
                    <w:right w:val="none" w:sz="0" w:space="0" w:color="auto"/>
                  </w:divBdr>
                  <w:divsChild>
                    <w:div w:id="866794573">
                      <w:marLeft w:val="0"/>
                      <w:marRight w:val="0"/>
                      <w:marTop w:val="0"/>
                      <w:marBottom w:val="0"/>
                      <w:divBdr>
                        <w:top w:val="none" w:sz="0" w:space="0" w:color="auto"/>
                        <w:left w:val="none" w:sz="0" w:space="0" w:color="auto"/>
                        <w:bottom w:val="none" w:sz="0" w:space="0" w:color="auto"/>
                        <w:right w:val="none" w:sz="0" w:space="0" w:color="auto"/>
                      </w:divBdr>
                      <w:divsChild>
                        <w:div w:id="866794616">
                          <w:marLeft w:val="0"/>
                          <w:marRight w:val="0"/>
                          <w:marTop w:val="0"/>
                          <w:marBottom w:val="0"/>
                          <w:divBdr>
                            <w:top w:val="none" w:sz="0" w:space="0" w:color="auto"/>
                            <w:left w:val="none" w:sz="0" w:space="0" w:color="auto"/>
                            <w:bottom w:val="none" w:sz="0" w:space="0" w:color="auto"/>
                            <w:right w:val="none" w:sz="0" w:space="0" w:color="auto"/>
                          </w:divBdr>
                          <w:divsChild>
                            <w:div w:id="866794657">
                              <w:marLeft w:val="0"/>
                              <w:marRight w:val="0"/>
                              <w:marTop w:val="0"/>
                              <w:marBottom w:val="0"/>
                              <w:divBdr>
                                <w:top w:val="none" w:sz="0" w:space="0" w:color="auto"/>
                                <w:left w:val="none" w:sz="0" w:space="0" w:color="auto"/>
                                <w:bottom w:val="none" w:sz="0" w:space="0" w:color="auto"/>
                                <w:right w:val="none" w:sz="0" w:space="0" w:color="auto"/>
                              </w:divBdr>
                              <w:divsChild>
                                <w:div w:id="866794672">
                                  <w:marLeft w:val="0"/>
                                  <w:marRight w:val="0"/>
                                  <w:marTop w:val="0"/>
                                  <w:marBottom w:val="0"/>
                                  <w:divBdr>
                                    <w:top w:val="none" w:sz="0" w:space="0" w:color="auto"/>
                                    <w:left w:val="none" w:sz="0" w:space="0" w:color="auto"/>
                                    <w:bottom w:val="none" w:sz="0" w:space="0" w:color="auto"/>
                                    <w:right w:val="none" w:sz="0" w:space="0" w:color="auto"/>
                                  </w:divBdr>
                                  <w:divsChild>
                                    <w:div w:id="8667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2.xm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veet.vic.gov.au/Public/Public.aspx?id=VEETActivities" TargetMode="External"/><Relationship Id="rId3" Type="http://schemas.openxmlformats.org/officeDocument/2006/relationships/hyperlink" Target="http://www.garnautreview.org.au/chp18.htm" TargetMode="External"/><Relationship Id="rId7" Type="http://schemas.openxmlformats.org/officeDocument/2006/relationships/hyperlink" Target="http://www.climatechange.gov.au/government/submissions/pm-task-group.aspx" TargetMode="External"/><Relationship Id="rId2" Type="http://schemas.openxmlformats.org/officeDocument/2006/relationships/hyperlink" Target="http://acoss.org.au/images/uploads/4204__EnergyEquity_low_res.pdf" TargetMode="External"/><Relationship Id="rId1" Type="http://schemas.openxmlformats.org/officeDocument/2006/relationships/hyperlink" Target="http://www.environment.act.gov.au/__data/assets/pdf_file/0015/200175/ACT_Greenhouse_Gas_Inventory_2008.pdf" TargetMode="External"/><Relationship Id="rId6" Type="http://schemas.openxmlformats.org/officeDocument/2006/relationships/hyperlink" Target="http://www.energyrating.gov.au/library/pubs/201110-retro-review-e3-program.pdf" TargetMode="External"/><Relationship Id="rId5" Type="http://schemas.openxmlformats.org/officeDocument/2006/relationships/hyperlink" Target="http://www.climatechange.gov.au/government/submissions/pm-task-group.aspx" TargetMode="External"/><Relationship Id="rId4" Type="http://schemas.openxmlformats.org/officeDocument/2006/relationships/hyperlink" Target="http://www.hansard.act.gov.au/hansard/2011/pdfs/P110816.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ct.gov.au\deccew\deccew\Policy\Energy\Advice%20and%20Correspondence\2011-12\2011-08-12%20-%20Electricity%20and%20gas%20price%20trends\Electricity%20and%20gas%20price%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ct.gov.au\deccew\deccew\Policy\Energy\Advice%20and%20Correspondence\2011-12\2011-08-12%20-%20Electricity%20and%20gas%20price%20trends\Electricity%20and%20gas%20price%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ct.gov.au\deccew\deccew\Policy\Energy\Projects%20and%20Programs\Energy%20Efficiency%20Scheme\Cabinet%20Submission\Comeback%20First%20lodge\RiS%20WORKBOOK%20-%20Govt%20funding%20and%20budget%20costs%20V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1"/>
  <c:chart>
    <c:autoTitleDeleted val="1"/>
    <c:plotArea>
      <c:layout/>
      <c:lineChart>
        <c:grouping val="standard"/>
        <c:varyColors val="1"/>
        <c:ser>
          <c:idx val="0"/>
          <c:order val="0"/>
          <c:tx>
            <c:strRef>
              <c:f>Sheet1!$C$87</c:f>
              <c:strCache>
                <c:ptCount val="1"/>
                <c:pt idx="0">
                  <c:v>After-inflation</c:v>
                </c:pt>
              </c:strCache>
            </c:strRef>
          </c:tx>
          <c:marker>
            <c:symbol val="none"/>
          </c:marker>
          <c:cat>
            <c:strRef>
              <c:f>Sheet1!$B$88:$B$107</c:f>
              <c:strCache>
                <c:ptCount val="20"/>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c:v>
                </c:pt>
                <c:pt idx="17">
                  <c:v>2028-29</c:v>
                </c:pt>
                <c:pt idx="18">
                  <c:v>2029-30</c:v>
                </c:pt>
                <c:pt idx="19">
                  <c:v>2030-31</c:v>
                </c:pt>
              </c:strCache>
            </c:strRef>
          </c:cat>
          <c:val>
            <c:numRef>
              <c:f>Sheet1!$C$88:$C$107</c:f>
              <c:numCache>
                <c:formatCode>"$"#,##0.00</c:formatCode>
                <c:ptCount val="20"/>
                <c:pt idx="0">
                  <c:v>168.32000000000087</c:v>
                </c:pt>
                <c:pt idx="1">
                  <c:v>191.22</c:v>
                </c:pt>
                <c:pt idx="2">
                  <c:v>203.08</c:v>
                </c:pt>
                <c:pt idx="3">
                  <c:v>212.37</c:v>
                </c:pt>
                <c:pt idx="4">
                  <c:v>224.4</c:v>
                </c:pt>
                <c:pt idx="5">
                  <c:v>238.82000000000087</c:v>
                </c:pt>
                <c:pt idx="6">
                  <c:v>249.44</c:v>
                </c:pt>
                <c:pt idx="7">
                  <c:v>261.54000000000002</c:v>
                </c:pt>
                <c:pt idx="8">
                  <c:v>272.58999999999969</c:v>
                </c:pt>
                <c:pt idx="9">
                  <c:v>282.35000000000002</c:v>
                </c:pt>
                <c:pt idx="10">
                  <c:v>291.76</c:v>
                </c:pt>
                <c:pt idx="11">
                  <c:v>298.10000000000002</c:v>
                </c:pt>
                <c:pt idx="12">
                  <c:v>304.87</c:v>
                </c:pt>
                <c:pt idx="13">
                  <c:v>314.57</c:v>
                </c:pt>
                <c:pt idx="14">
                  <c:v>325.27</c:v>
                </c:pt>
                <c:pt idx="15">
                  <c:v>341.36</c:v>
                </c:pt>
                <c:pt idx="16">
                  <c:v>355.51</c:v>
                </c:pt>
                <c:pt idx="17">
                  <c:v>367.21</c:v>
                </c:pt>
                <c:pt idx="18">
                  <c:v>379.36</c:v>
                </c:pt>
                <c:pt idx="19">
                  <c:v>388.11</c:v>
                </c:pt>
              </c:numCache>
            </c:numRef>
          </c:val>
          <c:smooth val="1"/>
        </c:ser>
        <c:ser>
          <c:idx val="1"/>
          <c:order val="1"/>
          <c:tx>
            <c:strRef>
              <c:f>Sheet1!$D$87</c:f>
              <c:strCache>
                <c:ptCount val="1"/>
                <c:pt idx="0">
                  <c:v>Before-inflation</c:v>
                </c:pt>
              </c:strCache>
            </c:strRef>
          </c:tx>
          <c:marker>
            <c:symbol val="none"/>
          </c:marker>
          <c:cat>
            <c:strRef>
              <c:f>Sheet1!$B$88:$B$107</c:f>
              <c:strCache>
                <c:ptCount val="20"/>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c:v>
                </c:pt>
                <c:pt idx="17">
                  <c:v>2028-29</c:v>
                </c:pt>
                <c:pt idx="18">
                  <c:v>2029-30</c:v>
                </c:pt>
                <c:pt idx="19">
                  <c:v>2030-31</c:v>
                </c:pt>
              </c:strCache>
            </c:strRef>
          </c:cat>
          <c:val>
            <c:numRef>
              <c:f>Sheet1!$D$88:$D$107</c:f>
              <c:numCache>
                <c:formatCode>"$"#,##0.00</c:formatCode>
                <c:ptCount val="20"/>
                <c:pt idx="0">
                  <c:v>168.32000000000087</c:v>
                </c:pt>
                <c:pt idx="1">
                  <c:v>186.56</c:v>
                </c:pt>
                <c:pt idx="2">
                  <c:v>193.29</c:v>
                </c:pt>
                <c:pt idx="3">
                  <c:v>197.2</c:v>
                </c:pt>
                <c:pt idx="4">
                  <c:v>203.3</c:v>
                </c:pt>
                <c:pt idx="5">
                  <c:v>211.08</c:v>
                </c:pt>
                <c:pt idx="6">
                  <c:v>215.1</c:v>
                </c:pt>
                <c:pt idx="7">
                  <c:v>220.02</c:v>
                </c:pt>
                <c:pt idx="8">
                  <c:v>223.73</c:v>
                </c:pt>
                <c:pt idx="9">
                  <c:v>226.08</c:v>
                </c:pt>
                <c:pt idx="10">
                  <c:v>227.92000000000004</c:v>
                </c:pt>
                <c:pt idx="11">
                  <c:v>227.2</c:v>
                </c:pt>
                <c:pt idx="12">
                  <c:v>226.69</c:v>
                </c:pt>
                <c:pt idx="13">
                  <c:v>228.19</c:v>
                </c:pt>
                <c:pt idx="14">
                  <c:v>230.2</c:v>
                </c:pt>
                <c:pt idx="15">
                  <c:v>235.7</c:v>
                </c:pt>
                <c:pt idx="16">
                  <c:v>239.48000000000027</c:v>
                </c:pt>
                <c:pt idx="17">
                  <c:v>241.33</c:v>
                </c:pt>
                <c:pt idx="18">
                  <c:v>243.23</c:v>
                </c:pt>
                <c:pt idx="19">
                  <c:v>242.78</c:v>
                </c:pt>
              </c:numCache>
            </c:numRef>
          </c:val>
          <c:smooth val="1"/>
        </c:ser>
        <c:dLbls>
          <c:showLegendKey val="0"/>
          <c:showVal val="0"/>
          <c:showCatName val="0"/>
          <c:showSerName val="0"/>
          <c:showPercent val="0"/>
          <c:showBubbleSize val="0"/>
        </c:dLbls>
        <c:smooth val="0"/>
        <c:axId val="483048280"/>
        <c:axId val="483048672"/>
      </c:lineChart>
      <c:catAx>
        <c:axId val="483048280"/>
        <c:scaling>
          <c:orientation val="minMax"/>
        </c:scaling>
        <c:delete val="1"/>
        <c:axPos val="b"/>
        <c:numFmt formatCode="General" sourceLinked="0"/>
        <c:majorTickMark val="none"/>
        <c:minorTickMark val="cross"/>
        <c:tickLblPos val="nextTo"/>
        <c:crossAx val="483048672"/>
        <c:crosses val="autoZero"/>
        <c:auto val="1"/>
        <c:lblAlgn val="ctr"/>
        <c:lblOffset val="100"/>
        <c:noMultiLvlLbl val="1"/>
      </c:catAx>
      <c:valAx>
        <c:axId val="483048672"/>
        <c:scaling>
          <c:orientation val="minMax"/>
        </c:scaling>
        <c:delete val="1"/>
        <c:axPos val="l"/>
        <c:majorGridlines/>
        <c:title>
          <c:tx>
            <c:rich>
              <a:bodyPr/>
              <a:lstStyle/>
              <a:p>
                <a:pPr>
                  <a:defRPr b="0"/>
                </a:pPr>
                <a:r>
                  <a:rPr lang="en-AU" b="0"/>
                  <a:t>$/MWh</a:t>
                </a:r>
              </a:p>
            </c:rich>
          </c:tx>
          <c:layout>
            <c:manualLayout>
              <c:xMode val="edge"/>
              <c:yMode val="edge"/>
              <c:x val="2.3460410557184751E-2"/>
              <c:y val="0.41434055694280908"/>
            </c:manualLayout>
          </c:layout>
          <c:overlay val="1"/>
        </c:title>
        <c:numFmt formatCode="&quot;$&quot;#,##0" sourceLinked="0"/>
        <c:majorTickMark val="none"/>
        <c:minorTickMark val="cross"/>
        <c:tickLblPos val="nextTo"/>
        <c:crossAx val="483048280"/>
        <c:crosses val="autoZero"/>
        <c:crossBetween val="between"/>
      </c:valAx>
    </c:plotArea>
    <c:legend>
      <c:legendPos val="r"/>
      <c:layout/>
      <c:overlay val="1"/>
    </c:legend>
    <c:plotVisOnly val="1"/>
    <c:dispBlanksAs val="gap"/>
    <c:showDLblsOverMax val="1"/>
  </c:chart>
  <c:spPr>
    <a:ln>
      <a:no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1"/>
  <c:chart>
    <c:autoTitleDeleted val="1"/>
    <c:plotArea>
      <c:layout/>
      <c:lineChart>
        <c:grouping val="standard"/>
        <c:varyColors val="1"/>
        <c:ser>
          <c:idx val="0"/>
          <c:order val="0"/>
          <c:tx>
            <c:strRef>
              <c:f>Sheet1!$C$32</c:f>
              <c:strCache>
                <c:ptCount val="1"/>
                <c:pt idx="0">
                  <c:v>After-inflation</c:v>
                </c:pt>
              </c:strCache>
            </c:strRef>
          </c:tx>
          <c:marker>
            <c:symbol val="none"/>
          </c:marker>
          <c:cat>
            <c:strRef>
              <c:f>Sheet1!$B$33:$B$52</c:f>
              <c:strCache>
                <c:ptCount val="20"/>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c:v>
                </c:pt>
                <c:pt idx="17">
                  <c:v>2028-29</c:v>
                </c:pt>
                <c:pt idx="18">
                  <c:v>2029-30</c:v>
                </c:pt>
                <c:pt idx="19">
                  <c:v>2030-31</c:v>
                </c:pt>
              </c:strCache>
            </c:strRef>
          </c:cat>
          <c:val>
            <c:numRef>
              <c:f>Sheet1!$C$33:$C$52</c:f>
              <c:numCache>
                <c:formatCode>"$"#,##0.00</c:formatCode>
                <c:ptCount val="20"/>
                <c:pt idx="0">
                  <c:v>24.02</c:v>
                </c:pt>
                <c:pt idx="1">
                  <c:v>26.979999999999986</c:v>
                </c:pt>
                <c:pt idx="2">
                  <c:v>29.23</c:v>
                </c:pt>
                <c:pt idx="3">
                  <c:v>31.05</c:v>
                </c:pt>
                <c:pt idx="4">
                  <c:v>32.550000000000004</c:v>
                </c:pt>
                <c:pt idx="5">
                  <c:v>34.08</c:v>
                </c:pt>
                <c:pt idx="6">
                  <c:v>35.56</c:v>
                </c:pt>
                <c:pt idx="7">
                  <c:v>37.130000000000003</c:v>
                </c:pt>
                <c:pt idx="8">
                  <c:v>38.78</c:v>
                </c:pt>
                <c:pt idx="9">
                  <c:v>40.53</c:v>
                </c:pt>
                <c:pt idx="10">
                  <c:v>42.37</c:v>
                </c:pt>
                <c:pt idx="11">
                  <c:v>44.309999999999995</c:v>
                </c:pt>
                <c:pt idx="12">
                  <c:v>46.36</c:v>
                </c:pt>
                <c:pt idx="13">
                  <c:v>48.53</c:v>
                </c:pt>
                <c:pt idx="14">
                  <c:v>50.82</c:v>
                </c:pt>
                <c:pt idx="15">
                  <c:v>52.339999999999996</c:v>
                </c:pt>
                <c:pt idx="16">
                  <c:v>55.8</c:v>
                </c:pt>
                <c:pt idx="17">
                  <c:v>58.51</c:v>
                </c:pt>
                <c:pt idx="18">
                  <c:v>61.379999999999995</c:v>
                </c:pt>
                <c:pt idx="19">
                  <c:v>64.489999999999995</c:v>
                </c:pt>
              </c:numCache>
            </c:numRef>
          </c:val>
          <c:smooth val="1"/>
        </c:ser>
        <c:ser>
          <c:idx val="1"/>
          <c:order val="1"/>
          <c:tx>
            <c:strRef>
              <c:f>Sheet1!$D$32</c:f>
              <c:strCache>
                <c:ptCount val="1"/>
                <c:pt idx="0">
                  <c:v>Before-inflation</c:v>
                </c:pt>
              </c:strCache>
            </c:strRef>
          </c:tx>
          <c:marker>
            <c:symbol val="none"/>
          </c:marker>
          <c:cat>
            <c:strRef>
              <c:f>Sheet1!$B$33:$B$52</c:f>
              <c:strCache>
                <c:ptCount val="20"/>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c:v>
                </c:pt>
                <c:pt idx="17">
                  <c:v>2028-29</c:v>
                </c:pt>
                <c:pt idx="18">
                  <c:v>2029-30</c:v>
                </c:pt>
                <c:pt idx="19">
                  <c:v>2030-31</c:v>
                </c:pt>
              </c:strCache>
            </c:strRef>
          </c:cat>
          <c:val>
            <c:numRef>
              <c:f>Sheet1!$D$33:$D$52</c:f>
              <c:numCache>
                <c:formatCode>"$"#,##0.00</c:formatCode>
                <c:ptCount val="20"/>
                <c:pt idx="0">
                  <c:v>24.02</c:v>
                </c:pt>
                <c:pt idx="1">
                  <c:v>26.32</c:v>
                </c:pt>
                <c:pt idx="2">
                  <c:v>27.830000000000005</c:v>
                </c:pt>
                <c:pt idx="3">
                  <c:v>28.830000000000005</c:v>
                </c:pt>
                <c:pt idx="4">
                  <c:v>29.49</c:v>
                </c:pt>
                <c:pt idx="5">
                  <c:v>30.12</c:v>
                </c:pt>
                <c:pt idx="6">
                  <c:v>30.67</c:v>
                </c:pt>
                <c:pt idx="7">
                  <c:v>31.24</c:v>
                </c:pt>
                <c:pt idx="8">
                  <c:v>31.830000000000005</c:v>
                </c:pt>
                <c:pt idx="9">
                  <c:v>32.449999999999996</c:v>
                </c:pt>
                <c:pt idx="10">
                  <c:v>33.1</c:v>
                </c:pt>
                <c:pt idx="11">
                  <c:v>33.770000000000003</c:v>
                </c:pt>
                <c:pt idx="12">
                  <c:v>34.47</c:v>
                </c:pt>
                <c:pt idx="13">
                  <c:v>35.200000000000003</c:v>
                </c:pt>
                <c:pt idx="14">
                  <c:v>35.97</c:v>
                </c:pt>
                <c:pt idx="15">
                  <c:v>36.760000000000012</c:v>
                </c:pt>
                <c:pt idx="16">
                  <c:v>37.590000000000003</c:v>
                </c:pt>
                <c:pt idx="17">
                  <c:v>38.449999999999996</c:v>
                </c:pt>
                <c:pt idx="18">
                  <c:v>39.349999999999994</c:v>
                </c:pt>
                <c:pt idx="19">
                  <c:v>40.339999999999996</c:v>
                </c:pt>
              </c:numCache>
            </c:numRef>
          </c:val>
          <c:smooth val="1"/>
        </c:ser>
        <c:dLbls>
          <c:showLegendKey val="0"/>
          <c:showVal val="0"/>
          <c:showCatName val="0"/>
          <c:showSerName val="0"/>
          <c:showPercent val="0"/>
          <c:showBubbleSize val="0"/>
        </c:dLbls>
        <c:smooth val="0"/>
        <c:axId val="212990336"/>
        <c:axId val="212752280"/>
      </c:lineChart>
      <c:catAx>
        <c:axId val="212990336"/>
        <c:scaling>
          <c:orientation val="minMax"/>
        </c:scaling>
        <c:delete val="1"/>
        <c:axPos val="b"/>
        <c:numFmt formatCode="General" sourceLinked="0"/>
        <c:majorTickMark val="none"/>
        <c:minorTickMark val="cross"/>
        <c:tickLblPos val="nextTo"/>
        <c:crossAx val="212752280"/>
        <c:crosses val="autoZero"/>
        <c:auto val="1"/>
        <c:lblAlgn val="ctr"/>
        <c:lblOffset val="100"/>
        <c:noMultiLvlLbl val="1"/>
      </c:catAx>
      <c:valAx>
        <c:axId val="212752280"/>
        <c:scaling>
          <c:orientation val="minMax"/>
        </c:scaling>
        <c:delete val="1"/>
        <c:axPos val="l"/>
        <c:majorGridlines/>
        <c:title>
          <c:tx>
            <c:rich>
              <a:bodyPr/>
              <a:lstStyle/>
              <a:p>
                <a:pPr>
                  <a:defRPr b="0"/>
                </a:pPr>
                <a:r>
                  <a:rPr lang="en-AU" b="0"/>
                  <a:t>$/GJ</a:t>
                </a:r>
              </a:p>
            </c:rich>
          </c:tx>
          <c:layout/>
          <c:overlay val="1"/>
        </c:title>
        <c:numFmt formatCode="&quot;$&quot;#,##0" sourceLinked="0"/>
        <c:majorTickMark val="none"/>
        <c:minorTickMark val="cross"/>
        <c:tickLblPos val="nextTo"/>
        <c:crossAx val="212990336"/>
        <c:crosses val="autoZero"/>
        <c:crossBetween val="between"/>
      </c:valAx>
    </c:plotArea>
    <c:legend>
      <c:legendPos val="r"/>
      <c:layout/>
      <c:overlay val="1"/>
    </c:legend>
    <c:plotVisOnly val="1"/>
    <c:dispBlanksAs val="gap"/>
    <c:showDLblsOverMax val="1"/>
  </c:chart>
  <c:spPr>
    <a:noFill/>
    <a:ln>
      <a:noFill/>
    </a:ln>
  </c:sp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9"/>
  <c:chart>
    <c:autoTitleDeleted val="1"/>
    <c:plotArea>
      <c:layout>
        <c:manualLayout>
          <c:layoutTarget val="inner"/>
          <c:xMode val="edge"/>
          <c:yMode val="edge"/>
          <c:x val="0.12570526231168913"/>
          <c:y val="5.0391451068617032E-2"/>
          <c:w val="0.82420507326732073"/>
          <c:h val="0.84021847269091365"/>
        </c:manualLayout>
      </c:layout>
      <c:barChart>
        <c:barDir val="col"/>
        <c:grouping val="clustered"/>
        <c:varyColors val="1"/>
        <c:ser>
          <c:idx val="0"/>
          <c:order val="0"/>
          <c:tx>
            <c:strRef>
              <c:f>'Selected Scenario Tables'!$D$4</c:f>
              <c:strCache>
                <c:ptCount val="1"/>
                <c:pt idx="0">
                  <c:v>Lifetime abatement of eligible activities achieved
(ktCO2-e)</c:v>
                </c:pt>
              </c:strCache>
            </c:strRef>
          </c:tx>
          <c:invertIfNegative val="1"/>
          <c:cat>
            <c:strRef>
              <c:f>'Selected Scenario Tables'!$A$13:$A$16</c:f>
              <c:strCache>
                <c:ptCount val="4"/>
                <c:pt idx="0">
                  <c:v>Period 1</c:v>
                </c:pt>
                <c:pt idx="1">
                  <c:v>Period 2</c:v>
                </c:pt>
                <c:pt idx="2">
                  <c:v>Period 3</c:v>
                </c:pt>
                <c:pt idx="3">
                  <c:v>Period 4</c:v>
                </c:pt>
              </c:strCache>
            </c:strRef>
          </c:cat>
          <c:val>
            <c:numRef>
              <c:f>'Selected Scenario Tables'!$D$6:$D$8</c:f>
              <c:numCache>
                <c:formatCode>#,##0.0_ ;\-#,##0.0\ </c:formatCode>
                <c:ptCount val="3"/>
                <c:pt idx="0">
                  <c:v>193.82389375531702</c:v>
                </c:pt>
                <c:pt idx="1">
                  <c:v>339.2354288093735</c:v>
                </c:pt>
                <c:pt idx="2">
                  <c:v>339.2354288093735</c:v>
                </c:pt>
              </c:numCache>
            </c:numRef>
          </c:val>
        </c:ser>
        <c:dLbls>
          <c:showLegendKey val="0"/>
          <c:showVal val="0"/>
          <c:showCatName val="0"/>
          <c:showSerName val="0"/>
          <c:showPercent val="0"/>
          <c:showBubbleSize val="0"/>
        </c:dLbls>
        <c:gapWidth val="150"/>
        <c:axId val="212753064"/>
        <c:axId val="212753456"/>
      </c:barChart>
      <c:catAx>
        <c:axId val="212753064"/>
        <c:scaling>
          <c:orientation val="minMax"/>
        </c:scaling>
        <c:delete val="1"/>
        <c:axPos val="b"/>
        <c:numFmt formatCode="General" sourceLinked="0"/>
        <c:majorTickMark val="cross"/>
        <c:minorTickMark val="cross"/>
        <c:tickLblPos val="nextTo"/>
        <c:crossAx val="212753456"/>
        <c:crosses val="autoZero"/>
        <c:auto val="1"/>
        <c:lblAlgn val="ctr"/>
        <c:lblOffset val="100"/>
        <c:noMultiLvlLbl val="1"/>
      </c:catAx>
      <c:valAx>
        <c:axId val="212753456"/>
        <c:scaling>
          <c:orientation val="minMax"/>
        </c:scaling>
        <c:delete val="1"/>
        <c:axPos val="l"/>
        <c:majorGridlines/>
        <c:title>
          <c:tx>
            <c:rich>
              <a:bodyPr rot="-5400000" vert="horz"/>
              <a:lstStyle/>
              <a:p>
                <a:pPr>
                  <a:defRPr/>
                </a:pPr>
                <a:r>
                  <a:rPr lang="en-US"/>
                  <a:t>Required GHG Savings (ktCO2-e)</a:t>
                </a:r>
                <a:endParaRPr lang="en-AU"/>
              </a:p>
            </c:rich>
          </c:tx>
          <c:layout>
            <c:manualLayout>
              <c:xMode val="edge"/>
              <c:yMode val="edge"/>
              <c:x val="2.3203342313030412E-2"/>
              <c:y val="0.210484689413825"/>
            </c:manualLayout>
          </c:layout>
          <c:overlay val="1"/>
        </c:title>
        <c:numFmt formatCode="#,##0_ ;\-#,##0\ " sourceLinked="0"/>
        <c:majorTickMark val="cross"/>
        <c:minorTickMark val="cross"/>
        <c:tickLblPos val="nextTo"/>
        <c:crossAx val="212753064"/>
        <c:crosses val="autoZero"/>
        <c:crossBetween val="between"/>
      </c:valAx>
    </c:plotArea>
    <c:plotVisOnly val="1"/>
    <c:dispBlanksAs val="gap"/>
    <c:showDLblsOverMax val="1"/>
  </c:chart>
  <c:spPr>
    <a:ln>
      <a:noFill/>
    </a:ln>
  </c:sp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649F2-C2EE-4446-AB5F-5DFDBEF2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21528</Words>
  <Characters>119122</Characters>
  <Application>Microsoft Office Word</Application>
  <DocSecurity>0</DocSecurity>
  <Lines>2499</Lines>
  <Paragraphs>1217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2012-03-15T06:18:00Z</cp:lastPrinted>
  <dcterms:created xsi:type="dcterms:W3CDTF">2018-09-21T04:45:00Z</dcterms:created>
  <dcterms:modified xsi:type="dcterms:W3CDTF">2018-09-21T04:45:00Z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A7138515</vt:lpwstr>
  </property>
  <property fmtid="{D5CDD505-2E9C-101B-9397-08002B2CF9AE}" pid="4" name="Objective-Title">
    <vt:lpwstr>Energy Efficiency Improvement Bill - Regulatory Impact Statement - PRINTED FOR EMBARGO</vt:lpwstr>
  </property>
  <property fmtid="{D5CDD505-2E9C-101B-9397-08002B2CF9AE}" pid="5" name="Objective-Comment">
    <vt:lpwstr/>
  </property>
  <property fmtid="{D5CDD505-2E9C-101B-9397-08002B2CF9AE}" pid="6" name="Objective-CreationStamp">
    <vt:filetime>2012-03-17T14:00:00Z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2012-03-19T14:00:00Z</vt:filetime>
  </property>
  <property fmtid="{D5CDD505-2E9C-101B-9397-08002B2CF9AE}" pid="10" name="Objective-ModificationStamp">
    <vt:filetime>2012-03-19T14:00:00Z</vt:filetime>
  </property>
  <property fmtid="{D5CDD505-2E9C-101B-9397-08002B2CF9AE}" pid="11" name="Objective-Owner">
    <vt:lpwstr>Cath Godbee</vt:lpwstr>
  </property>
  <property fmtid="{D5CDD505-2E9C-101B-9397-08002B2CF9AE}" pid="12" name="Objective-Path">
    <vt:lpwstr>Whole of ACT Government:ESDD:09. Directorate - CABINET DOCUMENTS:13 ESDD - CABINET - SUBMISSION - EXPOSURE DRAFTS &amp; FIRST LODGED:08 - Next Step - Going or Gone to Cabinet or Comeback or Assembly:11/15998 - Cabinet - (12/003) NOW (11/539) THEN - ENERGY EFF</vt:lpwstr>
  </property>
  <property fmtid="{D5CDD505-2E9C-101B-9397-08002B2CF9AE}" pid="13" name="Objective-Parent">
    <vt:lpwstr>05 - Presentation into Leg Assembly and documents to be tabled</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i4>4</vt:i4>
  </property>
  <property fmtid="{D5CDD505-2E9C-101B-9397-08002B2CF9AE}" pid="17" name="Objective-VersionComment">
    <vt:lpwstr/>
  </property>
  <property fmtid="{D5CDD505-2E9C-101B-9397-08002B2CF9AE}" pid="18" name="Objective-FileNumber">
    <vt:lpwstr>1-2011/15998</vt:lpwstr>
  </property>
  <property fmtid="{D5CDD505-2E9C-101B-9397-08002B2CF9AE}" pid="19" name="Objective-Classification">
    <vt:lpwstr>Not classified</vt:lpwstr>
  </property>
  <property fmtid="{D5CDD505-2E9C-101B-9397-08002B2CF9AE}" pid="20" name="Objective-Caveats">
    <vt:lpwstr/>
  </property>
  <property fmtid="{D5CDD505-2E9C-101B-9397-08002B2CF9AE}" pid="21" name="Objective-Owner Agency [system]">
    <vt:lpwstr>ESDD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ies>
</file>