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749D" w14:textId="77777777" w:rsidR="001941BD" w:rsidRDefault="001941BD" w:rsidP="001941BD">
      <w:pPr>
        <w:rPr>
          <w:b/>
          <w:sz w:val="28"/>
          <w:szCs w:val="28"/>
        </w:rPr>
      </w:pPr>
      <w:bookmarkStart w:id="0" w:name="_GoBack"/>
      <w:bookmarkEnd w:id="0"/>
    </w:p>
    <w:p w14:paraId="06631396" w14:textId="77777777" w:rsidR="00BC6BE9" w:rsidRPr="001941BD" w:rsidRDefault="00BC6BE9" w:rsidP="001941BD">
      <w:pPr>
        <w:rPr>
          <w:b/>
          <w:sz w:val="28"/>
          <w:szCs w:val="28"/>
        </w:rPr>
      </w:pPr>
    </w:p>
    <w:p w14:paraId="22E7A465" w14:textId="77777777" w:rsidR="001941BD" w:rsidRPr="001941BD" w:rsidRDefault="001941BD" w:rsidP="001941BD">
      <w:pPr>
        <w:pStyle w:val="Title"/>
        <w:rPr>
          <w:b/>
          <w:sz w:val="28"/>
          <w:szCs w:val="28"/>
        </w:rPr>
      </w:pPr>
    </w:p>
    <w:p w14:paraId="6E209CE5" w14:textId="77777777" w:rsidR="001941BD" w:rsidRPr="001941BD" w:rsidRDefault="001941BD" w:rsidP="001941BD">
      <w:pPr>
        <w:rPr>
          <w:b/>
          <w:sz w:val="28"/>
          <w:szCs w:val="28"/>
        </w:rPr>
      </w:pPr>
    </w:p>
    <w:p w14:paraId="742FF513" w14:textId="202DD2D2" w:rsidR="001941BD" w:rsidRPr="001941BD" w:rsidRDefault="001941BD" w:rsidP="001941BD">
      <w:pPr>
        <w:jc w:val="center"/>
        <w:rPr>
          <w:b/>
          <w:sz w:val="28"/>
          <w:szCs w:val="28"/>
        </w:rPr>
      </w:pPr>
      <w:r w:rsidRPr="001941BD">
        <w:rPr>
          <w:b/>
          <w:sz w:val="28"/>
          <w:szCs w:val="28"/>
        </w:rPr>
        <w:t>Regulatory Impact Statement</w:t>
      </w:r>
    </w:p>
    <w:p w14:paraId="40C35201" w14:textId="77777777" w:rsidR="001941BD" w:rsidRPr="001941BD" w:rsidRDefault="001941BD" w:rsidP="001941BD">
      <w:pPr>
        <w:jc w:val="center"/>
        <w:rPr>
          <w:sz w:val="28"/>
          <w:szCs w:val="28"/>
        </w:rPr>
      </w:pPr>
    </w:p>
    <w:p w14:paraId="0E6ABA0A" w14:textId="77777777" w:rsidR="001941BD" w:rsidRPr="001941BD" w:rsidRDefault="001941BD" w:rsidP="001941BD">
      <w:pPr>
        <w:jc w:val="center"/>
        <w:rPr>
          <w:sz w:val="28"/>
          <w:szCs w:val="28"/>
        </w:rPr>
      </w:pPr>
    </w:p>
    <w:p w14:paraId="2F6FBBAB" w14:textId="77777777" w:rsidR="001941BD" w:rsidRPr="001941BD" w:rsidRDefault="001941BD" w:rsidP="001941BD">
      <w:pPr>
        <w:jc w:val="center"/>
        <w:rPr>
          <w:sz w:val="28"/>
          <w:szCs w:val="28"/>
        </w:rPr>
      </w:pPr>
    </w:p>
    <w:p w14:paraId="18FD8FB1" w14:textId="77777777" w:rsidR="001941BD" w:rsidRPr="001941BD" w:rsidRDefault="001941BD" w:rsidP="001941BD">
      <w:pPr>
        <w:jc w:val="center"/>
        <w:rPr>
          <w:sz w:val="28"/>
          <w:szCs w:val="28"/>
        </w:rPr>
      </w:pPr>
    </w:p>
    <w:p w14:paraId="527E4521" w14:textId="77777777" w:rsidR="001941BD" w:rsidRPr="001941BD" w:rsidRDefault="001941BD" w:rsidP="001941BD">
      <w:pPr>
        <w:jc w:val="center"/>
        <w:rPr>
          <w:sz w:val="28"/>
          <w:szCs w:val="28"/>
        </w:rPr>
      </w:pPr>
    </w:p>
    <w:p w14:paraId="512ED5EF" w14:textId="77777777" w:rsidR="001941BD" w:rsidRPr="001941BD" w:rsidRDefault="001941BD" w:rsidP="001941BD">
      <w:pPr>
        <w:jc w:val="center"/>
        <w:rPr>
          <w:sz w:val="28"/>
          <w:szCs w:val="28"/>
        </w:rPr>
      </w:pPr>
    </w:p>
    <w:p w14:paraId="0CD20E97" w14:textId="246C98E1" w:rsidR="001941BD" w:rsidRPr="001941BD" w:rsidRDefault="001941BD" w:rsidP="001941BD">
      <w:pPr>
        <w:jc w:val="center"/>
        <w:rPr>
          <w:b/>
          <w:sz w:val="28"/>
          <w:szCs w:val="28"/>
        </w:rPr>
      </w:pPr>
      <w:r w:rsidRPr="001941BD">
        <w:rPr>
          <w:b/>
          <w:sz w:val="28"/>
          <w:szCs w:val="28"/>
        </w:rPr>
        <w:t xml:space="preserve">WORK HEALTH AND SAFETY AMENDMENT REGULATION </w:t>
      </w:r>
      <w:r w:rsidR="009D1D56">
        <w:rPr>
          <w:b/>
          <w:sz w:val="28"/>
          <w:szCs w:val="28"/>
        </w:rPr>
        <w:t>2019</w:t>
      </w:r>
      <w:r w:rsidR="003A317C">
        <w:rPr>
          <w:b/>
          <w:sz w:val="28"/>
          <w:szCs w:val="28"/>
        </w:rPr>
        <w:t xml:space="preserve"> (No </w:t>
      </w:r>
      <w:r w:rsidR="00E663FA">
        <w:rPr>
          <w:b/>
          <w:sz w:val="28"/>
          <w:szCs w:val="28"/>
        </w:rPr>
        <w:t>1</w:t>
      </w:r>
      <w:r w:rsidRPr="00DE613A">
        <w:rPr>
          <w:b/>
          <w:sz w:val="28"/>
          <w:szCs w:val="28"/>
        </w:rPr>
        <w:t>)</w:t>
      </w:r>
    </w:p>
    <w:p w14:paraId="4BEC5916" w14:textId="24A9EA2B" w:rsidR="001941BD" w:rsidRPr="001941BD" w:rsidRDefault="007545CD" w:rsidP="001941BD">
      <w:pPr>
        <w:jc w:val="center"/>
        <w:rPr>
          <w:b/>
          <w:sz w:val="28"/>
          <w:szCs w:val="28"/>
        </w:rPr>
      </w:pPr>
      <w:r>
        <w:rPr>
          <w:b/>
          <w:sz w:val="28"/>
          <w:szCs w:val="28"/>
        </w:rPr>
        <w:t>Subordinate Law</w:t>
      </w:r>
      <w:r w:rsidR="001941BD" w:rsidRPr="001941BD">
        <w:rPr>
          <w:b/>
          <w:sz w:val="28"/>
          <w:szCs w:val="28"/>
        </w:rPr>
        <w:t xml:space="preserve"> SL201</w:t>
      </w:r>
      <w:r w:rsidR="009D1D56">
        <w:rPr>
          <w:b/>
          <w:sz w:val="28"/>
          <w:szCs w:val="28"/>
        </w:rPr>
        <w:t>9</w:t>
      </w:r>
      <w:r w:rsidR="00A97FD7">
        <w:rPr>
          <w:b/>
          <w:sz w:val="28"/>
          <w:szCs w:val="28"/>
        </w:rPr>
        <w:t>-</w:t>
      </w:r>
      <w:r w:rsidR="003F716B">
        <w:rPr>
          <w:b/>
          <w:sz w:val="28"/>
          <w:szCs w:val="28"/>
        </w:rPr>
        <w:t>3</w:t>
      </w:r>
    </w:p>
    <w:p w14:paraId="5D4B91DF" w14:textId="77777777" w:rsidR="001941BD" w:rsidRPr="001941BD" w:rsidRDefault="001941BD" w:rsidP="001941BD">
      <w:pPr>
        <w:jc w:val="center"/>
        <w:rPr>
          <w:b/>
          <w:sz w:val="28"/>
          <w:szCs w:val="28"/>
        </w:rPr>
      </w:pPr>
    </w:p>
    <w:p w14:paraId="3727F05A" w14:textId="77777777" w:rsidR="001941BD" w:rsidRPr="001941BD" w:rsidRDefault="001941BD" w:rsidP="001941BD">
      <w:pPr>
        <w:jc w:val="center"/>
        <w:rPr>
          <w:b/>
          <w:sz w:val="28"/>
          <w:szCs w:val="28"/>
        </w:rPr>
      </w:pPr>
    </w:p>
    <w:p w14:paraId="123C8C75" w14:textId="77777777" w:rsidR="001941BD" w:rsidRPr="001941BD" w:rsidRDefault="001941BD" w:rsidP="001941BD">
      <w:pPr>
        <w:jc w:val="center"/>
        <w:rPr>
          <w:b/>
          <w:sz w:val="28"/>
          <w:szCs w:val="28"/>
        </w:rPr>
      </w:pPr>
    </w:p>
    <w:p w14:paraId="37E51D3A" w14:textId="77777777" w:rsidR="001941BD" w:rsidRPr="001941BD" w:rsidRDefault="001941BD" w:rsidP="001941BD">
      <w:pPr>
        <w:jc w:val="center"/>
        <w:rPr>
          <w:b/>
          <w:sz w:val="28"/>
          <w:szCs w:val="28"/>
        </w:rPr>
      </w:pPr>
    </w:p>
    <w:p w14:paraId="6B9F00CD" w14:textId="77777777" w:rsidR="001941BD" w:rsidRPr="001941BD" w:rsidRDefault="001941BD" w:rsidP="001941BD">
      <w:pPr>
        <w:jc w:val="center"/>
        <w:rPr>
          <w:b/>
          <w:sz w:val="28"/>
          <w:szCs w:val="28"/>
        </w:rPr>
      </w:pPr>
    </w:p>
    <w:p w14:paraId="4DEEA44B" w14:textId="77777777" w:rsidR="001941BD" w:rsidRPr="001941BD" w:rsidRDefault="001941BD" w:rsidP="001941BD">
      <w:pPr>
        <w:jc w:val="center"/>
        <w:rPr>
          <w:b/>
          <w:sz w:val="28"/>
          <w:szCs w:val="28"/>
        </w:rPr>
      </w:pPr>
    </w:p>
    <w:p w14:paraId="5721B9C5" w14:textId="1BE631B8" w:rsidR="001941BD" w:rsidRPr="001941BD" w:rsidRDefault="001941BD" w:rsidP="001941BD">
      <w:pPr>
        <w:jc w:val="center"/>
        <w:rPr>
          <w:b/>
          <w:sz w:val="28"/>
          <w:szCs w:val="28"/>
        </w:rPr>
      </w:pPr>
      <w:r w:rsidRPr="001941BD">
        <w:rPr>
          <w:b/>
          <w:sz w:val="28"/>
          <w:szCs w:val="28"/>
        </w:rPr>
        <w:t xml:space="preserve">Prepared in accordance with the </w:t>
      </w:r>
    </w:p>
    <w:p w14:paraId="43E0A351" w14:textId="5F8BB9FB" w:rsidR="001941BD" w:rsidRPr="001941BD" w:rsidRDefault="001941BD" w:rsidP="001941BD">
      <w:pPr>
        <w:jc w:val="center"/>
        <w:rPr>
          <w:b/>
          <w:sz w:val="28"/>
          <w:szCs w:val="28"/>
        </w:rPr>
      </w:pPr>
      <w:r w:rsidRPr="001941BD">
        <w:rPr>
          <w:b/>
          <w:i/>
          <w:sz w:val="28"/>
          <w:szCs w:val="28"/>
        </w:rPr>
        <w:t>Legislation Act 2001</w:t>
      </w:r>
      <w:r w:rsidRPr="001941BD">
        <w:rPr>
          <w:b/>
          <w:sz w:val="28"/>
          <w:szCs w:val="28"/>
        </w:rPr>
        <w:t>, section 34</w:t>
      </w:r>
    </w:p>
    <w:p w14:paraId="2B9A7123" w14:textId="77777777" w:rsidR="001941BD" w:rsidRDefault="001941BD" w:rsidP="001941BD">
      <w:pPr>
        <w:pStyle w:val="Title"/>
        <w:rPr>
          <w:b/>
        </w:rPr>
      </w:pPr>
    </w:p>
    <w:p w14:paraId="574209E0" w14:textId="77777777" w:rsidR="001941BD" w:rsidRDefault="001941BD" w:rsidP="001941BD"/>
    <w:p w14:paraId="1B81CABE" w14:textId="77777777" w:rsidR="001941BD" w:rsidRPr="001941BD" w:rsidRDefault="001941BD" w:rsidP="001941BD"/>
    <w:p w14:paraId="5EF31944" w14:textId="77777777" w:rsidR="001941BD" w:rsidRDefault="001941BD" w:rsidP="001941BD">
      <w:pPr>
        <w:pStyle w:val="Title"/>
        <w:rPr>
          <w:b/>
        </w:rPr>
      </w:pPr>
    </w:p>
    <w:p w14:paraId="12548589" w14:textId="77777777" w:rsidR="00C8673F" w:rsidRDefault="00C8673F" w:rsidP="00C8673F">
      <w:pPr>
        <w:spacing w:after="0"/>
        <w:rPr>
          <w:rFonts w:asciiTheme="majorHAnsi" w:eastAsiaTheme="majorEastAsia" w:hAnsiTheme="majorHAnsi" w:cstheme="majorBidi"/>
          <w:b/>
          <w:spacing w:val="-10"/>
          <w:kern w:val="28"/>
          <w:sz w:val="56"/>
          <w:szCs w:val="56"/>
        </w:rPr>
      </w:pPr>
    </w:p>
    <w:p w14:paraId="019FCB98" w14:textId="77777777" w:rsidR="00C8673F" w:rsidRDefault="00C8673F" w:rsidP="00C8673F">
      <w:pPr>
        <w:spacing w:after="0"/>
        <w:rPr>
          <w:rFonts w:asciiTheme="majorHAnsi" w:eastAsiaTheme="majorEastAsia" w:hAnsiTheme="majorHAnsi" w:cstheme="majorBidi"/>
          <w:b/>
          <w:spacing w:val="-10"/>
          <w:kern w:val="28"/>
          <w:sz w:val="56"/>
          <w:szCs w:val="56"/>
        </w:rPr>
      </w:pPr>
    </w:p>
    <w:p w14:paraId="188E06B5" w14:textId="1F9D01F9" w:rsidR="00C8673F" w:rsidRPr="006D5EB9" w:rsidRDefault="00C8673F" w:rsidP="006D5EB9">
      <w:pPr>
        <w:spacing w:after="120" w:line="240" w:lineRule="auto"/>
        <w:rPr>
          <w:rFonts w:eastAsiaTheme="majorEastAsia" w:cstheme="majorBidi"/>
          <w:b/>
          <w:spacing w:val="-10"/>
          <w:kern w:val="28"/>
          <w:sz w:val="24"/>
          <w:szCs w:val="24"/>
        </w:rPr>
      </w:pPr>
      <w:r w:rsidRPr="00BE08E6">
        <w:rPr>
          <w:rFonts w:eastAsiaTheme="majorEastAsia" w:cstheme="majorBidi"/>
          <w:b/>
          <w:spacing w:val="-10"/>
          <w:kern w:val="28"/>
          <w:sz w:val="24"/>
          <w:szCs w:val="24"/>
        </w:rPr>
        <w:t xml:space="preserve">Overview </w:t>
      </w:r>
    </w:p>
    <w:p w14:paraId="2129E9CF" w14:textId="7531B20C" w:rsidR="00BE08E6" w:rsidRDefault="00C8673F" w:rsidP="00C8673F">
      <w:pPr>
        <w:spacing w:after="0"/>
        <w:rPr>
          <w:sz w:val="24"/>
          <w:szCs w:val="24"/>
        </w:rPr>
      </w:pPr>
      <w:r w:rsidRPr="00BE08E6">
        <w:rPr>
          <w:rFonts w:eastAsiaTheme="majorEastAsia" w:cstheme="majorBidi"/>
          <w:spacing w:val="-10"/>
          <w:kern w:val="28"/>
          <w:sz w:val="24"/>
          <w:szCs w:val="24"/>
        </w:rPr>
        <w:t xml:space="preserve">This regulatory impact statement relates to the </w:t>
      </w:r>
      <w:r w:rsidRPr="00BE08E6">
        <w:rPr>
          <w:rFonts w:eastAsiaTheme="majorEastAsia" w:cstheme="majorBidi"/>
          <w:i/>
          <w:spacing w:val="-10"/>
          <w:kern w:val="28"/>
          <w:sz w:val="24"/>
          <w:szCs w:val="24"/>
        </w:rPr>
        <w:t>Work Health and Safety</w:t>
      </w:r>
      <w:r w:rsidR="00AA74F0">
        <w:rPr>
          <w:rFonts w:eastAsiaTheme="majorEastAsia" w:cstheme="majorBidi"/>
          <w:i/>
          <w:spacing w:val="-10"/>
          <w:kern w:val="28"/>
          <w:sz w:val="24"/>
          <w:szCs w:val="24"/>
        </w:rPr>
        <w:t xml:space="preserve"> Amendment Regulation </w:t>
      </w:r>
      <w:r w:rsidR="009D1D56">
        <w:rPr>
          <w:rFonts w:eastAsiaTheme="majorEastAsia" w:cstheme="majorBidi"/>
          <w:i/>
          <w:spacing w:val="-10"/>
          <w:kern w:val="28"/>
          <w:sz w:val="24"/>
          <w:szCs w:val="24"/>
        </w:rPr>
        <w:t>2019</w:t>
      </w:r>
      <w:r w:rsidR="00AA74F0">
        <w:rPr>
          <w:rFonts w:eastAsiaTheme="majorEastAsia" w:cstheme="majorBidi"/>
          <w:i/>
          <w:spacing w:val="-10"/>
          <w:kern w:val="28"/>
          <w:sz w:val="24"/>
          <w:szCs w:val="24"/>
        </w:rPr>
        <w:t xml:space="preserve"> (</w:t>
      </w:r>
      <w:r w:rsidR="00AA74F0" w:rsidRPr="00885FDC">
        <w:rPr>
          <w:rFonts w:eastAsiaTheme="majorEastAsia" w:cstheme="majorBidi"/>
          <w:i/>
          <w:spacing w:val="-10"/>
          <w:kern w:val="28"/>
          <w:sz w:val="24"/>
          <w:szCs w:val="24"/>
        </w:rPr>
        <w:t xml:space="preserve">No </w:t>
      </w:r>
      <w:r w:rsidR="00E663FA">
        <w:rPr>
          <w:rFonts w:eastAsiaTheme="majorEastAsia" w:cstheme="majorBidi"/>
          <w:i/>
          <w:spacing w:val="-10"/>
          <w:kern w:val="28"/>
          <w:sz w:val="24"/>
          <w:szCs w:val="24"/>
        </w:rPr>
        <w:t>1</w:t>
      </w:r>
      <w:r w:rsidRPr="00BE08E6">
        <w:rPr>
          <w:rFonts w:eastAsiaTheme="majorEastAsia" w:cstheme="majorBidi"/>
          <w:i/>
          <w:spacing w:val="-10"/>
          <w:kern w:val="28"/>
          <w:sz w:val="24"/>
          <w:szCs w:val="24"/>
        </w:rPr>
        <w:t xml:space="preserve">) </w:t>
      </w:r>
      <w:r w:rsidR="00677480">
        <w:rPr>
          <w:sz w:val="24"/>
          <w:szCs w:val="24"/>
        </w:rPr>
        <w:t xml:space="preserve">(the proposed law). The proposed law will amend the </w:t>
      </w:r>
      <w:r w:rsidR="00677480">
        <w:rPr>
          <w:i/>
          <w:sz w:val="24"/>
          <w:szCs w:val="24"/>
        </w:rPr>
        <w:t>Work Health and Safety Regulation 2011</w:t>
      </w:r>
      <w:r w:rsidR="00677480">
        <w:rPr>
          <w:sz w:val="24"/>
          <w:szCs w:val="24"/>
        </w:rPr>
        <w:t xml:space="preserve"> (WHS Regulation) </w:t>
      </w:r>
      <w:r w:rsidR="00BE08E6" w:rsidRPr="00BE08E6">
        <w:rPr>
          <w:sz w:val="24"/>
          <w:szCs w:val="24"/>
        </w:rPr>
        <w:t xml:space="preserve">to </w:t>
      </w:r>
      <w:r w:rsidR="00836EBD">
        <w:rPr>
          <w:sz w:val="24"/>
          <w:szCs w:val="24"/>
        </w:rPr>
        <w:t>require a person conducting a business or undertaking (PCBU) to ensure</w:t>
      </w:r>
      <w:r w:rsidR="00CC46A7">
        <w:rPr>
          <w:sz w:val="24"/>
          <w:szCs w:val="24"/>
        </w:rPr>
        <w:t xml:space="preserve"> </w:t>
      </w:r>
      <w:r w:rsidR="00836EBD">
        <w:rPr>
          <w:sz w:val="24"/>
          <w:szCs w:val="24"/>
        </w:rPr>
        <w:t xml:space="preserve">that </w:t>
      </w:r>
      <w:r w:rsidR="00CC46A7">
        <w:rPr>
          <w:sz w:val="24"/>
          <w:szCs w:val="24"/>
        </w:rPr>
        <w:t>workers</w:t>
      </w:r>
      <w:r w:rsidR="00836EBD">
        <w:rPr>
          <w:sz w:val="24"/>
          <w:szCs w:val="24"/>
        </w:rPr>
        <w:t xml:space="preserve"> engaged by the PCBU</w:t>
      </w:r>
      <w:r w:rsidR="00CC46A7">
        <w:rPr>
          <w:sz w:val="24"/>
          <w:szCs w:val="24"/>
        </w:rPr>
        <w:t xml:space="preserve"> in certain occupations </w:t>
      </w:r>
      <w:r w:rsidR="00836EBD">
        <w:rPr>
          <w:sz w:val="24"/>
          <w:szCs w:val="24"/>
        </w:rPr>
        <w:t xml:space="preserve">are trained in the </w:t>
      </w:r>
      <w:r w:rsidR="0072126A">
        <w:rPr>
          <w:sz w:val="24"/>
          <w:szCs w:val="24"/>
        </w:rPr>
        <w:t>c</w:t>
      </w:r>
      <w:r w:rsidR="00836EBD">
        <w:rPr>
          <w:sz w:val="24"/>
          <w:szCs w:val="24"/>
        </w:rPr>
        <w:t>ourse in</w:t>
      </w:r>
      <w:r w:rsidR="00BE08E6" w:rsidRPr="00BE08E6">
        <w:rPr>
          <w:sz w:val="24"/>
          <w:szCs w:val="24"/>
        </w:rPr>
        <w:t xml:space="preserve"> Working Safely with Asbestos Containing Materials (</w:t>
      </w:r>
      <w:r w:rsidR="00552138">
        <w:rPr>
          <w:sz w:val="24"/>
          <w:szCs w:val="24"/>
        </w:rPr>
        <w:t>ACMs</w:t>
      </w:r>
      <w:r w:rsidR="00836EBD">
        <w:rPr>
          <w:sz w:val="24"/>
          <w:szCs w:val="24"/>
        </w:rPr>
        <w:t>)</w:t>
      </w:r>
      <w:r w:rsidR="00CC46A7">
        <w:rPr>
          <w:sz w:val="24"/>
          <w:szCs w:val="24"/>
        </w:rPr>
        <w:t xml:space="preserve">. </w:t>
      </w:r>
    </w:p>
    <w:p w14:paraId="5A8D2FDE" w14:textId="77777777" w:rsidR="00621105" w:rsidRPr="006359B9" w:rsidRDefault="00621105" w:rsidP="00C8673F">
      <w:pPr>
        <w:spacing w:after="0"/>
        <w:rPr>
          <w:sz w:val="24"/>
          <w:szCs w:val="24"/>
        </w:rPr>
      </w:pPr>
    </w:p>
    <w:p w14:paraId="6F89F0C7" w14:textId="2329E210" w:rsidR="00641DB3" w:rsidRPr="006D5EB9" w:rsidRDefault="00BE08E6" w:rsidP="006D5EB9">
      <w:pPr>
        <w:spacing w:after="120" w:line="240" w:lineRule="auto"/>
        <w:rPr>
          <w:b/>
          <w:sz w:val="24"/>
          <w:szCs w:val="24"/>
        </w:rPr>
      </w:pPr>
      <w:r w:rsidRPr="00BE08E6">
        <w:rPr>
          <w:b/>
          <w:sz w:val="24"/>
          <w:szCs w:val="24"/>
        </w:rPr>
        <w:t xml:space="preserve">Background </w:t>
      </w:r>
    </w:p>
    <w:p w14:paraId="3FAE3F09" w14:textId="6EEA3E01" w:rsidR="00FF1589" w:rsidRDefault="0072126A" w:rsidP="00E56AFC">
      <w:pPr>
        <w:jc w:val="both"/>
        <w:rPr>
          <w:sz w:val="24"/>
          <w:szCs w:val="24"/>
        </w:rPr>
      </w:pPr>
      <w:r>
        <w:rPr>
          <w:sz w:val="24"/>
          <w:szCs w:val="24"/>
        </w:rPr>
        <w:t>A</w:t>
      </w:r>
      <w:r w:rsidR="00471CF1" w:rsidRPr="00BE08E6">
        <w:rPr>
          <w:sz w:val="24"/>
          <w:szCs w:val="24"/>
        </w:rPr>
        <w:t xml:space="preserve"> gap </w:t>
      </w:r>
      <w:r>
        <w:rPr>
          <w:sz w:val="24"/>
          <w:szCs w:val="24"/>
        </w:rPr>
        <w:t xml:space="preserve">has been identified </w:t>
      </w:r>
      <w:r w:rsidR="00471CF1" w:rsidRPr="00BE08E6">
        <w:rPr>
          <w:sz w:val="24"/>
          <w:szCs w:val="24"/>
        </w:rPr>
        <w:t xml:space="preserve">in training for workers who </w:t>
      </w:r>
      <w:r w:rsidR="000B48D8">
        <w:rPr>
          <w:sz w:val="24"/>
          <w:szCs w:val="24"/>
        </w:rPr>
        <w:t xml:space="preserve">are not licenced asbestos removalists but </w:t>
      </w:r>
      <w:r w:rsidR="00471CF1" w:rsidRPr="00BE08E6">
        <w:rPr>
          <w:sz w:val="24"/>
          <w:szCs w:val="24"/>
        </w:rPr>
        <w:t xml:space="preserve">may be required to disturb asbestos as part of minor or routine maintenance work, </w:t>
      </w:r>
      <w:r w:rsidR="000B48D8">
        <w:rPr>
          <w:sz w:val="24"/>
          <w:szCs w:val="24"/>
        </w:rPr>
        <w:t>or other minor work</w:t>
      </w:r>
      <w:r w:rsidR="00014FB9">
        <w:rPr>
          <w:sz w:val="24"/>
          <w:szCs w:val="24"/>
        </w:rPr>
        <w:t>. A</w:t>
      </w:r>
      <w:r w:rsidR="00F342FD">
        <w:rPr>
          <w:sz w:val="24"/>
          <w:szCs w:val="24"/>
        </w:rPr>
        <w:t xml:space="preserve"> PCBU may allow or direct them</w:t>
      </w:r>
      <w:r w:rsidR="00641DB3">
        <w:rPr>
          <w:sz w:val="24"/>
          <w:szCs w:val="24"/>
        </w:rPr>
        <w:t xml:space="preserve"> to do </w:t>
      </w:r>
      <w:r w:rsidR="00014FB9">
        <w:rPr>
          <w:sz w:val="24"/>
          <w:szCs w:val="24"/>
        </w:rPr>
        <w:t xml:space="preserve">so </w:t>
      </w:r>
      <w:r w:rsidR="00641DB3">
        <w:rPr>
          <w:sz w:val="24"/>
          <w:szCs w:val="24"/>
        </w:rPr>
        <w:t>under s</w:t>
      </w:r>
      <w:r w:rsidR="00471CF1">
        <w:rPr>
          <w:sz w:val="24"/>
          <w:szCs w:val="24"/>
        </w:rPr>
        <w:t>ection 419(3)(k) of t</w:t>
      </w:r>
      <w:r w:rsidR="00A350B8" w:rsidRPr="00BE08E6">
        <w:rPr>
          <w:sz w:val="24"/>
          <w:szCs w:val="24"/>
        </w:rPr>
        <w:t xml:space="preserve">he </w:t>
      </w:r>
      <w:r w:rsidR="00641DB3">
        <w:rPr>
          <w:sz w:val="24"/>
          <w:szCs w:val="24"/>
        </w:rPr>
        <w:t xml:space="preserve">WHS Regulation. </w:t>
      </w:r>
      <w:r w:rsidR="00471CF1">
        <w:rPr>
          <w:sz w:val="24"/>
          <w:szCs w:val="24"/>
        </w:rPr>
        <w:t>Stakeholders have suggested that t</w:t>
      </w:r>
      <w:r w:rsidR="00A350B8" w:rsidRPr="00BE08E6">
        <w:rPr>
          <w:sz w:val="24"/>
          <w:szCs w:val="24"/>
        </w:rPr>
        <w:t xml:space="preserve">his </w:t>
      </w:r>
      <w:r w:rsidR="00471CF1">
        <w:rPr>
          <w:sz w:val="24"/>
          <w:szCs w:val="24"/>
        </w:rPr>
        <w:t xml:space="preserve">gap in training </w:t>
      </w:r>
      <w:r w:rsidR="00A350B8" w:rsidRPr="00BE08E6">
        <w:rPr>
          <w:sz w:val="24"/>
          <w:szCs w:val="24"/>
        </w:rPr>
        <w:t xml:space="preserve">may lead to workers carrying out work on </w:t>
      </w:r>
      <w:r w:rsidR="006F5E3F">
        <w:rPr>
          <w:sz w:val="24"/>
          <w:szCs w:val="24"/>
        </w:rPr>
        <w:t>ACMs</w:t>
      </w:r>
      <w:r w:rsidR="00A350B8" w:rsidRPr="00BE08E6">
        <w:rPr>
          <w:sz w:val="24"/>
          <w:szCs w:val="24"/>
        </w:rPr>
        <w:t xml:space="preserve"> using unsafe practices that</w:t>
      </w:r>
      <w:r w:rsidR="00471CF1">
        <w:rPr>
          <w:sz w:val="24"/>
          <w:szCs w:val="24"/>
        </w:rPr>
        <w:t xml:space="preserve"> put health </w:t>
      </w:r>
      <w:r w:rsidR="00A350B8" w:rsidRPr="00BE08E6">
        <w:rPr>
          <w:sz w:val="24"/>
          <w:szCs w:val="24"/>
        </w:rPr>
        <w:t xml:space="preserve">at risk. </w:t>
      </w:r>
    </w:p>
    <w:p w14:paraId="3849B12B" w14:textId="77777777" w:rsidR="00621105" w:rsidRDefault="00621105" w:rsidP="00E56AFC">
      <w:pPr>
        <w:jc w:val="both"/>
        <w:rPr>
          <w:sz w:val="24"/>
          <w:szCs w:val="24"/>
        </w:rPr>
      </w:pPr>
    </w:p>
    <w:p w14:paraId="0E9C636F" w14:textId="1A316647" w:rsidR="00BE08E6" w:rsidRDefault="00BE08E6" w:rsidP="00E56AFC">
      <w:pPr>
        <w:jc w:val="both"/>
        <w:rPr>
          <w:sz w:val="24"/>
          <w:szCs w:val="24"/>
        </w:rPr>
      </w:pPr>
      <w:r>
        <w:rPr>
          <w:b/>
          <w:sz w:val="24"/>
          <w:szCs w:val="24"/>
        </w:rPr>
        <w:t xml:space="preserve">Information required by section 35 of the </w:t>
      </w:r>
      <w:r>
        <w:rPr>
          <w:b/>
          <w:i/>
          <w:sz w:val="24"/>
          <w:szCs w:val="24"/>
        </w:rPr>
        <w:t>Legislation Act 2001</w:t>
      </w:r>
      <w:r>
        <w:rPr>
          <w:sz w:val="24"/>
          <w:szCs w:val="24"/>
        </w:rPr>
        <w:t xml:space="preserve"> </w:t>
      </w:r>
    </w:p>
    <w:p w14:paraId="38E15A15" w14:textId="77777777" w:rsidR="00621105" w:rsidRPr="00766E34" w:rsidRDefault="00621105" w:rsidP="00E56AFC">
      <w:pPr>
        <w:jc w:val="both"/>
        <w:rPr>
          <w:b/>
          <w:sz w:val="24"/>
          <w:szCs w:val="24"/>
        </w:rPr>
      </w:pPr>
    </w:p>
    <w:p w14:paraId="7AFD5513" w14:textId="1250D82C" w:rsidR="00BE08E6" w:rsidRDefault="00BE08E6" w:rsidP="006D5EB9">
      <w:pPr>
        <w:pStyle w:val="ListParagraph"/>
        <w:numPr>
          <w:ilvl w:val="0"/>
          <w:numId w:val="23"/>
        </w:numPr>
        <w:spacing w:before="120" w:after="120" w:line="240" w:lineRule="auto"/>
        <w:ind w:left="357" w:hanging="357"/>
        <w:jc w:val="both"/>
        <w:rPr>
          <w:b/>
          <w:sz w:val="24"/>
          <w:szCs w:val="24"/>
        </w:rPr>
      </w:pPr>
      <w:r>
        <w:rPr>
          <w:b/>
          <w:sz w:val="24"/>
          <w:szCs w:val="24"/>
        </w:rPr>
        <w:t xml:space="preserve">The authorising law </w:t>
      </w:r>
    </w:p>
    <w:p w14:paraId="76F4F58B" w14:textId="7D340A96" w:rsidR="00DD754D" w:rsidRDefault="00766E34" w:rsidP="00DD754D">
      <w:pPr>
        <w:spacing w:after="120" w:line="240" w:lineRule="auto"/>
        <w:jc w:val="both"/>
        <w:rPr>
          <w:sz w:val="24"/>
          <w:szCs w:val="24"/>
        </w:rPr>
      </w:pPr>
      <w:r w:rsidRPr="0086236E">
        <w:rPr>
          <w:sz w:val="24"/>
          <w:szCs w:val="24"/>
        </w:rPr>
        <w:t xml:space="preserve">The WHS Act is the authorising law for the proposed law. </w:t>
      </w:r>
      <w:r w:rsidR="0086236E">
        <w:rPr>
          <w:sz w:val="24"/>
          <w:szCs w:val="24"/>
        </w:rPr>
        <w:t>Section 276</w:t>
      </w:r>
      <w:r w:rsidR="00DD754D">
        <w:rPr>
          <w:sz w:val="24"/>
          <w:szCs w:val="24"/>
        </w:rPr>
        <w:t>(1)</w:t>
      </w:r>
      <w:r w:rsidR="0086236E">
        <w:rPr>
          <w:sz w:val="24"/>
          <w:szCs w:val="24"/>
        </w:rPr>
        <w:t xml:space="preserve"> of the WHS Act </w:t>
      </w:r>
      <w:r w:rsidR="00F97347">
        <w:rPr>
          <w:sz w:val="24"/>
          <w:szCs w:val="24"/>
        </w:rPr>
        <w:t>enables the Executive to make regulations in relation to any matter relating to work health and safety</w:t>
      </w:r>
      <w:r w:rsidR="00DD754D">
        <w:rPr>
          <w:sz w:val="24"/>
          <w:szCs w:val="24"/>
        </w:rPr>
        <w:t xml:space="preserve"> under the Act</w:t>
      </w:r>
      <w:r w:rsidR="00F97347">
        <w:rPr>
          <w:sz w:val="24"/>
          <w:szCs w:val="24"/>
        </w:rPr>
        <w:t xml:space="preserve">. </w:t>
      </w:r>
      <w:r w:rsidR="00DD754D">
        <w:rPr>
          <w:sz w:val="24"/>
          <w:szCs w:val="24"/>
        </w:rPr>
        <w:t xml:space="preserve">Furthermore, subsection 276(2) provides that a regulation may make provision in relation to matters set out in schedule 3, including: the way in which duties imposed by the Act are performed, and matters relating to the regulation of specified activities at workplaces. </w:t>
      </w:r>
    </w:p>
    <w:p w14:paraId="705E9FC4" w14:textId="53D77932" w:rsidR="00CD05C3" w:rsidRDefault="00DD754D" w:rsidP="00DD754D">
      <w:pPr>
        <w:spacing w:after="120" w:line="240" w:lineRule="auto"/>
        <w:jc w:val="both"/>
        <w:rPr>
          <w:sz w:val="24"/>
          <w:szCs w:val="24"/>
        </w:rPr>
      </w:pPr>
      <w:r>
        <w:rPr>
          <w:sz w:val="24"/>
          <w:szCs w:val="24"/>
        </w:rPr>
        <w:t>The proposed law would amend the WHS Regulation.</w:t>
      </w:r>
    </w:p>
    <w:p w14:paraId="7572317C" w14:textId="77777777" w:rsidR="00621105" w:rsidRPr="00DD754D" w:rsidRDefault="00621105" w:rsidP="00DD754D">
      <w:pPr>
        <w:spacing w:after="120" w:line="240" w:lineRule="auto"/>
        <w:jc w:val="both"/>
        <w:rPr>
          <w:sz w:val="24"/>
          <w:szCs w:val="24"/>
        </w:rPr>
      </w:pPr>
    </w:p>
    <w:p w14:paraId="551E9BEE" w14:textId="3AA91C36" w:rsidR="00BE08E6" w:rsidRDefault="00BE08E6" w:rsidP="006D5EB9">
      <w:pPr>
        <w:pStyle w:val="ListParagraph"/>
        <w:numPr>
          <w:ilvl w:val="0"/>
          <w:numId w:val="23"/>
        </w:numPr>
        <w:spacing w:before="120" w:after="120" w:line="240" w:lineRule="auto"/>
        <w:ind w:left="357" w:hanging="357"/>
        <w:jc w:val="both"/>
        <w:rPr>
          <w:b/>
          <w:sz w:val="24"/>
          <w:szCs w:val="24"/>
        </w:rPr>
      </w:pPr>
      <w:r>
        <w:rPr>
          <w:b/>
          <w:sz w:val="24"/>
          <w:szCs w:val="24"/>
        </w:rPr>
        <w:t xml:space="preserve">Policy objectives of the proposed law </w:t>
      </w:r>
    </w:p>
    <w:p w14:paraId="4F1AFD2E" w14:textId="77777777" w:rsidR="00844782" w:rsidRDefault="00104507" w:rsidP="006359B9">
      <w:pPr>
        <w:spacing w:after="120" w:line="240" w:lineRule="auto"/>
        <w:jc w:val="both"/>
        <w:rPr>
          <w:sz w:val="24"/>
          <w:szCs w:val="24"/>
        </w:rPr>
      </w:pPr>
      <w:r>
        <w:rPr>
          <w:sz w:val="24"/>
          <w:szCs w:val="24"/>
        </w:rPr>
        <w:t>The objective</w:t>
      </w:r>
      <w:r w:rsidR="00844782">
        <w:rPr>
          <w:sz w:val="24"/>
          <w:szCs w:val="24"/>
        </w:rPr>
        <w:t>s</w:t>
      </w:r>
      <w:r>
        <w:rPr>
          <w:sz w:val="24"/>
          <w:szCs w:val="24"/>
        </w:rPr>
        <w:t xml:space="preserve"> of the proposed law </w:t>
      </w:r>
      <w:r w:rsidR="00844782">
        <w:rPr>
          <w:sz w:val="24"/>
          <w:szCs w:val="24"/>
        </w:rPr>
        <w:t xml:space="preserve">are: </w:t>
      </w:r>
    </w:p>
    <w:p w14:paraId="53521CEE" w14:textId="2B5992DE" w:rsidR="00104507" w:rsidRDefault="00104507" w:rsidP="006359B9">
      <w:pPr>
        <w:pStyle w:val="ListParagraph"/>
        <w:numPr>
          <w:ilvl w:val="0"/>
          <w:numId w:val="27"/>
        </w:numPr>
        <w:spacing w:after="120" w:line="240" w:lineRule="auto"/>
        <w:jc w:val="both"/>
        <w:rPr>
          <w:sz w:val="24"/>
          <w:szCs w:val="24"/>
        </w:rPr>
      </w:pPr>
      <w:r w:rsidRPr="00844782">
        <w:rPr>
          <w:sz w:val="24"/>
          <w:szCs w:val="24"/>
        </w:rPr>
        <w:t xml:space="preserve">to provide </w:t>
      </w:r>
      <w:r w:rsidR="0072126A">
        <w:rPr>
          <w:sz w:val="24"/>
          <w:szCs w:val="24"/>
        </w:rPr>
        <w:t xml:space="preserve">enhanced </w:t>
      </w:r>
      <w:r w:rsidRPr="00844782">
        <w:rPr>
          <w:sz w:val="24"/>
          <w:szCs w:val="24"/>
        </w:rPr>
        <w:t xml:space="preserve">protection for workers who may be required to carry out minor or routine maintenance work or other minor work on </w:t>
      </w:r>
      <w:r w:rsidR="006F5E3F">
        <w:rPr>
          <w:sz w:val="24"/>
          <w:szCs w:val="24"/>
        </w:rPr>
        <w:t>ACMs</w:t>
      </w:r>
      <w:r w:rsidRPr="00844782">
        <w:rPr>
          <w:sz w:val="24"/>
          <w:szCs w:val="24"/>
        </w:rPr>
        <w:t xml:space="preserve"> for a </w:t>
      </w:r>
      <w:r w:rsidR="006F5E3F">
        <w:rPr>
          <w:sz w:val="24"/>
          <w:szCs w:val="24"/>
        </w:rPr>
        <w:t>PCBU</w:t>
      </w:r>
      <w:r w:rsidRPr="00844782">
        <w:rPr>
          <w:sz w:val="24"/>
          <w:szCs w:val="24"/>
        </w:rPr>
        <w:t xml:space="preserve"> by providing ma</w:t>
      </w:r>
      <w:r w:rsidR="00844782">
        <w:rPr>
          <w:sz w:val="24"/>
          <w:szCs w:val="24"/>
        </w:rPr>
        <w:t xml:space="preserve">ndatory training; </w:t>
      </w:r>
    </w:p>
    <w:p w14:paraId="29C5395F" w14:textId="266414B5" w:rsidR="00844782" w:rsidRDefault="00844782" w:rsidP="006359B9">
      <w:pPr>
        <w:pStyle w:val="ListParagraph"/>
        <w:numPr>
          <w:ilvl w:val="0"/>
          <w:numId w:val="27"/>
        </w:numPr>
        <w:spacing w:after="120" w:line="240" w:lineRule="auto"/>
        <w:jc w:val="both"/>
        <w:rPr>
          <w:sz w:val="24"/>
          <w:szCs w:val="24"/>
        </w:rPr>
      </w:pPr>
      <w:r>
        <w:rPr>
          <w:sz w:val="24"/>
          <w:szCs w:val="24"/>
        </w:rPr>
        <w:t>to</w:t>
      </w:r>
      <w:r w:rsidR="00641DB3">
        <w:rPr>
          <w:sz w:val="24"/>
          <w:szCs w:val="24"/>
        </w:rPr>
        <w:t xml:space="preserve"> </w:t>
      </w:r>
      <w:r>
        <w:rPr>
          <w:sz w:val="24"/>
          <w:szCs w:val="24"/>
        </w:rPr>
        <w:t>ensure workers that are likely to be required to perform this work are trained in h</w:t>
      </w:r>
      <w:r w:rsidR="00CF2D72">
        <w:rPr>
          <w:sz w:val="24"/>
          <w:szCs w:val="24"/>
        </w:rPr>
        <w:t>ow to do so safely;</w:t>
      </w:r>
    </w:p>
    <w:p w14:paraId="1CDDB316" w14:textId="3EC0EF48" w:rsidR="005F580C" w:rsidRPr="00844782" w:rsidRDefault="005F580C" w:rsidP="006359B9">
      <w:pPr>
        <w:pStyle w:val="ListParagraph"/>
        <w:numPr>
          <w:ilvl w:val="0"/>
          <w:numId w:val="27"/>
        </w:numPr>
        <w:spacing w:after="120" w:line="240" w:lineRule="auto"/>
        <w:jc w:val="both"/>
        <w:rPr>
          <w:sz w:val="24"/>
          <w:szCs w:val="24"/>
        </w:rPr>
      </w:pPr>
      <w:r>
        <w:rPr>
          <w:sz w:val="24"/>
          <w:szCs w:val="24"/>
        </w:rPr>
        <w:t xml:space="preserve">to ensure best practice </w:t>
      </w:r>
      <w:r w:rsidR="00EC050E">
        <w:rPr>
          <w:sz w:val="24"/>
          <w:szCs w:val="24"/>
        </w:rPr>
        <w:t xml:space="preserve">management </w:t>
      </w:r>
      <w:r w:rsidR="00621105">
        <w:rPr>
          <w:sz w:val="24"/>
          <w:szCs w:val="24"/>
        </w:rPr>
        <w:t>of asbestos in the workplace;</w:t>
      </w:r>
    </w:p>
    <w:p w14:paraId="79067982" w14:textId="315DEC62" w:rsidR="00CF2D72" w:rsidRPr="00CF2D72" w:rsidRDefault="00844782" w:rsidP="006359B9">
      <w:pPr>
        <w:pStyle w:val="ListParagraph"/>
        <w:numPr>
          <w:ilvl w:val="0"/>
          <w:numId w:val="27"/>
        </w:numPr>
        <w:spacing w:after="120" w:line="240" w:lineRule="auto"/>
        <w:jc w:val="both"/>
        <w:rPr>
          <w:b/>
          <w:sz w:val="24"/>
          <w:szCs w:val="24"/>
        </w:rPr>
      </w:pPr>
      <w:r>
        <w:rPr>
          <w:sz w:val="24"/>
          <w:szCs w:val="24"/>
        </w:rPr>
        <w:t>to reduce</w:t>
      </w:r>
      <w:r w:rsidR="00867F29">
        <w:rPr>
          <w:sz w:val="24"/>
          <w:szCs w:val="24"/>
        </w:rPr>
        <w:t xml:space="preserve"> </w:t>
      </w:r>
      <w:r>
        <w:rPr>
          <w:sz w:val="24"/>
          <w:szCs w:val="24"/>
        </w:rPr>
        <w:t>workers’</w:t>
      </w:r>
      <w:r w:rsidR="00867F29">
        <w:rPr>
          <w:sz w:val="24"/>
          <w:szCs w:val="24"/>
        </w:rPr>
        <w:t xml:space="preserve"> exposure to asbestos </w:t>
      </w:r>
      <w:r w:rsidR="00CF2D72">
        <w:rPr>
          <w:sz w:val="24"/>
          <w:szCs w:val="24"/>
        </w:rPr>
        <w:t>fibres; and</w:t>
      </w:r>
    </w:p>
    <w:p w14:paraId="6282335D" w14:textId="1D29A227" w:rsidR="00641DB3" w:rsidRPr="00B264C9" w:rsidRDefault="00CF2D72" w:rsidP="006359B9">
      <w:pPr>
        <w:pStyle w:val="ListParagraph"/>
        <w:numPr>
          <w:ilvl w:val="0"/>
          <w:numId w:val="27"/>
        </w:numPr>
        <w:spacing w:after="120" w:line="240" w:lineRule="auto"/>
        <w:jc w:val="both"/>
        <w:rPr>
          <w:b/>
          <w:sz w:val="24"/>
          <w:szCs w:val="24"/>
        </w:rPr>
      </w:pPr>
      <w:r>
        <w:rPr>
          <w:sz w:val="24"/>
          <w:szCs w:val="24"/>
        </w:rPr>
        <w:t xml:space="preserve">in the longer term, to reduce incidence of asbestos related diseases. </w:t>
      </w:r>
    </w:p>
    <w:p w14:paraId="51734894" w14:textId="2E71514A" w:rsidR="004F6FC6" w:rsidRDefault="00641DB3" w:rsidP="006359B9">
      <w:pPr>
        <w:spacing w:after="120" w:line="240" w:lineRule="auto"/>
        <w:rPr>
          <w:sz w:val="24"/>
          <w:szCs w:val="24"/>
        </w:rPr>
      </w:pPr>
      <w:r>
        <w:rPr>
          <w:sz w:val="24"/>
          <w:szCs w:val="24"/>
        </w:rPr>
        <w:t xml:space="preserve">Asbestos </w:t>
      </w:r>
      <w:r w:rsidR="00D77A0A">
        <w:rPr>
          <w:sz w:val="24"/>
          <w:szCs w:val="24"/>
        </w:rPr>
        <w:t>is an ongoing</w:t>
      </w:r>
      <w:r>
        <w:rPr>
          <w:sz w:val="24"/>
          <w:szCs w:val="24"/>
        </w:rPr>
        <w:t xml:space="preserve"> risk to </w:t>
      </w:r>
      <w:r w:rsidR="001D6EE1">
        <w:rPr>
          <w:sz w:val="24"/>
          <w:szCs w:val="24"/>
        </w:rPr>
        <w:t>the community, and in particular, the</w:t>
      </w:r>
      <w:r>
        <w:rPr>
          <w:sz w:val="24"/>
          <w:szCs w:val="24"/>
        </w:rPr>
        <w:t xml:space="preserve"> health and safety</w:t>
      </w:r>
      <w:r w:rsidR="001D6EE1">
        <w:rPr>
          <w:sz w:val="24"/>
          <w:szCs w:val="24"/>
        </w:rPr>
        <w:t xml:space="preserve"> of workers</w:t>
      </w:r>
      <w:r>
        <w:rPr>
          <w:sz w:val="24"/>
          <w:szCs w:val="24"/>
        </w:rPr>
        <w:t>.</w:t>
      </w:r>
      <w:r w:rsidRPr="00F73886">
        <w:rPr>
          <w:sz w:val="24"/>
          <w:szCs w:val="24"/>
        </w:rPr>
        <w:t xml:space="preserve"> </w:t>
      </w:r>
      <w:r>
        <w:rPr>
          <w:sz w:val="24"/>
          <w:szCs w:val="24"/>
        </w:rPr>
        <w:t xml:space="preserve">ACMs are present in a substantial proportion of buildings in the ACT due to widespread use </w:t>
      </w:r>
      <w:r w:rsidR="00EB433A">
        <w:rPr>
          <w:sz w:val="24"/>
          <w:szCs w:val="24"/>
        </w:rPr>
        <w:t xml:space="preserve">prior to the imposition of a ban </w:t>
      </w:r>
      <w:r>
        <w:rPr>
          <w:sz w:val="24"/>
          <w:szCs w:val="24"/>
        </w:rPr>
        <w:t xml:space="preserve">in 2003. </w:t>
      </w:r>
      <w:r w:rsidR="004F6FC6">
        <w:rPr>
          <w:sz w:val="24"/>
          <w:szCs w:val="24"/>
        </w:rPr>
        <w:t xml:space="preserve">The Asbestos Safety and </w:t>
      </w:r>
      <w:r w:rsidR="004F6FC6">
        <w:rPr>
          <w:sz w:val="24"/>
          <w:szCs w:val="24"/>
        </w:rPr>
        <w:lastRenderedPageBreak/>
        <w:t>Eradication Agency estimates that approximately one third of all homes built in Australia before 1990 contain asbestos.</w:t>
      </w:r>
      <w:r w:rsidR="00DC3552">
        <w:rPr>
          <w:rStyle w:val="FootnoteReference"/>
          <w:sz w:val="24"/>
          <w:szCs w:val="24"/>
        </w:rPr>
        <w:footnoteReference w:id="1"/>
      </w:r>
      <w:r w:rsidR="004F6FC6">
        <w:rPr>
          <w:sz w:val="24"/>
          <w:szCs w:val="24"/>
        </w:rPr>
        <w:t xml:space="preserve"> </w:t>
      </w:r>
    </w:p>
    <w:p w14:paraId="7855B123" w14:textId="687B3739" w:rsidR="00641DB3" w:rsidRDefault="00641DB3" w:rsidP="006359B9">
      <w:pPr>
        <w:spacing w:after="120" w:line="240" w:lineRule="auto"/>
        <w:rPr>
          <w:sz w:val="24"/>
          <w:szCs w:val="24"/>
        </w:rPr>
      </w:pPr>
      <w:r>
        <w:rPr>
          <w:sz w:val="24"/>
          <w:szCs w:val="24"/>
        </w:rPr>
        <w:t xml:space="preserve">If undisturbed, ACMs do not pose a significant risk to health. However, asbestos fibres may become airborne if ACMs are improperly handled, and exposure to these fibres can cause a number of serious diseases such as asbestosis and mesothelioma. </w:t>
      </w:r>
    </w:p>
    <w:p w14:paraId="4B64FC23" w14:textId="77777777" w:rsidR="00621105" w:rsidRPr="009F49A9" w:rsidRDefault="00621105" w:rsidP="006359B9">
      <w:pPr>
        <w:spacing w:after="120" w:line="240" w:lineRule="auto"/>
        <w:rPr>
          <w:sz w:val="24"/>
          <w:szCs w:val="24"/>
        </w:rPr>
      </w:pPr>
    </w:p>
    <w:p w14:paraId="477D2D41" w14:textId="32DC74B3" w:rsidR="00641DB3" w:rsidRPr="005425B7" w:rsidRDefault="00BE08E6" w:rsidP="006D5EB9">
      <w:pPr>
        <w:pStyle w:val="ListParagraph"/>
        <w:numPr>
          <w:ilvl w:val="0"/>
          <w:numId w:val="23"/>
        </w:numPr>
        <w:spacing w:before="120" w:after="120" w:line="240" w:lineRule="auto"/>
        <w:ind w:left="357" w:hanging="357"/>
        <w:jc w:val="both"/>
        <w:rPr>
          <w:b/>
          <w:sz w:val="24"/>
          <w:szCs w:val="24"/>
        </w:rPr>
      </w:pPr>
      <w:r>
        <w:rPr>
          <w:b/>
          <w:sz w:val="24"/>
          <w:szCs w:val="24"/>
        </w:rPr>
        <w:t>Achieving the policy objectives</w:t>
      </w:r>
    </w:p>
    <w:p w14:paraId="0092BBA4" w14:textId="0F4BC2AA" w:rsidR="00514148" w:rsidRDefault="00641DB3" w:rsidP="006359B9">
      <w:pPr>
        <w:spacing w:after="120" w:line="240" w:lineRule="auto"/>
        <w:jc w:val="both"/>
        <w:rPr>
          <w:sz w:val="24"/>
          <w:szCs w:val="24"/>
        </w:rPr>
      </w:pPr>
      <w:r w:rsidRPr="009E1911">
        <w:rPr>
          <w:sz w:val="24"/>
          <w:szCs w:val="24"/>
        </w:rPr>
        <w:t xml:space="preserve">The proposed law would </w:t>
      </w:r>
      <w:r w:rsidR="009E1911" w:rsidRPr="009E1911">
        <w:rPr>
          <w:sz w:val="24"/>
          <w:szCs w:val="24"/>
        </w:rPr>
        <w:t xml:space="preserve">require </w:t>
      </w:r>
      <w:r w:rsidR="00C85CC6" w:rsidRPr="009E1911">
        <w:rPr>
          <w:sz w:val="24"/>
          <w:szCs w:val="24"/>
        </w:rPr>
        <w:t xml:space="preserve">a PCBU to ensure that </w:t>
      </w:r>
      <w:r w:rsidR="009E1911" w:rsidRPr="009E1911">
        <w:rPr>
          <w:sz w:val="24"/>
          <w:szCs w:val="24"/>
        </w:rPr>
        <w:t xml:space="preserve">any of their </w:t>
      </w:r>
      <w:r w:rsidR="00EB433A" w:rsidRPr="009E1911">
        <w:rPr>
          <w:sz w:val="24"/>
          <w:szCs w:val="24"/>
        </w:rPr>
        <w:t xml:space="preserve">employees </w:t>
      </w:r>
      <w:r w:rsidR="00C85CC6" w:rsidRPr="009E1911">
        <w:rPr>
          <w:sz w:val="24"/>
          <w:szCs w:val="24"/>
        </w:rPr>
        <w:t>engage</w:t>
      </w:r>
      <w:r w:rsidR="00EB433A" w:rsidRPr="009E1911">
        <w:rPr>
          <w:sz w:val="24"/>
          <w:szCs w:val="24"/>
        </w:rPr>
        <w:t>d</w:t>
      </w:r>
      <w:r w:rsidRPr="009E1911">
        <w:rPr>
          <w:sz w:val="24"/>
          <w:szCs w:val="24"/>
        </w:rPr>
        <w:t xml:space="preserve"> in occupations</w:t>
      </w:r>
      <w:r w:rsidR="009E1911" w:rsidRPr="009E1911">
        <w:rPr>
          <w:sz w:val="24"/>
          <w:szCs w:val="24"/>
        </w:rPr>
        <w:t xml:space="preserve"> identified as being </w:t>
      </w:r>
      <w:r w:rsidR="00EB433A" w:rsidRPr="009E1911">
        <w:rPr>
          <w:sz w:val="24"/>
          <w:szCs w:val="24"/>
        </w:rPr>
        <w:t xml:space="preserve">at heightened risk of </w:t>
      </w:r>
      <w:r w:rsidR="005425B7" w:rsidRPr="009E1911">
        <w:rPr>
          <w:sz w:val="24"/>
          <w:szCs w:val="24"/>
        </w:rPr>
        <w:t xml:space="preserve">asbestos </w:t>
      </w:r>
      <w:r w:rsidR="00EB433A" w:rsidRPr="009E1911">
        <w:rPr>
          <w:sz w:val="24"/>
          <w:szCs w:val="24"/>
        </w:rPr>
        <w:t xml:space="preserve">exposure </w:t>
      </w:r>
      <w:r w:rsidR="00215030" w:rsidRPr="009E1911">
        <w:rPr>
          <w:sz w:val="24"/>
          <w:szCs w:val="24"/>
        </w:rPr>
        <w:t xml:space="preserve">complete </w:t>
      </w:r>
      <w:r w:rsidR="00C85CC6" w:rsidRPr="009E1911">
        <w:rPr>
          <w:sz w:val="24"/>
          <w:szCs w:val="24"/>
        </w:rPr>
        <w:t>the</w:t>
      </w:r>
      <w:r w:rsidR="005425B7" w:rsidRPr="009E1911">
        <w:rPr>
          <w:sz w:val="24"/>
          <w:szCs w:val="24"/>
        </w:rPr>
        <w:t xml:space="preserve"> </w:t>
      </w:r>
      <w:r w:rsidR="00C85CC6" w:rsidRPr="009E1911">
        <w:rPr>
          <w:sz w:val="24"/>
          <w:szCs w:val="24"/>
        </w:rPr>
        <w:t>C</w:t>
      </w:r>
      <w:r w:rsidRPr="009E1911">
        <w:rPr>
          <w:sz w:val="24"/>
          <w:szCs w:val="24"/>
        </w:rPr>
        <w:t>ourse in Work</w:t>
      </w:r>
      <w:r w:rsidR="00F342FD" w:rsidRPr="009E1911">
        <w:rPr>
          <w:sz w:val="24"/>
          <w:szCs w:val="24"/>
        </w:rPr>
        <w:t>ing Safely with ACMs</w:t>
      </w:r>
      <w:r w:rsidRPr="009E1911">
        <w:rPr>
          <w:sz w:val="24"/>
          <w:szCs w:val="24"/>
        </w:rPr>
        <w:t>. This would be in addition to existing training requirements</w:t>
      </w:r>
      <w:r w:rsidRPr="00641DB3">
        <w:rPr>
          <w:sz w:val="24"/>
          <w:szCs w:val="24"/>
        </w:rPr>
        <w:t xml:space="preserve"> under </w:t>
      </w:r>
      <w:r w:rsidRPr="00D667FC">
        <w:rPr>
          <w:sz w:val="24"/>
          <w:szCs w:val="24"/>
        </w:rPr>
        <w:t xml:space="preserve">the </w:t>
      </w:r>
      <w:r w:rsidRPr="00641DB3">
        <w:rPr>
          <w:sz w:val="24"/>
          <w:szCs w:val="24"/>
        </w:rPr>
        <w:t>WHS Ac</w:t>
      </w:r>
      <w:r w:rsidR="00D667FC">
        <w:rPr>
          <w:sz w:val="24"/>
          <w:szCs w:val="24"/>
        </w:rPr>
        <w:t>t</w:t>
      </w:r>
      <w:r w:rsidRPr="00641DB3">
        <w:rPr>
          <w:sz w:val="24"/>
          <w:szCs w:val="24"/>
        </w:rPr>
        <w:t xml:space="preserve"> and WHS Regulation. </w:t>
      </w:r>
      <w:r w:rsidR="00514148">
        <w:rPr>
          <w:sz w:val="24"/>
          <w:szCs w:val="24"/>
        </w:rPr>
        <w:t>T</w:t>
      </w:r>
      <w:r w:rsidR="005425B7">
        <w:rPr>
          <w:sz w:val="24"/>
          <w:szCs w:val="24"/>
        </w:rPr>
        <w:t xml:space="preserve">he training course provides attendees with the skills </w:t>
      </w:r>
      <w:r w:rsidR="00D667FC">
        <w:rPr>
          <w:sz w:val="24"/>
          <w:szCs w:val="24"/>
        </w:rPr>
        <w:t xml:space="preserve">and knowledge </w:t>
      </w:r>
      <w:r w:rsidR="0072126A">
        <w:rPr>
          <w:sz w:val="24"/>
          <w:szCs w:val="24"/>
        </w:rPr>
        <w:t>to</w:t>
      </w:r>
      <w:r w:rsidR="00D667FC">
        <w:rPr>
          <w:sz w:val="24"/>
          <w:szCs w:val="24"/>
        </w:rPr>
        <w:t xml:space="preserve"> effectively identify ACMs and</w:t>
      </w:r>
      <w:r w:rsidR="005425B7">
        <w:rPr>
          <w:sz w:val="24"/>
          <w:szCs w:val="24"/>
        </w:rPr>
        <w:t xml:space="preserve"> implement</w:t>
      </w:r>
      <w:r w:rsidR="00D667FC">
        <w:rPr>
          <w:sz w:val="24"/>
          <w:szCs w:val="24"/>
        </w:rPr>
        <w:t xml:space="preserve"> necessary controls to safely work with ACMs.</w:t>
      </w:r>
      <w:r w:rsidR="00397ACC">
        <w:rPr>
          <w:sz w:val="24"/>
          <w:szCs w:val="24"/>
        </w:rPr>
        <w:t xml:space="preserve"> </w:t>
      </w:r>
    </w:p>
    <w:p w14:paraId="3177CBEF" w14:textId="77777777" w:rsidR="0072126A" w:rsidRDefault="007A57CB" w:rsidP="006359B9">
      <w:pPr>
        <w:spacing w:after="120" w:line="240" w:lineRule="auto"/>
        <w:jc w:val="both"/>
        <w:rPr>
          <w:sz w:val="24"/>
          <w:szCs w:val="24"/>
        </w:rPr>
      </w:pPr>
      <w:r>
        <w:rPr>
          <w:sz w:val="24"/>
          <w:szCs w:val="24"/>
        </w:rPr>
        <w:t xml:space="preserve">The benefits of training in achieving work health and safety are widely recognised. </w:t>
      </w:r>
    </w:p>
    <w:p w14:paraId="13E89280" w14:textId="753FEC15" w:rsidR="00514148" w:rsidRDefault="0072126A" w:rsidP="006359B9">
      <w:pPr>
        <w:spacing w:after="120" w:line="240" w:lineRule="auto"/>
        <w:jc w:val="both"/>
        <w:rPr>
          <w:sz w:val="24"/>
          <w:szCs w:val="24"/>
        </w:rPr>
      </w:pPr>
      <w:r>
        <w:rPr>
          <w:sz w:val="24"/>
          <w:szCs w:val="24"/>
        </w:rPr>
        <w:t>Asbestos exposure presents</w:t>
      </w:r>
      <w:r w:rsidR="00514148">
        <w:rPr>
          <w:sz w:val="24"/>
          <w:szCs w:val="24"/>
        </w:rPr>
        <w:t xml:space="preserve"> significant proven risks to the health and safety of workers and the community. </w:t>
      </w:r>
    </w:p>
    <w:p w14:paraId="2D2060DA" w14:textId="4EB4F94E" w:rsidR="007A57CB" w:rsidRPr="00620D36" w:rsidRDefault="007A57CB" w:rsidP="006359B9">
      <w:pPr>
        <w:spacing w:after="120" w:line="240" w:lineRule="auto"/>
        <w:jc w:val="both"/>
        <w:rPr>
          <w:sz w:val="24"/>
          <w:szCs w:val="24"/>
        </w:rPr>
      </w:pPr>
      <w:r w:rsidRPr="007A57CB">
        <w:rPr>
          <w:sz w:val="24"/>
          <w:szCs w:val="24"/>
        </w:rPr>
        <w:t xml:space="preserve">Safe Work Australia’s Asbestos Exposure and Compliance Study of Construction of Maintenance Workers, conducted in 2010, </w:t>
      </w:r>
      <w:r>
        <w:rPr>
          <w:sz w:val="24"/>
          <w:szCs w:val="24"/>
        </w:rPr>
        <w:t>found that specific training on</w:t>
      </w:r>
      <w:r w:rsidRPr="007A57CB">
        <w:rPr>
          <w:sz w:val="24"/>
          <w:szCs w:val="24"/>
        </w:rPr>
        <w:t xml:space="preserve"> the safe handling </w:t>
      </w:r>
      <w:r>
        <w:rPr>
          <w:sz w:val="24"/>
          <w:szCs w:val="24"/>
        </w:rPr>
        <w:t xml:space="preserve">of ACMs enabled and drove </w:t>
      </w:r>
      <w:r w:rsidRPr="007A57CB">
        <w:rPr>
          <w:sz w:val="24"/>
          <w:szCs w:val="24"/>
        </w:rPr>
        <w:t>the implementation of safe handling precautions</w:t>
      </w:r>
      <w:r w:rsidR="0072126A">
        <w:rPr>
          <w:sz w:val="24"/>
          <w:szCs w:val="24"/>
        </w:rPr>
        <w:t>.  C</w:t>
      </w:r>
      <w:r w:rsidRPr="007A57CB">
        <w:rPr>
          <w:sz w:val="24"/>
          <w:szCs w:val="24"/>
        </w:rPr>
        <w:t xml:space="preserve">onversely, a lack of training was a barrier to safe handling precautions. </w:t>
      </w:r>
      <w:r>
        <w:rPr>
          <w:sz w:val="24"/>
          <w:szCs w:val="24"/>
        </w:rPr>
        <w:t>T</w:t>
      </w:r>
      <w:r w:rsidRPr="007A57CB">
        <w:rPr>
          <w:sz w:val="24"/>
          <w:szCs w:val="24"/>
        </w:rPr>
        <w:t xml:space="preserve">rade training was seen to be the most useful information source by the highest percentage of survey participants. </w:t>
      </w:r>
    </w:p>
    <w:p w14:paraId="2BE44D0E" w14:textId="3A7E705C" w:rsidR="00A720F5" w:rsidRDefault="00641DB3" w:rsidP="006359B9">
      <w:pPr>
        <w:spacing w:after="120" w:line="240" w:lineRule="auto"/>
        <w:jc w:val="both"/>
        <w:rPr>
          <w:sz w:val="24"/>
          <w:szCs w:val="24"/>
        </w:rPr>
      </w:pPr>
      <w:r w:rsidRPr="00076611">
        <w:rPr>
          <w:sz w:val="24"/>
          <w:szCs w:val="24"/>
        </w:rPr>
        <w:t xml:space="preserve">The </w:t>
      </w:r>
      <w:r w:rsidR="00621105">
        <w:rPr>
          <w:sz w:val="24"/>
          <w:szCs w:val="24"/>
        </w:rPr>
        <w:t xml:space="preserve">course itself and </w:t>
      </w:r>
      <w:r w:rsidRPr="00076611">
        <w:rPr>
          <w:sz w:val="24"/>
          <w:szCs w:val="24"/>
        </w:rPr>
        <w:t xml:space="preserve">occupations that would be required to attend the course will be declared by the Minister by notifiable instrument, and will be those </w:t>
      </w:r>
      <w:r w:rsidR="00621105">
        <w:rPr>
          <w:sz w:val="24"/>
          <w:szCs w:val="24"/>
        </w:rPr>
        <w:t xml:space="preserve">occupations </w:t>
      </w:r>
      <w:r w:rsidR="0072126A">
        <w:rPr>
          <w:sz w:val="24"/>
          <w:szCs w:val="24"/>
        </w:rPr>
        <w:t xml:space="preserve">identified as </w:t>
      </w:r>
      <w:r w:rsidRPr="00076611">
        <w:rPr>
          <w:sz w:val="24"/>
          <w:szCs w:val="24"/>
        </w:rPr>
        <w:t>most likely to be involved in tasks that may disturb ACMs. According to Safe Work Australia’s National Data Set for Compensation-based Statistics, technicians and trade workers constitut</w:t>
      </w:r>
      <w:r w:rsidR="0072126A">
        <w:rPr>
          <w:sz w:val="24"/>
          <w:szCs w:val="24"/>
        </w:rPr>
        <w:t>ed</w:t>
      </w:r>
      <w:r w:rsidRPr="00076611">
        <w:rPr>
          <w:sz w:val="24"/>
          <w:szCs w:val="24"/>
        </w:rPr>
        <w:t xml:space="preserve"> 44</w:t>
      </w:r>
      <w:r w:rsidR="0072126A">
        <w:rPr>
          <w:sz w:val="24"/>
          <w:szCs w:val="24"/>
        </w:rPr>
        <w:t xml:space="preserve"> per cent</w:t>
      </w:r>
      <w:r w:rsidRPr="00076611">
        <w:rPr>
          <w:sz w:val="24"/>
          <w:szCs w:val="24"/>
        </w:rPr>
        <w:t xml:space="preserve"> of all asbestos related claims from 2010-11 to 2014-15.  </w:t>
      </w:r>
    </w:p>
    <w:p w14:paraId="076E3835" w14:textId="77777777" w:rsidR="00621105" w:rsidRDefault="00621105" w:rsidP="006359B9">
      <w:pPr>
        <w:spacing w:after="120" w:line="240" w:lineRule="auto"/>
        <w:jc w:val="both"/>
        <w:rPr>
          <w:sz w:val="24"/>
          <w:szCs w:val="24"/>
        </w:rPr>
      </w:pPr>
    </w:p>
    <w:p w14:paraId="04AC04CF" w14:textId="454BE948" w:rsidR="00BE08E6" w:rsidRDefault="00017D55" w:rsidP="00A720F5">
      <w:pPr>
        <w:spacing w:after="120" w:line="240" w:lineRule="auto"/>
        <w:jc w:val="both"/>
        <w:rPr>
          <w:b/>
          <w:sz w:val="24"/>
          <w:szCs w:val="24"/>
        </w:rPr>
      </w:pPr>
      <w:r>
        <w:rPr>
          <w:b/>
          <w:sz w:val="24"/>
          <w:szCs w:val="24"/>
        </w:rPr>
        <w:t xml:space="preserve">(d) </w:t>
      </w:r>
      <w:r w:rsidR="00BE08E6">
        <w:rPr>
          <w:b/>
          <w:sz w:val="24"/>
          <w:szCs w:val="24"/>
        </w:rPr>
        <w:t>Consistency of the proposed law with the authorising law</w:t>
      </w:r>
    </w:p>
    <w:p w14:paraId="1A50EA2D" w14:textId="3EE8F7A2" w:rsidR="00D70A4F" w:rsidRDefault="00D70A4F" w:rsidP="006359B9">
      <w:pPr>
        <w:spacing w:after="120" w:line="240" w:lineRule="auto"/>
        <w:jc w:val="both"/>
        <w:rPr>
          <w:sz w:val="24"/>
          <w:szCs w:val="24"/>
        </w:rPr>
      </w:pPr>
      <w:r w:rsidRPr="00D70A4F">
        <w:rPr>
          <w:sz w:val="24"/>
          <w:szCs w:val="24"/>
        </w:rPr>
        <w:t>The objectives of the WHS Act include protecting the health and safety o</w:t>
      </w:r>
      <w:r w:rsidR="0072126A">
        <w:rPr>
          <w:sz w:val="24"/>
          <w:szCs w:val="24"/>
        </w:rPr>
        <w:t>f</w:t>
      </w:r>
      <w:r w:rsidRPr="00D70A4F">
        <w:rPr>
          <w:sz w:val="24"/>
          <w:szCs w:val="24"/>
        </w:rPr>
        <w:t xml:space="preserve"> workers, and improving safety outcomes in workplaces. The policy objectives of the proposed law are consistent with this. </w:t>
      </w:r>
    </w:p>
    <w:p w14:paraId="5374DD1D" w14:textId="0A70C9DC" w:rsidR="00076611" w:rsidRPr="00CD05C3" w:rsidRDefault="00CD05C3" w:rsidP="006359B9">
      <w:pPr>
        <w:spacing w:after="120" w:line="240" w:lineRule="auto"/>
        <w:jc w:val="both"/>
        <w:rPr>
          <w:sz w:val="24"/>
          <w:szCs w:val="24"/>
        </w:rPr>
      </w:pPr>
      <w:r>
        <w:rPr>
          <w:sz w:val="24"/>
          <w:szCs w:val="24"/>
        </w:rPr>
        <w:t>Section 276(1) of the WHS Act enables the Executive to make regulations in relation to any matter relating to work health and safety under the</w:t>
      </w:r>
      <w:r w:rsidR="00621105">
        <w:rPr>
          <w:sz w:val="24"/>
          <w:szCs w:val="24"/>
        </w:rPr>
        <w:t xml:space="preserve"> </w:t>
      </w:r>
      <w:r>
        <w:rPr>
          <w:sz w:val="24"/>
          <w:szCs w:val="24"/>
        </w:rPr>
        <w:t xml:space="preserve">Act. Furthermore, subsection 276(2) provides that a regulation may make provision in relation to matters set out in schedule 3, including the way in which duties imposed by the Act are performed, and matters relating to the regulation of specified activities at workplaces. </w:t>
      </w:r>
      <w:r w:rsidR="00793CB7">
        <w:rPr>
          <w:sz w:val="24"/>
          <w:szCs w:val="24"/>
        </w:rPr>
        <w:t xml:space="preserve"> </w:t>
      </w:r>
    </w:p>
    <w:p w14:paraId="06B63B11" w14:textId="462FD2A7" w:rsidR="00BD2563" w:rsidRDefault="00D70A4F" w:rsidP="006359B9">
      <w:pPr>
        <w:spacing w:after="120" w:line="240" w:lineRule="auto"/>
        <w:jc w:val="both"/>
        <w:rPr>
          <w:sz w:val="24"/>
          <w:szCs w:val="24"/>
        </w:rPr>
      </w:pPr>
      <w:r>
        <w:rPr>
          <w:sz w:val="24"/>
          <w:szCs w:val="24"/>
        </w:rPr>
        <w:t>Section 19 of t</w:t>
      </w:r>
      <w:r w:rsidR="00BD2563">
        <w:rPr>
          <w:sz w:val="24"/>
          <w:szCs w:val="24"/>
        </w:rPr>
        <w:t xml:space="preserve">he WHS Act </w:t>
      </w:r>
      <w:r w:rsidR="00212723">
        <w:rPr>
          <w:sz w:val="24"/>
          <w:szCs w:val="24"/>
        </w:rPr>
        <w:t xml:space="preserve">imposes </w:t>
      </w:r>
      <w:r w:rsidR="00514060">
        <w:rPr>
          <w:sz w:val="24"/>
          <w:szCs w:val="24"/>
        </w:rPr>
        <w:t>a duty of care on PCBUs</w:t>
      </w:r>
      <w:r w:rsidR="00212723">
        <w:rPr>
          <w:sz w:val="24"/>
          <w:szCs w:val="24"/>
        </w:rPr>
        <w:t xml:space="preserve"> to ensure</w:t>
      </w:r>
      <w:r w:rsidR="00514060">
        <w:rPr>
          <w:sz w:val="24"/>
          <w:szCs w:val="24"/>
        </w:rPr>
        <w:t xml:space="preserve">, so far as is reasonably practicable, the health and safety of their workers. Subsection 19(3)(f) of the WHS Act states that a PCBU must ensure, so far as is reasonably practicable, “the provision of any information, training, instruction or supervision that is necessary to protect all persons from </w:t>
      </w:r>
      <w:r w:rsidR="00514060">
        <w:rPr>
          <w:sz w:val="24"/>
          <w:szCs w:val="24"/>
        </w:rPr>
        <w:lastRenderedPageBreak/>
        <w:t>risks to their health and safety”</w:t>
      </w:r>
      <w:r>
        <w:rPr>
          <w:sz w:val="24"/>
          <w:szCs w:val="24"/>
        </w:rPr>
        <w:t xml:space="preserve">. The proposed law will support the operation of </w:t>
      </w:r>
      <w:r w:rsidR="009D28AE">
        <w:rPr>
          <w:sz w:val="24"/>
          <w:szCs w:val="24"/>
        </w:rPr>
        <w:t>section 19 and strengthen the</w:t>
      </w:r>
      <w:r w:rsidR="004122CA">
        <w:rPr>
          <w:sz w:val="24"/>
          <w:szCs w:val="24"/>
        </w:rPr>
        <w:t xml:space="preserve"> WHS Act’s</w:t>
      </w:r>
      <w:r w:rsidR="009D28AE">
        <w:rPr>
          <w:sz w:val="24"/>
          <w:szCs w:val="24"/>
        </w:rPr>
        <w:t xml:space="preserve"> training requirements </w:t>
      </w:r>
      <w:r w:rsidR="004122CA">
        <w:rPr>
          <w:sz w:val="24"/>
          <w:szCs w:val="24"/>
        </w:rPr>
        <w:t>when it comes to</w:t>
      </w:r>
      <w:r w:rsidR="009D28AE">
        <w:rPr>
          <w:sz w:val="24"/>
          <w:szCs w:val="24"/>
        </w:rPr>
        <w:t xml:space="preserve"> asbestos. </w:t>
      </w:r>
      <w:r w:rsidR="004122CA">
        <w:rPr>
          <w:sz w:val="24"/>
          <w:szCs w:val="24"/>
        </w:rPr>
        <w:t xml:space="preserve">The WHS Regulation in its current form similarly places obligations on PCBUs to train their workers, in recognition that training is an important part of good work health and safety. </w:t>
      </w:r>
    </w:p>
    <w:p w14:paraId="339A6188" w14:textId="346192A1" w:rsidR="00BD2563" w:rsidRDefault="00B86327" w:rsidP="006359B9">
      <w:pPr>
        <w:spacing w:after="120" w:line="240" w:lineRule="auto"/>
        <w:jc w:val="both"/>
        <w:rPr>
          <w:sz w:val="24"/>
          <w:szCs w:val="24"/>
        </w:rPr>
      </w:pPr>
      <w:r>
        <w:rPr>
          <w:sz w:val="24"/>
          <w:szCs w:val="24"/>
        </w:rPr>
        <w:t xml:space="preserve">While the proposed law would be a deviation from the national model WHS laws, </w:t>
      </w:r>
      <w:r w:rsidR="0072126A">
        <w:rPr>
          <w:sz w:val="24"/>
          <w:szCs w:val="24"/>
        </w:rPr>
        <w:t>it is consistent with the principles of those laws and would improve safety standards in the territory</w:t>
      </w:r>
      <w:r>
        <w:rPr>
          <w:sz w:val="24"/>
          <w:szCs w:val="24"/>
        </w:rPr>
        <w:t xml:space="preserve">. </w:t>
      </w:r>
      <w:r w:rsidR="00D66C8F">
        <w:rPr>
          <w:sz w:val="24"/>
          <w:szCs w:val="24"/>
        </w:rPr>
        <w:t>Th</w:t>
      </w:r>
      <w:r w:rsidR="0072126A">
        <w:rPr>
          <w:sz w:val="24"/>
          <w:szCs w:val="24"/>
        </w:rPr>
        <w:t>e Territory has previously departed from the national model WHS laws to improve the</w:t>
      </w:r>
      <w:r w:rsidR="003108A5">
        <w:rPr>
          <w:sz w:val="24"/>
          <w:szCs w:val="24"/>
        </w:rPr>
        <w:t xml:space="preserve"> regulation of asbestos in </w:t>
      </w:r>
      <w:r w:rsidR="0072126A">
        <w:rPr>
          <w:sz w:val="24"/>
          <w:szCs w:val="24"/>
        </w:rPr>
        <w:t xml:space="preserve">ACT </w:t>
      </w:r>
      <w:r w:rsidR="003108A5">
        <w:rPr>
          <w:sz w:val="24"/>
          <w:szCs w:val="24"/>
        </w:rPr>
        <w:t>workplace</w:t>
      </w:r>
      <w:r w:rsidR="0072126A">
        <w:rPr>
          <w:sz w:val="24"/>
          <w:szCs w:val="24"/>
        </w:rPr>
        <w:t>s</w:t>
      </w:r>
      <w:r w:rsidR="00F35B0A">
        <w:rPr>
          <w:sz w:val="24"/>
          <w:szCs w:val="24"/>
        </w:rPr>
        <w:t>.</w:t>
      </w:r>
    </w:p>
    <w:p w14:paraId="47C2163D" w14:textId="77777777" w:rsidR="00621105" w:rsidRPr="00CD05C3" w:rsidRDefault="00621105" w:rsidP="006359B9">
      <w:pPr>
        <w:spacing w:after="120" w:line="240" w:lineRule="auto"/>
        <w:jc w:val="both"/>
        <w:rPr>
          <w:sz w:val="24"/>
          <w:szCs w:val="24"/>
        </w:rPr>
      </w:pPr>
    </w:p>
    <w:p w14:paraId="1B1FC72D" w14:textId="10B6B1E7" w:rsidR="00076611" w:rsidRPr="00017D55" w:rsidRDefault="00BE08E6" w:rsidP="00017D55">
      <w:pPr>
        <w:pStyle w:val="ListParagraph"/>
        <w:numPr>
          <w:ilvl w:val="0"/>
          <w:numId w:val="31"/>
        </w:numPr>
        <w:spacing w:before="120" w:after="120" w:line="240" w:lineRule="auto"/>
        <w:jc w:val="both"/>
        <w:rPr>
          <w:b/>
          <w:sz w:val="24"/>
          <w:szCs w:val="24"/>
        </w:rPr>
      </w:pPr>
      <w:r w:rsidRPr="00017D55">
        <w:rPr>
          <w:b/>
          <w:sz w:val="24"/>
          <w:szCs w:val="24"/>
        </w:rPr>
        <w:t>The proposed law is not inconsistent with the policy objectives of another Territory law</w:t>
      </w:r>
    </w:p>
    <w:p w14:paraId="7BDBF52D" w14:textId="77777777" w:rsidR="00621105" w:rsidRDefault="00F6147F" w:rsidP="004201F9">
      <w:pPr>
        <w:spacing w:after="120" w:line="240" w:lineRule="auto"/>
        <w:jc w:val="both"/>
        <w:rPr>
          <w:sz w:val="24"/>
          <w:szCs w:val="24"/>
        </w:rPr>
      </w:pPr>
      <w:r>
        <w:rPr>
          <w:sz w:val="24"/>
          <w:szCs w:val="24"/>
        </w:rPr>
        <w:t>The proposed law is not inconsistent with t</w:t>
      </w:r>
      <w:r w:rsidR="00E551B3">
        <w:rPr>
          <w:sz w:val="24"/>
          <w:szCs w:val="24"/>
        </w:rPr>
        <w:t xml:space="preserve">he policy objectives of any other </w:t>
      </w:r>
      <w:r>
        <w:rPr>
          <w:sz w:val="24"/>
          <w:szCs w:val="24"/>
        </w:rPr>
        <w:t>Territ</w:t>
      </w:r>
      <w:r w:rsidR="0018476A">
        <w:rPr>
          <w:sz w:val="24"/>
          <w:szCs w:val="24"/>
        </w:rPr>
        <w:t>ory law.</w:t>
      </w:r>
    </w:p>
    <w:p w14:paraId="5803ABFB" w14:textId="4059C971" w:rsidR="00F6147F" w:rsidRPr="00F6147F" w:rsidRDefault="0018476A" w:rsidP="004201F9">
      <w:pPr>
        <w:spacing w:after="120" w:line="240" w:lineRule="auto"/>
        <w:jc w:val="both"/>
        <w:rPr>
          <w:sz w:val="24"/>
          <w:szCs w:val="24"/>
        </w:rPr>
      </w:pPr>
      <w:r>
        <w:rPr>
          <w:sz w:val="24"/>
          <w:szCs w:val="24"/>
        </w:rPr>
        <w:t xml:space="preserve"> </w:t>
      </w:r>
    </w:p>
    <w:p w14:paraId="1E344104" w14:textId="4A2A335E" w:rsidR="00E551B3" w:rsidRPr="009F49A9" w:rsidRDefault="00BE08E6" w:rsidP="00017D55">
      <w:pPr>
        <w:pStyle w:val="ListParagraph"/>
        <w:numPr>
          <w:ilvl w:val="0"/>
          <w:numId w:val="31"/>
        </w:numPr>
        <w:spacing w:before="120" w:after="120" w:line="240" w:lineRule="auto"/>
        <w:ind w:left="357" w:hanging="357"/>
        <w:jc w:val="both"/>
        <w:rPr>
          <w:b/>
          <w:sz w:val="24"/>
          <w:szCs w:val="24"/>
        </w:rPr>
      </w:pPr>
      <w:r>
        <w:rPr>
          <w:b/>
          <w:sz w:val="24"/>
          <w:szCs w:val="24"/>
        </w:rPr>
        <w:t xml:space="preserve">Reasonable alternatives to the proposed law </w:t>
      </w:r>
    </w:p>
    <w:p w14:paraId="55AEF684" w14:textId="58BDD202" w:rsidR="00E551B3" w:rsidRPr="006359B9" w:rsidRDefault="00D0464F" w:rsidP="006359B9">
      <w:pPr>
        <w:spacing w:after="120" w:line="240" w:lineRule="auto"/>
        <w:jc w:val="both"/>
        <w:rPr>
          <w:sz w:val="24"/>
          <w:szCs w:val="24"/>
        </w:rPr>
      </w:pPr>
      <w:r>
        <w:rPr>
          <w:sz w:val="24"/>
          <w:szCs w:val="24"/>
        </w:rPr>
        <w:t xml:space="preserve">An alternative option is maintaining the status quo. </w:t>
      </w:r>
      <w:r w:rsidR="00E551B3">
        <w:rPr>
          <w:sz w:val="24"/>
          <w:szCs w:val="24"/>
        </w:rPr>
        <w:t xml:space="preserve">Under this option, the Working Safely </w:t>
      </w:r>
      <w:r w:rsidR="00E551B3" w:rsidRPr="006359B9">
        <w:rPr>
          <w:sz w:val="24"/>
          <w:szCs w:val="24"/>
        </w:rPr>
        <w:t xml:space="preserve">with ACMs course would not be made mandatory for certain workers. </w:t>
      </w:r>
    </w:p>
    <w:p w14:paraId="1E42E8C2" w14:textId="77777777" w:rsidR="0072126A" w:rsidRDefault="00AB4510" w:rsidP="006359B9">
      <w:pPr>
        <w:spacing w:after="120" w:line="240" w:lineRule="auto"/>
        <w:jc w:val="both"/>
        <w:rPr>
          <w:sz w:val="24"/>
          <w:szCs w:val="24"/>
        </w:rPr>
      </w:pPr>
      <w:r w:rsidRPr="006359B9">
        <w:rPr>
          <w:sz w:val="24"/>
          <w:szCs w:val="24"/>
        </w:rPr>
        <w:t xml:space="preserve">As is, the WHS Act and WHS Regulation contain training requirements. </w:t>
      </w:r>
      <w:r w:rsidR="002C121D" w:rsidRPr="006359B9">
        <w:rPr>
          <w:sz w:val="24"/>
          <w:szCs w:val="24"/>
        </w:rPr>
        <w:t>A</w:t>
      </w:r>
      <w:r w:rsidRPr="006359B9">
        <w:rPr>
          <w:sz w:val="24"/>
          <w:szCs w:val="24"/>
        </w:rPr>
        <w:t xml:space="preserve">s part of the primary duty of care established by the WHS Act, section 19(3)(f) provides that a PCBU must, as far as it is reasonably practicable, provide information, training, instruction or supervision that is necessary to protect all persons from risks to their health and safety arising from work carried out as part of the business or undertaking. </w:t>
      </w:r>
      <w:r w:rsidR="002C121D" w:rsidRPr="006359B9">
        <w:rPr>
          <w:sz w:val="24"/>
          <w:szCs w:val="24"/>
        </w:rPr>
        <w:t>Additionally, s</w:t>
      </w:r>
      <w:r w:rsidRPr="006359B9">
        <w:rPr>
          <w:sz w:val="24"/>
          <w:szCs w:val="24"/>
        </w:rPr>
        <w:t xml:space="preserve">ection 39 of the WHS Regulation states that a PCBU must ensure that information, training and instruction provided to a worker is suitable and adequate having regard to the nature of the work carried out by the worker, the nature of the risks associated with the work at the time the information, training or instruction is provided and the control measures implemented. A PCBU must ensure that information, training and instruction provided under section 39 is readily understandable by any person to whom it is provided. </w:t>
      </w:r>
    </w:p>
    <w:p w14:paraId="521D9F22" w14:textId="70E9F3A8" w:rsidR="00516D1E" w:rsidRPr="006359B9" w:rsidRDefault="0072126A" w:rsidP="006359B9">
      <w:pPr>
        <w:spacing w:after="120" w:line="240" w:lineRule="auto"/>
        <w:jc w:val="both"/>
        <w:rPr>
          <w:sz w:val="24"/>
          <w:szCs w:val="24"/>
        </w:rPr>
      </w:pPr>
      <w:r>
        <w:rPr>
          <w:sz w:val="24"/>
          <w:szCs w:val="24"/>
        </w:rPr>
        <w:t>T</w:t>
      </w:r>
      <w:r w:rsidR="0026284F" w:rsidRPr="006359B9">
        <w:rPr>
          <w:sz w:val="24"/>
          <w:szCs w:val="24"/>
        </w:rPr>
        <w:t xml:space="preserve">hese requirements do not clearly require a PCBU to ensure that a worker who may be required to perform minor or maintenance work on ACMs </w:t>
      </w:r>
      <w:r w:rsidR="003B300C" w:rsidRPr="006359B9">
        <w:rPr>
          <w:sz w:val="24"/>
          <w:szCs w:val="24"/>
        </w:rPr>
        <w:t xml:space="preserve">in accordance with the WHS Regulation </w:t>
      </w:r>
      <w:r w:rsidR="0026284F" w:rsidRPr="006359B9">
        <w:rPr>
          <w:sz w:val="24"/>
          <w:szCs w:val="24"/>
        </w:rPr>
        <w:t xml:space="preserve">is </w:t>
      </w:r>
      <w:r>
        <w:rPr>
          <w:sz w:val="24"/>
          <w:szCs w:val="24"/>
        </w:rPr>
        <w:t xml:space="preserve">formally </w:t>
      </w:r>
      <w:r w:rsidR="0026284F" w:rsidRPr="006359B9">
        <w:rPr>
          <w:sz w:val="24"/>
          <w:szCs w:val="24"/>
        </w:rPr>
        <w:t xml:space="preserve">trained in how to do so safety. </w:t>
      </w:r>
    </w:p>
    <w:p w14:paraId="7F93A44E" w14:textId="5C87A2E6" w:rsidR="00621105" w:rsidRDefault="0072126A" w:rsidP="006359B9">
      <w:pPr>
        <w:spacing w:after="120" w:line="240" w:lineRule="auto"/>
        <w:jc w:val="both"/>
        <w:rPr>
          <w:sz w:val="24"/>
          <w:szCs w:val="24"/>
        </w:rPr>
      </w:pPr>
      <w:r>
        <w:rPr>
          <w:sz w:val="24"/>
          <w:szCs w:val="24"/>
        </w:rPr>
        <w:t xml:space="preserve">Mandatory training requirements do not currently address </w:t>
      </w:r>
      <w:r w:rsidR="00415B3A" w:rsidRPr="006359B9">
        <w:rPr>
          <w:sz w:val="24"/>
          <w:szCs w:val="24"/>
        </w:rPr>
        <w:t>workers</w:t>
      </w:r>
      <w:r w:rsidR="00621105">
        <w:rPr>
          <w:sz w:val="24"/>
          <w:szCs w:val="24"/>
        </w:rPr>
        <w:t xml:space="preserve"> who may undertake minor or routine maintenance work</w:t>
      </w:r>
      <w:r w:rsidR="00415B3A" w:rsidRPr="006359B9">
        <w:rPr>
          <w:sz w:val="24"/>
          <w:szCs w:val="24"/>
        </w:rPr>
        <w:t xml:space="preserve"> </w:t>
      </w:r>
      <w:r w:rsidR="005B23E3">
        <w:rPr>
          <w:sz w:val="24"/>
          <w:szCs w:val="24"/>
        </w:rPr>
        <w:t xml:space="preserve">on </w:t>
      </w:r>
      <w:r w:rsidR="00AB4510" w:rsidRPr="006359B9">
        <w:rPr>
          <w:sz w:val="24"/>
          <w:szCs w:val="24"/>
        </w:rPr>
        <w:t xml:space="preserve">ACMs. </w:t>
      </w:r>
      <w:r w:rsidR="00516D1E" w:rsidRPr="006359B9">
        <w:rPr>
          <w:sz w:val="24"/>
          <w:szCs w:val="24"/>
        </w:rPr>
        <w:t>As such, t</w:t>
      </w:r>
      <w:r w:rsidR="00D0464F" w:rsidRPr="006359B9">
        <w:rPr>
          <w:sz w:val="24"/>
          <w:szCs w:val="24"/>
        </w:rPr>
        <w:t>h</w:t>
      </w:r>
      <w:r w:rsidR="00621105">
        <w:rPr>
          <w:sz w:val="24"/>
          <w:szCs w:val="24"/>
        </w:rPr>
        <w:t xml:space="preserve">e status quo is no longer considered to support </w:t>
      </w:r>
      <w:r w:rsidR="00D0464F" w:rsidRPr="006359B9">
        <w:rPr>
          <w:sz w:val="24"/>
          <w:szCs w:val="24"/>
        </w:rPr>
        <w:t>the Government’s policy objectives</w:t>
      </w:r>
      <w:r w:rsidR="00621105">
        <w:rPr>
          <w:sz w:val="24"/>
          <w:szCs w:val="24"/>
        </w:rPr>
        <w:t xml:space="preserve"> in relation to the management of risks associated with asbestos in these circumstances</w:t>
      </w:r>
      <w:r w:rsidR="00D0464F" w:rsidRPr="006359B9">
        <w:rPr>
          <w:sz w:val="24"/>
          <w:szCs w:val="24"/>
        </w:rPr>
        <w:t>.</w:t>
      </w:r>
    </w:p>
    <w:p w14:paraId="31769968" w14:textId="5E1350FA" w:rsidR="00D0464F" w:rsidRPr="006359B9" w:rsidRDefault="00D0464F" w:rsidP="006359B9">
      <w:pPr>
        <w:spacing w:after="120" w:line="240" w:lineRule="auto"/>
        <w:jc w:val="both"/>
        <w:rPr>
          <w:sz w:val="24"/>
          <w:szCs w:val="24"/>
        </w:rPr>
      </w:pPr>
      <w:r w:rsidRPr="006359B9">
        <w:rPr>
          <w:sz w:val="24"/>
          <w:szCs w:val="24"/>
        </w:rPr>
        <w:t xml:space="preserve"> </w:t>
      </w:r>
    </w:p>
    <w:p w14:paraId="6A46440B" w14:textId="77777777" w:rsidR="009E1911" w:rsidRDefault="009E1911">
      <w:r>
        <w:br w:type="page"/>
      </w:r>
    </w:p>
    <w:tbl>
      <w:tblPr>
        <w:tblStyle w:val="TableGrid"/>
        <w:tblW w:w="0" w:type="auto"/>
        <w:tblLook w:val="04A0" w:firstRow="1" w:lastRow="0" w:firstColumn="1" w:lastColumn="0" w:noHBand="0" w:noVBand="1"/>
      </w:tblPr>
      <w:tblGrid>
        <w:gridCol w:w="4508"/>
        <w:gridCol w:w="4508"/>
      </w:tblGrid>
      <w:tr w:rsidR="00934F52" w:rsidRPr="00E551B3" w14:paraId="6B26D5F0" w14:textId="77777777" w:rsidTr="00934F52">
        <w:trPr>
          <w:trHeight w:val="209"/>
        </w:trPr>
        <w:tc>
          <w:tcPr>
            <w:tcW w:w="4508" w:type="dxa"/>
          </w:tcPr>
          <w:p w14:paraId="309699E3" w14:textId="253E8377" w:rsidR="00934F52" w:rsidRPr="00E551B3" w:rsidRDefault="00934F52" w:rsidP="00934F52">
            <w:pPr>
              <w:jc w:val="both"/>
              <w:rPr>
                <w:b/>
                <w:i/>
                <w:sz w:val="24"/>
                <w:szCs w:val="24"/>
              </w:rPr>
            </w:pPr>
            <w:r w:rsidRPr="00E551B3">
              <w:rPr>
                <w:b/>
                <w:i/>
                <w:sz w:val="24"/>
                <w:szCs w:val="24"/>
              </w:rPr>
              <w:lastRenderedPageBreak/>
              <w:t xml:space="preserve">Benefits </w:t>
            </w:r>
            <w:r w:rsidR="00DF7FEF">
              <w:rPr>
                <w:b/>
                <w:i/>
                <w:sz w:val="24"/>
                <w:szCs w:val="24"/>
              </w:rPr>
              <w:t>of status quo</w:t>
            </w:r>
          </w:p>
        </w:tc>
        <w:tc>
          <w:tcPr>
            <w:tcW w:w="4508" w:type="dxa"/>
          </w:tcPr>
          <w:p w14:paraId="1C9A6BD0" w14:textId="3B3C5EA8" w:rsidR="00934F52" w:rsidRPr="00E551B3" w:rsidRDefault="00934F52" w:rsidP="00934F52">
            <w:pPr>
              <w:jc w:val="both"/>
              <w:rPr>
                <w:b/>
                <w:i/>
                <w:sz w:val="24"/>
                <w:szCs w:val="24"/>
              </w:rPr>
            </w:pPr>
            <w:r w:rsidRPr="00E551B3">
              <w:rPr>
                <w:b/>
                <w:i/>
                <w:sz w:val="24"/>
                <w:szCs w:val="24"/>
              </w:rPr>
              <w:t xml:space="preserve">Costs </w:t>
            </w:r>
            <w:r w:rsidR="00DF7FEF">
              <w:rPr>
                <w:b/>
                <w:i/>
                <w:sz w:val="24"/>
                <w:szCs w:val="24"/>
              </w:rPr>
              <w:t>of maintaining the status quo</w:t>
            </w:r>
          </w:p>
        </w:tc>
      </w:tr>
      <w:tr w:rsidR="00934F52" w14:paraId="68BF9259" w14:textId="77777777" w:rsidTr="00934F52">
        <w:tc>
          <w:tcPr>
            <w:tcW w:w="4508" w:type="dxa"/>
          </w:tcPr>
          <w:p w14:paraId="0B0EA846" w14:textId="02338F03" w:rsidR="009E47E2" w:rsidRDefault="009E47E2" w:rsidP="00934F52">
            <w:pPr>
              <w:jc w:val="both"/>
              <w:rPr>
                <w:u w:val="single"/>
              </w:rPr>
            </w:pPr>
            <w:r>
              <w:rPr>
                <w:u w:val="single"/>
              </w:rPr>
              <w:t>No increased c</w:t>
            </w:r>
            <w:r w:rsidR="00AB3546">
              <w:rPr>
                <w:u w:val="single"/>
              </w:rPr>
              <w:t>ost</w:t>
            </w:r>
            <w:r>
              <w:rPr>
                <w:u w:val="single"/>
              </w:rPr>
              <w:t>s</w:t>
            </w:r>
          </w:p>
          <w:p w14:paraId="02B739A8" w14:textId="18B85452" w:rsidR="009E47E2" w:rsidRDefault="00DF7FEF" w:rsidP="00DF7FEF">
            <w:pPr>
              <w:pStyle w:val="ListParagraph"/>
              <w:numPr>
                <w:ilvl w:val="0"/>
                <w:numId w:val="27"/>
              </w:numPr>
              <w:jc w:val="both"/>
            </w:pPr>
            <w:r>
              <w:t xml:space="preserve">Costs associated with the training of certain workers would not be mandatory for certain industries. </w:t>
            </w:r>
          </w:p>
          <w:p w14:paraId="7657D4BE" w14:textId="77777777" w:rsidR="00A73C65" w:rsidRPr="008C14F5" w:rsidRDefault="00A73C65" w:rsidP="00934F52">
            <w:pPr>
              <w:jc w:val="both"/>
            </w:pPr>
          </w:p>
          <w:p w14:paraId="4A2B8253" w14:textId="5750D304" w:rsidR="009E47E2" w:rsidRDefault="009E47E2" w:rsidP="00934F52">
            <w:pPr>
              <w:jc w:val="both"/>
              <w:rPr>
                <w:u w:val="single"/>
              </w:rPr>
            </w:pPr>
            <w:r>
              <w:rPr>
                <w:u w:val="single"/>
              </w:rPr>
              <w:t xml:space="preserve">No </w:t>
            </w:r>
            <w:r w:rsidR="00DF7FEF">
              <w:rPr>
                <w:u w:val="single"/>
              </w:rPr>
              <w:t xml:space="preserve">additional </w:t>
            </w:r>
            <w:r>
              <w:rPr>
                <w:u w:val="single"/>
              </w:rPr>
              <w:t xml:space="preserve">regulation </w:t>
            </w:r>
          </w:p>
          <w:p w14:paraId="0F021CF1" w14:textId="0E9FDD39" w:rsidR="009E47E2" w:rsidRDefault="00DF7FEF" w:rsidP="00DF7FEF">
            <w:pPr>
              <w:pStyle w:val="ListParagraph"/>
              <w:numPr>
                <w:ilvl w:val="0"/>
                <w:numId w:val="27"/>
              </w:numPr>
              <w:jc w:val="both"/>
            </w:pPr>
            <w:r>
              <w:t>There would be no increase in regulatory burden for PCBUs who engage workers in certain occupations.</w:t>
            </w:r>
          </w:p>
          <w:p w14:paraId="58EE1F50" w14:textId="77777777" w:rsidR="00983F8C" w:rsidRDefault="00983F8C" w:rsidP="00983F8C">
            <w:pPr>
              <w:jc w:val="both"/>
            </w:pPr>
          </w:p>
          <w:p w14:paraId="130ED9DA" w14:textId="69BF83A3" w:rsidR="00983F8C" w:rsidRPr="00983F8C" w:rsidRDefault="00983F8C" w:rsidP="00983F8C">
            <w:pPr>
              <w:jc w:val="both"/>
              <w:rPr>
                <w:u w:val="single"/>
              </w:rPr>
            </w:pPr>
            <w:r>
              <w:rPr>
                <w:u w:val="single"/>
              </w:rPr>
              <w:t>Training is voluntary</w:t>
            </w:r>
          </w:p>
          <w:p w14:paraId="2A494BCF" w14:textId="732A040A" w:rsidR="00983F8C" w:rsidRPr="008C14F5" w:rsidRDefault="00983F8C" w:rsidP="00DF7FEF">
            <w:pPr>
              <w:pStyle w:val="ListParagraph"/>
              <w:numPr>
                <w:ilvl w:val="0"/>
                <w:numId w:val="27"/>
              </w:numPr>
              <w:jc w:val="both"/>
            </w:pPr>
            <w:r>
              <w:t>PCBUs are able to voluntarily train their workers in the Working Safety with ACMs course.</w:t>
            </w:r>
          </w:p>
          <w:p w14:paraId="4BEA4E0D" w14:textId="3E7E36F2" w:rsidR="00934F52" w:rsidRPr="00AB3546" w:rsidRDefault="00AB3546" w:rsidP="00934F52">
            <w:pPr>
              <w:jc w:val="both"/>
              <w:rPr>
                <w:u w:val="single"/>
              </w:rPr>
            </w:pPr>
            <w:r>
              <w:rPr>
                <w:u w:val="single"/>
              </w:rPr>
              <w:t xml:space="preserve"> </w:t>
            </w:r>
          </w:p>
        </w:tc>
        <w:tc>
          <w:tcPr>
            <w:tcW w:w="4508" w:type="dxa"/>
          </w:tcPr>
          <w:p w14:paraId="783F4E55" w14:textId="40E3A71E" w:rsidR="009E47E2" w:rsidRDefault="009E47E2" w:rsidP="00AB3546">
            <w:pPr>
              <w:jc w:val="both"/>
              <w:rPr>
                <w:u w:val="single"/>
              </w:rPr>
            </w:pPr>
            <w:r>
              <w:rPr>
                <w:u w:val="single"/>
              </w:rPr>
              <w:t xml:space="preserve">Failure to meet policy </w:t>
            </w:r>
            <w:r w:rsidR="009034AA">
              <w:rPr>
                <w:u w:val="single"/>
              </w:rPr>
              <w:t>objectives</w:t>
            </w:r>
          </w:p>
          <w:p w14:paraId="5DEA56F2" w14:textId="4DFF0405" w:rsidR="00DF7FEF" w:rsidRDefault="00DF7FEF" w:rsidP="00DF7FEF">
            <w:pPr>
              <w:pStyle w:val="ListParagraph"/>
              <w:numPr>
                <w:ilvl w:val="0"/>
                <w:numId w:val="27"/>
              </w:numPr>
              <w:jc w:val="both"/>
            </w:pPr>
            <w:r>
              <w:t>Minor and routine maintenance work has been identified as an area where workers who have not been trained in how to work with asbestos may be exposed to asbestos fibres during the course of such work.</w:t>
            </w:r>
          </w:p>
          <w:p w14:paraId="60A447DA" w14:textId="12E34AA6" w:rsidR="008C14F5" w:rsidRDefault="00DF7FEF" w:rsidP="00983F8C">
            <w:pPr>
              <w:pStyle w:val="ListParagraph"/>
              <w:numPr>
                <w:ilvl w:val="0"/>
                <w:numId w:val="27"/>
              </w:numPr>
              <w:jc w:val="both"/>
            </w:pPr>
            <w:r>
              <w:t>Workers in certain industries who are more likely to carry out minor and routine maintenance work may continue to risk unnecessary exposure to asbestos fibres.</w:t>
            </w:r>
          </w:p>
          <w:p w14:paraId="2476A2FF" w14:textId="77777777" w:rsidR="00A73C65" w:rsidRPr="00D0464F" w:rsidRDefault="00A73C65" w:rsidP="00AB3546">
            <w:pPr>
              <w:jc w:val="both"/>
            </w:pPr>
          </w:p>
          <w:p w14:paraId="1AAAA064" w14:textId="77777777" w:rsidR="00AB3546" w:rsidRDefault="00AB3546" w:rsidP="00AB3546">
            <w:pPr>
              <w:jc w:val="both"/>
            </w:pPr>
            <w:r>
              <w:rPr>
                <w:u w:val="single"/>
              </w:rPr>
              <w:t xml:space="preserve">Lack of effectiveness </w:t>
            </w:r>
          </w:p>
          <w:p w14:paraId="646BFDD6" w14:textId="34B38538" w:rsidR="00983F8C" w:rsidRDefault="00270402" w:rsidP="00983F8C">
            <w:pPr>
              <w:pStyle w:val="ListParagraph"/>
              <w:numPr>
                <w:ilvl w:val="0"/>
                <w:numId w:val="27"/>
              </w:numPr>
              <w:jc w:val="both"/>
            </w:pPr>
            <w:r>
              <w:t xml:space="preserve">Without mandatory training, PCBUs will not </w:t>
            </w:r>
            <w:r w:rsidR="00983F8C">
              <w:t xml:space="preserve">be required to </w:t>
            </w:r>
            <w:r>
              <w:t xml:space="preserve">ensure their workers are </w:t>
            </w:r>
            <w:r w:rsidR="005B23E3">
              <w:t xml:space="preserve">formally </w:t>
            </w:r>
            <w:r>
              <w:t>trained in how to safely work with ACMs.</w:t>
            </w:r>
          </w:p>
          <w:p w14:paraId="76C117EB" w14:textId="24D8BFF8" w:rsidR="00D0464F" w:rsidRPr="00270402" w:rsidRDefault="00983F8C" w:rsidP="00983F8C">
            <w:pPr>
              <w:pStyle w:val="ListParagraph"/>
              <w:numPr>
                <w:ilvl w:val="0"/>
                <w:numId w:val="27"/>
              </w:numPr>
              <w:jc w:val="both"/>
            </w:pPr>
            <w:r>
              <w:t>Evidence of current low attendance rates demonstrates that continuing the status quo under which PCBUs may voluntarily train their workers in the Working Safety with ACMs course is not likely to have an impact on preventing unnecessary exposure to asbestos fibres associated with minor or routine maintenance work.</w:t>
            </w:r>
          </w:p>
        </w:tc>
      </w:tr>
    </w:tbl>
    <w:p w14:paraId="2DE9EF31" w14:textId="77777777" w:rsidR="00983F8C" w:rsidRPr="00983F8C" w:rsidRDefault="00983F8C" w:rsidP="00983F8C">
      <w:pPr>
        <w:spacing w:before="120" w:after="120" w:line="240" w:lineRule="auto"/>
        <w:jc w:val="both"/>
        <w:rPr>
          <w:b/>
          <w:sz w:val="24"/>
          <w:szCs w:val="24"/>
        </w:rPr>
      </w:pPr>
    </w:p>
    <w:p w14:paraId="6305F0C8" w14:textId="1723A2A4" w:rsidR="00E551B3" w:rsidRPr="009F49A9" w:rsidRDefault="00BE08E6" w:rsidP="00017D55">
      <w:pPr>
        <w:pStyle w:val="ListParagraph"/>
        <w:numPr>
          <w:ilvl w:val="0"/>
          <w:numId w:val="31"/>
        </w:numPr>
        <w:spacing w:before="120" w:after="120" w:line="240" w:lineRule="auto"/>
        <w:ind w:left="357" w:hanging="357"/>
        <w:jc w:val="both"/>
        <w:rPr>
          <w:b/>
          <w:sz w:val="24"/>
          <w:szCs w:val="24"/>
        </w:rPr>
      </w:pPr>
      <w:r>
        <w:rPr>
          <w:b/>
          <w:sz w:val="24"/>
          <w:szCs w:val="24"/>
        </w:rPr>
        <w:t>Brief assessment of the benefits and costs of the proposed law</w:t>
      </w:r>
    </w:p>
    <w:p w14:paraId="70EC1848" w14:textId="2E8F093C" w:rsidR="00635159" w:rsidRDefault="00620D36" w:rsidP="006359B9">
      <w:pPr>
        <w:spacing w:after="120" w:line="240" w:lineRule="auto"/>
        <w:jc w:val="both"/>
        <w:rPr>
          <w:sz w:val="24"/>
          <w:szCs w:val="24"/>
        </w:rPr>
      </w:pPr>
      <w:r>
        <w:rPr>
          <w:sz w:val="24"/>
          <w:szCs w:val="24"/>
        </w:rPr>
        <w:t xml:space="preserve">The proposed law imposes a direct economic cost on PCBUs in certain industries in ensuring that certain workers attend the required course. </w:t>
      </w:r>
      <w:r w:rsidR="00E551B3" w:rsidRPr="00620D36">
        <w:rPr>
          <w:sz w:val="24"/>
          <w:szCs w:val="24"/>
        </w:rPr>
        <w:t>The indicative cost for the course at CIT</w:t>
      </w:r>
      <w:r w:rsidR="00F04FDC">
        <w:rPr>
          <w:sz w:val="24"/>
          <w:szCs w:val="24"/>
        </w:rPr>
        <w:t xml:space="preserve">, currently the only registered training organisation offering the course, is $495. </w:t>
      </w:r>
    </w:p>
    <w:p w14:paraId="5B6CFDBF" w14:textId="4B4A251C" w:rsidR="00635159" w:rsidRDefault="00635159" w:rsidP="006359B9">
      <w:pPr>
        <w:spacing w:after="120" w:line="240" w:lineRule="auto"/>
        <w:jc w:val="both"/>
        <w:rPr>
          <w:sz w:val="24"/>
          <w:szCs w:val="24"/>
        </w:rPr>
      </w:pPr>
      <w:r w:rsidRPr="00F04FDC">
        <w:rPr>
          <w:sz w:val="24"/>
          <w:szCs w:val="24"/>
        </w:rPr>
        <w:t xml:space="preserve">If a </w:t>
      </w:r>
      <w:r>
        <w:rPr>
          <w:sz w:val="24"/>
          <w:szCs w:val="24"/>
        </w:rPr>
        <w:t xml:space="preserve">course </w:t>
      </w:r>
      <w:r w:rsidRPr="00F04FDC">
        <w:rPr>
          <w:sz w:val="24"/>
          <w:szCs w:val="24"/>
        </w:rPr>
        <w:t>participant</w:t>
      </w:r>
      <w:r>
        <w:rPr>
          <w:sz w:val="24"/>
          <w:szCs w:val="24"/>
        </w:rPr>
        <w:t xml:space="preserve"> meets </w:t>
      </w:r>
      <w:r w:rsidR="009E1911">
        <w:rPr>
          <w:sz w:val="24"/>
          <w:szCs w:val="24"/>
        </w:rPr>
        <w:t>T</w:t>
      </w:r>
      <w:r>
        <w:rPr>
          <w:sz w:val="24"/>
          <w:szCs w:val="24"/>
        </w:rPr>
        <w:t>raining Fund Authority (TFA)</w:t>
      </w:r>
      <w:r w:rsidRPr="00F04FDC">
        <w:rPr>
          <w:sz w:val="24"/>
          <w:szCs w:val="24"/>
        </w:rPr>
        <w:t xml:space="preserve"> requirements, a financial rebate </w:t>
      </w:r>
      <w:r w:rsidR="009E1911">
        <w:rPr>
          <w:sz w:val="24"/>
          <w:szCs w:val="24"/>
        </w:rPr>
        <w:t xml:space="preserve">of approximately $100 </w:t>
      </w:r>
      <w:r w:rsidRPr="00F04FDC">
        <w:rPr>
          <w:sz w:val="24"/>
          <w:szCs w:val="24"/>
        </w:rPr>
        <w:t>w</w:t>
      </w:r>
      <w:r w:rsidR="009E1911">
        <w:rPr>
          <w:sz w:val="24"/>
          <w:szCs w:val="24"/>
        </w:rPr>
        <w:t xml:space="preserve">ould be </w:t>
      </w:r>
      <w:r w:rsidRPr="00F04FDC">
        <w:rPr>
          <w:sz w:val="24"/>
          <w:szCs w:val="24"/>
        </w:rPr>
        <w:t xml:space="preserve">available.  </w:t>
      </w:r>
      <w:r>
        <w:rPr>
          <w:sz w:val="24"/>
          <w:szCs w:val="24"/>
        </w:rPr>
        <w:t>A worker w</w:t>
      </w:r>
      <w:r w:rsidR="009E1911">
        <w:rPr>
          <w:sz w:val="24"/>
          <w:szCs w:val="24"/>
        </w:rPr>
        <w:t xml:space="preserve">ould </w:t>
      </w:r>
      <w:r>
        <w:rPr>
          <w:sz w:val="24"/>
          <w:szCs w:val="24"/>
        </w:rPr>
        <w:t xml:space="preserve">be </w:t>
      </w:r>
      <w:r w:rsidRPr="00746A74">
        <w:rPr>
          <w:sz w:val="24"/>
          <w:szCs w:val="24"/>
        </w:rPr>
        <w:t>eligible if they work a minimum of 80</w:t>
      </w:r>
      <w:r w:rsidR="009E1911">
        <w:rPr>
          <w:sz w:val="24"/>
          <w:szCs w:val="24"/>
        </w:rPr>
        <w:t xml:space="preserve"> per cent </w:t>
      </w:r>
      <w:r w:rsidRPr="00746A74">
        <w:rPr>
          <w:sz w:val="24"/>
          <w:szCs w:val="24"/>
        </w:rPr>
        <w:t xml:space="preserve">of their time </w:t>
      </w:r>
      <w:r>
        <w:rPr>
          <w:sz w:val="24"/>
          <w:szCs w:val="24"/>
        </w:rPr>
        <w:t>undertaking</w:t>
      </w:r>
      <w:r w:rsidRPr="00746A74">
        <w:rPr>
          <w:sz w:val="24"/>
          <w:szCs w:val="24"/>
        </w:rPr>
        <w:t xml:space="preserve"> work </w:t>
      </w:r>
      <w:r>
        <w:rPr>
          <w:sz w:val="24"/>
          <w:szCs w:val="24"/>
        </w:rPr>
        <w:t xml:space="preserve">that is </w:t>
      </w:r>
      <w:r w:rsidRPr="00746A74">
        <w:rPr>
          <w:sz w:val="24"/>
          <w:szCs w:val="24"/>
        </w:rPr>
        <w:t xml:space="preserve">liable for the training levy, </w:t>
      </w:r>
      <w:r w:rsidR="009E1911">
        <w:rPr>
          <w:sz w:val="24"/>
          <w:szCs w:val="24"/>
        </w:rPr>
        <w:t xml:space="preserve">as defined </w:t>
      </w:r>
      <w:r w:rsidRPr="00746A74">
        <w:rPr>
          <w:sz w:val="24"/>
          <w:szCs w:val="24"/>
        </w:rPr>
        <w:t>in the TFA training plan</w:t>
      </w:r>
      <w:r>
        <w:rPr>
          <w:sz w:val="24"/>
          <w:szCs w:val="24"/>
        </w:rPr>
        <w:t>.</w:t>
      </w:r>
    </w:p>
    <w:p w14:paraId="00B8BDEA" w14:textId="3D045CAE" w:rsidR="0078306A" w:rsidRDefault="007D2F6D" w:rsidP="006359B9">
      <w:pPr>
        <w:spacing w:after="120" w:line="240" w:lineRule="auto"/>
        <w:jc w:val="both"/>
        <w:rPr>
          <w:sz w:val="24"/>
          <w:szCs w:val="24"/>
        </w:rPr>
      </w:pPr>
      <w:r>
        <w:rPr>
          <w:sz w:val="24"/>
          <w:szCs w:val="24"/>
        </w:rPr>
        <w:t>While it is not possible to obtain an exact number, a</w:t>
      </w:r>
      <w:r w:rsidR="00746A74">
        <w:rPr>
          <w:sz w:val="24"/>
          <w:szCs w:val="24"/>
        </w:rPr>
        <w:t xml:space="preserve">ccording to the Australian Bureau of Statistics’ 2016 Census data, </w:t>
      </w:r>
      <w:r>
        <w:rPr>
          <w:sz w:val="24"/>
          <w:szCs w:val="24"/>
        </w:rPr>
        <w:t>approximately 6</w:t>
      </w:r>
      <w:r w:rsidR="0035123F">
        <w:rPr>
          <w:sz w:val="24"/>
          <w:szCs w:val="24"/>
        </w:rPr>
        <w:t>,</w:t>
      </w:r>
      <w:r>
        <w:rPr>
          <w:sz w:val="24"/>
          <w:szCs w:val="24"/>
        </w:rPr>
        <w:t>700 people work in the relevant occupations in the ACT.</w:t>
      </w:r>
      <w:r w:rsidR="0078306A">
        <w:rPr>
          <w:sz w:val="24"/>
          <w:szCs w:val="24"/>
        </w:rPr>
        <w:t xml:space="preserve"> </w:t>
      </w:r>
    </w:p>
    <w:p w14:paraId="6B3C6025" w14:textId="7A813B77" w:rsidR="004E4927" w:rsidRDefault="0078306A" w:rsidP="006359B9">
      <w:pPr>
        <w:spacing w:after="120" w:line="240" w:lineRule="auto"/>
        <w:jc w:val="both"/>
        <w:rPr>
          <w:sz w:val="24"/>
          <w:szCs w:val="24"/>
        </w:rPr>
      </w:pPr>
      <w:r>
        <w:rPr>
          <w:sz w:val="24"/>
          <w:szCs w:val="24"/>
        </w:rPr>
        <w:t>If calculated on the basis that the proposed law will cover 6</w:t>
      </w:r>
      <w:r w:rsidR="0035123F">
        <w:rPr>
          <w:sz w:val="24"/>
          <w:szCs w:val="24"/>
        </w:rPr>
        <w:t>,</w:t>
      </w:r>
      <w:r>
        <w:rPr>
          <w:sz w:val="24"/>
          <w:szCs w:val="24"/>
        </w:rPr>
        <w:t xml:space="preserve">700 workers, </w:t>
      </w:r>
      <w:r w:rsidR="00EF4156">
        <w:rPr>
          <w:sz w:val="24"/>
          <w:szCs w:val="24"/>
        </w:rPr>
        <w:t xml:space="preserve">there </w:t>
      </w:r>
      <w:r w:rsidR="00746A74">
        <w:rPr>
          <w:sz w:val="24"/>
          <w:szCs w:val="24"/>
        </w:rPr>
        <w:t>will be an approximate cost of</w:t>
      </w:r>
      <w:r w:rsidR="00635159">
        <w:rPr>
          <w:sz w:val="24"/>
          <w:szCs w:val="24"/>
        </w:rPr>
        <w:t xml:space="preserve"> </w:t>
      </w:r>
      <w:r w:rsidR="0098521C">
        <w:rPr>
          <w:sz w:val="24"/>
          <w:szCs w:val="24"/>
        </w:rPr>
        <w:t>$</w:t>
      </w:r>
      <w:r w:rsidR="00EF4156">
        <w:rPr>
          <w:sz w:val="24"/>
          <w:szCs w:val="24"/>
        </w:rPr>
        <w:t>3,316,5</w:t>
      </w:r>
      <w:r w:rsidR="00635159">
        <w:rPr>
          <w:sz w:val="24"/>
          <w:szCs w:val="24"/>
        </w:rPr>
        <w:t>00 (</w:t>
      </w:r>
      <w:r w:rsidR="00793AD2">
        <w:rPr>
          <w:sz w:val="24"/>
          <w:szCs w:val="24"/>
        </w:rPr>
        <w:t>p</w:t>
      </w:r>
      <w:r w:rsidR="00BF44C7">
        <w:rPr>
          <w:sz w:val="24"/>
          <w:szCs w:val="24"/>
        </w:rPr>
        <w:t>re</w:t>
      </w:r>
      <w:r w:rsidR="00635159">
        <w:rPr>
          <w:sz w:val="24"/>
          <w:szCs w:val="24"/>
        </w:rPr>
        <w:t xml:space="preserve"> TFA rebate) </w:t>
      </w:r>
      <w:r w:rsidR="00EF4156">
        <w:rPr>
          <w:sz w:val="24"/>
          <w:szCs w:val="24"/>
        </w:rPr>
        <w:t xml:space="preserve">to industry as a whole </w:t>
      </w:r>
      <w:r w:rsidR="00746A74">
        <w:rPr>
          <w:sz w:val="24"/>
          <w:szCs w:val="24"/>
        </w:rPr>
        <w:t>to ensure that existing workers are trained in t</w:t>
      </w:r>
      <w:r w:rsidR="00B5324A">
        <w:rPr>
          <w:sz w:val="24"/>
          <w:szCs w:val="24"/>
        </w:rPr>
        <w:t>he course. T</w:t>
      </w:r>
      <w:r w:rsidR="00AF177D">
        <w:rPr>
          <w:sz w:val="24"/>
          <w:szCs w:val="24"/>
        </w:rPr>
        <w:t xml:space="preserve">his calculation </w:t>
      </w:r>
      <w:r w:rsidR="00AD42D1">
        <w:rPr>
          <w:sz w:val="24"/>
          <w:szCs w:val="24"/>
        </w:rPr>
        <w:t>does not make an allowance</w:t>
      </w:r>
      <w:r w:rsidR="00AF177D">
        <w:rPr>
          <w:sz w:val="24"/>
          <w:szCs w:val="24"/>
        </w:rPr>
        <w:t xml:space="preserve"> for the TFA rebate</w:t>
      </w:r>
      <w:r w:rsidR="00AD42D1">
        <w:rPr>
          <w:sz w:val="24"/>
          <w:szCs w:val="24"/>
        </w:rPr>
        <w:t xml:space="preserve"> of approximately $100</w:t>
      </w:r>
      <w:r w:rsidR="00AF177D">
        <w:rPr>
          <w:sz w:val="24"/>
          <w:szCs w:val="24"/>
        </w:rPr>
        <w:t>, which many of the workers</w:t>
      </w:r>
      <w:r w:rsidR="00AD42D1">
        <w:rPr>
          <w:sz w:val="24"/>
          <w:szCs w:val="24"/>
        </w:rPr>
        <w:t xml:space="preserve"> in the relevant occupations</w:t>
      </w:r>
      <w:r w:rsidR="00AF177D">
        <w:rPr>
          <w:sz w:val="24"/>
          <w:szCs w:val="24"/>
        </w:rPr>
        <w:t xml:space="preserve"> w</w:t>
      </w:r>
      <w:r w:rsidR="009E1911">
        <w:rPr>
          <w:sz w:val="24"/>
          <w:szCs w:val="24"/>
        </w:rPr>
        <w:t>ould</w:t>
      </w:r>
      <w:r w:rsidR="00AF177D">
        <w:rPr>
          <w:sz w:val="24"/>
          <w:szCs w:val="24"/>
        </w:rPr>
        <w:t xml:space="preserve"> likely be eligible for</w:t>
      </w:r>
      <w:r w:rsidR="005B23E3">
        <w:rPr>
          <w:sz w:val="24"/>
          <w:szCs w:val="24"/>
        </w:rPr>
        <w:t xml:space="preserve"> or for workers who have completed the training previously</w:t>
      </w:r>
      <w:r w:rsidR="00AF177D">
        <w:rPr>
          <w:sz w:val="24"/>
          <w:szCs w:val="24"/>
        </w:rPr>
        <w:t xml:space="preserve">. </w:t>
      </w:r>
      <w:r w:rsidR="004E4927">
        <w:rPr>
          <w:sz w:val="24"/>
          <w:szCs w:val="24"/>
        </w:rPr>
        <w:t>There will also be an ongoing cost</w:t>
      </w:r>
      <w:r w:rsidR="00804351">
        <w:rPr>
          <w:sz w:val="24"/>
          <w:szCs w:val="24"/>
        </w:rPr>
        <w:t>, decreasing over time,</w:t>
      </w:r>
      <w:r w:rsidR="004E4927">
        <w:rPr>
          <w:sz w:val="24"/>
          <w:szCs w:val="24"/>
        </w:rPr>
        <w:t xml:space="preserve"> in ensuring workers who are new to the occupations or new to working in the ACT attend the training.</w:t>
      </w:r>
    </w:p>
    <w:p w14:paraId="3A9400F0" w14:textId="3D83C589" w:rsidR="00201E40" w:rsidRDefault="0086335B" w:rsidP="006359B9">
      <w:pPr>
        <w:spacing w:after="120" w:line="240" w:lineRule="auto"/>
        <w:jc w:val="both"/>
        <w:rPr>
          <w:sz w:val="24"/>
          <w:szCs w:val="24"/>
        </w:rPr>
      </w:pPr>
      <w:r>
        <w:rPr>
          <w:sz w:val="24"/>
          <w:szCs w:val="24"/>
        </w:rPr>
        <w:lastRenderedPageBreak/>
        <w:t>An additional cost</w:t>
      </w:r>
      <w:r w:rsidR="00ED655F">
        <w:rPr>
          <w:sz w:val="24"/>
          <w:szCs w:val="24"/>
        </w:rPr>
        <w:t xml:space="preserve"> is the ti</w:t>
      </w:r>
      <w:r>
        <w:rPr>
          <w:sz w:val="24"/>
          <w:szCs w:val="24"/>
        </w:rPr>
        <w:t xml:space="preserve">me a worker will spend attending the course instead of performing their usual duties. </w:t>
      </w:r>
      <w:r w:rsidR="00ED655F">
        <w:rPr>
          <w:sz w:val="24"/>
          <w:szCs w:val="24"/>
        </w:rPr>
        <w:t>The course ru</w:t>
      </w:r>
      <w:r w:rsidR="005B23E3">
        <w:rPr>
          <w:sz w:val="24"/>
          <w:szCs w:val="24"/>
        </w:rPr>
        <w:t>ns for approximately four hours</w:t>
      </w:r>
      <w:r w:rsidR="00ED655F">
        <w:rPr>
          <w:sz w:val="24"/>
          <w:szCs w:val="24"/>
        </w:rPr>
        <w:t xml:space="preserve">. To calculate the approximate cost to PCBUs for the time workers attend the course, an additional 1 hour travel time has been included in the calculation.  </w:t>
      </w:r>
    </w:p>
    <w:p w14:paraId="3A4D774A" w14:textId="290FB332" w:rsidR="0002126E" w:rsidRDefault="00A90C36" w:rsidP="006359B9">
      <w:pPr>
        <w:spacing w:after="120" w:line="240" w:lineRule="auto"/>
        <w:jc w:val="both"/>
        <w:rPr>
          <w:sz w:val="24"/>
          <w:szCs w:val="24"/>
        </w:rPr>
      </w:pPr>
      <w:r>
        <w:rPr>
          <w:sz w:val="24"/>
          <w:szCs w:val="24"/>
        </w:rPr>
        <w:t>G</w:t>
      </w:r>
      <w:r w:rsidR="00201E40">
        <w:rPr>
          <w:sz w:val="24"/>
          <w:szCs w:val="24"/>
        </w:rPr>
        <w:t xml:space="preserve">iven limited availability of </w:t>
      </w:r>
      <w:r w:rsidR="008072FD">
        <w:rPr>
          <w:sz w:val="24"/>
          <w:szCs w:val="24"/>
        </w:rPr>
        <w:t xml:space="preserve">industry and </w:t>
      </w:r>
      <w:r w:rsidR="00E73F17">
        <w:rPr>
          <w:sz w:val="24"/>
          <w:szCs w:val="24"/>
        </w:rPr>
        <w:t>ACT</w:t>
      </w:r>
      <w:r w:rsidR="008072FD">
        <w:rPr>
          <w:sz w:val="24"/>
          <w:szCs w:val="24"/>
        </w:rPr>
        <w:t xml:space="preserve"> specific </w:t>
      </w:r>
      <w:r w:rsidR="00201E40">
        <w:rPr>
          <w:sz w:val="24"/>
          <w:szCs w:val="24"/>
        </w:rPr>
        <w:t>data for average hourly rates,</w:t>
      </w:r>
      <w:r>
        <w:rPr>
          <w:sz w:val="24"/>
          <w:szCs w:val="24"/>
        </w:rPr>
        <w:t xml:space="preserve"> the</w:t>
      </w:r>
      <w:r w:rsidR="00120DA9">
        <w:rPr>
          <w:sz w:val="24"/>
          <w:szCs w:val="24"/>
        </w:rPr>
        <w:t xml:space="preserve"> rate set by the applicable</w:t>
      </w:r>
      <w:r w:rsidR="00201E40">
        <w:rPr>
          <w:sz w:val="24"/>
          <w:szCs w:val="24"/>
        </w:rPr>
        <w:t xml:space="preserve"> awards</w:t>
      </w:r>
      <w:r w:rsidR="00ED655F">
        <w:rPr>
          <w:sz w:val="24"/>
          <w:szCs w:val="24"/>
        </w:rPr>
        <w:t xml:space="preserve"> is </w:t>
      </w:r>
      <w:r>
        <w:rPr>
          <w:sz w:val="24"/>
          <w:szCs w:val="24"/>
        </w:rPr>
        <w:t xml:space="preserve">used as an </w:t>
      </w:r>
      <w:r w:rsidR="00ED655F">
        <w:rPr>
          <w:sz w:val="24"/>
          <w:szCs w:val="24"/>
        </w:rPr>
        <w:t>indication of hourl</w:t>
      </w:r>
      <w:r w:rsidR="00574700">
        <w:rPr>
          <w:sz w:val="24"/>
          <w:szCs w:val="24"/>
        </w:rPr>
        <w:t>y pay for</w:t>
      </w:r>
      <w:r w:rsidR="00201E40">
        <w:rPr>
          <w:sz w:val="24"/>
          <w:szCs w:val="24"/>
        </w:rPr>
        <w:t xml:space="preserve"> workers</w:t>
      </w:r>
      <w:r w:rsidR="00201E40" w:rsidRPr="00201E40">
        <w:rPr>
          <w:sz w:val="24"/>
          <w:szCs w:val="24"/>
        </w:rPr>
        <w:t xml:space="preserve"> </w:t>
      </w:r>
      <w:r w:rsidR="00201E40">
        <w:rPr>
          <w:sz w:val="24"/>
          <w:szCs w:val="24"/>
        </w:rPr>
        <w:t>covered by the proposed law</w:t>
      </w:r>
      <w:r w:rsidR="00ED655F">
        <w:rPr>
          <w:sz w:val="24"/>
          <w:szCs w:val="24"/>
        </w:rPr>
        <w:t xml:space="preserve">. </w:t>
      </w:r>
    </w:p>
    <w:p w14:paraId="6967F863" w14:textId="47545CE5" w:rsidR="00804351" w:rsidRDefault="004E4927" w:rsidP="00ED655F">
      <w:pPr>
        <w:rPr>
          <w:sz w:val="24"/>
          <w:szCs w:val="24"/>
        </w:rPr>
      </w:pPr>
      <w:r>
        <w:rPr>
          <w:sz w:val="24"/>
          <w:szCs w:val="24"/>
        </w:rPr>
        <w:t>Table A shows the hourly award rate range under the releva</w:t>
      </w:r>
      <w:r w:rsidR="00804351">
        <w:rPr>
          <w:sz w:val="24"/>
          <w:szCs w:val="24"/>
        </w:rPr>
        <w:t xml:space="preserve">nt awards, the cost range for </w:t>
      </w:r>
      <w:r w:rsidR="005B23E3">
        <w:rPr>
          <w:sz w:val="24"/>
          <w:szCs w:val="24"/>
        </w:rPr>
        <w:t xml:space="preserve">five </w:t>
      </w:r>
      <w:r>
        <w:rPr>
          <w:sz w:val="24"/>
          <w:szCs w:val="24"/>
        </w:rPr>
        <w:t>hours work, and shows an average rate for the highest classification averaged across each of the awards.</w:t>
      </w:r>
    </w:p>
    <w:p w14:paraId="364931CB" w14:textId="6A7BD202" w:rsidR="00ED655F" w:rsidRDefault="00804351" w:rsidP="00ED655F">
      <w:pPr>
        <w:rPr>
          <w:sz w:val="24"/>
          <w:szCs w:val="24"/>
        </w:rPr>
      </w:pPr>
      <w:r>
        <w:rPr>
          <w:sz w:val="24"/>
          <w:szCs w:val="24"/>
        </w:rPr>
        <w:t xml:space="preserve">Table A – </w:t>
      </w:r>
      <w:r w:rsidR="009E1911">
        <w:rPr>
          <w:sz w:val="24"/>
          <w:szCs w:val="24"/>
        </w:rPr>
        <w:t xml:space="preserve">Estimated </w:t>
      </w:r>
      <w:r w:rsidR="005B23E3">
        <w:rPr>
          <w:sz w:val="24"/>
          <w:szCs w:val="24"/>
        </w:rPr>
        <w:t xml:space="preserve">per worker </w:t>
      </w:r>
      <w:r w:rsidR="009E1911">
        <w:rPr>
          <w:sz w:val="24"/>
          <w:szCs w:val="24"/>
        </w:rPr>
        <w:t>c</w:t>
      </w:r>
      <w:r>
        <w:rPr>
          <w:sz w:val="24"/>
          <w:szCs w:val="24"/>
        </w:rPr>
        <w:t>ost to PCBUs for time required to undertake training</w:t>
      </w:r>
    </w:p>
    <w:tbl>
      <w:tblPr>
        <w:tblStyle w:val="TableGrid"/>
        <w:tblW w:w="0" w:type="auto"/>
        <w:tblLook w:val="04A0" w:firstRow="1" w:lastRow="0" w:firstColumn="1" w:lastColumn="0" w:noHBand="0" w:noVBand="1"/>
      </w:tblPr>
      <w:tblGrid>
        <w:gridCol w:w="2444"/>
        <w:gridCol w:w="2447"/>
        <w:gridCol w:w="2126"/>
        <w:gridCol w:w="1999"/>
      </w:tblGrid>
      <w:tr w:rsidR="00707B8C" w14:paraId="79A1E388" w14:textId="77777777" w:rsidTr="00707B8C">
        <w:trPr>
          <w:trHeight w:val="628"/>
        </w:trPr>
        <w:tc>
          <w:tcPr>
            <w:tcW w:w="2444" w:type="dxa"/>
            <w:shd w:val="clear" w:color="auto" w:fill="BFBFBF" w:themeFill="background1" w:themeFillShade="BF"/>
          </w:tcPr>
          <w:p w14:paraId="45141EC5" w14:textId="77777777" w:rsidR="00707B8C" w:rsidRPr="00707B8C" w:rsidRDefault="00707B8C" w:rsidP="0065611D">
            <w:pPr>
              <w:rPr>
                <w:b/>
                <w:sz w:val="18"/>
                <w:szCs w:val="18"/>
              </w:rPr>
            </w:pPr>
            <w:r w:rsidRPr="00707B8C">
              <w:rPr>
                <w:b/>
                <w:sz w:val="18"/>
                <w:szCs w:val="18"/>
              </w:rPr>
              <w:t xml:space="preserve">Award </w:t>
            </w:r>
          </w:p>
        </w:tc>
        <w:tc>
          <w:tcPr>
            <w:tcW w:w="2447" w:type="dxa"/>
            <w:shd w:val="clear" w:color="auto" w:fill="BFBFBF" w:themeFill="background1" w:themeFillShade="BF"/>
          </w:tcPr>
          <w:p w14:paraId="2FED3286" w14:textId="77777777" w:rsidR="00707B8C" w:rsidRPr="00707B8C" w:rsidRDefault="00707B8C" w:rsidP="0065611D">
            <w:pPr>
              <w:rPr>
                <w:b/>
                <w:sz w:val="18"/>
                <w:szCs w:val="18"/>
              </w:rPr>
            </w:pPr>
            <w:r w:rsidRPr="00707B8C">
              <w:rPr>
                <w:b/>
                <w:sz w:val="18"/>
                <w:szCs w:val="18"/>
              </w:rPr>
              <w:t>Classification</w:t>
            </w:r>
          </w:p>
        </w:tc>
        <w:tc>
          <w:tcPr>
            <w:tcW w:w="2126" w:type="dxa"/>
            <w:shd w:val="clear" w:color="auto" w:fill="BFBFBF" w:themeFill="background1" w:themeFillShade="BF"/>
          </w:tcPr>
          <w:p w14:paraId="39B8190B" w14:textId="528A87E8" w:rsidR="00707B8C" w:rsidRPr="00707B8C" w:rsidRDefault="00707B8C" w:rsidP="00707B8C">
            <w:pPr>
              <w:rPr>
                <w:b/>
                <w:sz w:val="18"/>
                <w:szCs w:val="18"/>
              </w:rPr>
            </w:pPr>
            <w:r w:rsidRPr="00707B8C">
              <w:rPr>
                <w:b/>
                <w:sz w:val="18"/>
                <w:szCs w:val="18"/>
              </w:rPr>
              <w:t>Hourly award rate range (depending on classification)*</w:t>
            </w:r>
          </w:p>
        </w:tc>
        <w:tc>
          <w:tcPr>
            <w:tcW w:w="1999" w:type="dxa"/>
            <w:shd w:val="clear" w:color="auto" w:fill="BFBFBF" w:themeFill="background1" w:themeFillShade="BF"/>
          </w:tcPr>
          <w:p w14:paraId="66A59715" w14:textId="77777777" w:rsidR="00707B8C" w:rsidRPr="00707B8C" w:rsidRDefault="00707B8C" w:rsidP="0065611D">
            <w:pPr>
              <w:rPr>
                <w:b/>
                <w:sz w:val="18"/>
                <w:szCs w:val="18"/>
              </w:rPr>
            </w:pPr>
            <w:r w:rsidRPr="00707B8C">
              <w:rPr>
                <w:b/>
                <w:sz w:val="18"/>
                <w:szCs w:val="18"/>
              </w:rPr>
              <w:t xml:space="preserve">5 hours pay range </w:t>
            </w:r>
          </w:p>
        </w:tc>
      </w:tr>
      <w:tr w:rsidR="00707B8C" w14:paraId="05D545FC" w14:textId="77777777" w:rsidTr="00707B8C">
        <w:tc>
          <w:tcPr>
            <w:tcW w:w="2444" w:type="dxa"/>
          </w:tcPr>
          <w:p w14:paraId="52A2CF9E" w14:textId="77777777" w:rsidR="00707B8C" w:rsidRPr="00707B8C" w:rsidRDefault="00707B8C" w:rsidP="00707B8C">
            <w:pPr>
              <w:rPr>
                <w:sz w:val="18"/>
                <w:szCs w:val="18"/>
              </w:rPr>
            </w:pPr>
            <w:r w:rsidRPr="00707B8C">
              <w:rPr>
                <w:sz w:val="18"/>
                <w:szCs w:val="18"/>
              </w:rPr>
              <w:t>Electrical, Electronic and Communications Contracting Award 2010</w:t>
            </w:r>
          </w:p>
        </w:tc>
        <w:tc>
          <w:tcPr>
            <w:tcW w:w="2447" w:type="dxa"/>
          </w:tcPr>
          <w:p w14:paraId="4B03B9F0" w14:textId="77777777" w:rsidR="00707B8C" w:rsidRPr="00707B8C" w:rsidRDefault="00707B8C" w:rsidP="00707B8C">
            <w:pPr>
              <w:rPr>
                <w:sz w:val="18"/>
                <w:szCs w:val="18"/>
              </w:rPr>
            </w:pPr>
            <w:r w:rsidRPr="00707B8C">
              <w:rPr>
                <w:sz w:val="18"/>
                <w:szCs w:val="18"/>
              </w:rPr>
              <w:t xml:space="preserve">Electrical workers (multiple grades) </w:t>
            </w:r>
          </w:p>
        </w:tc>
        <w:tc>
          <w:tcPr>
            <w:tcW w:w="2126" w:type="dxa"/>
          </w:tcPr>
          <w:p w14:paraId="69010859" w14:textId="77777777" w:rsidR="00707B8C" w:rsidRPr="00707B8C" w:rsidRDefault="00707B8C" w:rsidP="00707B8C">
            <w:pPr>
              <w:rPr>
                <w:sz w:val="18"/>
                <w:szCs w:val="18"/>
              </w:rPr>
            </w:pPr>
            <w:r w:rsidRPr="00707B8C">
              <w:rPr>
                <w:sz w:val="18"/>
                <w:szCs w:val="18"/>
              </w:rPr>
              <w:t xml:space="preserve">$20.02-$29.97 </w:t>
            </w:r>
          </w:p>
        </w:tc>
        <w:tc>
          <w:tcPr>
            <w:tcW w:w="1999" w:type="dxa"/>
          </w:tcPr>
          <w:p w14:paraId="67AA2834" w14:textId="77777777" w:rsidR="00707B8C" w:rsidRPr="00707B8C" w:rsidRDefault="00707B8C" w:rsidP="00707B8C">
            <w:pPr>
              <w:rPr>
                <w:sz w:val="18"/>
                <w:szCs w:val="18"/>
              </w:rPr>
            </w:pPr>
            <w:r w:rsidRPr="00707B8C">
              <w:rPr>
                <w:sz w:val="18"/>
                <w:szCs w:val="18"/>
              </w:rPr>
              <w:t>$100.10-$149.85</w:t>
            </w:r>
          </w:p>
        </w:tc>
      </w:tr>
      <w:tr w:rsidR="00707B8C" w14:paraId="014AA58C" w14:textId="77777777" w:rsidTr="00707B8C">
        <w:tc>
          <w:tcPr>
            <w:tcW w:w="2444" w:type="dxa"/>
          </w:tcPr>
          <w:p w14:paraId="61EA8805" w14:textId="77777777" w:rsidR="00707B8C" w:rsidRPr="00707B8C" w:rsidRDefault="00707B8C" w:rsidP="0065611D">
            <w:pPr>
              <w:rPr>
                <w:sz w:val="18"/>
                <w:szCs w:val="18"/>
              </w:rPr>
            </w:pPr>
            <w:r w:rsidRPr="00707B8C">
              <w:rPr>
                <w:sz w:val="18"/>
                <w:szCs w:val="18"/>
              </w:rPr>
              <w:t xml:space="preserve">Plumbing and Fire Sprinklers Award 2010 </w:t>
            </w:r>
          </w:p>
        </w:tc>
        <w:tc>
          <w:tcPr>
            <w:tcW w:w="2447" w:type="dxa"/>
          </w:tcPr>
          <w:p w14:paraId="7D711FD9" w14:textId="77777777" w:rsidR="00707B8C" w:rsidRPr="00707B8C" w:rsidRDefault="00707B8C" w:rsidP="0065611D">
            <w:pPr>
              <w:rPr>
                <w:sz w:val="18"/>
                <w:szCs w:val="18"/>
              </w:rPr>
            </w:pPr>
            <w:r w:rsidRPr="00707B8C">
              <w:rPr>
                <w:sz w:val="18"/>
                <w:szCs w:val="18"/>
              </w:rPr>
              <w:t xml:space="preserve">Plumbing and mechanical services workers (multiple levels) and plumbing and mechanical services tradespersons (multiple levels and classes) </w:t>
            </w:r>
          </w:p>
        </w:tc>
        <w:tc>
          <w:tcPr>
            <w:tcW w:w="2126" w:type="dxa"/>
          </w:tcPr>
          <w:p w14:paraId="77DFC795" w14:textId="77777777" w:rsidR="00707B8C" w:rsidRPr="00707B8C" w:rsidRDefault="00707B8C" w:rsidP="0065611D">
            <w:pPr>
              <w:rPr>
                <w:sz w:val="18"/>
                <w:szCs w:val="18"/>
              </w:rPr>
            </w:pPr>
            <w:r w:rsidRPr="00707B8C">
              <w:rPr>
                <w:sz w:val="18"/>
                <w:szCs w:val="18"/>
              </w:rPr>
              <w:t>$20.91-$27.82</w:t>
            </w:r>
          </w:p>
        </w:tc>
        <w:tc>
          <w:tcPr>
            <w:tcW w:w="1999" w:type="dxa"/>
          </w:tcPr>
          <w:p w14:paraId="5EF893CA" w14:textId="77777777" w:rsidR="00707B8C" w:rsidRPr="00707B8C" w:rsidRDefault="00707B8C" w:rsidP="0065611D">
            <w:pPr>
              <w:rPr>
                <w:sz w:val="18"/>
                <w:szCs w:val="18"/>
              </w:rPr>
            </w:pPr>
            <w:r w:rsidRPr="00707B8C">
              <w:rPr>
                <w:sz w:val="18"/>
                <w:szCs w:val="18"/>
              </w:rPr>
              <w:t>$104.55-$139.10</w:t>
            </w:r>
          </w:p>
        </w:tc>
      </w:tr>
      <w:tr w:rsidR="00707B8C" w14:paraId="5A71ACDB" w14:textId="77777777" w:rsidTr="00707B8C">
        <w:tc>
          <w:tcPr>
            <w:tcW w:w="2444" w:type="dxa"/>
          </w:tcPr>
          <w:p w14:paraId="27BD9453" w14:textId="77777777" w:rsidR="00707B8C" w:rsidRPr="00707B8C" w:rsidRDefault="00707B8C" w:rsidP="0065611D">
            <w:pPr>
              <w:rPr>
                <w:sz w:val="18"/>
                <w:szCs w:val="18"/>
              </w:rPr>
            </w:pPr>
            <w:r w:rsidRPr="00707B8C">
              <w:rPr>
                <w:sz w:val="18"/>
                <w:szCs w:val="18"/>
              </w:rPr>
              <w:t>Telecommunications Services Award 2010</w:t>
            </w:r>
          </w:p>
        </w:tc>
        <w:tc>
          <w:tcPr>
            <w:tcW w:w="2447" w:type="dxa"/>
          </w:tcPr>
          <w:p w14:paraId="2EEFEAED" w14:textId="77777777" w:rsidR="00707B8C" w:rsidRPr="00707B8C" w:rsidRDefault="00707B8C" w:rsidP="0065611D">
            <w:pPr>
              <w:rPr>
                <w:sz w:val="18"/>
                <w:szCs w:val="18"/>
              </w:rPr>
            </w:pPr>
            <w:r w:rsidRPr="00707B8C">
              <w:rPr>
                <w:sz w:val="18"/>
                <w:szCs w:val="18"/>
              </w:rPr>
              <w:t xml:space="preserve">Telecommunications trainees, telecommunications technical employees, telecommunications technicians (including advanced and principal classifications) and telecommunications associates </w:t>
            </w:r>
          </w:p>
        </w:tc>
        <w:tc>
          <w:tcPr>
            <w:tcW w:w="2126" w:type="dxa"/>
          </w:tcPr>
          <w:p w14:paraId="451462F9" w14:textId="77777777" w:rsidR="00707B8C" w:rsidRPr="00707B8C" w:rsidRDefault="00707B8C" w:rsidP="0065611D">
            <w:pPr>
              <w:rPr>
                <w:sz w:val="18"/>
                <w:szCs w:val="18"/>
              </w:rPr>
            </w:pPr>
            <w:r w:rsidRPr="00707B8C">
              <w:rPr>
                <w:sz w:val="18"/>
                <w:szCs w:val="18"/>
              </w:rPr>
              <w:t>$20.22-$27.86</w:t>
            </w:r>
          </w:p>
        </w:tc>
        <w:tc>
          <w:tcPr>
            <w:tcW w:w="1999" w:type="dxa"/>
          </w:tcPr>
          <w:p w14:paraId="3A25B69F" w14:textId="77777777" w:rsidR="00707B8C" w:rsidRPr="00707B8C" w:rsidRDefault="00707B8C" w:rsidP="0065611D">
            <w:pPr>
              <w:rPr>
                <w:sz w:val="18"/>
                <w:szCs w:val="18"/>
              </w:rPr>
            </w:pPr>
            <w:r w:rsidRPr="00707B8C">
              <w:rPr>
                <w:sz w:val="18"/>
                <w:szCs w:val="18"/>
              </w:rPr>
              <w:t xml:space="preserve">$101.10-$139.30 </w:t>
            </w:r>
          </w:p>
          <w:p w14:paraId="53DBD0EB" w14:textId="77777777" w:rsidR="00707B8C" w:rsidRPr="00707B8C" w:rsidRDefault="00707B8C" w:rsidP="0065611D">
            <w:pPr>
              <w:rPr>
                <w:sz w:val="18"/>
                <w:szCs w:val="18"/>
              </w:rPr>
            </w:pPr>
          </w:p>
          <w:p w14:paraId="32EABB70" w14:textId="77777777" w:rsidR="00707B8C" w:rsidRPr="00707B8C" w:rsidRDefault="00707B8C" w:rsidP="0065611D">
            <w:pPr>
              <w:rPr>
                <w:sz w:val="18"/>
                <w:szCs w:val="18"/>
              </w:rPr>
            </w:pPr>
          </w:p>
          <w:p w14:paraId="72257906" w14:textId="77777777" w:rsidR="00707B8C" w:rsidRPr="00707B8C" w:rsidRDefault="00707B8C" w:rsidP="0065611D">
            <w:pPr>
              <w:rPr>
                <w:sz w:val="18"/>
                <w:szCs w:val="18"/>
              </w:rPr>
            </w:pPr>
          </w:p>
          <w:p w14:paraId="22A0C402" w14:textId="77777777" w:rsidR="00707B8C" w:rsidRPr="00707B8C" w:rsidRDefault="00707B8C" w:rsidP="0065611D">
            <w:pPr>
              <w:rPr>
                <w:sz w:val="18"/>
                <w:szCs w:val="18"/>
              </w:rPr>
            </w:pPr>
          </w:p>
          <w:p w14:paraId="0C8C38B4" w14:textId="77777777" w:rsidR="00707B8C" w:rsidRPr="00707B8C" w:rsidRDefault="00707B8C" w:rsidP="0065611D">
            <w:pPr>
              <w:rPr>
                <w:sz w:val="18"/>
                <w:szCs w:val="18"/>
              </w:rPr>
            </w:pPr>
          </w:p>
          <w:p w14:paraId="7A67F8CD" w14:textId="77777777" w:rsidR="00707B8C" w:rsidRPr="00707B8C" w:rsidRDefault="00707B8C" w:rsidP="0065611D">
            <w:pPr>
              <w:rPr>
                <w:sz w:val="18"/>
                <w:szCs w:val="18"/>
              </w:rPr>
            </w:pPr>
          </w:p>
          <w:p w14:paraId="01C0BF25" w14:textId="77777777" w:rsidR="00707B8C" w:rsidRPr="00707B8C" w:rsidRDefault="00707B8C" w:rsidP="0065611D">
            <w:pPr>
              <w:rPr>
                <w:sz w:val="18"/>
                <w:szCs w:val="18"/>
              </w:rPr>
            </w:pPr>
          </w:p>
        </w:tc>
      </w:tr>
      <w:tr w:rsidR="00707B8C" w14:paraId="0307C628" w14:textId="77777777" w:rsidTr="00707B8C">
        <w:tc>
          <w:tcPr>
            <w:tcW w:w="2444" w:type="dxa"/>
          </w:tcPr>
          <w:p w14:paraId="5601332A" w14:textId="77777777" w:rsidR="00707B8C" w:rsidRPr="00707B8C" w:rsidRDefault="00707B8C" w:rsidP="0065611D">
            <w:pPr>
              <w:rPr>
                <w:sz w:val="18"/>
                <w:szCs w:val="18"/>
              </w:rPr>
            </w:pPr>
          </w:p>
        </w:tc>
        <w:tc>
          <w:tcPr>
            <w:tcW w:w="2447" w:type="dxa"/>
          </w:tcPr>
          <w:p w14:paraId="0714A86E" w14:textId="77777777" w:rsidR="00707B8C" w:rsidRPr="00707B8C" w:rsidRDefault="00707B8C" w:rsidP="0065611D">
            <w:pPr>
              <w:rPr>
                <w:b/>
                <w:sz w:val="18"/>
                <w:szCs w:val="18"/>
              </w:rPr>
            </w:pPr>
            <w:r w:rsidRPr="00707B8C">
              <w:rPr>
                <w:b/>
                <w:sz w:val="18"/>
                <w:szCs w:val="18"/>
              </w:rPr>
              <w:t>Rate for highest classification averaged across each of the awards</w:t>
            </w:r>
          </w:p>
        </w:tc>
        <w:tc>
          <w:tcPr>
            <w:tcW w:w="2126" w:type="dxa"/>
          </w:tcPr>
          <w:p w14:paraId="3E8E3317" w14:textId="77777777" w:rsidR="00707B8C" w:rsidRPr="00707B8C" w:rsidRDefault="00707B8C" w:rsidP="0065611D">
            <w:pPr>
              <w:rPr>
                <w:b/>
                <w:sz w:val="18"/>
                <w:szCs w:val="18"/>
              </w:rPr>
            </w:pPr>
            <w:r w:rsidRPr="00707B8C">
              <w:rPr>
                <w:b/>
                <w:sz w:val="18"/>
                <w:szCs w:val="18"/>
              </w:rPr>
              <w:t>$28.55</w:t>
            </w:r>
          </w:p>
        </w:tc>
        <w:tc>
          <w:tcPr>
            <w:tcW w:w="1999" w:type="dxa"/>
          </w:tcPr>
          <w:p w14:paraId="704ADCDC" w14:textId="77777777" w:rsidR="00707B8C" w:rsidRPr="00707B8C" w:rsidRDefault="00707B8C" w:rsidP="0065611D">
            <w:pPr>
              <w:rPr>
                <w:b/>
                <w:sz w:val="18"/>
                <w:szCs w:val="18"/>
              </w:rPr>
            </w:pPr>
            <w:r w:rsidRPr="00707B8C">
              <w:rPr>
                <w:b/>
                <w:sz w:val="18"/>
                <w:szCs w:val="18"/>
              </w:rPr>
              <w:t>$142.75</w:t>
            </w:r>
          </w:p>
        </w:tc>
      </w:tr>
    </w:tbl>
    <w:p w14:paraId="5CF6E003" w14:textId="0B504D56" w:rsidR="00707B8C" w:rsidRPr="00ED655F" w:rsidRDefault="00707B8C" w:rsidP="00ED655F">
      <w:pPr>
        <w:rPr>
          <w:sz w:val="24"/>
          <w:szCs w:val="24"/>
        </w:rPr>
      </w:pPr>
      <w:r w:rsidRPr="00707B8C">
        <w:rPr>
          <w:sz w:val="18"/>
          <w:szCs w:val="18"/>
        </w:rPr>
        <w:t>*for full-time and part-time employees for standard weekday hours. Not including rates for apprentices or junior workers. All rates effective from 1 July 2018.</w:t>
      </w:r>
    </w:p>
    <w:p w14:paraId="798AB923" w14:textId="2B3478F6" w:rsidR="00E551B3" w:rsidRDefault="00636E44" w:rsidP="006359B9">
      <w:pPr>
        <w:spacing w:after="120" w:line="240" w:lineRule="auto"/>
        <w:jc w:val="both"/>
        <w:rPr>
          <w:sz w:val="24"/>
          <w:szCs w:val="24"/>
        </w:rPr>
      </w:pPr>
      <w:r>
        <w:rPr>
          <w:sz w:val="24"/>
          <w:szCs w:val="24"/>
        </w:rPr>
        <w:t>Using the rate for five hours work for the highest applicable classifications, averaged across each of the relevant awards</w:t>
      </w:r>
      <w:r w:rsidR="004D4F50">
        <w:rPr>
          <w:sz w:val="24"/>
          <w:szCs w:val="24"/>
        </w:rPr>
        <w:t xml:space="preserve"> ($142.75), and the approximate number of workers covered by the proposed law (6</w:t>
      </w:r>
      <w:r w:rsidR="009E1911">
        <w:rPr>
          <w:sz w:val="24"/>
          <w:szCs w:val="24"/>
        </w:rPr>
        <w:t>,</w:t>
      </w:r>
      <w:r w:rsidR="004D4F50">
        <w:rPr>
          <w:sz w:val="24"/>
          <w:szCs w:val="24"/>
        </w:rPr>
        <w:t>700)</w:t>
      </w:r>
      <w:r w:rsidR="001846B8">
        <w:rPr>
          <w:sz w:val="24"/>
          <w:szCs w:val="24"/>
        </w:rPr>
        <w:t>, the additional cost to the industry as a whole</w:t>
      </w:r>
      <w:r w:rsidR="004D4F50">
        <w:rPr>
          <w:sz w:val="24"/>
          <w:szCs w:val="24"/>
        </w:rPr>
        <w:t xml:space="preserve"> of workers attending the training course is approximately </w:t>
      </w:r>
      <w:r w:rsidR="001846B8">
        <w:rPr>
          <w:sz w:val="24"/>
          <w:szCs w:val="24"/>
        </w:rPr>
        <w:t xml:space="preserve">$956,425. </w:t>
      </w:r>
      <w:r w:rsidR="00201E40">
        <w:rPr>
          <w:sz w:val="24"/>
          <w:szCs w:val="24"/>
        </w:rPr>
        <w:t xml:space="preserve">This calculation </w:t>
      </w:r>
      <w:r w:rsidR="00980037">
        <w:rPr>
          <w:sz w:val="24"/>
          <w:szCs w:val="24"/>
        </w:rPr>
        <w:t>does not include additional travel expenses that a PCBU might also be required to cover</w:t>
      </w:r>
      <w:r w:rsidR="005B23E3">
        <w:rPr>
          <w:sz w:val="24"/>
          <w:szCs w:val="24"/>
        </w:rPr>
        <w:t xml:space="preserve"> or any allowance for workers who are already trained</w:t>
      </w:r>
      <w:r w:rsidR="00980037">
        <w:rPr>
          <w:sz w:val="24"/>
          <w:szCs w:val="24"/>
        </w:rPr>
        <w:t xml:space="preserve">. </w:t>
      </w:r>
      <w:r w:rsidR="00201E40">
        <w:rPr>
          <w:sz w:val="24"/>
          <w:szCs w:val="24"/>
        </w:rPr>
        <w:t xml:space="preserve"> </w:t>
      </w:r>
      <w:r w:rsidR="005F14C3">
        <w:rPr>
          <w:sz w:val="24"/>
          <w:szCs w:val="24"/>
        </w:rPr>
        <w:t xml:space="preserve"> </w:t>
      </w:r>
    </w:p>
    <w:p w14:paraId="18FB4662" w14:textId="17112DDE" w:rsidR="00CE1995" w:rsidRDefault="0002126E" w:rsidP="00CE1995">
      <w:pPr>
        <w:spacing w:after="120" w:line="240" w:lineRule="auto"/>
        <w:jc w:val="both"/>
        <w:rPr>
          <w:sz w:val="24"/>
          <w:szCs w:val="24"/>
        </w:rPr>
      </w:pPr>
      <w:r>
        <w:rPr>
          <w:sz w:val="24"/>
          <w:szCs w:val="24"/>
        </w:rPr>
        <w:t xml:space="preserve">It is noted that there are a number of limitations to this approach. Not every worker has their pay set by the award rate, and there is no data showing the proportion of workers in the relevant occupations whose pay is set by the award. Some workers will be paid higher than the award rate for their classification. </w:t>
      </w:r>
    </w:p>
    <w:p w14:paraId="09194F7B" w14:textId="77777777" w:rsidR="005B23E3" w:rsidRDefault="005B23E3" w:rsidP="00CE1995">
      <w:pPr>
        <w:spacing w:after="120" w:line="240" w:lineRule="auto"/>
        <w:jc w:val="both"/>
        <w:rPr>
          <w:sz w:val="24"/>
          <w:szCs w:val="24"/>
        </w:rPr>
      </w:pPr>
    </w:p>
    <w:p w14:paraId="37E3C3E8" w14:textId="77777777" w:rsidR="00804351" w:rsidRPr="00F85821" w:rsidRDefault="00804351" w:rsidP="00CE1995">
      <w:pPr>
        <w:spacing w:after="120" w:line="240" w:lineRule="auto"/>
        <w:jc w:val="both"/>
        <w:rPr>
          <w:sz w:val="24"/>
          <w:szCs w:val="24"/>
        </w:rPr>
      </w:pPr>
    </w:p>
    <w:tbl>
      <w:tblPr>
        <w:tblStyle w:val="TableGrid"/>
        <w:tblW w:w="0" w:type="auto"/>
        <w:tblLook w:val="04A0" w:firstRow="1" w:lastRow="0" w:firstColumn="1" w:lastColumn="0" w:noHBand="0" w:noVBand="1"/>
      </w:tblPr>
      <w:tblGrid>
        <w:gridCol w:w="4508"/>
        <w:gridCol w:w="4508"/>
      </w:tblGrid>
      <w:tr w:rsidR="00E551B3" w14:paraId="3E06E857" w14:textId="77777777" w:rsidTr="00636E44">
        <w:trPr>
          <w:trHeight w:val="379"/>
        </w:trPr>
        <w:tc>
          <w:tcPr>
            <w:tcW w:w="4508" w:type="dxa"/>
          </w:tcPr>
          <w:p w14:paraId="59ED5FFC" w14:textId="37DF7A4B" w:rsidR="00E551B3" w:rsidRPr="00934F52" w:rsidRDefault="00E551B3" w:rsidP="0029538F">
            <w:pPr>
              <w:jc w:val="both"/>
              <w:rPr>
                <w:b/>
                <w:i/>
              </w:rPr>
            </w:pPr>
            <w:r>
              <w:rPr>
                <w:b/>
                <w:i/>
              </w:rPr>
              <w:lastRenderedPageBreak/>
              <w:t xml:space="preserve">Benefits </w:t>
            </w:r>
            <w:r w:rsidR="00804351">
              <w:rPr>
                <w:b/>
                <w:i/>
              </w:rPr>
              <w:t>of the proposed law</w:t>
            </w:r>
          </w:p>
        </w:tc>
        <w:tc>
          <w:tcPr>
            <w:tcW w:w="4508" w:type="dxa"/>
          </w:tcPr>
          <w:p w14:paraId="02883286" w14:textId="13634F03" w:rsidR="00E551B3" w:rsidRPr="00934F52" w:rsidRDefault="00E551B3" w:rsidP="0029538F">
            <w:pPr>
              <w:jc w:val="both"/>
              <w:rPr>
                <w:b/>
                <w:i/>
              </w:rPr>
            </w:pPr>
            <w:r w:rsidRPr="00934F52">
              <w:rPr>
                <w:b/>
                <w:i/>
              </w:rPr>
              <w:t xml:space="preserve">Costs </w:t>
            </w:r>
            <w:r w:rsidR="00804351">
              <w:rPr>
                <w:b/>
                <w:i/>
              </w:rPr>
              <w:t>of the proposed law</w:t>
            </w:r>
          </w:p>
        </w:tc>
      </w:tr>
      <w:tr w:rsidR="00E551B3" w14:paraId="7E1646EA" w14:textId="77777777" w:rsidTr="0029538F">
        <w:tc>
          <w:tcPr>
            <w:tcW w:w="4508" w:type="dxa"/>
          </w:tcPr>
          <w:p w14:paraId="2A0C2B26" w14:textId="4CFEABC8" w:rsidR="00E551B3" w:rsidRDefault="00E551B3" w:rsidP="0029538F">
            <w:pPr>
              <w:jc w:val="both"/>
              <w:rPr>
                <w:u w:val="single"/>
              </w:rPr>
            </w:pPr>
            <w:r>
              <w:rPr>
                <w:u w:val="single"/>
              </w:rPr>
              <w:t xml:space="preserve">Achieves policy objectives </w:t>
            </w:r>
          </w:p>
          <w:p w14:paraId="2FE01D9C" w14:textId="2F43E69A" w:rsidR="00E551B3" w:rsidRPr="00AB3A51" w:rsidRDefault="00AB3A51" w:rsidP="00804351">
            <w:pPr>
              <w:pStyle w:val="ListParagraph"/>
              <w:numPr>
                <w:ilvl w:val="0"/>
                <w:numId w:val="27"/>
              </w:numPr>
              <w:jc w:val="both"/>
            </w:pPr>
            <w:r>
              <w:t xml:space="preserve">The proposed law provides a means to achieve policy objectives as outlined above. </w:t>
            </w:r>
          </w:p>
          <w:p w14:paraId="4496170A" w14:textId="77777777" w:rsidR="00804351" w:rsidRDefault="00AB3A51" w:rsidP="00804351">
            <w:pPr>
              <w:pStyle w:val="ListParagraph"/>
              <w:numPr>
                <w:ilvl w:val="0"/>
                <w:numId w:val="27"/>
              </w:numPr>
              <w:jc w:val="both"/>
            </w:pPr>
            <w:r>
              <w:t>An expected outcome is</w:t>
            </w:r>
            <w:r w:rsidR="00E551B3">
              <w:t xml:space="preserve"> improved health and safety p</w:t>
            </w:r>
            <w:r w:rsidR="00804351">
              <w:t>ractices when working with ACMs.</w:t>
            </w:r>
          </w:p>
          <w:p w14:paraId="469993E1" w14:textId="77777777" w:rsidR="00804351" w:rsidRDefault="00804351" w:rsidP="00804351">
            <w:pPr>
              <w:pStyle w:val="ListParagraph"/>
              <w:numPr>
                <w:ilvl w:val="0"/>
                <w:numId w:val="27"/>
              </w:numPr>
              <w:jc w:val="both"/>
            </w:pPr>
            <w:r>
              <w:t>Reduces the risk of minor or routine maintenance work resulting in exposure to asbestos fibres.</w:t>
            </w:r>
          </w:p>
          <w:p w14:paraId="7AD93907" w14:textId="299D273D" w:rsidR="00E551B3" w:rsidRPr="008A415F" w:rsidRDefault="00804351" w:rsidP="00804351">
            <w:pPr>
              <w:pStyle w:val="ListParagraph"/>
              <w:numPr>
                <w:ilvl w:val="0"/>
                <w:numId w:val="27"/>
              </w:numPr>
              <w:jc w:val="both"/>
            </w:pPr>
            <w:r>
              <w:t>In the longer term, potentially reduce</w:t>
            </w:r>
            <w:r w:rsidR="00AB3A51">
              <w:t xml:space="preserve"> the incidence of asbestos-related disease. </w:t>
            </w:r>
          </w:p>
          <w:p w14:paraId="7A6DC3CB" w14:textId="77777777" w:rsidR="00E551B3" w:rsidRDefault="00E551B3" w:rsidP="0029538F">
            <w:pPr>
              <w:jc w:val="both"/>
              <w:rPr>
                <w:u w:val="single"/>
              </w:rPr>
            </w:pPr>
          </w:p>
          <w:p w14:paraId="5FFD3E9A" w14:textId="77777777" w:rsidR="00E551B3" w:rsidRDefault="00E551B3" w:rsidP="0029538F">
            <w:pPr>
              <w:jc w:val="both"/>
              <w:rPr>
                <w:u w:val="single"/>
              </w:rPr>
            </w:pPr>
            <w:r>
              <w:rPr>
                <w:u w:val="single"/>
              </w:rPr>
              <w:t xml:space="preserve">Positive flow on effects </w:t>
            </w:r>
          </w:p>
          <w:p w14:paraId="06C340E4" w14:textId="799169BA" w:rsidR="00804351" w:rsidRPr="00F014B7" w:rsidRDefault="00E020EF" w:rsidP="00A15110">
            <w:pPr>
              <w:pStyle w:val="ListParagraph"/>
              <w:numPr>
                <w:ilvl w:val="0"/>
                <w:numId w:val="27"/>
              </w:numPr>
              <w:jc w:val="both"/>
            </w:pPr>
            <w:r>
              <w:t xml:space="preserve">Increasing the level of training of workers in </w:t>
            </w:r>
            <w:r w:rsidR="009F49A9">
              <w:t xml:space="preserve">certain occupations will raise their work health and safety competency, and that of the industries they work in generally. </w:t>
            </w:r>
            <w:r>
              <w:t xml:space="preserve"> </w:t>
            </w:r>
            <w:r w:rsidR="00E551B3">
              <w:t xml:space="preserve"> </w:t>
            </w:r>
          </w:p>
        </w:tc>
        <w:tc>
          <w:tcPr>
            <w:tcW w:w="4508" w:type="dxa"/>
          </w:tcPr>
          <w:p w14:paraId="0B9D12C5" w14:textId="77777777" w:rsidR="00E551B3" w:rsidRDefault="00E551B3" w:rsidP="0029538F">
            <w:pPr>
              <w:jc w:val="both"/>
              <w:rPr>
                <w:u w:val="single"/>
              </w:rPr>
            </w:pPr>
            <w:r>
              <w:rPr>
                <w:u w:val="single"/>
              </w:rPr>
              <w:t xml:space="preserve">Increased costs for businesses </w:t>
            </w:r>
          </w:p>
          <w:p w14:paraId="471F7D1E" w14:textId="01447B16" w:rsidR="00B05B7A" w:rsidRDefault="00E551B3" w:rsidP="0029538F">
            <w:pPr>
              <w:pStyle w:val="ListParagraph"/>
              <w:numPr>
                <w:ilvl w:val="0"/>
                <w:numId w:val="27"/>
              </w:numPr>
              <w:jc w:val="both"/>
            </w:pPr>
            <w:r>
              <w:t>PCBUs</w:t>
            </w:r>
            <w:r w:rsidR="00620D36">
              <w:t xml:space="preserve"> covered by the proposed law</w:t>
            </w:r>
            <w:r w:rsidR="00874B2F">
              <w:t xml:space="preserve"> face the costs outlined above. </w:t>
            </w:r>
          </w:p>
          <w:p w14:paraId="09643BC4" w14:textId="5AF27903" w:rsidR="005F14C3" w:rsidRDefault="00CE1995" w:rsidP="0029538F">
            <w:pPr>
              <w:pStyle w:val="ListParagraph"/>
              <w:numPr>
                <w:ilvl w:val="0"/>
                <w:numId w:val="27"/>
              </w:numPr>
              <w:jc w:val="both"/>
            </w:pPr>
            <w:r>
              <w:t xml:space="preserve">The costs include the price of the </w:t>
            </w:r>
            <w:r w:rsidR="00A32A82">
              <w:t>course itself.</w:t>
            </w:r>
            <w:r>
              <w:t xml:space="preserve"> </w:t>
            </w:r>
            <w:r w:rsidR="00A32A82">
              <w:t xml:space="preserve">The Course in Working Safely with ACMs </w:t>
            </w:r>
            <w:r>
              <w:t xml:space="preserve">is </w:t>
            </w:r>
            <w:r w:rsidR="00E27EB5">
              <w:t xml:space="preserve">currently </w:t>
            </w:r>
            <w:r>
              <w:t xml:space="preserve">$495 with </w:t>
            </w:r>
            <w:r w:rsidR="00E27EB5">
              <w:t>the s</w:t>
            </w:r>
            <w:r>
              <w:t xml:space="preserve">ole </w:t>
            </w:r>
            <w:r w:rsidR="00D53892">
              <w:t>training provider</w:t>
            </w:r>
            <w:r w:rsidR="00E27EB5">
              <w:t xml:space="preserve"> at this time</w:t>
            </w:r>
            <w:r w:rsidR="00D53892">
              <w:t>, CIT.</w:t>
            </w:r>
            <w:r w:rsidR="005F14C3">
              <w:t xml:space="preserve"> </w:t>
            </w:r>
            <w:r w:rsidR="00A15110">
              <w:t xml:space="preserve">Based on the information above this is estimated to be approximately </w:t>
            </w:r>
            <w:r w:rsidR="0035123F">
              <w:t>$3,316,500.</w:t>
            </w:r>
            <w:r w:rsidR="00F30E7F">
              <w:t xml:space="preserve"> </w:t>
            </w:r>
            <w:r w:rsidR="005F14C3">
              <w:t xml:space="preserve">This </w:t>
            </w:r>
            <w:r w:rsidR="00A15110">
              <w:t xml:space="preserve">estimate </w:t>
            </w:r>
            <w:r w:rsidR="005F14C3">
              <w:t>does not include a deduction for the TFA rebate</w:t>
            </w:r>
            <w:r w:rsidR="00A15110">
              <w:t>.</w:t>
            </w:r>
            <w:r w:rsidR="00952D8F">
              <w:t xml:space="preserve"> </w:t>
            </w:r>
            <w:r w:rsidR="005F14C3">
              <w:t xml:space="preserve"> </w:t>
            </w:r>
          </w:p>
          <w:p w14:paraId="1E0FB4ED" w14:textId="157FF3F5" w:rsidR="00B05B7A" w:rsidRDefault="00D53892" w:rsidP="00A15110">
            <w:pPr>
              <w:pStyle w:val="ListParagraph"/>
              <w:numPr>
                <w:ilvl w:val="0"/>
                <w:numId w:val="27"/>
              </w:numPr>
              <w:jc w:val="both"/>
            </w:pPr>
            <w:r>
              <w:t xml:space="preserve">There is an additional cost of workers taking time off work to attend the course. </w:t>
            </w:r>
            <w:r w:rsidR="00A15110">
              <w:t xml:space="preserve">Based on the information above this is estimated to be approximately </w:t>
            </w:r>
            <w:r w:rsidR="0045438D">
              <w:t xml:space="preserve">$956,425. </w:t>
            </w:r>
          </w:p>
          <w:p w14:paraId="2E0BE30F" w14:textId="414BCB20" w:rsidR="00B05B7A" w:rsidRDefault="00A15110" w:rsidP="00A15110">
            <w:pPr>
              <w:pStyle w:val="ListParagraph"/>
              <w:numPr>
                <w:ilvl w:val="0"/>
                <w:numId w:val="27"/>
              </w:numPr>
              <w:jc w:val="both"/>
            </w:pPr>
            <w:r>
              <w:t>There will</w:t>
            </w:r>
            <w:r w:rsidR="00B05B7A">
              <w:t xml:space="preserve"> also </w:t>
            </w:r>
            <w:r>
              <w:t>be an</w:t>
            </w:r>
            <w:r w:rsidR="00B05B7A">
              <w:t xml:space="preserve"> ongoing cost of ensuring that workers who are new to the industry or the ACT attend the training. </w:t>
            </w:r>
          </w:p>
          <w:p w14:paraId="56699214" w14:textId="77777777" w:rsidR="00B05B7A" w:rsidRDefault="00B05B7A" w:rsidP="0029538F">
            <w:pPr>
              <w:jc w:val="both"/>
            </w:pPr>
          </w:p>
          <w:p w14:paraId="52D7A5F2" w14:textId="4A980640" w:rsidR="00E551B3" w:rsidRPr="00874B2F" w:rsidRDefault="00E551B3" w:rsidP="0029538F">
            <w:pPr>
              <w:jc w:val="both"/>
            </w:pPr>
            <w:r>
              <w:rPr>
                <w:u w:val="single"/>
              </w:rPr>
              <w:t xml:space="preserve">Costs may be passed on to consumers </w:t>
            </w:r>
          </w:p>
          <w:p w14:paraId="0870F70E" w14:textId="764D6552" w:rsidR="00E551B3" w:rsidRDefault="00A15110" w:rsidP="00A15110">
            <w:pPr>
              <w:pStyle w:val="ListParagraph"/>
              <w:numPr>
                <w:ilvl w:val="0"/>
                <w:numId w:val="27"/>
              </w:numPr>
              <w:jc w:val="both"/>
            </w:pPr>
            <w:r>
              <w:t xml:space="preserve">Increased business costs </w:t>
            </w:r>
            <w:r w:rsidR="0035123F">
              <w:t>may</w:t>
            </w:r>
            <w:r>
              <w:t xml:space="preserve"> be passed on to consumers resulting in higher cost services.</w:t>
            </w:r>
            <w:r w:rsidR="00620D36">
              <w:t xml:space="preserve"> </w:t>
            </w:r>
          </w:p>
          <w:p w14:paraId="70C2993E" w14:textId="77777777" w:rsidR="00B23FD8" w:rsidRDefault="00B23FD8" w:rsidP="0029538F">
            <w:pPr>
              <w:jc w:val="both"/>
            </w:pPr>
          </w:p>
          <w:p w14:paraId="19FFEB49" w14:textId="77777777" w:rsidR="00B23FD8" w:rsidRDefault="00B23FD8" w:rsidP="0029538F">
            <w:pPr>
              <w:jc w:val="both"/>
            </w:pPr>
            <w:r>
              <w:rPr>
                <w:u w:val="single"/>
              </w:rPr>
              <w:t>Increased costs for Government</w:t>
            </w:r>
          </w:p>
          <w:p w14:paraId="0D4E3180" w14:textId="6D6E649E" w:rsidR="00AE3B5D" w:rsidRDefault="00B23FD8" w:rsidP="00A15110">
            <w:pPr>
              <w:pStyle w:val="ListParagraph"/>
              <w:numPr>
                <w:ilvl w:val="0"/>
                <w:numId w:val="27"/>
              </w:numPr>
              <w:jc w:val="both"/>
            </w:pPr>
            <w:r>
              <w:t xml:space="preserve">The proposed law may have a small effect on regulatory costs for Government. </w:t>
            </w:r>
          </w:p>
          <w:p w14:paraId="23F4B6D1" w14:textId="2319447B" w:rsidR="00B23FD8" w:rsidRPr="00B23FD8" w:rsidRDefault="00A15110" w:rsidP="005B23E3">
            <w:pPr>
              <w:pStyle w:val="ListParagraph"/>
              <w:numPr>
                <w:ilvl w:val="0"/>
                <w:numId w:val="27"/>
              </w:numPr>
              <w:jc w:val="both"/>
            </w:pPr>
            <w:r>
              <w:t>T</w:t>
            </w:r>
            <w:r w:rsidR="00B23FD8">
              <w:t>here is likely to be an increase in Training Fund Authority (TFA) expenditure due to the increased number of workers attending the mandated training, some of whom would be eligible for a TFA rebate</w:t>
            </w:r>
            <w:r w:rsidR="00BE7EE0">
              <w:t xml:space="preserve"> of approximately $100</w:t>
            </w:r>
            <w:r w:rsidR="00B23FD8">
              <w:t xml:space="preserve">. </w:t>
            </w:r>
          </w:p>
        </w:tc>
      </w:tr>
    </w:tbl>
    <w:p w14:paraId="6B834B98" w14:textId="191294F0" w:rsidR="00E551B3" w:rsidRPr="004201F9" w:rsidRDefault="00E551B3" w:rsidP="004201F9">
      <w:pPr>
        <w:spacing w:after="120" w:line="240" w:lineRule="auto"/>
        <w:jc w:val="both"/>
        <w:rPr>
          <w:b/>
          <w:sz w:val="24"/>
          <w:szCs w:val="24"/>
        </w:rPr>
      </w:pPr>
    </w:p>
    <w:p w14:paraId="23124A22" w14:textId="13DC79BF" w:rsidR="004201F9" w:rsidRPr="00D2011B" w:rsidRDefault="00BE08E6" w:rsidP="00017D55">
      <w:pPr>
        <w:pStyle w:val="ListParagraph"/>
        <w:numPr>
          <w:ilvl w:val="0"/>
          <w:numId w:val="31"/>
        </w:numPr>
        <w:spacing w:before="120" w:after="120" w:line="240" w:lineRule="auto"/>
        <w:ind w:left="357" w:hanging="357"/>
        <w:jc w:val="both"/>
        <w:rPr>
          <w:b/>
          <w:sz w:val="24"/>
          <w:szCs w:val="24"/>
        </w:rPr>
      </w:pPr>
      <w:r>
        <w:rPr>
          <w:b/>
          <w:sz w:val="24"/>
          <w:szCs w:val="24"/>
        </w:rPr>
        <w:t xml:space="preserve">Brief assessment of the consistency of the proposed law with </w:t>
      </w:r>
      <w:r w:rsidR="004201F9">
        <w:rPr>
          <w:b/>
          <w:sz w:val="24"/>
          <w:szCs w:val="24"/>
        </w:rPr>
        <w:t>Scrutiny</w:t>
      </w:r>
      <w:r>
        <w:rPr>
          <w:b/>
          <w:sz w:val="24"/>
          <w:szCs w:val="24"/>
        </w:rPr>
        <w:t xml:space="preserve"> of Bill Committee principles </w:t>
      </w:r>
    </w:p>
    <w:p w14:paraId="012E9809" w14:textId="77777777" w:rsidR="00C36482" w:rsidRPr="006359B9" w:rsidRDefault="00C36482" w:rsidP="006359B9">
      <w:pPr>
        <w:spacing w:after="120" w:line="240" w:lineRule="auto"/>
        <w:jc w:val="both"/>
        <w:rPr>
          <w:sz w:val="24"/>
          <w:szCs w:val="24"/>
        </w:rPr>
      </w:pPr>
      <w:r w:rsidRPr="006359B9">
        <w:rPr>
          <w:sz w:val="24"/>
          <w:szCs w:val="24"/>
        </w:rPr>
        <w:t xml:space="preserve">The Standing Committee on Justice and Community Safety’s (Legislative Scrutiny Role) Terms of Reference require the Committee to consider whether (among other things) a regulation: </w:t>
      </w:r>
    </w:p>
    <w:p w14:paraId="3FA2B307" w14:textId="2090A185" w:rsidR="00C36482" w:rsidRPr="006359B9" w:rsidRDefault="00C36482" w:rsidP="006359B9">
      <w:pPr>
        <w:pStyle w:val="ListParagraph"/>
        <w:numPr>
          <w:ilvl w:val="0"/>
          <w:numId w:val="24"/>
        </w:numPr>
        <w:spacing w:after="120" w:line="240" w:lineRule="auto"/>
        <w:jc w:val="both"/>
        <w:rPr>
          <w:sz w:val="24"/>
          <w:szCs w:val="24"/>
        </w:rPr>
      </w:pPr>
      <w:r w:rsidRPr="006359B9">
        <w:rPr>
          <w:sz w:val="24"/>
          <w:szCs w:val="24"/>
        </w:rPr>
        <w:t xml:space="preserve">is in accord with the general objects of the Act under which it is made; </w:t>
      </w:r>
    </w:p>
    <w:p w14:paraId="53B498EE" w14:textId="77777777" w:rsidR="00C36482" w:rsidRPr="006359B9" w:rsidRDefault="00C36482" w:rsidP="006359B9">
      <w:pPr>
        <w:pStyle w:val="ListParagraph"/>
        <w:numPr>
          <w:ilvl w:val="0"/>
          <w:numId w:val="24"/>
        </w:numPr>
        <w:spacing w:after="120" w:line="240" w:lineRule="auto"/>
        <w:jc w:val="both"/>
        <w:rPr>
          <w:sz w:val="24"/>
          <w:szCs w:val="24"/>
        </w:rPr>
      </w:pPr>
      <w:r w:rsidRPr="006359B9">
        <w:rPr>
          <w:sz w:val="24"/>
          <w:szCs w:val="24"/>
        </w:rPr>
        <w:t xml:space="preserve">unduly trespasses on rights previously established by law; </w:t>
      </w:r>
    </w:p>
    <w:p w14:paraId="6B15F916" w14:textId="168AA8A4" w:rsidR="00C36482" w:rsidRPr="006359B9" w:rsidRDefault="00C36482" w:rsidP="006359B9">
      <w:pPr>
        <w:pStyle w:val="ListParagraph"/>
        <w:numPr>
          <w:ilvl w:val="0"/>
          <w:numId w:val="24"/>
        </w:numPr>
        <w:spacing w:after="120" w:line="240" w:lineRule="auto"/>
        <w:jc w:val="both"/>
        <w:rPr>
          <w:sz w:val="24"/>
          <w:szCs w:val="24"/>
        </w:rPr>
      </w:pPr>
      <w:r w:rsidRPr="006359B9">
        <w:rPr>
          <w:sz w:val="24"/>
          <w:szCs w:val="24"/>
        </w:rPr>
        <w:t>makes rights, liberties and/or obligations unduly dependent upon non</w:t>
      </w:r>
      <w:r w:rsidR="0035123F">
        <w:rPr>
          <w:sz w:val="24"/>
          <w:szCs w:val="24"/>
        </w:rPr>
        <w:t>-</w:t>
      </w:r>
      <w:r w:rsidRPr="006359B9">
        <w:rPr>
          <w:sz w:val="24"/>
          <w:szCs w:val="24"/>
        </w:rPr>
        <w:t xml:space="preserve">reviewable decisions; or </w:t>
      </w:r>
    </w:p>
    <w:p w14:paraId="6B9D581A" w14:textId="77777777" w:rsidR="00C36482" w:rsidRPr="006359B9" w:rsidRDefault="00C36482" w:rsidP="006359B9">
      <w:pPr>
        <w:pStyle w:val="ListParagraph"/>
        <w:numPr>
          <w:ilvl w:val="0"/>
          <w:numId w:val="24"/>
        </w:numPr>
        <w:spacing w:after="120" w:line="240" w:lineRule="auto"/>
        <w:jc w:val="both"/>
        <w:rPr>
          <w:sz w:val="24"/>
          <w:szCs w:val="24"/>
        </w:rPr>
      </w:pPr>
      <w:r w:rsidRPr="006359B9">
        <w:rPr>
          <w:sz w:val="24"/>
          <w:szCs w:val="24"/>
        </w:rPr>
        <w:t xml:space="preserve">contains matters which in the opinion of the Committee should properly be dealt with in an Act of the Legislative Assembly. </w:t>
      </w:r>
    </w:p>
    <w:p w14:paraId="67BC01F9" w14:textId="77777777" w:rsidR="00A15110" w:rsidRDefault="00A15110" w:rsidP="006359B9">
      <w:pPr>
        <w:spacing w:after="120" w:line="240" w:lineRule="auto"/>
        <w:jc w:val="both"/>
        <w:rPr>
          <w:sz w:val="24"/>
          <w:szCs w:val="24"/>
        </w:rPr>
      </w:pPr>
    </w:p>
    <w:p w14:paraId="0F53F2F1" w14:textId="4081B23E" w:rsidR="0064382B" w:rsidRDefault="00C36482" w:rsidP="006359B9">
      <w:pPr>
        <w:spacing w:after="120" w:line="240" w:lineRule="auto"/>
        <w:jc w:val="both"/>
        <w:rPr>
          <w:sz w:val="24"/>
          <w:szCs w:val="24"/>
        </w:rPr>
      </w:pPr>
      <w:r w:rsidRPr="006359B9">
        <w:rPr>
          <w:sz w:val="24"/>
          <w:szCs w:val="24"/>
        </w:rPr>
        <w:t>An analysis of the proposed law against each of these items follows.</w:t>
      </w:r>
    </w:p>
    <w:p w14:paraId="32A49AEE" w14:textId="77777777" w:rsidR="00A15110" w:rsidRPr="006359B9" w:rsidRDefault="00A15110" w:rsidP="006359B9">
      <w:pPr>
        <w:spacing w:after="120" w:line="240" w:lineRule="auto"/>
        <w:jc w:val="both"/>
        <w:rPr>
          <w:sz w:val="24"/>
          <w:szCs w:val="24"/>
        </w:rPr>
      </w:pPr>
    </w:p>
    <w:p w14:paraId="0205C665" w14:textId="4C7F6069" w:rsidR="0064382B" w:rsidRPr="006359B9" w:rsidRDefault="0064382B" w:rsidP="006359B9">
      <w:pPr>
        <w:pStyle w:val="ListParagraph"/>
        <w:numPr>
          <w:ilvl w:val="0"/>
          <w:numId w:val="25"/>
        </w:numPr>
        <w:spacing w:line="240" w:lineRule="auto"/>
        <w:jc w:val="both"/>
        <w:rPr>
          <w:i/>
          <w:sz w:val="24"/>
          <w:szCs w:val="24"/>
          <w:u w:val="single"/>
        </w:rPr>
      </w:pPr>
      <w:r w:rsidRPr="006359B9">
        <w:rPr>
          <w:i/>
          <w:sz w:val="24"/>
          <w:szCs w:val="24"/>
          <w:u w:val="single"/>
        </w:rPr>
        <w:t>Accordance with the general objects of the Act under which it is made</w:t>
      </w:r>
    </w:p>
    <w:p w14:paraId="6FD85E65" w14:textId="77777777" w:rsidR="00A15110" w:rsidRDefault="00893F80" w:rsidP="006359B9">
      <w:pPr>
        <w:spacing w:after="120" w:line="240" w:lineRule="auto"/>
        <w:rPr>
          <w:sz w:val="24"/>
          <w:szCs w:val="24"/>
        </w:rPr>
      </w:pPr>
      <w:r w:rsidRPr="006359B9">
        <w:rPr>
          <w:sz w:val="24"/>
          <w:szCs w:val="24"/>
        </w:rPr>
        <w:t>See above.</w:t>
      </w:r>
    </w:p>
    <w:p w14:paraId="073AF61E" w14:textId="5AAA42E6" w:rsidR="00893F80" w:rsidRPr="006359B9" w:rsidRDefault="00893F80" w:rsidP="006359B9">
      <w:pPr>
        <w:spacing w:after="120" w:line="240" w:lineRule="auto"/>
        <w:rPr>
          <w:sz w:val="24"/>
          <w:szCs w:val="24"/>
        </w:rPr>
      </w:pPr>
      <w:r w:rsidRPr="006359B9">
        <w:rPr>
          <w:sz w:val="24"/>
          <w:szCs w:val="24"/>
        </w:rPr>
        <w:t xml:space="preserve"> </w:t>
      </w:r>
    </w:p>
    <w:p w14:paraId="229BC272" w14:textId="0B30F34A" w:rsidR="0064382B" w:rsidRPr="006359B9" w:rsidRDefault="0064382B" w:rsidP="006359B9">
      <w:pPr>
        <w:pStyle w:val="ListParagraph"/>
        <w:numPr>
          <w:ilvl w:val="0"/>
          <w:numId w:val="25"/>
        </w:numPr>
        <w:spacing w:line="240" w:lineRule="auto"/>
        <w:jc w:val="both"/>
        <w:rPr>
          <w:i/>
          <w:sz w:val="24"/>
          <w:szCs w:val="24"/>
          <w:u w:val="single"/>
        </w:rPr>
      </w:pPr>
      <w:r w:rsidRPr="006359B9">
        <w:rPr>
          <w:i/>
          <w:sz w:val="24"/>
          <w:szCs w:val="24"/>
          <w:u w:val="single"/>
        </w:rPr>
        <w:t>Rights previously established by law</w:t>
      </w:r>
    </w:p>
    <w:p w14:paraId="10C280E8" w14:textId="6A217C61" w:rsidR="00444895" w:rsidRDefault="000C499D" w:rsidP="006359B9">
      <w:pPr>
        <w:spacing w:after="120" w:line="240" w:lineRule="auto"/>
        <w:rPr>
          <w:sz w:val="24"/>
          <w:szCs w:val="24"/>
        </w:rPr>
      </w:pPr>
      <w:r w:rsidRPr="006359B9">
        <w:rPr>
          <w:sz w:val="24"/>
          <w:szCs w:val="24"/>
        </w:rPr>
        <w:t xml:space="preserve">Section 22(1) of the </w:t>
      </w:r>
      <w:r w:rsidRPr="006359B9">
        <w:rPr>
          <w:i/>
          <w:sz w:val="24"/>
          <w:szCs w:val="24"/>
        </w:rPr>
        <w:t xml:space="preserve">Human Rights Act 2004 </w:t>
      </w:r>
      <w:r w:rsidRPr="006359B9">
        <w:rPr>
          <w:sz w:val="24"/>
          <w:szCs w:val="24"/>
        </w:rPr>
        <w:t>(HR Act), provides that everyone charged with a criminal offence has the right to be presumed innocent until proved guilty according to law</w:t>
      </w:r>
      <w:r w:rsidR="00444895" w:rsidRPr="006359B9">
        <w:rPr>
          <w:sz w:val="24"/>
          <w:szCs w:val="24"/>
        </w:rPr>
        <w:t xml:space="preserve">. </w:t>
      </w:r>
    </w:p>
    <w:p w14:paraId="50D55549" w14:textId="77777777" w:rsidR="00A15110" w:rsidRPr="006359B9" w:rsidRDefault="00A15110" w:rsidP="006359B9">
      <w:pPr>
        <w:spacing w:after="120" w:line="240" w:lineRule="auto"/>
        <w:rPr>
          <w:sz w:val="24"/>
          <w:szCs w:val="24"/>
        </w:rPr>
      </w:pPr>
    </w:p>
    <w:p w14:paraId="42A39632" w14:textId="1F0CEA7F" w:rsidR="0064382B" w:rsidRPr="006359B9" w:rsidRDefault="003B7D3B" w:rsidP="006359B9">
      <w:pPr>
        <w:spacing w:line="240" w:lineRule="auto"/>
        <w:rPr>
          <w:i/>
          <w:sz w:val="24"/>
          <w:szCs w:val="24"/>
          <w:u w:val="single"/>
        </w:rPr>
      </w:pPr>
      <w:r w:rsidRPr="006359B9">
        <w:rPr>
          <w:i/>
          <w:sz w:val="24"/>
          <w:szCs w:val="24"/>
          <w:u w:val="single"/>
        </w:rPr>
        <w:t>The nature of the right affected</w:t>
      </w:r>
    </w:p>
    <w:p w14:paraId="10717E27" w14:textId="4004173A" w:rsidR="00A720F5" w:rsidRPr="006359B9" w:rsidRDefault="00444895" w:rsidP="006359B9">
      <w:pPr>
        <w:spacing w:after="120" w:line="240" w:lineRule="auto"/>
        <w:rPr>
          <w:sz w:val="24"/>
          <w:szCs w:val="24"/>
        </w:rPr>
      </w:pPr>
      <w:r w:rsidRPr="006359B9">
        <w:rPr>
          <w:sz w:val="24"/>
          <w:szCs w:val="24"/>
        </w:rPr>
        <w:t xml:space="preserve">The proposed law </w:t>
      </w:r>
      <w:r w:rsidR="00E93B6D" w:rsidRPr="006359B9">
        <w:rPr>
          <w:sz w:val="24"/>
          <w:szCs w:val="24"/>
        </w:rPr>
        <w:t>will create</w:t>
      </w:r>
      <w:r w:rsidRPr="006359B9">
        <w:rPr>
          <w:sz w:val="24"/>
          <w:szCs w:val="24"/>
        </w:rPr>
        <w:t xml:space="preserve"> a strict liability offence for a</w:t>
      </w:r>
      <w:r w:rsidR="00DD1FDC" w:rsidRPr="006359B9">
        <w:rPr>
          <w:sz w:val="24"/>
          <w:szCs w:val="24"/>
        </w:rPr>
        <w:t xml:space="preserve"> PCBU that fails to </w:t>
      </w:r>
      <w:r w:rsidRPr="006359B9">
        <w:rPr>
          <w:sz w:val="24"/>
          <w:szCs w:val="24"/>
        </w:rPr>
        <w:t>ensure that a wor</w:t>
      </w:r>
      <w:r w:rsidR="00153253" w:rsidRPr="006359B9">
        <w:rPr>
          <w:sz w:val="24"/>
          <w:szCs w:val="24"/>
        </w:rPr>
        <w:t>ker they engage in one of the required</w:t>
      </w:r>
      <w:r w:rsidRPr="006359B9">
        <w:rPr>
          <w:sz w:val="24"/>
          <w:szCs w:val="24"/>
        </w:rPr>
        <w:t xml:space="preserve"> occupations is trained in the Course in Working Safely with ACMs.</w:t>
      </w:r>
      <w:r w:rsidR="00153253" w:rsidRPr="006359B9">
        <w:rPr>
          <w:sz w:val="24"/>
          <w:szCs w:val="24"/>
        </w:rPr>
        <w:t xml:space="preserve"> Strict liability offences engage</w:t>
      </w:r>
      <w:r w:rsidRPr="006359B9">
        <w:rPr>
          <w:sz w:val="24"/>
          <w:szCs w:val="24"/>
        </w:rPr>
        <w:t xml:space="preserve"> the right to be presumed innocent under section 22(1) of the HR Act</w:t>
      </w:r>
      <w:r w:rsidR="00153253" w:rsidRPr="006359B9">
        <w:rPr>
          <w:sz w:val="24"/>
          <w:szCs w:val="24"/>
        </w:rPr>
        <w:t xml:space="preserve"> by removing the fault elements of an offence which in turn requires the defendant to prove mistake of fact (a defence to all ACT offences under the </w:t>
      </w:r>
      <w:r w:rsidR="00153253" w:rsidRPr="006359B9">
        <w:rPr>
          <w:i/>
          <w:sz w:val="24"/>
          <w:szCs w:val="24"/>
        </w:rPr>
        <w:t>Criminal Code 2002</w:t>
      </w:r>
      <w:r w:rsidR="00153253" w:rsidRPr="006359B9">
        <w:rPr>
          <w:sz w:val="24"/>
          <w:szCs w:val="24"/>
        </w:rPr>
        <w:t xml:space="preserve"> (the Code)) or other defences available under the Code for strict liability offences. </w:t>
      </w:r>
    </w:p>
    <w:p w14:paraId="55654EEB" w14:textId="6D015EAE" w:rsidR="00153253" w:rsidRPr="006359B9" w:rsidRDefault="00153253" w:rsidP="006359B9">
      <w:pPr>
        <w:spacing w:after="120" w:line="240" w:lineRule="auto"/>
        <w:rPr>
          <w:sz w:val="24"/>
          <w:szCs w:val="24"/>
        </w:rPr>
      </w:pPr>
      <w:r w:rsidRPr="006359B9">
        <w:rPr>
          <w:sz w:val="24"/>
          <w:szCs w:val="24"/>
        </w:rPr>
        <w:t>Strict liability can be reasonably justified in certain circumstances:</w:t>
      </w:r>
    </w:p>
    <w:p w14:paraId="1FD67707" w14:textId="77777777" w:rsidR="00153253" w:rsidRPr="006359B9" w:rsidRDefault="00153253" w:rsidP="006359B9">
      <w:pPr>
        <w:pStyle w:val="ListParagraph"/>
        <w:numPr>
          <w:ilvl w:val="0"/>
          <w:numId w:val="28"/>
        </w:numPr>
        <w:spacing w:after="120" w:line="240" w:lineRule="auto"/>
        <w:rPr>
          <w:sz w:val="24"/>
          <w:szCs w:val="24"/>
        </w:rPr>
      </w:pPr>
      <w:r w:rsidRPr="006359B9">
        <w:rPr>
          <w:sz w:val="24"/>
          <w:szCs w:val="24"/>
        </w:rPr>
        <w:t xml:space="preserve">strict liability offences should only be used where a person knows, or ought to know, their legal obligations; </w:t>
      </w:r>
    </w:p>
    <w:p w14:paraId="46F4D568" w14:textId="77777777" w:rsidR="001C6E6A" w:rsidRPr="006359B9" w:rsidRDefault="00153253" w:rsidP="006359B9">
      <w:pPr>
        <w:pStyle w:val="ListParagraph"/>
        <w:numPr>
          <w:ilvl w:val="0"/>
          <w:numId w:val="28"/>
        </w:numPr>
        <w:spacing w:after="120" w:line="240" w:lineRule="auto"/>
        <w:rPr>
          <w:sz w:val="24"/>
          <w:szCs w:val="24"/>
        </w:rPr>
      </w:pPr>
      <w:r w:rsidRPr="006359B9">
        <w:rPr>
          <w:sz w:val="24"/>
          <w:szCs w:val="24"/>
        </w:rPr>
        <w:t xml:space="preserve">strict liability offences must be relevant, rational and proportionate to their objective; </w:t>
      </w:r>
    </w:p>
    <w:p w14:paraId="10D80014" w14:textId="6582816A" w:rsidR="00444895" w:rsidRDefault="001C6E6A" w:rsidP="006359B9">
      <w:pPr>
        <w:pStyle w:val="ListParagraph"/>
        <w:numPr>
          <w:ilvl w:val="0"/>
          <w:numId w:val="28"/>
        </w:numPr>
        <w:spacing w:after="120" w:line="240" w:lineRule="auto"/>
        <w:rPr>
          <w:sz w:val="24"/>
          <w:szCs w:val="24"/>
        </w:rPr>
      </w:pPr>
      <w:r w:rsidRPr="006359B9">
        <w:rPr>
          <w:sz w:val="24"/>
          <w:szCs w:val="24"/>
        </w:rPr>
        <w:t>e</w:t>
      </w:r>
      <w:r w:rsidR="00153253" w:rsidRPr="006359B9">
        <w:rPr>
          <w:sz w:val="24"/>
          <w:szCs w:val="24"/>
        </w:rPr>
        <w:t>xamples of where strict liability offences are considered to be appropriate include regulatory regimes such as work health and safety, to support the integrity of the legislation, and where offences are minor with no custodial penalty.  </w:t>
      </w:r>
    </w:p>
    <w:p w14:paraId="614E7148" w14:textId="77777777" w:rsidR="00A15110" w:rsidRDefault="00A15110" w:rsidP="00A15110">
      <w:pPr>
        <w:spacing w:after="120" w:line="240" w:lineRule="auto"/>
        <w:rPr>
          <w:sz w:val="24"/>
          <w:szCs w:val="24"/>
        </w:rPr>
      </w:pPr>
    </w:p>
    <w:p w14:paraId="4D8CBA9D" w14:textId="6F74CA84" w:rsidR="003B7D3B" w:rsidRPr="006359B9" w:rsidRDefault="003B7D3B" w:rsidP="006359B9">
      <w:pPr>
        <w:spacing w:line="240" w:lineRule="auto"/>
        <w:rPr>
          <w:i/>
          <w:sz w:val="24"/>
          <w:szCs w:val="24"/>
          <w:u w:val="single"/>
        </w:rPr>
      </w:pPr>
      <w:r w:rsidRPr="006359B9">
        <w:rPr>
          <w:i/>
          <w:sz w:val="24"/>
          <w:szCs w:val="24"/>
          <w:u w:val="single"/>
        </w:rPr>
        <w:t>The importance of the purpose of the limitation</w:t>
      </w:r>
    </w:p>
    <w:p w14:paraId="2AE006E2" w14:textId="6D288E4B" w:rsidR="003B7D3B" w:rsidRPr="006359B9" w:rsidRDefault="001C6E6A" w:rsidP="006359B9">
      <w:pPr>
        <w:spacing w:after="120" w:line="240" w:lineRule="auto"/>
        <w:rPr>
          <w:sz w:val="24"/>
          <w:szCs w:val="24"/>
        </w:rPr>
      </w:pPr>
      <w:r w:rsidRPr="006359B9">
        <w:rPr>
          <w:sz w:val="24"/>
          <w:szCs w:val="24"/>
        </w:rPr>
        <w:t>The purpose of the WHS Act is to ensure the health and safety of workers while at work. A necessary role of the WHS Act and supporting legislation is to ensure the effective deterrence of behaviour</w:t>
      </w:r>
      <w:r w:rsidR="0035123F">
        <w:rPr>
          <w:sz w:val="24"/>
          <w:szCs w:val="24"/>
        </w:rPr>
        <w:t>,</w:t>
      </w:r>
      <w:r w:rsidRPr="006359B9">
        <w:rPr>
          <w:sz w:val="24"/>
          <w:szCs w:val="24"/>
        </w:rPr>
        <w:t xml:space="preserve"> and minimisation of risks</w:t>
      </w:r>
      <w:r w:rsidR="0035123F">
        <w:rPr>
          <w:sz w:val="24"/>
          <w:szCs w:val="24"/>
        </w:rPr>
        <w:t>,</w:t>
      </w:r>
      <w:r w:rsidRPr="006359B9">
        <w:rPr>
          <w:sz w:val="24"/>
          <w:szCs w:val="24"/>
        </w:rPr>
        <w:t xml:space="preserve"> that increase the likelihood of workplace injuries or deaths, or work-related diseases.</w:t>
      </w:r>
      <w:r w:rsidR="00970937" w:rsidRPr="006359B9">
        <w:rPr>
          <w:sz w:val="24"/>
          <w:szCs w:val="24"/>
        </w:rPr>
        <w:t xml:space="preserve"> </w:t>
      </w:r>
    </w:p>
    <w:p w14:paraId="21DE864D" w14:textId="4AA2903B" w:rsidR="001C6E6A" w:rsidRPr="006359B9" w:rsidRDefault="001B6E27" w:rsidP="006359B9">
      <w:pPr>
        <w:spacing w:after="120" w:line="240" w:lineRule="auto"/>
        <w:rPr>
          <w:sz w:val="24"/>
          <w:szCs w:val="24"/>
        </w:rPr>
      </w:pPr>
      <w:r w:rsidRPr="006359B9">
        <w:rPr>
          <w:sz w:val="24"/>
          <w:szCs w:val="24"/>
        </w:rPr>
        <w:t>Exposure to asbestos is a concern for workers in the ACT, particularly</w:t>
      </w:r>
      <w:r w:rsidR="0017005E" w:rsidRPr="006359B9">
        <w:rPr>
          <w:sz w:val="24"/>
          <w:szCs w:val="24"/>
        </w:rPr>
        <w:t xml:space="preserve"> those in </w:t>
      </w:r>
      <w:r w:rsidR="00B64A22" w:rsidRPr="006359B9">
        <w:rPr>
          <w:sz w:val="24"/>
          <w:szCs w:val="24"/>
        </w:rPr>
        <w:t>occupations</w:t>
      </w:r>
      <w:r w:rsidR="0017005E" w:rsidRPr="006359B9">
        <w:rPr>
          <w:sz w:val="24"/>
          <w:szCs w:val="24"/>
        </w:rPr>
        <w:t xml:space="preserve"> more likely to come across asbestos as a result of the nature of their work</w:t>
      </w:r>
      <w:r w:rsidR="00B64A22" w:rsidRPr="006359B9">
        <w:rPr>
          <w:sz w:val="24"/>
          <w:szCs w:val="24"/>
        </w:rPr>
        <w:t xml:space="preserve">. </w:t>
      </w:r>
      <w:r w:rsidR="00133D5D" w:rsidRPr="006359B9">
        <w:rPr>
          <w:sz w:val="24"/>
          <w:szCs w:val="24"/>
        </w:rPr>
        <w:t xml:space="preserve">The proposed law will amend the WHS Regulation to </w:t>
      </w:r>
      <w:r w:rsidR="00FD072A" w:rsidRPr="006359B9">
        <w:rPr>
          <w:sz w:val="24"/>
          <w:szCs w:val="24"/>
        </w:rPr>
        <w:t xml:space="preserve">require a PCBU to </w:t>
      </w:r>
      <w:r w:rsidR="00133D5D" w:rsidRPr="006359B9">
        <w:rPr>
          <w:sz w:val="24"/>
          <w:szCs w:val="24"/>
        </w:rPr>
        <w:t xml:space="preserve">ensure that workers </w:t>
      </w:r>
      <w:r w:rsidR="00FD072A" w:rsidRPr="006359B9">
        <w:rPr>
          <w:sz w:val="24"/>
          <w:szCs w:val="24"/>
        </w:rPr>
        <w:t xml:space="preserve">they engage that are </w:t>
      </w:r>
      <w:r w:rsidR="00133D5D" w:rsidRPr="006359B9">
        <w:rPr>
          <w:sz w:val="24"/>
          <w:szCs w:val="24"/>
        </w:rPr>
        <w:t xml:space="preserve">in occupations likely to perform routine or minor maintenance work, or other minor work, on ACMs, are trained in how to do so safely. </w:t>
      </w:r>
      <w:r w:rsidR="00FD072A" w:rsidRPr="006359B9">
        <w:rPr>
          <w:sz w:val="24"/>
          <w:szCs w:val="24"/>
        </w:rPr>
        <w:t xml:space="preserve">This will </w:t>
      </w:r>
      <w:r w:rsidR="005B23E3">
        <w:rPr>
          <w:sz w:val="24"/>
          <w:szCs w:val="24"/>
        </w:rPr>
        <w:t xml:space="preserve">facilitate </w:t>
      </w:r>
      <w:r w:rsidR="00FD072A" w:rsidRPr="006359B9">
        <w:rPr>
          <w:sz w:val="24"/>
          <w:szCs w:val="24"/>
        </w:rPr>
        <w:t>a consistent approach to asbestos safety</w:t>
      </w:r>
      <w:r w:rsidR="00D74016" w:rsidRPr="006359B9">
        <w:rPr>
          <w:sz w:val="24"/>
          <w:szCs w:val="24"/>
        </w:rPr>
        <w:t xml:space="preserve"> in the workplace</w:t>
      </w:r>
      <w:r w:rsidR="00FD072A" w:rsidRPr="006359B9">
        <w:rPr>
          <w:sz w:val="24"/>
          <w:szCs w:val="24"/>
        </w:rPr>
        <w:t xml:space="preserve">. </w:t>
      </w:r>
    </w:p>
    <w:p w14:paraId="5836F038" w14:textId="483D0B58" w:rsidR="00A720F5" w:rsidRDefault="00A720F5" w:rsidP="006359B9">
      <w:pPr>
        <w:spacing w:after="120" w:line="240" w:lineRule="auto"/>
        <w:rPr>
          <w:sz w:val="24"/>
          <w:szCs w:val="24"/>
        </w:rPr>
      </w:pPr>
      <w:r w:rsidRPr="006359B9">
        <w:rPr>
          <w:sz w:val="24"/>
          <w:szCs w:val="24"/>
        </w:rPr>
        <w:t>This strict liability offence arises in the regulatory context where for reasons such as worker and public safety, and in the interest of ensuring that regulatory schemes are observed, the</w:t>
      </w:r>
      <w:r w:rsidR="00CF22C0" w:rsidRPr="006359B9">
        <w:rPr>
          <w:sz w:val="24"/>
          <w:szCs w:val="24"/>
        </w:rPr>
        <w:t xml:space="preserve"> </w:t>
      </w:r>
      <w:r w:rsidR="00CF22C0" w:rsidRPr="006359B9">
        <w:rPr>
          <w:sz w:val="24"/>
          <w:szCs w:val="24"/>
        </w:rPr>
        <w:lastRenderedPageBreak/>
        <w:t xml:space="preserve">sanction of a criminal penalty </w:t>
      </w:r>
      <w:r w:rsidRPr="006359B9">
        <w:rPr>
          <w:sz w:val="24"/>
          <w:szCs w:val="24"/>
        </w:rPr>
        <w:t>is justified. The offence also arises in a context where a PCBU can be reasonably expected, because of their professional involvement, to know the requirements of the law. As such, the mental or fault elemen</w:t>
      </w:r>
      <w:r w:rsidR="0046273F" w:rsidRPr="006359B9">
        <w:rPr>
          <w:sz w:val="24"/>
          <w:szCs w:val="24"/>
        </w:rPr>
        <w:t xml:space="preserve">t can justifiably be excluded. </w:t>
      </w:r>
      <w:r w:rsidRPr="006359B9">
        <w:rPr>
          <w:sz w:val="24"/>
          <w:szCs w:val="24"/>
        </w:rPr>
        <w:t xml:space="preserve"> </w:t>
      </w:r>
    </w:p>
    <w:p w14:paraId="1512EBE5" w14:textId="77777777" w:rsidR="00A15110" w:rsidRPr="006359B9" w:rsidRDefault="00A15110" w:rsidP="006359B9">
      <w:pPr>
        <w:spacing w:after="120" w:line="240" w:lineRule="auto"/>
        <w:rPr>
          <w:sz w:val="24"/>
          <w:szCs w:val="24"/>
        </w:rPr>
      </w:pPr>
    </w:p>
    <w:p w14:paraId="6E8A0F8E" w14:textId="71A2572B" w:rsidR="003B7D3B" w:rsidRPr="006359B9" w:rsidRDefault="003B7D3B" w:rsidP="006359B9">
      <w:pPr>
        <w:spacing w:line="240" w:lineRule="auto"/>
        <w:rPr>
          <w:i/>
          <w:sz w:val="24"/>
          <w:szCs w:val="24"/>
          <w:u w:val="single"/>
        </w:rPr>
      </w:pPr>
      <w:r w:rsidRPr="006359B9">
        <w:rPr>
          <w:i/>
          <w:sz w:val="24"/>
          <w:szCs w:val="24"/>
          <w:u w:val="single"/>
        </w:rPr>
        <w:t>The nature and extent of the limitation</w:t>
      </w:r>
    </w:p>
    <w:p w14:paraId="4183A01D" w14:textId="37B8B5C4" w:rsidR="003B7D3B" w:rsidRPr="006359B9" w:rsidRDefault="00FD072A" w:rsidP="006359B9">
      <w:pPr>
        <w:spacing w:after="120" w:line="240" w:lineRule="auto"/>
        <w:rPr>
          <w:sz w:val="24"/>
          <w:szCs w:val="24"/>
        </w:rPr>
      </w:pPr>
      <w:r w:rsidRPr="006359B9">
        <w:rPr>
          <w:sz w:val="24"/>
          <w:szCs w:val="24"/>
        </w:rPr>
        <w:t>The offences in this Bill are consistent with the existing application of the work health and safety legislation, specifically in applying strict liability to the physical elements of offences created under the work hea</w:t>
      </w:r>
      <w:r w:rsidR="006B070C" w:rsidRPr="006359B9">
        <w:rPr>
          <w:sz w:val="24"/>
          <w:szCs w:val="24"/>
        </w:rPr>
        <w:t xml:space="preserve">lth and safety legislation. Both the WHS Act (under section 12A) and WHS Regulation (undersection 6A) </w:t>
      </w:r>
      <w:r w:rsidR="00EE7E45" w:rsidRPr="006359B9">
        <w:rPr>
          <w:sz w:val="24"/>
          <w:szCs w:val="24"/>
        </w:rPr>
        <w:t>expressly state that under the</w:t>
      </w:r>
      <w:r w:rsidRPr="006359B9">
        <w:rPr>
          <w:sz w:val="24"/>
          <w:szCs w:val="24"/>
        </w:rPr>
        <w:t xml:space="preserve"> </w:t>
      </w:r>
      <w:r w:rsidR="00EE7E45" w:rsidRPr="006359B9">
        <w:rPr>
          <w:sz w:val="24"/>
          <w:szCs w:val="24"/>
        </w:rPr>
        <w:t xml:space="preserve">WHS </w:t>
      </w:r>
      <w:r w:rsidRPr="006359B9">
        <w:rPr>
          <w:sz w:val="24"/>
          <w:szCs w:val="24"/>
        </w:rPr>
        <w:t>Act</w:t>
      </w:r>
      <w:r w:rsidR="00EE7E45" w:rsidRPr="006359B9">
        <w:rPr>
          <w:sz w:val="24"/>
          <w:szCs w:val="24"/>
        </w:rPr>
        <w:t xml:space="preserve"> and WHS Regulation</w:t>
      </w:r>
      <w:r w:rsidRPr="006359B9">
        <w:rPr>
          <w:sz w:val="24"/>
          <w:szCs w:val="24"/>
        </w:rPr>
        <w:t xml:space="preserve"> strict liability applies to each physical element of an offence.</w:t>
      </w:r>
      <w:r w:rsidR="006B070C" w:rsidRPr="006359B9">
        <w:rPr>
          <w:sz w:val="24"/>
          <w:szCs w:val="24"/>
        </w:rPr>
        <w:t xml:space="preserve"> </w:t>
      </w:r>
    </w:p>
    <w:p w14:paraId="3D6BDFEA" w14:textId="3AFDC6B9" w:rsidR="00FD072A" w:rsidRPr="006359B9" w:rsidRDefault="00FD072A" w:rsidP="006359B9">
      <w:pPr>
        <w:spacing w:after="120" w:line="240" w:lineRule="auto"/>
        <w:rPr>
          <w:sz w:val="24"/>
          <w:szCs w:val="24"/>
        </w:rPr>
      </w:pPr>
      <w:r w:rsidRPr="006359B9">
        <w:rPr>
          <w:sz w:val="24"/>
          <w:szCs w:val="24"/>
        </w:rPr>
        <w:t xml:space="preserve">Strict liability will apply under the proposed law where a PCBU fails to ensure that a relevant worker they engage is trained in the Course in Working Safely with ACMs. </w:t>
      </w:r>
    </w:p>
    <w:p w14:paraId="03D07A6E" w14:textId="7E7ACB67" w:rsidR="00FD072A" w:rsidRDefault="00FD072A" w:rsidP="006359B9">
      <w:pPr>
        <w:spacing w:after="120" w:line="240" w:lineRule="auto"/>
        <w:rPr>
          <w:sz w:val="24"/>
          <w:szCs w:val="24"/>
        </w:rPr>
      </w:pPr>
      <w:r w:rsidRPr="006359B9">
        <w:rPr>
          <w:sz w:val="24"/>
          <w:szCs w:val="24"/>
        </w:rPr>
        <w:t xml:space="preserve">The new offence does not impose a custodial penalty. </w:t>
      </w:r>
    </w:p>
    <w:p w14:paraId="11F07D98" w14:textId="77777777" w:rsidR="00A15110" w:rsidRPr="006359B9" w:rsidRDefault="00A15110" w:rsidP="006359B9">
      <w:pPr>
        <w:spacing w:after="120" w:line="240" w:lineRule="auto"/>
        <w:rPr>
          <w:sz w:val="24"/>
          <w:szCs w:val="24"/>
        </w:rPr>
      </w:pPr>
    </w:p>
    <w:p w14:paraId="7BF6F644" w14:textId="73CAC913" w:rsidR="003B7D3B" w:rsidRPr="006359B9" w:rsidRDefault="003B7D3B" w:rsidP="006359B9">
      <w:pPr>
        <w:spacing w:line="240" w:lineRule="auto"/>
        <w:rPr>
          <w:i/>
          <w:sz w:val="24"/>
          <w:szCs w:val="24"/>
          <w:u w:val="single"/>
        </w:rPr>
      </w:pPr>
      <w:r w:rsidRPr="006359B9">
        <w:rPr>
          <w:i/>
          <w:sz w:val="24"/>
          <w:szCs w:val="24"/>
          <w:u w:val="single"/>
        </w:rPr>
        <w:t xml:space="preserve">Any less restricted means available to achieve the purpose the limitation seeks to achieve </w:t>
      </w:r>
    </w:p>
    <w:p w14:paraId="135EDC67" w14:textId="5FAD8141" w:rsidR="003B7D3B" w:rsidRDefault="00F2222A" w:rsidP="006359B9">
      <w:pPr>
        <w:spacing w:after="120" w:line="240" w:lineRule="auto"/>
        <w:rPr>
          <w:sz w:val="24"/>
          <w:szCs w:val="24"/>
        </w:rPr>
      </w:pPr>
      <w:r w:rsidRPr="006359B9">
        <w:rPr>
          <w:sz w:val="24"/>
          <w:szCs w:val="24"/>
        </w:rPr>
        <w:t xml:space="preserve">The limitation under the proposed law is considered to be the least restrictive means of ensuring that relevant workers are trained in how to work safely with ACMs. </w:t>
      </w:r>
    </w:p>
    <w:p w14:paraId="520EFC0C" w14:textId="77777777" w:rsidR="00A15110" w:rsidRPr="006359B9" w:rsidRDefault="00A15110" w:rsidP="006359B9">
      <w:pPr>
        <w:spacing w:after="120" w:line="240" w:lineRule="auto"/>
        <w:rPr>
          <w:sz w:val="24"/>
          <w:szCs w:val="24"/>
        </w:rPr>
      </w:pPr>
    </w:p>
    <w:p w14:paraId="6FF20285" w14:textId="5E07ED32" w:rsidR="0064382B" w:rsidRPr="006359B9" w:rsidRDefault="003B7D3B" w:rsidP="006359B9">
      <w:pPr>
        <w:pStyle w:val="ListParagraph"/>
        <w:numPr>
          <w:ilvl w:val="0"/>
          <w:numId w:val="25"/>
        </w:numPr>
        <w:spacing w:line="240" w:lineRule="auto"/>
        <w:jc w:val="both"/>
        <w:rPr>
          <w:i/>
          <w:sz w:val="24"/>
          <w:szCs w:val="24"/>
          <w:u w:val="single"/>
        </w:rPr>
      </w:pPr>
      <w:r w:rsidRPr="006359B9">
        <w:rPr>
          <w:i/>
          <w:sz w:val="24"/>
          <w:szCs w:val="24"/>
          <w:u w:val="single"/>
        </w:rPr>
        <w:t xml:space="preserve">Non-reviewable decisions </w:t>
      </w:r>
    </w:p>
    <w:p w14:paraId="58F89B38" w14:textId="620F7CFE" w:rsidR="003B7D3B" w:rsidRDefault="003B7D3B" w:rsidP="006359B9">
      <w:pPr>
        <w:spacing w:after="120" w:line="240" w:lineRule="auto"/>
        <w:jc w:val="both"/>
        <w:rPr>
          <w:sz w:val="24"/>
          <w:szCs w:val="24"/>
        </w:rPr>
      </w:pPr>
      <w:r w:rsidRPr="006359B9">
        <w:rPr>
          <w:sz w:val="24"/>
          <w:szCs w:val="24"/>
        </w:rPr>
        <w:t xml:space="preserve">The proposed law does not create any non-reviewable decisions. </w:t>
      </w:r>
    </w:p>
    <w:p w14:paraId="23E82B4F" w14:textId="77777777" w:rsidR="00A15110" w:rsidRDefault="00A15110" w:rsidP="006359B9">
      <w:pPr>
        <w:spacing w:after="120" w:line="240" w:lineRule="auto"/>
        <w:jc w:val="both"/>
        <w:rPr>
          <w:sz w:val="24"/>
          <w:szCs w:val="24"/>
        </w:rPr>
      </w:pPr>
    </w:p>
    <w:p w14:paraId="26CCB3C8" w14:textId="6ACCC427" w:rsidR="003B7D3B" w:rsidRPr="006359B9" w:rsidRDefault="003B7D3B" w:rsidP="006359B9">
      <w:pPr>
        <w:pStyle w:val="ListParagraph"/>
        <w:numPr>
          <w:ilvl w:val="0"/>
          <w:numId w:val="25"/>
        </w:numPr>
        <w:spacing w:line="240" w:lineRule="auto"/>
        <w:jc w:val="both"/>
        <w:rPr>
          <w:i/>
          <w:sz w:val="24"/>
          <w:szCs w:val="24"/>
          <w:u w:val="single"/>
        </w:rPr>
      </w:pPr>
      <w:r w:rsidRPr="006359B9">
        <w:rPr>
          <w:i/>
          <w:sz w:val="24"/>
          <w:szCs w:val="24"/>
          <w:u w:val="single"/>
        </w:rPr>
        <w:t>Matters properly dealt with in an Act of the Legislative Assembly</w:t>
      </w:r>
    </w:p>
    <w:p w14:paraId="352F8488" w14:textId="446F994C" w:rsidR="00BE08E6" w:rsidRPr="006359B9" w:rsidRDefault="00070992" w:rsidP="0035123F">
      <w:pPr>
        <w:spacing w:after="120" w:line="240" w:lineRule="auto"/>
        <w:jc w:val="both"/>
        <w:rPr>
          <w:sz w:val="24"/>
          <w:szCs w:val="24"/>
        </w:rPr>
      </w:pPr>
      <w:r w:rsidRPr="006359B9">
        <w:rPr>
          <w:sz w:val="24"/>
          <w:szCs w:val="24"/>
        </w:rPr>
        <w:t>As outlined above, the authorising law</w:t>
      </w:r>
      <w:r w:rsidR="00123AA1" w:rsidRPr="006359B9">
        <w:rPr>
          <w:sz w:val="24"/>
          <w:szCs w:val="24"/>
        </w:rPr>
        <w:t>, the WHS Act,</w:t>
      </w:r>
      <w:r w:rsidRPr="006359B9">
        <w:rPr>
          <w:sz w:val="24"/>
          <w:szCs w:val="24"/>
        </w:rPr>
        <w:t xml:space="preserve"> provides the Executive with the</w:t>
      </w:r>
      <w:r w:rsidR="00DE423F" w:rsidRPr="006359B9">
        <w:rPr>
          <w:sz w:val="24"/>
          <w:szCs w:val="24"/>
        </w:rPr>
        <w:t xml:space="preserve"> power to make this Regulation.</w:t>
      </w:r>
      <w:r w:rsidR="00123AA1" w:rsidRPr="006359B9">
        <w:rPr>
          <w:sz w:val="24"/>
          <w:szCs w:val="24"/>
        </w:rPr>
        <w:t xml:space="preserve"> As such, t</w:t>
      </w:r>
      <w:r w:rsidR="003B7D3B" w:rsidRPr="006359B9">
        <w:rPr>
          <w:sz w:val="24"/>
          <w:szCs w:val="24"/>
        </w:rPr>
        <w:t xml:space="preserve">he proposed law is within an express power granted to the Executive by an </w:t>
      </w:r>
      <w:r w:rsidR="00444895" w:rsidRPr="006359B9">
        <w:rPr>
          <w:sz w:val="24"/>
          <w:szCs w:val="24"/>
        </w:rPr>
        <w:t xml:space="preserve">Act of the Legislative Assembly. </w:t>
      </w:r>
    </w:p>
    <w:sectPr w:rsidR="00BE08E6" w:rsidRPr="006359B9" w:rsidSect="004201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9496" w14:textId="77777777" w:rsidR="009503FC" w:rsidRDefault="009503FC" w:rsidP="00777E29">
      <w:pPr>
        <w:spacing w:after="0" w:line="240" w:lineRule="auto"/>
      </w:pPr>
      <w:r>
        <w:separator/>
      </w:r>
    </w:p>
  </w:endnote>
  <w:endnote w:type="continuationSeparator" w:id="0">
    <w:p w14:paraId="51F6A9EE" w14:textId="77777777" w:rsidR="009503FC" w:rsidRDefault="009503FC" w:rsidP="0077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8764" w14:textId="77777777" w:rsidR="00DC7A09" w:rsidRDefault="00DC7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0902"/>
      <w:docPartObj>
        <w:docPartGallery w:val="Page Numbers (Bottom of Page)"/>
        <w:docPartUnique/>
      </w:docPartObj>
    </w:sdtPr>
    <w:sdtEndPr>
      <w:rPr>
        <w:noProof/>
      </w:rPr>
    </w:sdtEndPr>
    <w:sdtContent>
      <w:p w14:paraId="76951601" w14:textId="78698563" w:rsidR="00BE08E6" w:rsidRDefault="00BE08E6">
        <w:pPr>
          <w:pStyle w:val="Footer"/>
          <w:jc w:val="right"/>
        </w:pPr>
        <w:r>
          <w:fldChar w:fldCharType="begin"/>
        </w:r>
        <w:r>
          <w:instrText xml:space="preserve"> PAGE   \* MERGEFORMAT </w:instrText>
        </w:r>
        <w:r>
          <w:fldChar w:fldCharType="separate"/>
        </w:r>
        <w:r w:rsidR="00D135A4">
          <w:rPr>
            <w:noProof/>
          </w:rPr>
          <w:t>7</w:t>
        </w:r>
        <w:r>
          <w:rPr>
            <w:noProof/>
          </w:rPr>
          <w:fldChar w:fldCharType="end"/>
        </w:r>
      </w:p>
    </w:sdtContent>
  </w:sdt>
  <w:p w14:paraId="657BFC8E" w14:textId="04586157" w:rsidR="00BE08E6" w:rsidRPr="00D135A4" w:rsidRDefault="00D135A4" w:rsidP="00D135A4">
    <w:pPr>
      <w:pStyle w:val="Footer"/>
      <w:jc w:val="center"/>
      <w:rPr>
        <w:rFonts w:ascii="Arial" w:hAnsi="Arial" w:cs="Arial"/>
        <w:sz w:val="14"/>
      </w:rPr>
    </w:pPr>
    <w:r w:rsidRPr="00D135A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4319" w14:textId="77777777" w:rsidR="00DC7A09" w:rsidRDefault="00DC7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062B" w14:textId="77777777" w:rsidR="009503FC" w:rsidRDefault="009503FC" w:rsidP="00777E29">
      <w:pPr>
        <w:spacing w:after="0" w:line="240" w:lineRule="auto"/>
      </w:pPr>
      <w:r>
        <w:separator/>
      </w:r>
    </w:p>
  </w:footnote>
  <w:footnote w:type="continuationSeparator" w:id="0">
    <w:p w14:paraId="54F42DFB" w14:textId="77777777" w:rsidR="009503FC" w:rsidRDefault="009503FC" w:rsidP="00777E29">
      <w:pPr>
        <w:spacing w:after="0" w:line="240" w:lineRule="auto"/>
      </w:pPr>
      <w:r>
        <w:continuationSeparator/>
      </w:r>
    </w:p>
  </w:footnote>
  <w:footnote w:id="1">
    <w:p w14:paraId="33A49464" w14:textId="379C19AB" w:rsidR="00DC3552" w:rsidRDefault="00DC3552">
      <w:pPr>
        <w:pStyle w:val="FootnoteText"/>
      </w:pPr>
      <w:r>
        <w:rPr>
          <w:rStyle w:val="FootnoteReference"/>
        </w:rPr>
        <w:footnoteRef/>
      </w:r>
      <w:r>
        <w:t xml:space="preserve"> Asbestos Safety and Eradication Agency, National Asbestos Profile for Australia Report,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2C6E" w14:textId="77777777" w:rsidR="00DC7A09" w:rsidRDefault="00DC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A733" w14:textId="77777777" w:rsidR="00DC7A09" w:rsidRDefault="00DC7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A2F4" w14:textId="77777777" w:rsidR="00DC7A09" w:rsidRDefault="00DC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5D"/>
    <w:multiLevelType w:val="hybridMultilevel"/>
    <w:tmpl w:val="C6484610"/>
    <w:lvl w:ilvl="0" w:tplc="380CA1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26762"/>
    <w:multiLevelType w:val="hybridMultilevel"/>
    <w:tmpl w:val="B11E700E"/>
    <w:lvl w:ilvl="0" w:tplc="614AEB38">
      <w:start w:val="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C4F9E"/>
    <w:multiLevelType w:val="hybridMultilevel"/>
    <w:tmpl w:val="4CD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C4A3A"/>
    <w:multiLevelType w:val="hybridMultilevel"/>
    <w:tmpl w:val="A41E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44B47"/>
    <w:multiLevelType w:val="hybridMultilevel"/>
    <w:tmpl w:val="3C725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598C"/>
    <w:multiLevelType w:val="hybridMultilevel"/>
    <w:tmpl w:val="3EA6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E139F"/>
    <w:multiLevelType w:val="hybridMultilevel"/>
    <w:tmpl w:val="6B20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97987"/>
    <w:multiLevelType w:val="hybridMultilevel"/>
    <w:tmpl w:val="FB5A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B2E91"/>
    <w:multiLevelType w:val="hybridMultilevel"/>
    <w:tmpl w:val="D1DC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6A0F40"/>
    <w:multiLevelType w:val="hybridMultilevel"/>
    <w:tmpl w:val="7C543988"/>
    <w:lvl w:ilvl="0" w:tplc="123A78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E40659"/>
    <w:multiLevelType w:val="hybridMultilevel"/>
    <w:tmpl w:val="F848864A"/>
    <w:lvl w:ilvl="0" w:tplc="D06A07A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43D64"/>
    <w:multiLevelType w:val="hybridMultilevel"/>
    <w:tmpl w:val="E65C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C64AA"/>
    <w:multiLevelType w:val="hybridMultilevel"/>
    <w:tmpl w:val="671E6C32"/>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17E03"/>
    <w:multiLevelType w:val="hybridMultilevel"/>
    <w:tmpl w:val="1D8A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E2507"/>
    <w:multiLevelType w:val="hybridMultilevel"/>
    <w:tmpl w:val="C6BCA850"/>
    <w:lvl w:ilvl="0" w:tplc="AF8898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31028"/>
    <w:multiLevelType w:val="hybridMultilevel"/>
    <w:tmpl w:val="FC7A6886"/>
    <w:lvl w:ilvl="0" w:tplc="7BDC4E68">
      <w:start w:val="5"/>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7F3AF6"/>
    <w:multiLevelType w:val="hybridMultilevel"/>
    <w:tmpl w:val="CF904792"/>
    <w:lvl w:ilvl="0" w:tplc="A9A801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C2D46"/>
    <w:multiLevelType w:val="hybridMultilevel"/>
    <w:tmpl w:val="EC484BEE"/>
    <w:lvl w:ilvl="0" w:tplc="086A35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55147C"/>
    <w:multiLevelType w:val="hybridMultilevel"/>
    <w:tmpl w:val="5C861A1C"/>
    <w:lvl w:ilvl="0" w:tplc="00202FB4">
      <w:start w:val="20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DD751D"/>
    <w:multiLevelType w:val="hybridMultilevel"/>
    <w:tmpl w:val="B7609170"/>
    <w:lvl w:ilvl="0" w:tplc="833E4CC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12646B"/>
    <w:multiLevelType w:val="hybridMultilevel"/>
    <w:tmpl w:val="4EBE3D68"/>
    <w:lvl w:ilvl="0" w:tplc="7BDC4E68">
      <w:start w:val="1"/>
      <w:numFmt w:val="lowerLetter"/>
      <w:lvlText w:val="(%1)"/>
      <w:lvlJc w:val="left"/>
      <w:pPr>
        <w:ind w:left="291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90455C"/>
    <w:multiLevelType w:val="hybridMultilevel"/>
    <w:tmpl w:val="D7463FEE"/>
    <w:lvl w:ilvl="0" w:tplc="CAA6B6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A3412F"/>
    <w:multiLevelType w:val="hybridMultilevel"/>
    <w:tmpl w:val="A9AE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74F62"/>
    <w:multiLevelType w:val="hybridMultilevel"/>
    <w:tmpl w:val="5D4E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8C2D83"/>
    <w:multiLevelType w:val="hybridMultilevel"/>
    <w:tmpl w:val="572A5B60"/>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A69CA"/>
    <w:multiLevelType w:val="hybridMultilevel"/>
    <w:tmpl w:val="812E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E53C89"/>
    <w:multiLevelType w:val="hybridMultilevel"/>
    <w:tmpl w:val="368C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646163"/>
    <w:multiLevelType w:val="hybridMultilevel"/>
    <w:tmpl w:val="D90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A343C"/>
    <w:multiLevelType w:val="hybridMultilevel"/>
    <w:tmpl w:val="8672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F53F8F"/>
    <w:multiLevelType w:val="hybridMultilevel"/>
    <w:tmpl w:val="3AE84658"/>
    <w:lvl w:ilvl="0" w:tplc="C50ABDE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8"/>
  </w:num>
  <w:num w:numId="4">
    <w:abstractNumId w:val="14"/>
  </w:num>
  <w:num w:numId="5">
    <w:abstractNumId w:val="28"/>
  </w:num>
  <w:num w:numId="6">
    <w:abstractNumId w:val="6"/>
  </w:num>
  <w:num w:numId="7">
    <w:abstractNumId w:val="29"/>
  </w:num>
  <w:num w:numId="8">
    <w:abstractNumId w:val="5"/>
  </w:num>
  <w:num w:numId="9">
    <w:abstractNumId w:val="9"/>
  </w:num>
  <w:num w:numId="10">
    <w:abstractNumId w:val="19"/>
  </w:num>
  <w:num w:numId="11">
    <w:abstractNumId w:val="18"/>
  </w:num>
  <w:num w:numId="12">
    <w:abstractNumId w:val="20"/>
  </w:num>
  <w:num w:numId="13">
    <w:abstractNumId w:val="0"/>
  </w:num>
  <w:num w:numId="14">
    <w:abstractNumId w:val="30"/>
  </w:num>
  <w:num w:numId="15">
    <w:abstractNumId w:val="17"/>
  </w:num>
  <w:num w:numId="16">
    <w:abstractNumId w:val="11"/>
  </w:num>
  <w:num w:numId="17">
    <w:abstractNumId w:val="13"/>
  </w:num>
  <w:num w:numId="18">
    <w:abstractNumId w:val="25"/>
  </w:num>
  <w:num w:numId="19">
    <w:abstractNumId w:val="27"/>
  </w:num>
  <w:num w:numId="20">
    <w:abstractNumId w:val="26"/>
  </w:num>
  <w:num w:numId="21">
    <w:abstractNumId w:val="7"/>
  </w:num>
  <w:num w:numId="22">
    <w:abstractNumId w:val="2"/>
  </w:num>
  <w:num w:numId="23">
    <w:abstractNumId w:val="21"/>
  </w:num>
  <w:num w:numId="24">
    <w:abstractNumId w:val="22"/>
  </w:num>
  <w:num w:numId="25">
    <w:abstractNumId w:val="10"/>
  </w:num>
  <w:num w:numId="26">
    <w:abstractNumId w:val="12"/>
  </w:num>
  <w:num w:numId="27">
    <w:abstractNumId w:val="15"/>
  </w:num>
  <w:num w:numId="28">
    <w:abstractNumId w:val="4"/>
  </w:num>
  <w:num w:numId="29">
    <w:abstractNumId w:val="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4"/>
    <w:rsid w:val="00004747"/>
    <w:rsid w:val="00004D68"/>
    <w:rsid w:val="00005268"/>
    <w:rsid w:val="000053A7"/>
    <w:rsid w:val="00011323"/>
    <w:rsid w:val="00014C53"/>
    <w:rsid w:val="00014FB9"/>
    <w:rsid w:val="00015B12"/>
    <w:rsid w:val="000163F6"/>
    <w:rsid w:val="00017D55"/>
    <w:rsid w:val="00020884"/>
    <w:rsid w:val="0002126E"/>
    <w:rsid w:val="0002155F"/>
    <w:rsid w:val="00031DAA"/>
    <w:rsid w:val="00033978"/>
    <w:rsid w:val="00033D50"/>
    <w:rsid w:val="00041A21"/>
    <w:rsid w:val="0004223B"/>
    <w:rsid w:val="00044482"/>
    <w:rsid w:val="000457E5"/>
    <w:rsid w:val="00046615"/>
    <w:rsid w:val="00046A50"/>
    <w:rsid w:val="0005384D"/>
    <w:rsid w:val="0005567F"/>
    <w:rsid w:val="000574C4"/>
    <w:rsid w:val="00060A80"/>
    <w:rsid w:val="00067580"/>
    <w:rsid w:val="000675C2"/>
    <w:rsid w:val="00070992"/>
    <w:rsid w:val="00071186"/>
    <w:rsid w:val="0007293D"/>
    <w:rsid w:val="00072D49"/>
    <w:rsid w:val="000757A4"/>
    <w:rsid w:val="00076611"/>
    <w:rsid w:val="00090953"/>
    <w:rsid w:val="00090BE8"/>
    <w:rsid w:val="00092B25"/>
    <w:rsid w:val="00093A53"/>
    <w:rsid w:val="00094E4D"/>
    <w:rsid w:val="000977C8"/>
    <w:rsid w:val="000A0328"/>
    <w:rsid w:val="000A207B"/>
    <w:rsid w:val="000B18BF"/>
    <w:rsid w:val="000B48D8"/>
    <w:rsid w:val="000C0E6D"/>
    <w:rsid w:val="000C1534"/>
    <w:rsid w:val="000C260B"/>
    <w:rsid w:val="000C499D"/>
    <w:rsid w:val="000C75B5"/>
    <w:rsid w:val="000D33A9"/>
    <w:rsid w:val="000D55DD"/>
    <w:rsid w:val="000D6B46"/>
    <w:rsid w:val="000D7443"/>
    <w:rsid w:val="000D77EB"/>
    <w:rsid w:val="000E2B4F"/>
    <w:rsid w:val="000E5277"/>
    <w:rsid w:val="000E5E57"/>
    <w:rsid w:val="000F42DD"/>
    <w:rsid w:val="00104507"/>
    <w:rsid w:val="00107492"/>
    <w:rsid w:val="00110DBB"/>
    <w:rsid w:val="00110F9D"/>
    <w:rsid w:val="00111219"/>
    <w:rsid w:val="00120B95"/>
    <w:rsid w:val="00120DA9"/>
    <w:rsid w:val="00120DE0"/>
    <w:rsid w:val="00122555"/>
    <w:rsid w:val="00123AA1"/>
    <w:rsid w:val="001269E3"/>
    <w:rsid w:val="001330D4"/>
    <w:rsid w:val="00133D5D"/>
    <w:rsid w:val="001343CA"/>
    <w:rsid w:val="0013485C"/>
    <w:rsid w:val="00141EF4"/>
    <w:rsid w:val="00143F4B"/>
    <w:rsid w:val="001452D8"/>
    <w:rsid w:val="001520E6"/>
    <w:rsid w:val="00153253"/>
    <w:rsid w:val="001649E8"/>
    <w:rsid w:val="0017005E"/>
    <w:rsid w:val="00173DE1"/>
    <w:rsid w:val="001846B8"/>
    <w:rsid w:val="0018476A"/>
    <w:rsid w:val="001941BD"/>
    <w:rsid w:val="00195282"/>
    <w:rsid w:val="0019742F"/>
    <w:rsid w:val="001A45D9"/>
    <w:rsid w:val="001A59AF"/>
    <w:rsid w:val="001A72C3"/>
    <w:rsid w:val="001B276F"/>
    <w:rsid w:val="001B44A0"/>
    <w:rsid w:val="001B6E27"/>
    <w:rsid w:val="001B74B3"/>
    <w:rsid w:val="001C0246"/>
    <w:rsid w:val="001C0B70"/>
    <w:rsid w:val="001C0E37"/>
    <w:rsid w:val="001C5021"/>
    <w:rsid w:val="001C6AA4"/>
    <w:rsid w:val="001C6E6A"/>
    <w:rsid w:val="001D13BD"/>
    <w:rsid w:val="001D466B"/>
    <w:rsid w:val="001D4A8B"/>
    <w:rsid w:val="001D5B19"/>
    <w:rsid w:val="001D6EE1"/>
    <w:rsid w:val="001D7A0D"/>
    <w:rsid w:val="001E342D"/>
    <w:rsid w:val="001E4481"/>
    <w:rsid w:val="001E5B20"/>
    <w:rsid w:val="001F153D"/>
    <w:rsid w:val="001F2659"/>
    <w:rsid w:val="001F2BE0"/>
    <w:rsid w:val="001F2DBA"/>
    <w:rsid w:val="001F44E9"/>
    <w:rsid w:val="001F58BC"/>
    <w:rsid w:val="001F5E04"/>
    <w:rsid w:val="00200C47"/>
    <w:rsid w:val="00201E40"/>
    <w:rsid w:val="002077F7"/>
    <w:rsid w:val="00212723"/>
    <w:rsid w:val="00215030"/>
    <w:rsid w:val="002156EA"/>
    <w:rsid w:val="002164B2"/>
    <w:rsid w:val="002172CA"/>
    <w:rsid w:val="0021779B"/>
    <w:rsid w:val="00221FE7"/>
    <w:rsid w:val="00223BD8"/>
    <w:rsid w:val="00223F81"/>
    <w:rsid w:val="00225D54"/>
    <w:rsid w:val="0023032F"/>
    <w:rsid w:val="00231CF0"/>
    <w:rsid w:val="00247C9D"/>
    <w:rsid w:val="00250F1E"/>
    <w:rsid w:val="00252358"/>
    <w:rsid w:val="00253757"/>
    <w:rsid w:val="0026284F"/>
    <w:rsid w:val="0026456B"/>
    <w:rsid w:val="00270402"/>
    <w:rsid w:val="002827A1"/>
    <w:rsid w:val="0028340F"/>
    <w:rsid w:val="002836EB"/>
    <w:rsid w:val="00284B2F"/>
    <w:rsid w:val="002876CA"/>
    <w:rsid w:val="00290EF0"/>
    <w:rsid w:val="002922A3"/>
    <w:rsid w:val="002940A2"/>
    <w:rsid w:val="002A02D5"/>
    <w:rsid w:val="002A227F"/>
    <w:rsid w:val="002A5111"/>
    <w:rsid w:val="002B4D7F"/>
    <w:rsid w:val="002B5083"/>
    <w:rsid w:val="002B7223"/>
    <w:rsid w:val="002C003F"/>
    <w:rsid w:val="002C121D"/>
    <w:rsid w:val="002C26E9"/>
    <w:rsid w:val="002C5656"/>
    <w:rsid w:val="002C72EC"/>
    <w:rsid w:val="002C7C10"/>
    <w:rsid w:val="002D64F1"/>
    <w:rsid w:val="002D7775"/>
    <w:rsid w:val="002E0565"/>
    <w:rsid w:val="002E0B8E"/>
    <w:rsid w:val="002E0E9C"/>
    <w:rsid w:val="002E22DD"/>
    <w:rsid w:val="002E25C7"/>
    <w:rsid w:val="002E4781"/>
    <w:rsid w:val="002E67D5"/>
    <w:rsid w:val="002F4EDD"/>
    <w:rsid w:val="002F5BE3"/>
    <w:rsid w:val="003019BB"/>
    <w:rsid w:val="00306FC6"/>
    <w:rsid w:val="003108A5"/>
    <w:rsid w:val="0031330E"/>
    <w:rsid w:val="003203B6"/>
    <w:rsid w:val="003308EE"/>
    <w:rsid w:val="00332D48"/>
    <w:rsid w:val="0033377F"/>
    <w:rsid w:val="00335797"/>
    <w:rsid w:val="00336134"/>
    <w:rsid w:val="00341158"/>
    <w:rsid w:val="00343F29"/>
    <w:rsid w:val="003449DA"/>
    <w:rsid w:val="00346CC1"/>
    <w:rsid w:val="0035123F"/>
    <w:rsid w:val="00352580"/>
    <w:rsid w:val="00354DCE"/>
    <w:rsid w:val="00357320"/>
    <w:rsid w:val="003605A6"/>
    <w:rsid w:val="003624AA"/>
    <w:rsid w:val="0036336A"/>
    <w:rsid w:val="00363557"/>
    <w:rsid w:val="00363F25"/>
    <w:rsid w:val="00364A19"/>
    <w:rsid w:val="00372CE4"/>
    <w:rsid w:val="00374E2A"/>
    <w:rsid w:val="00386CDD"/>
    <w:rsid w:val="00394ADE"/>
    <w:rsid w:val="0039627E"/>
    <w:rsid w:val="00397ACC"/>
    <w:rsid w:val="003A317C"/>
    <w:rsid w:val="003A40D1"/>
    <w:rsid w:val="003A4AF9"/>
    <w:rsid w:val="003A6184"/>
    <w:rsid w:val="003B238A"/>
    <w:rsid w:val="003B2A05"/>
    <w:rsid w:val="003B300C"/>
    <w:rsid w:val="003B3BD5"/>
    <w:rsid w:val="003B4437"/>
    <w:rsid w:val="003B56DA"/>
    <w:rsid w:val="003B7D3B"/>
    <w:rsid w:val="003C0095"/>
    <w:rsid w:val="003C3270"/>
    <w:rsid w:val="003D7EC9"/>
    <w:rsid w:val="003E21FD"/>
    <w:rsid w:val="003E4F77"/>
    <w:rsid w:val="003E6A32"/>
    <w:rsid w:val="003F03B3"/>
    <w:rsid w:val="003F10E5"/>
    <w:rsid w:val="003F1A60"/>
    <w:rsid w:val="003F2EAE"/>
    <w:rsid w:val="003F45EF"/>
    <w:rsid w:val="003F5429"/>
    <w:rsid w:val="003F716B"/>
    <w:rsid w:val="0040049B"/>
    <w:rsid w:val="004004EC"/>
    <w:rsid w:val="00400ECD"/>
    <w:rsid w:val="00400F0E"/>
    <w:rsid w:val="0040134D"/>
    <w:rsid w:val="004013BE"/>
    <w:rsid w:val="00405B13"/>
    <w:rsid w:val="0040731A"/>
    <w:rsid w:val="004122CA"/>
    <w:rsid w:val="00413D73"/>
    <w:rsid w:val="00415B3A"/>
    <w:rsid w:val="004172EA"/>
    <w:rsid w:val="00420073"/>
    <w:rsid w:val="004201F9"/>
    <w:rsid w:val="0042322B"/>
    <w:rsid w:val="00425576"/>
    <w:rsid w:val="00425A17"/>
    <w:rsid w:val="0043281E"/>
    <w:rsid w:val="00433E4A"/>
    <w:rsid w:val="00434F28"/>
    <w:rsid w:val="004368D1"/>
    <w:rsid w:val="00436C1C"/>
    <w:rsid w:val="004415A0"/>
    <w:rsid w:val="004423CF"/>
    <w:rsid w:val="00442DBF"/>
    <w:rsid w:val="00443B36"/>
    <w:rsid w:val="00444895"/>
    <w:rsid w:val="00444A80"/>
    <w:rsid w:val="00454370"/>
    <w:rsid w:val="0045438D"/>
    <w:rsid w:val="004548F1"/>
    <w:rsid w:val="00454A91"/>
    <w:rsid w:val="00455209"/>
    <w:rsid w:val="0045695E"/>
    <w:rsid w:val="00460864"/>
    <w:rsid w:val="00461DAC"/>
    <w:rsid w:val="004621A1"/>
    <w:rsid w:val="0046273F"/>
    <w:rsid w:val="004634C9"/>
    <w:rsid w:val="00465329"/>
    <w:rsid w:val="00465494"/>
    <w:rsid w:val="00465E57"/>
    <w:rsid w:val="004673E9"/>
    <w:rsid w:val="00470464"/>
    <w:rsid w:val="00471CF1"/>
    <w:rsid w:val="00473607"/>
    <w:rsid w:val="00474689"/>
    <w:rsid w:val="00476873"/>
    <w:rsid w:val="0048045D"/>
    <w:rsid w:val="004849BC"/>
    <w:rsid w:val="004863F7"/>
    <w:rsid w:val="00486DF5"/>
    <w:rsid w:val="00491175"/>
    <w:rsid w:val="00492D8A"/>
    <w:rsid w:val="00493DF1"/>
    <w:rsid w:val="004A265F"/>
    <w:rsid w:val="004A2FDC"/>
    <w:rsid w:val="004B23BC"/>
    <w:rsid w:val="004C0EAA"/>
    <w:rsid w:val="004C4567"/>
    <w:rsid w:val="004C7973"/>
    <w:rsid w:val="004D4F50"/>
    <w:rsid w:val="004D5048"/>
    <w:rsid w:val="004D533A"/>
    <w:rsid w:val="004E0070"/>
    <w:rsid w:val="004E30F1"/>
    <w:rsid w:val="004E31D9"/>
    <w:rsid w:val="004E4927"/>
    <w:rsid w:val="004E549F"/>
    <w:rsid w:val="004F16CC"/>
    <w:rsid w:val="004F341C"/>
    <w:rsid w:val="004F6FC6"/>
    <w:rsid w:val="004F7A82"/>
    <w:rsid w:val="005019F0"/>
    <w:rsid w:val="005051DD"/>
    <w:rsid w:val="005068D8"/>
    <w:rsid w:val="0050695F"/>
    <w:rsid w:val="00506EF5"/>
    <w:rsid w:val="005074F1"/>
    <w:rsid w:val="00514060"/>
    <w:rsid w:val="00514148"/>
    <w:rsid w:val="00514CB9"/>
    <w:rsid w:val="0051609B"/>
    <w:rsid w:val="005161B3"/>
    <w:rsid w:val="00516D1E"/>
    <w:rsid w:val="005238B4"/>
    <w:rsid w:val="00523FC3"/>
    <w:rsid w:val="005262A0"/>
    <w:rsid w:val="0053176F"/>
    <w:rsid w:val="005324BB"/>
    <w:rsid w:val="00532C8D"/>
    <w:rsid w:val="005400D7"/>
    <w:rsid w:val="005417A8"/>
    <w:rsid w:val="005425B7"/>
    <w:rsid w:val="00545537"/>
    <w:rsid w:val="00547A44"/>
    <w:rsid w:val="00552138"/>
    <w:rsid w:val="00553516"/>
    <w:rsid w:val="005570AF"/>
    <w:rsid w:val="00557BA5"/>
    <w:rsid w:val="00557C67"/>
    <w:rsid w:val="005630BB"/>
    <w:rsid w:val="005632E2"/>
    <w:rsid w:val="005641C6"/>
    <w:rsid w:val="00566901"/>
    <w:rsid w:val="00567D16"/>
    <w:rsid w:val="00571B44"/>
    <w:rsid w:val="00574700"/>
    <w:rsid w:val="00574B5F"/>
    <w:rsid w:val="005750DE"/>
    <w:rsid w:val="00576F45"/>
    <w:rsid w:val="0058091F"/>
    <w:rsid w:val="00585C5E"/>
    <w:rsid w:val="005930BE"/>
    <w:rsid w:val="00595A34"/>
    <w:rsid w:val="005A2335"/>
    <w:rsid w:val="005B0D9A"/>
    <w:rsid w:val="005B23E3"/>
    <w:rsid w:val="005B2B9E"/>
    <w:rsid w:val="005B3769"/>
    <w:rsid w:val="005B540A"/>
    <w:rsid w:val="005B661E"/>
    <w:rsid w:val="005B71DF"/>
    <w:rsid w:val="005C21B9"/>
    <w:rsid w:val="005C3DB2"/>
    <w:rsid w:val="005C4808"/>
    <w:rsid w:val="005C6BE4"/>
    <w:rsid w:val="005D1906"/>
    <w:rsid w:val="005D1BF3"/>
    <w:rsid w:val="005D2880"/>
    <w:rsid w:val="005E1152"/>
    <w:rsid w:val="005E65A2"/>
    <w:rsid w:val="005E78AB"/>
    <w:rsid w:val="005F14C3"/>
    <w:rsid w:val="005F348F"/>
    <w:rsid w:val="005F580C"/>
    <w:rsid w:val="005F76BB"/>
    <w:rsid w:val="006036F6"/>
    <w:rsid w:val="00604BDF"/>
    <w:rsid w:val="00604E3E"/>
    <w:rsid w:val="00605B88"/>
    <w:rsid w:val="006063A9"/>
    <w:rsid w:val="00606D8E"/>
    <w:rsid w:val="00614B2A"/>
    <w:rsid w:val="00616EF3"/>
    <w:rsid w:val="00620D36"/>
    <w:rsid w:val="00621105"/>
    <w:rsid w:val="0062554D"/>
    <w:rsid w:val="00626BF6"/>
    <w:rsid w:val="0063313D"/>
    <w:rsid w:val="006334A0"/>
    <w:rsid w:val="00635159"/>
    <w:rsid w:val="006359B9"/>
    <w:rsid w:val="00636E44"/>
    <w:rsid w:val="0063721A"/>
    <w:rsid w:val="006401FD"/>
    <w:rsid w:val="00641DB3"/>
    <w:rsid w:val="00643542"/>
    <w:rsid w:val="0064382B"/>
    <w:rsid w:val="00646B3A"/>
    <w:rsid w:val="00651E57"/>
    <w:rsid w:val="00651E70"/>
    <w:rsid w:val="00652B7A"/>
    <w:rsid w:val="0065305A"/>
    <w:rsid w:val="006567B8"/>
    <w:rsid w:val="00665577"/>
    <w:rsid w:val="00667EF9"/>
    <w:rsid w:val="00671F54"/>
    <w:rsid w:val="00672ED0"/>
    <w:rsid w:val="00674321"/>
    <w:rsid w:val="0067515F"/>
    <w:rsid w:val="006766C7"/>
    <w:rsid w:val="00677480"/>
    <w:rsid w:val="00677811"/>
    <w:rsid w:val="006851EB"/>
    <w:rsid w:val="006904E2"/>
    <w:rsid w:val="00690F14"/>
    <w:rsid w:val="0069373F"/>
    <w:rsid w:val="006A0665"/>
    <w:rsid w:val="006A1C0D"/>
    <w:rsid w:val="006A43B8"/>
    <w:rsid w:val="006B070C"/>
    <w:rsid w:val="006B2503"/>
    <w:rsid w:val="006B6D45"/>
    <w:rsid w:val="006C0269"/>
    <w:rsid w:val="006C375E"/>
    <w:rsid w:val="006C4ABE"/>
    <w:rsid w:val="006C4F51"/>
    <w:rsid w:val="006C52F8"/>
    <w:rsid w:val="006D09E3"/>
    <w:rsid w:val="006D178A"/>
    <w:rsid w:val="006D4A54"/>
    <w:rsid w:val="006D5EB9"/>
    <w:rsid w:val="006E0539"/>
    <w:rsid w:val="006E3969"/>
    <w:rsid w:val="006E51AC"/>
    <w:rsid w:val="006F0D92"/>
    <w:rsid w:val="006F1D2B"/>
    <w:rsid w:val="006F2BC1"/>
    <w:rsid w:val="006F4053"/>
    <w:rsid w:val="006F53F6"/>
    <w:rsid w:val="006F57E6"/>
    <w:rsid w:val="006F5E3F"/>
    <w:rsid w:val="006F6B47"/>
    <w:rsid w:val="007028D9"/>
    <w:rsid w:val="00707788"/>
    <w:rsid w:val="00707B8C"/>
    <w:rsid w:val="00712218"/>
    <w:rsid w:val="00712E5D"/>
    <w:rsid w:val="007151B1"/>
    <w:rsid w:val="0071719E"/>
    <w:rsid w:val="0072126A"/>
    <w:rsid w:val="007220A4"/>
    <w:rsid w:val="00726C86"/>
    <w:rsid w:val="00730491"/>
    <w:rsid w:val="00730BAA"/>
    <w:rsid w:val="00734C3C"/>
    <w:rsid w:val="007448EB"/>
    <w:rsid w:val="00746A74"/>
    <w:rsid w:val="00747076"/>
    <w:rsid w:val="00751FD1"/>
    <w:rsid w:val="007545CD"/>
    <w:rsid w:val="0075588F"/>
    <w:rsid w:val="00765F8B"/>
    <w:rsid w:val="00766350"/>
    <w:rsid w:val="007666F0"/>
    <w:rsid w:val="00766E34"/>
    <w:rsid w:val="00767F93"/>
    <w:rsid w:val="007716A9"/>
    <w:rsid w:val="007717B8"/>
    <w:rsid w:val="00771A74"/>
    <w:rsid w:val="00773F63"/>
    <w:rsid w:val="00774E21"/>
    <w:rsid w:val="00775BCF"/>
    <w:rsid w:val="007774E6"/>
    <w:rsid w:val="00777E29"/>
    <w:rsid w:val="007800E9"/>
    <w:rsid w:val="0078306A"/>
    <w:rsid w:val="007857C8"/>
    <w:rsid w:val="00793AD2"/>
    <w:rsid w:val="00793CB7"/>
    <w:rsid w:val="007A01BB"/>
    <w:rsid w:val="007A2055"/>
    <w:rsid w:val="007A47AF"/>
    <w:rsid w:val="007A4ED8"/>
    <w:rsid w:val="007A57CB"/>
    <w:rsid w:val="007A6DC1"/>
    <w:rsid w:val="007B07B6"/>
    <w:rsid w:val="007B15BF"/>
    <w:rsid w:val="007B2324"/>
    <w:rsid w:val="007B3146"/>
    <w:rsid w:val="007B541B"/>
    <w:rsid w:val="007B7F70"/>
    <w:rsid w:val="007C1C14"/>
    <w:rsid w:val="007C37E0"/>
    <w:rsid w:val="007C3818"/>
    <w:rsid w:val="007C400A"/>
    <w:rsid w:val="007D0BCA"/>
    <w:rsid w:val="007D0D9E"/>
    <w:rsid w:val="007D147B"/>
    <w:rsid w:val="007D2F6D"/>
    <w:rsid w:val="007D4AA0"/>
    <w:rsid w:val="007D5068"/>
    <w:rsid w:val="007D51FD"/>
    <w:rsid w:val="007D72F3"/>
    <w:rsid w:val="007E0405"/>
    <w:rsid w:val="007E1450"/>
    <w:rsid w:val="007E2175"/>
    <w:rsid w:val="007E72C0"/>
    <w:rsid w:val="007F0825"/>
    <w:rsid w:val="007F2D0B"/>
    <w:rsid w:val="007F3429"/>
    <w:rsid w:val="007F3A53"/>
    <w:rsid w:val="007F3B9B"/>
    <w:rsid w:val="007F4524"/>
    <w:rsid w:val="007F67DB"/>
    <w:rsid w:val="008018BA"/>
    <w:rsid w:val="00804351"/>
    <w:rsid w:val="008062D2"/>
    <w:rsid w:val="00806510"/>
    <w:rsid w:val="008072FD"/>
    <w:rsid w:val="0081086F"/>
    <w:rsid w:val="00811FE0"/>
    <w:rsid w:val="00813C62"/>
    <w:rsid w:val="00813EA8"/>
    <w:rsid w:val="00814F6B"/>
    <w:rsid w:val="008221A0"/>
    <w:rsid w:val="00825B1B"/>
    <w:rsid w:val="0083130E"/>
    <w:rsid w:val="00831E2B"/>
    <w:rsid w:val="00834D0E"/>
    <w:rsid w:val="008358D5"/>
    <w:rsid w:val="00836BD8"/>
    <w:rsid w:val="00836EBD"/>
    <w:rsid w:val="00842C1C"/>
    <w:rsid w:val="008442D2"/>
    <w:rsid w:val="00844782"/>
    <w:rsid w:val="00845AC6"/>
    <w:rsid w:val="00850A50"/>
    <w:rsid w:val="0086236E"/>
    <w:rsid w:val="00862C7D"/>
    <w:rsid w:val="0086335B"/>
    <w:rsid w:val="0086494A"/>
    <w:rsid w:val="008654AE"/>
    <w:rsid w:val="00865D90"/>
    <w:rsid w:val="00867A55"/>
    <w:rsid w:val="00867F29"/>
    <w:rsid w:val="00870B7E"/>
    <w:rsid w:val="0087113C"/>
    <w:rsid w:val="00871163"/>
    <w:rsid w:val="00874B2F"/>
    <w:rsid w:val="00874BD0"/>
    <w:rsid w:val="00885FDC"/>
    <w:rsid w:val="008903F5"/>
    <w:rsid w:val="00890703"/>
    <w:rsid w:val="008910C1"/>
    <w:rsid w:val="008933E3"/>
    <w:rsid w:val="00893F80"/>
    <w:rsid w:val="00896100"/>
    <w:rsid w:val="0089618D"/>
    <w:rsid w:val="008978D9"/>
    <w:rsid w:val="008A1B21"/>
    <w:rsid w:val="008A1E9E"/>
    <w:rsid w:val="008A415F"/>
    <w:rsid w:val="008A4A3F"/>
    <w:rsid w:val="008A4B6D"/>
    <w:rsid w:val="008A62C2"/>
    <w:rsid w:val="008B06D1"/>
    <w:rsid w:val="008B226D"/>
    <w:rsid w:val="008B3EA2"/>
    <w:rsid w:val="008B5D81"/>
    <w:rsid w:val="008B7488"/>
    <w:rsid w:val="008C14F5"/>
    <w:rsid w:val="008C20AA"/>
    <w:rsid w:val="008C4B39"/>
    <w:rsid w:val="008C51E8"/>
    <w:rsid w:val="008C6633"/>
    <w:rsid w:val="008D0E71"/>
    <w:rsid w:val="008D286F"/>
    <w:rsid w:val="008D38EC"/>
    <w:rsid w:val="008D6ABC"/>
    <w:rsid w:val="008D7E42"/>
    <w:rsid w:val="008E1AD8"/>
    <w:rsid w:val="008E4CA9"/>
    <w:rsid w:val="008E5F08"/>
    <w:rsid w:val="008E7CA1"/>
    <w:rsid w:val="008F1FC7"/>
    <w:rsid w:val="008F3096"/>
    <w:rsid w:val="008F381F"/>
    <w:rsid w:val="008F403F"/>
    <w:rsid w:val="009029DB"/>
    <w:rsid w:val="009034AA"/>
    <w:rsid w:val="009069D3"/>
    <w:rsid w:val="00910CA2"/>
    <w:rsid w:val="00913E25"/>
    <w:rsid w:val="00914F08"/>
    <w:rsid w:val="0091568E"/>
    <w:rsid w:val="00915F34"/>
    <w:rsid w:val="00917C72"/>
    <w:rsid w:val="00920924"/>
    <w:rsid w:val="0092372F"/>
    <w:rsid w:val="009250B5"/>
    <w:rsid w:val="00925639"/>
    <w:rsid w:val="009272CD"/>
    <w:rsid w:val="009305F1"/>
    <w:rsid w:val="009322B9"/>
    <w:rsid w:val="00934F52"/>
    <w:rsid w:val="00936A5B"/>
    <w:rsid w:val="00937A3C"/>
    <w:rsid w:val="00937A94"/>
    <w:rsid w:val="0094184B"/>
    <w:rsid w:val="00945B8C"/>
    <w:rsid w:val="009503FC"/>
    <w:rsid w:val="009517B6"/>
    <w:rsid w:val="00951E43"/>
    <w:rsid w:val="00952D8F"/>
    <w:rsid w:val="00954D18"/>
    <w:rsid w:val="00956436"/>
    <w:rsid w:val="00957BC1"/>
    <w:rsid w:val="00960759"/>
    <w:rsid w:val="00970937"/>
    <w:rsid w:val="0097104C"/>
    <w:rsid w:val="00980037"/>
    <w:rsid w:val="0098032E"/>
    <w:rsid w:val="0098176D"/>
    <w:rsid w:val="009832E3"/>
    <w:rsid w:val="00983F8C"/>
    <w:rsid w:val="0098521C"/>
    <w:rsid w:val="009856A1"/>
    <w:rsid w:val="009915CB"/>
    <w:rsid w:val="00997DD0"/>
    <w:rsid w:val="009A01EE"/>
    <w:rsid w:val="009A72CF"/>
    <w:rsid w:val="009C239B"/>
    <w:rsid w:val="009C298B"/>
    <w:rsid w:val="009C31A6"/>
    <w:rsid w:val="009D1D56"/>
    <w:rsid w:val="009D28AE"/>
    <w:rsid w:val="009D5479"/>
    <w:rsid w:val="009D6CE3"/>
    <w:rsid w:val="009D6DAD"/>
    <w:rsid w:val="009E1911"/>
    <w:rsid w:val="009E3536"/>
    <w:rsid w:val="009E47E2"/>
    <w:rsid w:val="009F1BAB"/>
    <w:rsid w:val="009F2327"/>
    <w:rsid w:val="009F2B29"/>
    <w:rsid w:val="009F2DD4"/>
    <w:rsid w:val="009F49A9"/>
    <w:rsid w:val="009F63AA"/>
    <w:rsid w:val="00A00B16"/>
    <w:rsid w:val="00A01376"/>
    <w:rsid w:val="00A04FBC"/>
    <w:rsid w:val="00A07598"/>
    <w:rsid w:val="00A10806"/>
    <w:rsid w:val="00A15110"/>
    <w:rsid w:val="00A1582F"/>
    <w:rsid w:val="00A22D8E"/>
    <w:rsid w:val="00A23AF4"/>
    <w:rsid w:val="00A24A4C"/>
    <w:rsid w:val="00A26099"/>
    <w:rsid w:val="00A3162B"/>
    <w:rsid w:val="00A319CA"/>
    <w:rsid w:val="00A3285E"/>
    <w:rsid w:val="00A32A82"/>
    <w:rsid w:val="00A33AD1"/>
    <w:rsid w:val="00A350B8"/>
    <w:rsid w:val="00A35FFA"/>
    <w:rsid w:val="00A37CE5"/>
    <w:rsid w:val="00A43004"/>
    <w:rsid w:val="00A44B78"/>
    <w:rsid w:val="00A44F0B"/>
    <w:rsid w:val="00A55672"/>
    <w:rsid w:val="00A561AD"/>
    <w:rsid w:val="00A61276"/>
    <w:rsid w:val="00A61AA7"/>
    <w:rsid w:val="00A63C78"/>
    <w:rsid w:val="00A65E89"/>
    <w:rsid w:val="00A70E8F"/>
    <w:rsid w:val="00A720F5"/>
    <w:rsid w:val="00A7211E"/>
    <w:rsid w:val="00A73C65"/>
    <w:rsid w:val="00A84888"/>
    <w:rsid w:val="00A85353"/>
    <w:rsid w:val="00A90C36"/>
    <w:rsid w:val="00A94CC4"/>
    <w:rsid w:val="00A97FD7"/>
    <w:rsid w:val="00AA344D"/>
    <w:rsid w:val="00AA587D"/>
    <w:rsid w:val="00AA74F0"/>
    <w:rsid w:val="00AA7D70"/>
    <w:rsid w:val="00AB059D"/>
    <w:rsid w:val="00AB3546"/>
    <w:rsid w:val="00AB3A51"/>
    <w:rsid w:val="00AB3BCB"/>
    <w:rsid w:val="00AB4510"/>
    <w:rsid w:val="00AB58EF"/>
    <w:rsid w:val="00AC472A"/>
    <w:rsid w:val="00AC514B"/>
    <w:rsid w:val="00AC562C"/>
    <w:rsid w:val="00AC5E50"/>
    <w:rsid w:val="00AD42D1"/>
    <w:rsid w:val="00AD44F9"/>
    <w:rsid w:val="00AD6B51"/>
    <w:rsid w:val="00AE3323"/>
    <w:rsid w:val="00AE3A9D"/>
    <w:rsid w:val="00AE3B5D"/>
    <w:rsid w:val="00AE476A"/>
    <w:rsid w:val="00AF0AC3"/>
    <w:rsid w:val="00AF0C95"/>
    <w:rsid w:val="00AF177D"/>
    <w:rsid w:val="00AF2078"/>
    <w:rsid w:val="00AF2CF4"/>
    <w:rsid w:val="00AF7370"/>
    <w:rsid w:val="00B00A18"/>
    <w:rsid w:val="00B027D2"/>
    <w:rsid w:val="00B02D4A"/>
    <w:rsid w:val="00B045C9"/>
    <w:rsid w:val="00B04B60"/>
    <w:rsid w:val="00B04C2F"/>
    <w:rsid w:val="00B05B7A"/>
    <w:rsid w:val="00B07223"/>
    <w:rsid w:val="00B07773"/>
    <w:rsid w:val="00B1110A"/>
    <w:rsid w:val="00B11A33"/>
    <w:rsid w:val="00B13282"/>
    <w:rsid w:val="00B1766F"/>
    <w:rsid w:val="00B23FD8"/>
    <w:rsid w:val="00B264C9"/>
    <w:rsid w:val="00B265E1"/>
    <w:rsid w:val="00B30F40"/>
    <w:rsid w:val="00B372EE"/>
    <w:rsid w:val="00B37BDB"/>
    <w:rsid w:val="00B4067D"/>
    <w:rsid w:val="00B4228D"/>
    <w:rsid w:val="00B46FFE"/>
    <w:rsid w:val="00B51115"/>
    <w:rsid w:val="00B512EF"/>
    <w:rsid w:val="00B5324A"/>
    <w:rsid w:val="00B56A9A"/>
    <w:rsid w:val="00B57A62"/>
    <w:rsid w:val="00B615B7"/>
    <w:rsid w:val="00B62062"/>
    <w:rsid w:val="00B62A8A"/>
    <w:rsid w:val="00B62E0C"/>
    <w:rsid w:val="00B64A22"/>
    <w:rsid w:val="00B6748C"/>
    <w:rsid w:val="00B73CFA"/>
    <w:rsid w:val="00B74403"/>
    <w:rsid w:val="00B80EC4"/>
    <w:rsid w:val="00B8193F"/>
    <w:rsid w:val="00B832C9"/>
    <w:rsid w:val="00B86327"/>
    <w:rsid w:val="00B86595"/>
    <w:rsid w:val="00B91C1F"/>
    <w:rsid w:val="00B9303C"/>
    <w:rsid w:val="00BA035A"/>
    <w:rsid w:val="00BA42B5"/>
    <w:rsid w:val="00BA5904"/>
    <w:rsid w:val="00BB2FD0"/>
    <w:rsid w:val="00BB3505"/>
    <w:rsid w:val="00BB3F76"/>
    <w:rsid w:val="00BB431C"/>
    <w:rsid w:val="00BB4E4C"/>
    <w:rsid w:val="00BB57EC"/>
    <w:rsid w:val="00BB5936"/>
    <w:rsid w:val="00BB5F34"/>
    <w:rsid w:val="00BC3757"/>
    <w:rsid w:val="00BC6BE9"/>
    <w:rsid w:val="00BC6FC7"/>
    <w:rsid w:val="00BD2563"/>
    <w:rsid w:val="00BD2FA4"/>
    <w:rsid w:val="00BD7838"/>
    <w:rsid w:val="00BE08E6"/>
    <w:rsid w:val="00BE220A"/>
    <w:rsid w:val="00BE2306"/>
    <w:rsid w:val="00BE2487"/>
    <w:rsid w:val="00BE5267"/>
    <w:rsid w:val="00BE608E"/>
    <w:rsid w:val="00BE6391"/>
    <w:rsid w:val="00BE7EE0"/>
    <w:rsid w:val="00BF0652"/>
    <w:rsid w:val="00BF44C7"/>
    <w:rsid w:val="00BF70B3"/>
    <w:rsid w:val="00C005C3"/>
    <w:rsid w:val="00C006CF"/>
    <w:rsid w:val="00C02058"/>
    <w:rsid w:val="00C025AE"/>
    <w:rsid w:val="00C03BE8"/>
    <w:rsid w:val="00C12499"/>
    <w:rsid w:val="00C139F0"/>
    <w:rsid w:val="00C17EF0"/>
    <w:rsid w:val="00C21F22"/>
    <w:rsid w:val="00C26079"/>
    <w:rsid w:val="00C31E1C"/>
    <w:rsid w:val="00C36112"/>
    <w:rsid w:val="00C36482"/>
    <w:rsid w:val="00C4354F"/>
    <w:rsid w:val="00C55503"/>
    <w:rsid w:val="00C55EBE"/>
    <w:rsid w:val="00C57435"/>
    <w:rsid w:val="00C63A83"/>
    <w:rsid w:val="00C64745"/>
    <w:rsid w:val="00C71CCF"/>
    <w:rsid w:val="00C71D4F"/>
    <w:rsid w:val="00C75B50"/>
    <w:rsid w:val="00C76F13"/>
    <w:rsid w:val="00C84B1D"/>
    <w:rsid w:val="00C85CC6"/>
    <w:rsid w:val="00C86555"/>
    <w:rsid w:val="00C86643"/>
    <w:rsid w:val="00C8673F"/>
    <w:rsid w:val="00C86ED6"/>
    <w:rsid w:val="00C915CD"/>
    <w:rsid w:val="00C91A5A"/>
    <w:rsid w:val="00C91FFD"/>
    <w:rsid w:val="00C92BAE"/>
    <w:rsid w:val="00C96BE7"/>
    <w:rsid w:val="00CA099E"/>
    <w:rsid w:val="00CA441E"/>
    <w:rsid w:val="00CA6690"/>
    <w:rsid w:val="00CC46A7"/>
    <w:rsid w:val="00CC4B3D"/>
    <w:rsid w:val="00CC56EA"/>
    <w:rsid w:val="00CD05C3"/>
    <w:rsid w:val="00CD11A2"/>
    <w:rsid w:val="00CD2627"/>
    <w:rsid w:val="00CD36E0"/>
    <w:rsid w:val="00CE053C"/>
    <w:rsid w:val="00CE16A7"/>
    <w:rsid w:val="00CE1995"/>
    <w:rsid w:val="00CE2244"/>
    <w:rsid w:val="00CE57CF"/>
    <w:rsid w:val="00CE649D"/>
    <w:rsid w:val="00CE7EF0"/>
    <w:rsid w:val="00CF22C0"/>
    <w:rsid w:val="00CF2311"/>
    <w:rsid w:val="00CF2D72"/>
    <w:rsid w:val="00CF4DCA"/>
    <w:rsid w:val="00D0464F"/>
    <w:rsid w:val="00D07126"/>
    <w:rsid w:val="00D1032A"/>
    <w:rsid w:val="00D10ABC"/>
    <w:rsid w:val="00D11D0E"/>
    <w:rsid w:val="00D135A4"/>
    <w:rsid w:val="00D2011B"/>
    <w:rsid w:val="00D20DA7"/>
    <w:rsid w:val="00D35144"/>
    <w:rsid w:val="00D4193B"/>
    <w:rsid w:val="00D44FE2"/>
    <w:rsid w:val="00D53892"/>
    <w:rsid w:val="00D54163"/>
    <w:rsid w:val="00D5580E"/>
    <w:rsid w:val="00D56A2B"/>
    <w:rsid w:val="00D5715F"/>
    <w:rsid w:val="00D648CF"/>
    <w:rsid w:val="00D64990"/>
    <w:rsid w:val="00D667FC"/>
    <w:rsid w:val="00D66C8F"/>
    <w:rsid w:val="00D67346"/>
    <w:rsid w:val="00D70A4F"/>
    <w:rsid w:val="00D74016"/>
    <w:rsid w:val="00D77A0A"/>
    <w:rsid w:val="00D81583"/>
    <w:rsid w:val="00D9345E"/>
    <w:rsid w:val="00DA15B0"/>
    <w:rsid w:val="00DA1ED4"/>
    <w:rsid w:val="00DA2C1D"/>
    <w:rsid w:val="00DA46CC"/>
    <w:rsid w:val="00DB2F89"/>
    <w:rsid w:val="00DB3CB1"/>
    <w:rsid w:val="00DB7E8D"/>
    <w:rsid w:val="00DC2CA7"/>
    <w:rsid w:val="00DC3552"/>
    <w:rsid w:val="00DC3ED3"/>
    <w:rsid w:val="00DC46BA"/>
    <w:rsid w:val="00DC496F"/>
    <w:rsid w:val="00DC4FB1"/>
    <w:rsid w:val="00DC51F5"/>
    <w:rsid w:val="00DC7A09"/>
    <w:rsid w:val="00DD1FDC"/>
    <w:rsid w:val="00DD754D"/>
    <w:rsid w:val="00DE177A"/>
    <w:rsid w:val="00DE3AA1"/>
    <w:rsid w:val="00DE423F"/>
    <w:rsid w:val="00DE613A"/>
    <w:rsid w:val="00DE6C6F"/>
    <w:rsid w:val="00DE6F19"/>
    <w:rsid w:val="00DF0ED7"/>
    <w:rsid w:val="00DF18F1"/>
    <w:rsid w:val="00DF231C"/>
    <w:rsid w:val="00DF2EC8"/>
    <w:rsid w:val="00DF3CBC"/>
    <w:rsid w:val="00DF7FE2"/>
    <w:rsid w:val="00DF7FEF"/>
    <w:rsid w:val="00E01431"/>
    <w:rsid w:val="00E01B79"/>
    <w:rsid w:val="00E020EF"/>
    <w:rsid w:val="00E038A0"/>
    <w:rsid w:val="00E0391D"/>
    <w:rsid w:val="00E05E33"/>
    <w:rsid w:val="00E066E7"/>
    <w:rsid w:val="00E10AB2"/>
    <w:rsid w:val="00E1460F"/>
    <w:rsid w:val="00E1653B"/>
    <w:rsid w:val="00E16948"/>
    <w:rsid w:val="00E17C43"/>
    <w:rsid w:val="00E20470"/>
    <w:rsid w:val="00E240CF"/>
    <w:rsid w:val="00E254EA"/>
    <w:rsid w:val="00E25C8C"/>
    <w:rsid w:val="00E26675"/>
    <w:rsid w:val="00E27EB5"/>
    <w:rsid w:val="00E3053C"/>
    <w:rsid w:val="00E357C5"/>
    <w:rsid w:val="00E366CE"/>
    <w:rsid w:val="00E37D4B"/>
    <w:rsid w:val="00E45684"/>
    <w:rsid w:val="00E461F3"/>
    <w:rsid w:val="00E46C60"/>
    <w:rsid w:val="00E47FC4"/>
    <w:rsid w:val="00E5500A"/>
    <w:rsid w:val="00E551B3"/>
    <w:rsid w:val="00E56AFC"/>
    <w:rsid w:val="00E603DF"/>
    <w:rsid w:val="00E615B2"/>
    <w:rsid w:val="00E663FA"/>
    <w:rsid w:val="00E66C3A"/>
    <w:rsid w:val="00E67858"/>
    <w:rsid w:val="00E72AA3"/>
    <w:rsid w:val="00E73F17"/>
    <w:rsid w:val="00E74C93"/>
    <w:rsid w:val="00E773C7"/>
    <w:rsid w:val="00E806CA"/>
    <w:rsid w:val="00E87030"/>
    <w:rsid w:val="00E904D3"/>
    <w:rsid w:val="00E90E0B"/>
    <w:rsid w:val="00E93B6D"/>
    <w:rsid w:val="00E95490"/>
    <w:rsid w:val="00E95DD9"/>
    <w:rsid w:val="00E960CE"/>
    <w:rsid w:val="00E9703F"/>
    <w:rsid w:val="00EA337C"/>
    <w:rsid w:val="00EA623F"/>
    <w:rsid w:val="00EA78E9"/>
    <w:rsid w:val="00EB0D4C"/>
    <w:rsid w:val="00EB276D"/>
    <w:rsid w:val="00EB433A"/>
    <w:rsid w:val="00EB4FFA"/>
    <w:rsid w:val="00EC050E"/>
    <w:rsid w:val="00EC2E18"/>
    <w:rsid w:val="00EC3926"/>
    <w:rsid w:val="00EC3F0A"/>
    <w:rsid w:val="00EC3FA0"/>
    <w:rsid w:val="00ED250B"/>
    <w:rsid w:val="00ED34A6"/>
    <w:rsid w:val="00ED3E35"/>
    <w:rsid w:val="00ED4368"/>
    <w:rsid w:val="00ED5F1C"/>
    <w:rsid w:val="00ED655F"/>
    <w:rsid w:val="00ED7604"/>
    <w:rsid w:val="00EE3171"/>
    <w:rsid w:val="00EE33B5"/>
    <w:rsid w:val="00EE62E0"/>
    <w:rsid w:val="00EE7E45"/>
    <w:rsid w:val="00EF13B5"/>
    <w:rsid w:val="00EF2D4E"/>
    <w:rsid w:val="00EF4156"/>
    <w:rsid w:val="00EF45F7"/>
    <w:rsid w:val="00EF7452"/>
    <w:rsid w:val="00F014B7"/>
    <w:rsid w:val="00F01DD6"/>
    <w:rsid w:val="00F02777"/>
    <w:rsid w:val="00F04AAE"/>
    <w:rsid w:val="00F04F74"/>
    <w:rsid w:val="00F04FDC"/>
    <w:rsid w:val="00F14C26"/>
    <w:rsid w:val="00F2222A"/>
    <w:rsid w:val="00F245AE"/>
    <w:rsid w:val="00F26DAB"/>
    <w:rsid w:val="00F27F73"/>
    <w:rsid w:val="00F30E7F"/>
    <w:rsid w:val="00F32D1B"/>
    <w:rsid w:val="00F342FD"/>
    <w:rsid w:val="00F34A97"/>
    <w:rsid w:val="00F35B0A"/>
    <w:rsid w:val="00F51D59"/>
    <w:rsid w:val="00F5341F"/>
    <w:rsid w:val="00F56CBE"/>
    <w:rsid w:val="00F5728F"/>
    <w:rsid w:val="00F57557"/>
    <w:rsid w:val="00F6147F"/>
    <w:rsid w:val="00F616FE"/>
    <w:rsid w:val="00F629A9"/>
    <w:rsid w:val="00F65C9B"/>
    <w:rsid w:val="00F67232"/>
    <w:rsid w:val="00F70BAC"/>
    <w:rsid w:val="00F73886"/>
    <w:rsid w:val="00F75D87"/>
    <w:rsid w:val="00F75F29"/>
    <w:rsid w:val="00F76682"/>
    <w:rsid w:val="00F77972"/>
    <w:rsid w:val="00F818E8"/>
    <w:rsid w:val="00F81FE0"/>
    <w:rsid w:val="00F850CD"/>
    <w:rsid w:val="00F85821"/>
    <w:rsid w:val="00F85AC5"/>
    <w:rsid w:val="00F938B8"/>
    <w:rsid w:val="00F97347"/>
    <w:rsid w:val="00F97C9C"/>
    <w:rsid w:val="00FA53C0"/>
    <w:rsid w:val="00FB02EC"/>
    <w:rsid w:val="00FB1DA9"/>
    <w:rsid w:val="00FB7A34"/>
    <w:rsid w:val="00FB7F87"/>
    <w:rsid w:val="00FC73ED"/>
    <w:rsid w:val="00FD072A"/>
    <w:rsid w:val="00FD5B66"/>
    <w:rsid w:val="00FE2D94"/>
    <w:rsid w:val="00FE5793"/>
    <w:rsid w:val="00FE5FB3"/>
    <w:rsid w:val="00FE7BA0"/>
    <w:rsid w:val="00FF1589"/>
    <w:rsid w:val="00FF1F09"/>
    <w:rsid w:val="00FF3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3FFD7"/>
  <w15:chartTrackingRefBased/>
  <w15:docId w15:val="{936A7DAA-68A3-4D5F-A82B-1603481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F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1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F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1F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F5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C2"/>
    <w:rPr>
      <w:rFonts w:ascii="Segoe UI" w:hAnsi="Segoe UI" w:cs="Segoe UI"/>
      <w:sz w:val="18"/>
      <w:szCs w:val="18"/>
    </w:rPr>
  </w:style>
  <w:style w:type="table" w:styleId="GridTable5Dark-Accent5">
    <w:name w:val="Grid Table 5 Dark Accent 5"/>
    <w:basedOn w:val="TableNormal"/>
    <w:uiPriority w:val="50"/>
    <w:rsid w:val="000675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0675C2"/>
    <w:pPr>
      <w:ind w:left="720"/>
      <w:contextualSpacing/>
    </w:pPr>
  </w:style>
  <w:style w:type="character" w:styleId="Hyperlink">
    <w:name w:val="Hyperlink"/>
    <w:basedOn w:val="DefaultParagraphFont"/>
    <w:uiPriority w:val="99"/>
    <w:unhideWhenUsed/>
    <w:rsid w:val="00EE62E0"/>
    <w:rPr>
      <w:color w:val="0563C1" w:themeColor="hyperlink"/>
      <w:u w:val="single"/>
    </w:rPr>
  </w:style>
  <w:style w:type="character" w:customStyle="1" w:styleId="Calibri12">
    <w:name w:val="Calibri 12"/>
    <w:basedOn w:val="DefaultParagraphFont"/>
    <w:uiPriority w:val="1"/>
    <w:qFormat/>
    <w:rsid w:val="0004223B"/>
    <w:rPr>
      <w:rFonts w:ascii="Calibri" w:hAnsi="Calibri"/>
      <w:sz w:val="24"/>
    </w:rPr>
  </w:style>
  <w:style w:type="character" w:styleId="FollowedHyperlink">
    <w:name w:val="FollowedHyperlink"/>
    <w:basedOn w:val="DefaultParagraphFont"/>
    <w:uiPriority w:val="99"/>
    <w:semiHidden/>
    <w:unhideWhenUsed/>
    <w:rsid w:val="00765F8B"/>
    <w:rPr>
      <w:color w:val="954F72" w:themeColor="followedHyperlink"/>
      <w:u w:val="single"/>
    </w:rPr>
  </w:style>
  <w:style w:type="table" w:styleId="PlainTable5">
    <w:name w:val="Plain Table 5"/>
    <w:basedOn w:val="TableNormal"/>
    <w:uiPriority w:val="45"/>
    <w:rsid w:val="00E204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1E4481"/>
    <w:pPr>
      <w:widowControl w:val="0"/>
      <w:spacing w:after="0" w:line="240" w:lineRule="auto"/>
    </w:pPr>
    <w:rPr>
      <w:rFonts w:eastAsia="Times New Roman" w:cs="Times New Roman"/>
      <w:lang w:val="en-US"/>
    </w:rPr>
  </w:style>
  <w:style w:type="character" w:styleId="CommentReference">
    <w:name w:val="annotation reference"/>
    <w:basedOn w:val="DefaultParagraphFont"/>
    <w:uiPriority w:val="99"/>
    <w:semiHidden/>
    <w:unhideWhenUsed/>
    <w:rsid w:val="008C4B39"/>
    <w:rPr>
      <w:sz w:val="16"/>
      <w:szCs w:val="16"/>
    </w:rPr>
  </w:style>
  <w:style w:type="paragraph" w:styleId="CommentText">
    <w:name w:val="annotation text"/>
    <w:basedOn w:val="Normal"/>
    <w:link w:val="CommentTextChar"/>
    <w:uiPriority w:val="99"/>
    <w:semiHidden/>
    <w:unhideWhenUsed/>
    <w:rsid w:val="008C4B39"/>
    <w:pPr>
      <w:spacing w:line="240" w:lineRule="auto"/>
    </w:pPr>
    <w:rPr>
      <w:sz w:val="20"/>
      <w:szCs w:val="20"/>
    </w:rPr>
  </w:style>
  <w:style w:type="character" w:customStyle="1" w:styleId="CommentTextChar">
    <w:name w:val="Comment Text Char"/>
    <w:basedOn w:val="DefaultParagraphFont"/>
    <w:link w:val="CommentText"/>
    <w:uiPriority w:val="99"/>
    <w:semiHidden/>
    <w:rsid w:val="008C4B39"/>
    <w:rPr>
      <w:sz w:val="20"/>
      <w:szCs w:val="20"/>
    </w:rPr>
  </w:style>
  <w:style w:type="paragraph" w:styleId="CommentSubject">
    <w:name w:val="annotation subject"/>
    <w:basedOn w:val="CommentText"/>
    <w:next w:val="CommentText"/>
    <w:link w:val="CommentSubjectChar"/>
    <w:uiPriority w:val="99"/>
    <w:semiHidden/>
    <w:unhideWhenUsed/>
    <w:rsid w:val="008C4B39"/>
    <w:rPr>
      <w:b/>
      <w:bCs/>
    </w:rPr>
  </w:style>
  <w:style w:type="character" w:customStyle="1" w:styleId="CommentSubjectChar">
    <w:name w:val="Comment Subject Char"/>
    <w:basedOn w:val="CommentTextChar"/>
    <w:link w:val="CommentSubject"/>
    <w:uiPriority w:val="99"/>
    <w:semiHidden/>
    <w:rsid w:val="008C4B39"/>
    <w:rPr>
      <w:b/>
      <w:bCs/>
      <w:sz w:val="20"/>
      <w:szCs w:val="20"/>
    </w:rPr>
  </w:style>
  <w:style w:type="paragraph" w:styleId="EndnoteText">
    <w:name w:val="endnote text"/>
    <w:basedOn w:val="Normal"/>
    <w:link w:val="EndnoteTextChar"/>
    <w:uiPriority w:val="99"/>
    <w:semiHidden/>
    <w:unhideWhenUsed/>
    <w:rsid w:val="00777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E29"/>
    <w:rPr>
      <w:sz w:val="20"/>
      <w:szCs w:val="20"/>
    </w:rPr>
  </w:style>
  <w:style w:type="character" w:styleId="EndnoteReference">
    <w:name w:val="endnote reference"/>
    <w:basedOn w:val="DefaultParagraphFont"/>
    <w:uiPriority w:val="99"/>
    <w:semiHidden/>
    <w:unhideWhenUsed/>
    <w:rsid w:val="00777E29"/>
    <w:rPr>
      <w:vertAlign w:val="superscript"/>
    </w:rPr>
  </w:style>
  <w:style w:type="paragraph" w:styleId="Header">
    <w:name w:val="header"/>
    <w:basedOn w:val="Normal"/>
    <w:link w:val="HeaderChar"/>
    <w:uiPriority w:val="99"/>
    <w:unhideWhenUsed/>
    <w:rsid w:val="00BE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E6"/>
  </w:style>
  <w:style w:type="paragraph" w:styleId="Footer">
    <w:name w:val="footer"/>
    <w:basedOn w:val="Normal"/>
    <w:link w:val="FooterChar"/>
    <w:uiPriority w:val="99"/>
    <w:unhideWhenUsed/>
    <w:rsid w:val="00BE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E6"/>
  </w:style>
  <w:style w:type="paragraph" w:styleId="FootnoteText">
    <w:name w:val="footnote text"/>
    <w:basedOn w:val="Normal"/>
    <w:link w:val="FootnoteTextChar"/>
    <w:uiPriority w:val="99"/>
    <w:semiHidden/>
    <w:unhideWhenUsed/>
    <w:rsid w:val="00DC3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52"/>
    <w:rPr>
      <w:sz w:val="20"/>
      <w:szCs w:val="20"/>
    </w:rPr>
  </w:style>
  <w:style w:type="character" w:styleId="FootnoteReference">
    <w:name w:val="footnote reference"/>
    <w:basedOn w:val="DefaultParagraphFont"/>
    <w:uiPriority w:val="99"/>
    <w:semiHidden/>
    <w:unhideWhenUsed/>
    <w:rsid w:val="00DC3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11A1-DFF1-41CC-9323-900666E5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16644</Characters>
  <Application>Microsoft Office Word</Application>
  <DocSecurity>0</DocSecurity>
  <Lines>412</Lines>
  <Paragraphs>135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2019-02-20T05:59:00Z</dcterms:created>
  <dcterms:modified xsi:type="dcterms:W3CDTF">2019-02-20T05:59:00Z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1014636</vt:lpwstr>
  </property>
  <property fmtid="{D5CDD505-2E9C-101B-9397-08002B2CF9AE}" pid="4" name="JMSREQUIREDCHECKIN">
    <vt:lpwstr/>
  </property>
</Properties>
</file>