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F2220" w14:textId="77777777" w:rsidR="009E5708" w:rsidRPr="009E5708" w:rsidRDefault="009E5708" w:rsidP="009E5708">
      <w:pPr>
        <w:rPr>
          <w:b/>
          <w:sz w:val="32"/>
        </w:rPr>
      </w:pPr>
      <w:bookmarkStart w:id="0" w:name="_GoBack"/>
      <w:bookmarkEnd w:id="0"/>
    </w:p>
    <w:p w14:paraId="3BED24C7" w14:textId="77777777" w:rsidR="00A7342D" w:rsidRDefault="00A7342D" w:rsidP="009E5708">
      <w:pPr>
        <w:rPr>
          <w:b/>
          <w:sz w:val="32"/>
        </w:rPr>
      </w:pPr>
      <w:r w:rsidRPr="009E5708">
        <w:rPr>
          <w:b/>
          <w:sz w:val="32"/>
        </w:rPr>
        <w:t>Regulatory Impact Statement</w:t>
      </w:r>
    </w:p>
    <w:p w14:paraId="13A8C980" w14:textId="77777777" w:rsidR="009E5708" w:rsidRPr="009E5708" w:rsidRDefault="009E5708" w:rsidP="009E5708">
      <w:pPr>
        <w:rPr>
          <w:b/>
          <w:sz w:val="32"/>
        </w:rPr>
      </w:pPr>
    </w:p>
    <w:p w14:paraId="4D46F9DB" w14:textId="55FD1728" w:rsidR="00005844" w:rsidRPr="00005844" w:rsidRDefault="009E5708" w:rsidP="009E5708">
      <w:pPr>
        <w:pStyle w:val="Billname"/>
        <w:spacing w:before="0"/>
      </w:pPr>
      <w:r>
        <w:t>E</w:t>
      </w:r>
      <w:r w:rsidR="008F347A">
        <w:t xml:space="preserve">nergy Efficiency (Cost of Living) Improvement (Priority Household Target) </w:t>
      </w:r>
      <w:r w:rsidR="007A6B94">
        <w:br/>
      </w:r>
      <w:r w:rsidR="008F347A">
        <w:t xml:space="preserve">Determination </w:t>
      </w:r>
      <w:r w:rsidR="00C56382">
        <w:t>201</w:t>
      </w:r>
      <w:r w:rsidR="00CE3998">
        <w:t>9</w:t>
      </w:r>
      <w:r w:rsidR="00C56382">
        <w:t xml:space="preserve"> </w:t>
      </w:r>
    </w:p>
    <w:p w14:paraId="36EC35E7" w14:textId="77777777" w:rsidR="00A7342D" w:rsidRDefault="00A7342D" w:rsidP="009E5708"/>
    <w:p w14:paraId="1EDCB59D" w14:textId="134FFCE4" w:rsidR="00A7342D" w:rsidRPr="00981CB4" w:rsidRDefault="00005844" w:rsidP="009E5708">
      <w:r>
        <w:t>Disallowable Instrument</w:t>
      </w:r>
      <w:r w:rsidR="00A7342D">
        <w:t xml:space="preserve"> </w:t>
      </w:r>
      <w:r w:rsidR="0073073A">
        <w:t>DI</w:t>
      </w:r>
      <w:r w:rsidR="00A7342D">
        <w:t>201</w:t>
      </w:r>
      <w:r w:rsidR="00D776D7">
        <w:t>9</w:t>
      </w:r>
      <w:r w:rsidR="008F347A">
        <w:t xml:space="preserve"> -</w:t>
      </w:r>
      <w:r w:rsidR="002F2D25">
        <w:t>75</w:t>
      </w:r>
    </w:p>
    <w:p w14:paraId="14300195" w14:textId="77777777" w:rsidR="00A7342D" w:rsidRDefault="00A7342D" w:rsidP="009E5708">
      <w:r>
        <w:t xml:space="preserve">Prepared in accordance with </w:t>
      </w:r>
      <w:r w:rsidR="00005844">
        <w:t xml:space="preserve">Chapter 5 of the </w:t>
      </w:r>
      <w:r>
        <w:rPr>
          <w:rFonts w:ascii="Calibri-BoldItalic" w:hAnsi="Calibri-BoldItalic" w:cs="Calibri-BoldItalic"/>
          <w:i/>
          <w:iCs/>
        </w:rPr>
        <w:t>Legislation Act 2001</w:t>
      </w:r>
    </w:p>
    <w:p w14:paraId="10B977CA" w14:textId="77777777" w:rsidR="00A7342D" w:rsidRDefault="00A7342D" w:rsidP="009E5708"/>
    <w:p w14:paraId="36353EE0" w14:textId="77777777" w:rsidR="00A7342D" w:rsidRDefault="00A7342D" w:rsidP="009E5708"/>
    <w:p w14:paraId="33B9DD95" w14:textId="696E4FD7" w:rsidR="00A7342D" w:rsidRDefault="00656911" w:rsidP="009E5708">
      <w:r w:rsidRPr="003D7899">
        <w:rPr>
          <w:noProof/>
        </w:rPr>
        <w:drawing>
          <wp:inline distT="0" distB="0" distL="0" distR="0" wp14:anchorId="30CA2C4A" wp14:editId="38E652EB">
            <wp:extent cx="5731510" cy="3820795"/>
            <wp:effectExtent l="0" t="0" r="2540" b="8255"/>
            <wp:docPr id="9" name="Picture 9" descr="\\NAS125S2\EPDHome01\S\Su Wild-River\My Pictures\2019 stakeholder report\mum and toddler shown energy optio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125S2\EPDHome01\S\Su Wild-River\My Pictures\2019 stakeholder report\mum and toddler shown energy options.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7C767E88" w14:textId="77777777" w:rsidR="00A7342D" w:rsidRDefault="00A7342D" w:rsidP="009E5708"/>
    <w:p w14:paraId="68E12CB4" w14:textId="77777777" w:rsidR="00A7342D" w:rsidRDefault="00A7342D" w:rsidP="009E5708"/>
    <w:sdt>
      <w:sdtPr>
        <w:rPr>
          <w:rFonts w:ascii="Calibri" w:eastAsia="Times New Roman" w:hAnsi="Calibri" w:cs="Times New Roman"/>
          <w:b w:val="0"/>
          <w:bCs/>
          <w:color w:val="auto"/>
          <w:sz w:val="22"/>
          <w:szCs w:val="22"/>
          <w:lang w:val="en-AU"/>
        </w:rPr>
        <w:id w:val="3211125"/>
        <w:docPartObj>
          <w:docPartGallery w:val="Table of Contents"/>
          <w:docPartUnique/>
        </w:docPartObj>
      </w:sdtPr>
      <w:sdtEndPr>
        <w:rPr>
          <w:rFonts w:asciiTheme="minorHAnsi" w:hAnsiTheme="minorHAnsi" w:cs="Calibri-Bold"/>
          <w:sz w:val="24"/>
          <w:szCs w:val="24"/>
        </w:rPr>
      </w:sdtEndPr>
      <w:sdtContent>
        <w:p w14:paraId="217CD4A0" w14:textId="77777777" w:rsidR="00C3417F" w:rsidRDefault="00C3417F" w:rsidP="009E5708">
          <w:pPr>
            <w:pStyle w:val="TOCHeading"/>
          </w:pPr>
          <w:r>
            <w:t>Contents</w:t>
          </w:r>
        </w:p>
        <w:p w14:paraId="7837BB1B" w14:textId="081C57D6" w:rsidR="00187062" w:rsidRDefault="004E7E2C">
          <w:pPr>
            <w:pStyle w:val="TOC1"/>
            <w:rPr>
              <w:rFonts w:eastAsiaTheme="minorEastAsia" w:cstheme="minorBidi"/>
              <w:bCs w:val="0"/>
              <w:noProof/>
              <w:sz w:val="22"/>
              <w:szCs w:val="22"/>
            </w:rPr>
          </w:pPr>
          <w:r>
            <w:fldChar w:fldCharType="begin"/>
          </w:r>
          <w:r w:rsidR="00C3417F">
            <w:instrText xml:space="preserve"> TOC \o "1-3" \h \z \u </w:instrText>
          </w:r>
          <w:r>
            <w:fldChar w:fldCharType="separate"/>
          </w:r>
          <w:hyperlink w:anchor="_Toc7625302" w:history="1">
            <w:r w:rsidR="00187062" w:rsidRPr="007B462F">
              <w:rPr>
                <w:rStyle w:val="Hyperlink"/>
                <w:noProof/>
              </w:rPr>
              <w:t>1.</w:t>
            </w:r>
            <w:r w:rsidR="00187062">
              <w:rPr>
                <w:rFonts w:eastAsiaTheme="minorEastAsia" w:cstheme="minorBidi"/>
                <w:bCs w:val="0"/>
                <w:noProof/>
                <w:sz w:val="22"/>
                <w:szCs w:val="22"/>
              </w:rPr>
              <w:tab/>
            </w:r>
            <w:r w:rsidR="00187062" w:rsidRPr="007B462F">
              <w:rPr>
                <w:rStyle w:val="Hyperlink"/>
                <w:noProof/>
              </w:rPr>
              <w:t>Executive Summary</w:t>
            </w:r>
            <w:r w:rsidR="00187062">
              <w:rPr>
                <w:noProof/>
                <w:webHidden/>
              </w:rPr>
              <w:tab/>
            </w:r>
            <w:r w:rsidR="00187062">
              <w:rPr>
                <w:noProof/>
                <w:webHidden/>
              </w:rPr>
              <w:fldChar w:fldCharType="begin"/>
            </w:r>
            <w:r w:rsidR="00187062">
              <w:rPr>
                <w:noProof/>
                <w:webHidden/>
              </w:rPr>
              <w:instrText xml:space="preserve"> PAGEREF _Toc7625302 \h </w:instrText>
            </w:r>
            <w:r w:rsidR="00187062">
              <w:rPr>
                <w:noProof/>
                <w:webHidden/>
              </w:rPr>
            </w:r>
            <w:r w:rsidR="00187062">
              <w:rPr>
                <w:noProof/>
                <w:webHidden/>
              </w:rPr>
              <w:fldChar w:fldCharType="separate"/>
            </w:r>
            <w:r w:rsidR="00631DC2">
              <w:rPr>
                <w:noProof/>
                <w:webHidden/>
              </w:rPr>
              <w:t>3</w:t>
            </w:r>
            <w:r w:rsidR="00187062">
              <w:rPr>
                <w:noProof/>
                <w:webHidden/>
              </w:rPr>
              <w:fldChar w:fldCharType="end"/>
            </w:r>
          </w:hyperlink>
        </w:p>
        <w:p w14:paraId="0D11E43C" w14:textId="44BCAFAF" w:rsidR="00187062" w:rsidRDefault="000841E2">
          <w:pPr>
            <w:pStyle w:val="TOC1"/>
            <w:rPr>
              <w:rFonts w:eastAsiaTheme="minorEastAsia" w:cstheme="minorBidi"/>
              <w:bCs w:val="0"/>
              <w:noProof/>
              <w:sz w:val="22"/>
              <w:szCs w:val="22"/>
            </w:rPr>
          </w:pPr>
          <w:hyperlink w:anchor="_Toc7625303" w:history="1">
            <w:r w:rsidR="00187062" w:rsidRPr="007B462F">
              <w:rPr>
                <w:rStyle w:val="Hyperlink"/>
                <w:noProof/>
              </w:rPr>
              <w:t>2.</w:t>
            </w:r>
            <w:r w:rsidR="00187062">
              <w:rPr>
                <w:rFonts w:eastAsiaTheme="minorEastAsia" w:cstheme="minorBidi"/>
                <w:bCs w:val="0"/>
                <w:noProof/>
                <w:sz w:val="22"/>
                <w:szCs w:val="22"/>
              </w:rPr>
              <w:tab/>
            </w:r>
            <w:r w:rsidR="00187062" w:rsidRPr="007B462F">
              <w:rPr>
                <w:rStyle w:val="Hyperlink"/>
                <w:noProof/>
              </w:rPr>
              <w:t>The authorising law</w:t>
            </w:r>
            <w:r w:rsidR="00187062">
              <w:rPr>
                <w:noProof/>
                <w:webHidden/>
              </w:rPr>
              <w:tab/>
            </w:r>
            <w:r w:rsidR="00187062">
              <w:rPr>
                <w:noProof/>
                <w:webHidden/>
              </w:rPr>
              <w:fldChar w:fldCharType="begin"/>
            </w:r>
            <w:r w:rsidR="00187062">
              <w:rPr>
                <w:noProof/>
                <w:webHidden/>
              </w:rPr>
              <w:instrText xml:space="preserve"> PAGEREF _Toc7625303 \h </w:instrText>
            </w:r>
            <w:r w:rsidR="00187062">
              <w:rPr>
                <w:noProof/>
                <w:webHidden/>
              </w:rPr>
            </w:r>
            <w:r w:rsidR="00187062">
              <w:rPr>
                <w:noProof/>
                <w:webHidden/>
              </w:rPr>
              <w:fldChar w:fldCharType="separate"/>
            </w:r>
            <w:r w:rsidR="00631DC2">
              <w:rPr>
                <w:noProof/>
                <w:webHidden/>
              </w:rPr>
              <w:t>3</w:t>
            </w:r>
            <w:r w:rsidR="00187062">
              <w:rPr>
                <w:noProof/>
                <w:webHidden/>
              </w:rPr>
              <w:fldChar w:fldCharType="end"/>
            </w:r>
          </w:hyperlink>
        </w:p>
        <w:p w14:paraId="026D9B28" w14:textId="54C55D48" w:rsidR="00187062" w:rsidRDefault="000841E2">
          <w:pPr>
            <w:pStyle w:val="TOC1"/>
            <w:rPr>
              <w:rFonts w:eastAsiaTheme="minorEastAsia" w:cstheme="minorBidi"/>
              <w:bCs w:val="0"/>
              <w:noProof/>
              <w:sz w:val="22"/>
              <w:szCs w:val="22"/>
            </w:rPr>
          </w:pPr>
          <w:hyperlink w:anchor="_Toc7625304" w:history="1">
            <w:r w:rsidR="00187062" w:rsidRPr="007B462F">
              <w:rPr>
                <w:rStyle w:val="Hyperlink"/>
                <w:noProof/>
              </w:rPr>
              <w:t>3.</w:t>
            </w:r>
            <w:r w:rsidR="00187062">
              <w:rPr>
                <w:rFonts w:eastAsiaTheme="minorEastAsia" w:cstheme="minorBidi"/>
                <w:bCs w:val="0"/>
                <w:noProof/>
                <w:sz w:val="22"/>
                <w:szCs w:val="22"/>
              </w:rPr>
              <w:tab/>
            </w:r>
            <w:r w:rsidR="00187062" w:rsidRPr="007B462F">
              <w:rPr>
                <w:rStyle w:val="Hyperlink"/>
                <w:noProof/>
              </w:rPr>
              <w:t>Policy objectives of the disallowable instrument and the reasons for them</w:t>
            </w:r>
            <w:r w:rsidR="00187062">
              <w:rPr>
                <w:noProof/>
                <w:webHidden/>
              </w:rPr>
              <w:tab/>
            </w:r>
            <w:r w:rsidR="00187062">
              <w:rPr>
                <w:noProof/>
                <w:webHidden/>
              </w:rPr>
              <w:fldChar w:fldCharType="begin"/>
            </w:r>
            <w:r w:rsidR="00187062">
              <w:rPr>
                <w:noProof/>
                <w:webHidden/>
              </w:rPr>
              <w:instrText xml:space="preserve"> PAGEREF _Toc7625304 \h </w:instrText>
            </w:r>
            <w:r w:rsidR="00187062">
              <w:rPr>
                <w:noProof/>
                <w:webHidden/>
              </w:rPr>
            </w:r>
            <w:r w:rsidR="00187062">
              <w:rPr>
                <w:noProof/>
                <w:webHidden/>
              </w:rPr>
              <w:fldChar w:fldCharType="separate"/>
            </w:r>
            <w:r w:rsidR="00631DC2">
              <w:rPr>
                <w:noProof/>
                <w:webHidden/>
              </w:rPr>
              <w:t>4</w:t>
            </w:r>
            <w:r w:rsidR="00187062">
              <w:rPr>
                <w:noProof/>
                <w:webHidden/>
              </w:rPr>
              <w:fldChar w:fldCharType="end"/>
            </w:r>
          </w:hyperlink>
        </w:p>
        <w:p w14:paraId="41E5FA57" w14:textId="712130E6" w:rsidR="00187062" w:rsidRDefault="000841E2">
          <w:pPr>
            <w:pStyle w:val="TOC2"/>
            <w:rPr>
              <w:rFonts w:eastAsiaTheme="minorEastAsia" w:cstheme="minorBidi"/>
              <w:bCs w:val="0"/>
              <w:noProof/>
              <w:sz w:val="22"/>
              <w:szCs w:val="22"/>
            </w:rPr>
          </w:pPr>
          <w:hyperlink w:anchor="_Toc7625305" w:history="1">
            <w:r w:rsidR="00187062" w:rsidRPr="007B462F">
              <w:rPr>
                <w:rStyle w:val="Hyperlink"/>
                <w:noProof/>
              </w:rPr>
              <w:t>3.1 Impacts of rising energy prices on low income households</w:t>
            </w:r>
            <w:r w:rsidR="00187062">
              <w:rPr>
                <w:noProof/>
                <w:webHidden/>
              </w:rPr>
              <w:tab/>
            </w:r>
            <w:r w:rsidR="00187062">
              <w:rPr>
                <w:noProof/>
                <w:webHidden/>
              </w:rPr>
              <w:fldChar w:fldCharType="begin"/>
            </w:r>
            <w:r w:rsidR="00187062">
              <w:rPr>
                <w:noProof/>
                <w:webHidden/>
              </w:rPr>
              <w:instrText xml:space="preserve"> PAGEREF _Toc7625305 \h </w:instrText>
            </w:r>
            <w:r w:rsidR="00187062">
              <w:rPr>
                <w:noProof/>
                <w:webHidden/>
              </w:rPr>
            </w:r>
            <w:r w:rsidR="00187062">
              <w:rPr>
                <w:noProof/>
                <w:webHidden/>
              </w:rPr>
              <w:fldChar w:fldCharType="separate"/>
            </w:r>
            <w:r w:rsidR="00631DC2">
              <w:rPr>
                <w:noProof/>
                <w:webHidden/>
              </w:rPr>
              <w:t>8</w:t>
            </w:r>
            <w:r w:rsidR="00187062">
              <w:rPr>
                <w:noProof/>
                <w:webHidden/>
              </w:rPr>
              <w:fldChar w:fldCharType="end"/>
            </w:r>
          </w:hyperlink>
        </w:p>
        <w:p w14:paraId="2EC1A6EA" w14:textId="0742A133" w:rsidR="00187062" w:rsidRDefault="000841E2">
          <w:pPr>
            <w:pStyle w:val="TOC1"/>
            <w:rPr>
              <w:rFonts w:eastAsiaTheme="minorEastAsia" w:cstheme="minorBidi"/>
              <w:bCs w:val="0"/>
              <w:noProof/>
              <w:sz w:val="22"/>
              <w:szCs w:val="22"/>
            </w:rPr>
          </w:pPr>
          <w:hyperlink w:anchor="_Toc7625306" w:history="1">
            <w:r w:rsidR="00187062" w:rsidRPr="007B462F">
              <w:rPr>
                <w:rStyle w:val="Hyperlink"/>
                <w:noProof/>
              </w:rPr>
              <w:t>4.</w:t>
            </w:r>
            <w:r w:rsidR="00187062">
              <w:rPr>
                <w:rFonts w:eastAsiaTheme="minorEastAsia" w:cstheme="minorBidi"/>
                <w:bCs w:val="0"/>
                <w:noProof/>
                <w:sz w:val="22"/>
                <w:szCs w:val="22"/>
              </w:rPr>
              <w:tab/>
            </w:r>
            <w:r w:rsidR="00187062" w:rsidRPr="007B462F">
              <w:rPr>
                <w:rStyle w:val="Hyperlink"/>
                <w:noProof/>
              </w:rPr>
              <w:t>Achieving the policy objectives</w:t>
            </w:r>
            <w:r w:rsidR="00187062">
              <w:rPr>
                <w:noProof/>
                <w:webHidden/>
              </w:rPr>
              <w:tab/>
            </w:r>
            <w:r w:rsidR="00187062">
              <w:rPr>
                <w:noProof/>
                <w:webHidden/>
              </w:rPr>
              <w:fldChar w:fldCharType="begin"/>
            </w:r>
            <w:r w:rsidR="00187062">
              <w:rPr>
                <w:noProof/>
                <w:webHidden/>
              </w:rPr>
              <w:instrText xml:space="preserve"> PAGEREF _Toc7625306 \h </w:instrText>
            </w:r>
            <w:r w:rsidR="00187062">
              <w:rPr>
                <w:noProof/>
                <w:webHidden/>
              </w:rPr>
            </w:r>
            <w:r w:rsidR="00187062">
              <w:rPr>
                <w:noProof/>
                <w:webHidden/>
              </w:rPr>
              <w:fldChar w:fldCharType="separate"/>
            </w:r>
            <w:r w:rsidR="00631DC2">
              <w:rPr>
                <w:noProof/>
                <w:webHidden/>
              </w:rPr>
              <w:t>11</w:t>
            </w:r>
            <w:r w:rsidR="00187062">
              <w:rPr>
                <w:noProof/>
                <w:webHidden/>
              </w:rPr>
              <w:fldChar w:fldCharType="end"/>
            </w:r>
          </w:hyperlink>
        </w:p>
        <w:p w14:paraId="562D182D" w14:textId="718DF9B0" w:rsidR="00187062" w:rsidRDefault="000841E2">
          <w:pPr>
            <w:pStyle w:val="TOC1"/>
            <w:rPr>
              <w:rFonts w:eastAsiaTheme="minorEastAsia" w:cstheme="minorBidi"/>
              <w:bCs w:val="0"/>
              <w:noProof/>
              <w:sz w:val="22"/>
              <w:szCs w:val="22"/>
            </w:rPr>
          </w:pPr>
          <w:hyperlink w:anchor="_Toc7625307" w:history="1">
            <w:r w:rsidR="00187062" w:rsidRPr="007B462F">
              <w:rPr>
                <w:rStyle w:val="Hyperlink"/>
                <w:noProof/>
              </w:rPr>
              <w:t>5.</w:t>
            </w:r>
            <w:r w:rsidR="00187062">
              <w:rPr>
                <w:rFonts w:eastAsiaTheme="minorEastAsia" w:cstheme="minorBidi"/>
                <w:bCs w:val="0"/>
                <w:noProof/>
                <w:sz w:val="22"/>
                <w:szCs w:val="22"/>
              </w:rPr>
              <w:tab/>
            </w:r>
            <w:r w:rsidR="00187062" w:rsidRPr="007B462F">
              <w:rPr>
                <w:rStyle w:val="Hyperlink"/>
                <w:noProof/>
              </w:rPr>
              <w:t>Consultation</w:t>
            </w:r>
            <w:r w:rsidR="00187062">
              <w:rPr>
                <w:noProof/>
                <w:webHidden/>
              </w:rPr>
              <w:tab/>
            </w:r>
            <w:r w:rsidR="00187062">
              <w:rPr>
                <w:noProof/>
                <w:webHidden/>
              </w:rPr>
              <w:fldChar w:fldCharType="begin"/>
            </w:r>
            <w:r w:rsidR="00187062">
              <w:rPr>
                <w:noProof/>
                <w:webHidden/>
              </w:rPr>
              <w:instrText xml:space="preserve"> PAGEREF _Toc7625307 \h </w:instrText>
            </w:r>
            <w:r w:rsidR="00187062">
              <w:rPr>
                <w:noProof/>
                <w:webHidden/>
              </w:rPr>
            </w:r>
            <w:r w:rsidR="00187062">
              <w:rPr>
                <w:noProof/>
                <w:webHidden/>
              </w:rPr>
              <w:fldChar w:fldCharType="separate"/>
            </w:r>
            <w:r w:rsidR="00631DC2">
              <w:rPr>
                <w:noProof/>
                <w:webHidden/>
              </w:rPr>
              <w:t>13</w:t>
            </w:r>
            <w:r w:rsidR="00187062">
              <w:rPr>
                <w:noProof/>
                <w:webHidden/>
              </w:rPr>
              <w:fldChar w:fldCharType="end"/>
            </w:r>
          </w:hyperlink>
        </w:p>
        <w:p w14:paraId="1B0566E4" w14:textId="744BE114" w:rsidR="00187062" w:rsidRDefault="000841E2">
          <w:pPr>
            <w:pStyle w:val="TOC2"/>
            <w:tabs>
              <w:tab w:val="left" w:pos="1418"/>
            </w:tabs>
            <w:rPr>
              <w:rFonts w:eastAsiaTheme="minorEastAsia" w:cstheme="minorBidi"/>
              <w:bCs w:val="0"/>
              <w:noProof/>
              <w:sz w:val="22"/>
              <w:szCs w:val="22"/>
            </w:rPr>
          </w:pPr>
          <w:hyperlink w:anchor="_Toc7625308" w:history="1">
            <w:r w:rsidR="00187062" w:rsidRPr="007B462F">
              <w:rPr>
                <w:rStyle w:val="Hyperlink"/>
                <w:noProof/>
              </w:rPr>
              <w:t>5.1.</w:t>
            </w:r>
            <w:r w:rsidR="00187062">
              <w:rPr>
                <w:rFonts w:eastAsiaTheme="minorEastAsia" w:cstheme="minorBidi"/>
                <w:bCs w:val="0"/>
                <w:noProof/>
                <w:sz w:val="22"/>
                <w:szCs w:val="22"/>
              </w:rPr>
              <w:tab/>
            </w:r>
            <w:r w:rsidR="00187062" w:rsidRPr="007B462F">
              <w:rPr>
                <w:rStyle w:val="Hyperlink"/>
                <w:noProof/>
              </w:rPr>
              <w:t>Barriers to participation</w:t>
            </w:r>
            <w:r w:rsidR="00187062">
              <w:rPr>
                <w:noProof/>
                <w:webHidden/>
              </w:rPr>
              <w:tab/>
            </w:r>
            <w:r w:rsidR="00187062">
              <w:rPr>
                <w:noProof/>
                <w:webHidden/>
              </w:rPr>
              <w:fldChar w:fldCharType="begin"/>
            </w:r>
            <w:r w:rsidR="00187062">
              <w:rPr>
                <w:noProof/>
                <w:webHidden/>
              </w:rPr>
              <w:instrText xml:space="preserve"> PAGEREF _Toc7625308 \h </w:instrText>
            </w:r>
            <w:r w:rsidR="00187062">
              <w:rPr>
                <w:noProof/>
                <w:webHidden/>
              </w:rPr>
            </w:r>
            <w:r w:rsidR="00187062">
              <w:rPr>
                <w:noProof/>
                <w:webHidden/>
              </w:rPr>
              <w:fldChar w:fldCharType="separate"/>
            </w:r>
            <w:r w:rsidR="00631DC2">
              <w:rPr>
                <w:noProof/>
                <w:webHidden/>
              </w:rPr>
              <w:t>15</w:t>
            </w:r>
            <w:r w:rsidR="00187062">
              <w:rPr>
                <w:noProof/>
                <w:webHidden/>
              </w:rPr>
              <w:fldChar w:fldCharType="end"/>
            </w:r>
          </w:hyperlink>
        </w:p>
        <w:p w14:paraId="39490BED" w14:textId="2671E4A3" w:rsidR="00187062" w:rsidRDefault="000841E2">
          <w:pPr>
            <w:pStyle w:val="TOC2"/>
            <w:tabs>
              <w:tab w:val="left" w:pos="1418"/>
            </w:tabs>
            <w:rPr>
              <w:rFonts w:eastAsiaTheme="minorEastAsia" w:cstheme="minorBidi"/>
              <w:bCs w:val="0"/>
              <w:noProof/>
              <w:sz w:val="22"/>
              <w:szCs w:val="22"/>
            </w:rPr>
          </w:pPr>
          <w:hyperlink w:anchor="_Toc7625309" w:history="1">
            <w:r w:rsidR="00187062" w:rsidRPr="007B462F">
              <w:rPr>
                <w:rStyle w:val="Hyperlink"/>
                <w:noProof/>
              </w:rPr>
              <w:t>5.2.</w:t>
            </w:r>
            <w:r w:rsidR="00187062">
              <w:rPr>
                <w:rFonts w:eastAsiaTheme="minorEastAsia" w:cstheme="minorBidi"/>
                <w:bCs w:val="0"/>
                <w:noProof/>
                <w:sz w:val="22"/>
                <w:szCs w:val="22"/>
              </w:rPr>
              <w:tab/>
            </w:r>
            <w:r w:rsidR="00187062" w:rsidRPr="007B462F">
              <w:rPr>
                <w:rStyle w:val="Hyperlink"/>
                <w:noProof/>
              </w:rPr>
              <w:t>Increasing opportunities for priority households</w:t>
            </w:r>
            <w:r w:rsidR="00187062">
              <w:rPr>
                <w:noProof/>
                <w:webHidden/>
              </w:rPr>
              <w:tab/>
            </w:r>
            <w:r w:rsidR="00187062">
              <w:rPr>
                <w:noProof/>
                <w:webHidden/>
              </w:rPr>
              <w:fldChar w:fldCharType="begin"/>
            </w:r>
            <w:r w:rsidR="00187062">
              <w:rPr>
                <w:noProof/>
                <w:webHidden/>
              </w:rPr>
              <w:instrText xml:space="preserve"> PAGEREF _Toc7625309 \h </w:instrText>
            </w:r>
            <w:r w:rsidR="00187062">
              <w:rPr>
                <w:noProof/>
                <w:webHidden/>
              </w:rPr>
            </w:r>
            <w:r w:rsidR="00187062">
              <w:rPr>
                <w:noProof/>
                <w:webHidden/>
              </w:rPr>
              <w:fldChar w:fldCharType="separate"/>
            </w:r>
            <w:r w:rsidR="00631DC2">
              <w:rPr>
                <w:noProof/>
                <w:webHidden/>
              </w:rPr>
              <w:t>16</w:t>
            </w:r>
            <w:r w:rsidR="00187062">
              <w:rPr>
                <w:noProof/>
                <w:webHidden/>
              </w:rPr>
              <w:fldChar w:fldCharType="end"/>
            </w:r>
          </w:hyperlink>
        </w:p>
        <w:p w14:paraId="425B476F" w14:textId="70C7D8D1" w:rsidR="00187062" w:rsidRDefault="000841E2">
          <w:pPr>
            <w:pStyle w:val="TOC1"/>
            <w:rPr>
              <w:rFonts w:eastAsiaTheme="minorEastAsia" w:cstheme="minorBidi"/>
              <w:bCs w:val="0"/>
              <w:noProof/>
              <w:sz w:val="22"/>
              <w:szCs w:val="22"/>
            </w:rPr>
          </w:pPr>
          <w:hyperlink w:anchor="_Toc7625310" w:history="1">
            <w:r w:rsidR="00187062" w:rsidRPr="007B462F">
              <w:rPr>
                <w:rStyle w:val="Hyperlink"/>
                <w:noProof/>
              </w:rPr>
              <w:t>6.</w:t>
            </w:r>
            <w:r w:rsidR="00187062">
              <w:rPr>
                <w:rFonts w:eastAsiaTheme="minorEastAsia" w:cstheme="minorBidi"/>
                <w:bCs w:val="0"/>
                <w:noProof/>
                <w:sz w:val="22"/>
                <w:szCs w:val="22"/>
              </w:rPr>
              <w:tab/>
            </w:r>
            <w:r w:rsidR="00187062" w:rsidRPr="007B462F">
              <w:rPr>
                <w:rStyle w:val="Hyperlink"/>
                <w:noProof/>
              </w:rPr>
              <w:t>Consistency of the disallowable instrument with the authorising law</w:t>
            </w:r>
            <w:r w:rsidR="00187062">
              <w:rPr>
                <w:noProof/>
                <w:webHidden/>
              </w:rPr>
              <w:tab/>
            </w:r>
            <w:r w:rsidR="00187062">
              <w:rPr>
                <w:noProof/>
                <w:webHidden/>
              </w:rPr>
              <w:fldChar w:fldCharType="begin"/>
            </w:r>
            <w:r w:rsidR="00187062">
              <w:rPr>
                <w:noProof/>
                <w:webHidden/>
              </w:rPr>
              <w:instrText xml:space="preserve"> PAGEREF _Toc7625310 \h </w:instrText>
            </w:r>
            <w:r w:rsidR="00187062">
              <w:rPr>
                <w:noProof/>
                <w:webHidden/>
              </w:rPr>
            </w:r>
            <w:r w:rsidR="00187062">
              <w:rPr>
                <w:noProof/>
                <w:webHidden/>
              </w:rPr>
              <w:fldChar w:fldCharType="separate"/>
            </w:r>
            <w:r w:rsidR="00631DC2">
              <w:rPr>
                <w:noProof/>
                <w:webHidden/>
              </w:rPr>
              <w:t>18</w:t>
            </w:r>
            <w:r w:rsidR="00187062">
              <w:rPr>
                <w:noProof/>
                <w:webHidden/>
              </w:rPr>
              <w:fldChar w:fldCharType="end"/>
            </w:r>
          </w:hyperlink>
        </w:p>
        <w:p w14:paraId="42D039FA" w14:textId="4660F851" w:rsidR="00187062" w:rsidRDefault="000841E2">
          <w:pPr>
            <w:pStyle w:val="TOC1"/>
            <w:rPr>
              <w:rFonts w:eastAsiaTheme="minorEastAsia" w:cstheme="minorBidi"/>
              <w:bCs w:val="0"/>
              <w:noProof/>
              <w:sz w:val="22"/>
              <w:szCs w:val="22"/>
            </w:rPr>
          </w:pPr>
          <w:hyperlink w:anchor="_Toc7625311" w:history="1">
            <w:r w:rsidR="00187062" w:rsidRPr="007B462F">
              <w:rPr>
                <w:rStyle w:val="Hyperlink"/>
                <w:noProof/>
              </w:rPr>
              <w:t>7.</w:t>
            </w:r>
            <w:r w:rsidR="00187062">
              <w:rPr>
                <w:rFonts w:eastAsiaTheme="minorEastAsia" w:cstheme="minorBidi"/>
                <w:bCs w:val="0"/>
                <w:noProof/>
                <w:sz w:val="22"/>
                <w:szCs w:val="22"/>
              </w:rPr>
              <w:tab/>
            </w:r>
            <w:r w:rsidR="00187062" w:rsidRPr="007B462F">
              <w:rPr>
                <w:rStyle w:val="Hyperlink"/>
                <w:noProof/>
              </w:rPr>
              <w:t>The disallowable instrument is not inconsistent with the policy objectives of another Territory law</w:t>
            </w:r>
            <w:r w:rsidR="00187062">
              <w:rPr>
                <w:noProof/>
                <w:webHidden/>
              </w:rPr>
              <w:tab/>
            </w:r>
            <w:r w:rsidR="00187062">
              <w:rPr>
                <w:noProof/>
                <w:webHidden/>
              </w:rPr>
              <w:fldChar w:fldCharType="begin"/>
            </w:r>
            <w:r w:rsidR="00187062">
              <w:rPr>
                <w:noProof/>
                <w:webHidden/>
              </w:rPr>
              <w:instrText xml:space="preserve"> PAGEREF _Toc7625311 \h </w:instrText>
            </w:r>
            <w:r w:rsidR="00187062">
              <w:rPr>
                <w:noProof/>
                <w:webHidden/>
              </w:rPr>
            </w:r>
            <w:r w:rsidR="00187062">
              <w:rPr>
                <w:noProof/>
                <w:webHidden/>
              </w:rPr>
              <w:fldChar w:fldCharType="separate"/>
            </w:r>
            <w:r w:rsidR="00631DC2">
              <w:rPr>
                <w:noProof/>
                <w:webHidden/>
              </w:rPr>
              <w:t>18</w:t>
            </w:r>
            <w:r w:rsidR="00187062">
              <w:rPr>
                <w:noProof/>
                <w:webHidden/>
              </w:rPr>
              <w:fldChar w:fldCharType="end"/>
            </w:r>
          </w:hyperlink>
        </w:p>
        <w:p w14:paraId="494CFEB1" w14:textId="56AB6C3D" w:rsidR="00187062" w:rsidRDefault="000841E2">
          <w:pPr>
            <w:pStyle w:val="TOC1"/>
            <w:rPr>
              <w:rFonts w:eastAsiaTheme="minorEastAsia" w:cstheme="minorBidi"/>
              <w:bCs w:val="0"/>
              <w:noProof/>
              <w:sz w:val="22"/>
              <w:szCs w:val="22"/>
            </w:rPr>
          </w:pPr>
          <w:hyperlink w:anchor="_Toc7625312" w:history="1">
            <w:r w:rsidR="00187062" w:rsidRPr="007B462F">
              <w:rPr>
                <w:rStyle w:val="Hyperlink"/>
                <w:noProof/>
              </w:rPr>
              <w:t>8.</w:t>
            </w:r>
            <w:r w:rsidR="00187062">
              <w:rPr>
                <w:rFonts w:eastAsiaTheme="minorEastAsia" w:cstheme="minorBidi"/>
                <w:bCs w:val="0"/>
                <w:noProof/>
                <w:sz w:val="22"/>
                <w:szCs w:val="22"/>
              </w:rPr>
              <w:tab/>
            </w:r>
            <w:r w:rsidR="00187062" w:rsidRPr="007B462F">
              <w:rPr>
                <w:rStyle w:val="Hyperlink"/>
                <w:noProof/>
              </w:rPr>
              <w:t>Reasonable alternatives to the disallowable instrument</w:t>
            </w:r>
            <w:r w:rsidR="00187062">
              <w:rPr>
                <w:noProof/>
                <w:webHidden/>
              </w:rPr>
              <w:tab/>
            </w:r>
            <w:r w:rsidR="00187062">
              <w:rPr>
                <w:noProof/>
                <w:webHidden/>
              </w:rPr>
              <w:fldChar w:fldCharType="begin"/>
            </w:r>
            <w:r w:rsidR="00187062">
              <w:rPr>
                <w:noProof/>
                <w:webHidden/>
              </w:rPr>
              <w:instrText xml:space="preserve"> PAGEREF _Toc7625312 \h </w:instrText>
            </w:r>
            <w:r w:rsidR="00187062">
              <w:rPr>
                <w:noProof/>
                <w:webHidden/>
              </w:rPr>
            </w:r>
            <w:r w:rsidR="00187062">
              <w:rPr>
                <w:noProof/>
                <w:webHidden/>
              </w:rPr>
              <w:fldChar w:fldCharType="separate"/>
            </w:r>
            <w:r w:rsidR="00631DC2">
              <w:rPr>
                <w:noProof/>
                <w:webHidden/>
              </w:rPr>
              <w:t>18</w:t>
            </w:r>
            <w:r w:rsidR="00187062">
              <w:rPr>
                <w:noProof/>
                <w:webHidden/>
              </w:rPr>
              <w:fldChar w:fldCharType="end"/>
            </w:r>
          </w:hyperlink>
        </w:p>
        <w:p w14:paraId="29D3A218" w14:textId="6C2E0EAD" w:rsidR="00187062" w:rsidRDefault="000841E2">
          <w:pPr>
            <w:pStyle w:val="TOC1"/>
            <w:rPr>
              <w:rFonts w:eastAsiaTheme="minorEastAsia" w:cstheme="minorBidi"/>
              <w:bCs w:val="0"/>
              <w:noProof/>
              <w:sz w:val="22"/>
              <w:szCs w:val="22"/>
            </w:rPr>
          </w:pPr>
          <w:hyperlink w:anchor="_Toc7625313" w:history="1">
            <w:r w:rsidR="00187062" w:rsidRPr="007B462F">
              <w:rPr>
                <w:rStyle w:val="Hyperlink"/>
                <w:noProof/>
              </w:rPr>
              <w:t>9.</w:t>
            </w:r>
            <w:r w:rsidR="00187062">
              <w:rPr>
                <w:rFonts w:eastAsiaTheme="minorEastAsia" w:cstheme="minorBidi"/>
                <w:bCs w:val="0"/>
                <w:noProof/>
                <w:sz w:val="22"/>
                <w:szCs w:val="22"/>
              </w:rPr>
              <w:tab/>
            </w:r>
            <w:r w:rsidR="00187062" w:rsidRPr="007B462F">
              <w:rPr>
                <w:rStyle w:val="Hyperlink"/>
                <w:noProof/>
              </w:rPr>
              <w:t>Assessment of benefits and costs of the disallowable instrument</w:t>
            </w:r>
            <w:r w:rsidR="00187062">
              <w:rPr>
                <w:noProof/>
                <w:webHidden/>
              </w:rPr>
              <w:tab/>
            </w:r>
            <w:r w:rsidR="00187062">
              <w:rPr>
                <w:noProof/>
                <w:webHidden/>
              </w:rPr>
              <w:fldChar w:fldCharType="begin"/>
            </w:r>
            <w:r w:rsidR="00187062">
              <w:rPr>
                <w:noProof/>
                <w:webHidden/>
              </w:rPr>
              <w:instrText xml:space="preserve"> PAGEREF _Toc7625313 \h </w:instrText>
            </w:r>
            <w:r w:rsidR="00187062">
              <w:rPr>
                <w:noProof/>
                <w:webHidden/>
              </w:rPr>
            </w:r>
            <w:r w:rsidR="00187062">
              <w:rPr>
                <w:noProof/>
                <w:webHidden/>
              </w:rPr>
              <w:fldChar w:fldCharType="separate"/>
            </w:r>
            <w:r w:rsidR="00631DC2">
              <w:rPr>
                <w:noProof/>
                <w:webHidden/>
              </w:rPr>
              <w:t>19</w:t>
            </w:r>
            <w:r w:rsidR="00187062">
              <w:rPr>
                <w:noProof/>
                <w:webHidden/>
              </w:rPr>
              <w:fldChar w:fldCharType="end"/>
            </w:r>
          </w:hyperlink>
        </w:p>
        <w:p w14:paraId="36FE4BBC" w14:textId="7ED794E1" w:rsidR="00187062" w:rsidRDefault="000841E2">
          <w:pPr>
            <w:pStyle w:val="TOC1"/>
            <w:rPr>
              <w:rFonts w:eastAsiaTheme="minorEastAsia" w:cstheme="minorBidi"/>
              <w:bCs w:val="0"/>
              <w:noProof/>
              <w:sz w:val="22"/>
              <w:szCs w:val="22"/>
            </w:rPr>
          </w:pPr>
          <w:hyperlink w:anchor="_Toc7625314" w:history="1">
            <w:r w:rsidR="00187062" w:rsidRPr="007B462F">
              <w:rPr>
                <w:rStyle w:val="Hyperlink"/>
                <w:noProof/>
              </w:rPr>
              <w:t>10.</w:t>
            </w:r>
            <w:r w:rsidR="00187062">
              <w:rPr>
                <w:rFonts w:eastAsiaTheme="minorEastAsia" w:cstheme="minorBidi"/>
                <w:bCs w:val="0"/>
                <w:noProof/>
                <w:sz w:val="22"/>
                <w:szCs w:val="22"/>
              </w:rPr>
              <w:tab/>
            </w:r>
            <w:r w:rsidR="00187062" w:rsidRPr="007B462F">
              <w:rPr>
                <w:rStyle w:val="Hyperlink"/>
                <w:noProof/>
              </w:rPr>
              <w:t>Human Rights</w:t>
            </w:r>
            <w:r w:rsidR="00187062">
              <w:rPr>
                <w:noProof/>
                <w:webHidden/>
              </w:rPr>
              <w:tab/>
            </w:r>
            <w:r w:rsidR="00187062">
              <w:rPr>
                <w:noProof/>
                <w:webHidden/>
              </w:rPr>
              <w:fldChar w:fldCharType="begin"/>
            </w:r>
            <w:r w:rsidR="00187062">
              <w:rPr>
                <w:noProof/>
                <w:webHidden/>
              </w:rPr>
              <w:instrText xml:space="preserve"> PAGEREF _Toc7625314 \h </w:instrText>
            </w:r>
            <w:r w:rsidR="00187062">
              <w:rPr>
                <w:noProof/>
                <w:webHidden/>
              </w:rPr>
            </w:r>
            <w:r w:rsidR="00187062">
              <w:rPr>
                <w:noProof/>
                <w:webHidden/>
              </w:rPr>
              <w:fldChar w:fldCharType="separate"/>
            </w:r>
            <w:r w:rsidR="00631DC2">
              <w:rPr>
                <w:noProof/>
                <w:webHidden/>
              </w:rPr>
              <w:t>19</w:t>
            </w:r>
            <w:r w:rsidR="00187062">
              <w:rPr>
                <w:noProof/>
                <w:webHidden/>
              </w:rPr>
              <w:fldChar w:fldCharType="end"/>
            </w:r>
          </w:hyperlink>
        </w:p>
        <w:p w14:paraId="54AC3D0B" w14:textId="69512E9F" w:rsidR="00187062" w:rsidRDefault="000841E2">
          <w:pPr>
            <w:pStyle w:val="TOC1"/>
            <w:rPr>
              <w:rFonts w:eastAsiaTheme="minorEastAsia" w:cstheme="minorBidi"/>
              <w:bCs w:val="0"/>
              <w:noProof/>
              <w:sz w:val="22"/>
              <w:szCs w:val="22"/>
            </w:rPr>
          </w:pPr>
          <w:hyperlink w:anchor="_Toc7625315" w:history="1">
            <w:r w:rsidR="00187062" w:rsidRPr="007B462F">
              <w:rPr>
                <w:rStyle w:val="Hyperlink"/>
                <w:noProof/>
              </w:rPr>
              <w:t>11.</w:t>
            </w:r>
            <w:r w:rsidR="00187062">
              <w:rPr>
                <w:rFonts w:eastAsiaTheme="minorEastAsia" w:cstheme="minorBidi"/>
                <w:bCs w:val="0"/>
                <w:noProof/>
                <w:sz w:val="22"/>
                <w:szCs w:val="22"/>
              </w:rPr>
              <w:tab/>
            </w:r>
            <w:r w:rsidR="00187062" w:rsidRPr="007B462F">
              <w:rPr>
                <w:rStyle w:val="Hyperlink"/>
                <w:noProof/>
              </w:rPr>
              <w:t>Conclusion</w:t>
            </w:r>
            <w:r w:rsidR="00187062">
              <w:rPr>
                <w:noProof/>
                <w:webHidden/>
              </w:rPr>
              <w:tab/>
            </w:r>
            <w:r w:rsidR="00187062">
              <w:rPr>
                <w:noProof/>
                <w:webHidden/>
              </w:rPr>
              <w:fldChar w:fldCharType="begin"/>
            </w:r>
            <w:r w:rsidR="00187062">
              <w:rPr>
                <w:noProof/>
                <w:webHidden/>
              </w:rPr>
              <w:instrText xml:space="preserve"> PAGEREF _Toc7625315 \h </w:instrText>
            </w:r>
            <w:r w:rsidR="00187062">
              <w:rPr>
                <w:noProof/>
                <w:webHidden/>
              </w:rPr>
            </w:r>
            <w:r w:rsidR="00187062">
              <w:rPr>
                <w:noProof/>
                <w:webHidden/>
              </w:rPr>
              <w:fldChar w:fldCharType="separate"/>
            </w:r>
            <w:r w:rsidR="00631DC2">
              <w:rPr>
                <w:noProof/>
                <w:webHidden/>
              </w:rPr>
              <w:t>19</w:t>
            </w:r>
            <w:r w:rsidR="00187062">
              <w:rPr>
                <w:noProof/>
                <w:webHidden/>
              </w:rPr>
              <w:fldChar w:fldCharType="end"/>
            </w:r>
          </w:hyperlink>
        </w:p>
        <w:p w14:paraId="3E7EB4FE" w14:textId="7BE0C021" w:rsidR="00C3417F" w:rsidRPr="00280670" w:rsidRDefault="004E7E2C" w:rsidP="004D5C3A">
          <w:pPr>
            <w:pStyle w:val="TOC1"/>
            <w:rPr>
              <w:rFonts w:eastAsiaTheme="minorEastAsia" w:cstheme="minorBidi"/>
              <w:noProof/>
              <w:sz w:val="22"/>
              <w:szCs w:val="22"/>
            </w:rPr>
          </w:pPr>
          <w:r>
            <w:fldChar w:fldCharType="end"/>
          </w:r>
        </w:p>
      </w:sdtContent>
    </w:sdt>
    <w:p w14:paraId="1DF25888" w14:textId="77777777" w:rsidR="00CE3595" w:rsidRPr="009E5708" w:rsidRDefault="00CE3595" w:rsidP="009E5708">
      <w:pPr>
        <w:pStyle w:val="TableofFigures"/>
        <w:rPr>
          <w:rFonts w:asciiTheme="majorHAnsi" w:hAnsiTheme="majorHAnsi"/>
          <w:b/>
          <w:color w:val="1F497D" w:themeColor="text2"/>
          <w:sz w:val="28"/>
        </w:rPr>
      </w:pPr>
      <w:r w:rsidRPr="009E5708">
        <w:rPr>
          <w:rFonts w:asciiTheme="majorHAnsi" w:hAnsiTheme="majorHAnsi"/>
          <w:b/>
          <w:color w:val="1F497D" w:themeColor="text2"/>
          <w:sz w:val="28"/>
        </w:rPr>
        <w:t>List of tables</w:t>
      </w:r>
    </w:p>
    <w:p w14:paraId="65B99E53" w14:textId="5107F50C" w:rsidR="0032234A" w:rsidRDefault="004E7E2C">
      <w:pPr>
        <w:pStyle w:val="TableofFigures"/>
        <w:tabs>
          <w:tab w:val="right" w:leader="dot" w:pos="9016"/>
        </w:tabs>
        <w:rPr>
          <w:rFonts w:eastAsiaTheme="minorEastAsia" w:cstheme="minorBidi"/>
          <w:bCs w:val="0"/>
          <w:noProof/>
          <w:sz w:val="22"/>
          <w:szCs w:val="22"/>
        </w:rPr>
      </w:pPr>
      <w:r>
        <w:fldChar w:fldCharType="begin"/>
      </w:r>
      <w:r w:rsidR="00CE3595">
        <w:instrText xml:space="preserve"> TOC \h \z \c "Table" </w:instrText>
      </w:r>
      <w:r>
        <w:fldChar w:fldCharType="separate"/>
      </w:r>
      <w:hyperlink w:anchor="_Toc4575838" w:history="1">
        <w:r w:rsidR="0032234A" w:rsidRPr="008C3939">
          <w:rPr>
            <w:rStyle w:val="Hyperlink"/>
            <w:noProof/>
          </w:rPr>
          <w:t>Table 1 Gini coefficients for inequality of income and wealth</w:t>
        </w:r>
        <w:r w:rsidR="0032234A">
          <w:rPr>
            <w:noProof/>
            <w:webHidden/>
          </w:rPr>
          <w:tab/>
        </w:r>
        <w:r w:rsidR="0032234A">
          <w:rPr>
            <w:noProof/>
            <w:webHidden/>
          </w:rPr>
          <w:fldChar w:fldCharType="begin"/>
        </w:r>
        <w:r w:rsidR="0032234A">
          <w:rPr>
            <w:noProof/>
            <w:webHidden/>
          </w:rPr>
          <w:instrText xml:space="preserve"> PAGEREF _Toc4575838 \h </w:instrText>
        </w:r>
        <w:r w:rsidR="0032234A">
          <w:rPr>
            <w:noProof/>
            <w:webHidden/>
          </w:rPr>
        </w:r>
        <w:r w:rsidR="0032234A">
          <w:rPr>
            <w:noProof/>
            <w:webHidden/>
          </w:rPr>
          <w:fldChar w:fldCharType="separate"/>
        </w:r>
        <w:r w:rsidR="00631DC2">
          <w:rPr>
            <w:noProof/>
            <w:webHidden/>
          </w:rPr>
          <w:t>8</w:t>
        </w:r>
        <w:r w:rsidR="0032234A">
          <w:rPr>
            <w:noProof/>
            <w:webHidden/>
          </w:rPr>
          <w:fldChar w:fldCharType="end"/>
        </w:r>
      </w:hyperlink>
    </w:p>
    <w:p w14:paraId="1CFBB072" w14:textId="176E5921" w:rsidR="0032234A" w:rsidRDefault="000841E2">
      <w:pPr>
        <w:pStyle w:val="TableofFigures"/>
        <w:tabs>
          <w:tab w:val="right" w:leader="dot" w:pos="9016"/>
        </w:tabs>
        <w:rPr>
          <w:rFonts w:eastAsiaTheme="minorEastAsia" w:cstheme="minorBidi"/>
          <w:bCs w:val="0"/>
          <w:noProof/>
          <w:sz w:val="22"/>
          <w:szCs w:val="22"/>
        </w:rPr>
      </w:pPr>
      <w:hyperlink w:anchor="_Toc4575839" w:history="1">
        <w:r w:rsidR="0032234A" w:rsidRPr="008C3939">
          <w:rPr>
            <w:rStyle w:val="Hyperlink"/>
            <w:noProof/>
          </w:rPr>
          <w:t>Table 2 Achievement of the Priority Household Target</w:t>
        </w:r>
        <w:r w:rsidR="0032234A">
          <w:rPr>
            <w:noProof/>
            <w:webHidden/>
          </w:rPr>
          <w:tab/>
        </w:r>
        <w:r w:rsidR="0032234A">
          <w:rPr>
            <w:noProof/>
            <w:webHidden/>
          </w:rPr>
          <w:fldChar w:fldCharType="begin"/>
        </w:r>
        <w:r w:rsidR="0032234A">
          <w:rPr>
            <w:noProof/>
            <w:webHidden/>
          </w:rPr>
          <w:instrText xml:space="preserve"> PAGEREF _Toc4575839 \h </w:instrText>
        </w:r>
        <w:r w:rsidR="0032234A">
          <w:rPr>
            <w:noProof/>
            <w:webHidden/>
          </w:rPr>
        </w:r>
        <w:r w:rsidR="0032234A">
          <w:rPr>
            <w:noProof/>
            <w:webHidden/>
          </w:rPr>
          <w:fldChar w:fldCharType="separate"/>
        </w:r>
        <w:r w:rsidR="00631DC2">
          <w:rPr>
            <w:noProof/>
            <w:webHidden/>
          </w:rPr>
          <w:t>12</w:t>
        </w:r>
        <w:r w:rsidR="0032234A">
          <w:rPr>
            <w:noProof/>
            <w:webHidden/>
          </w:rPr>
          <w:fldChar w:fldCharType="end"/>
        </w:r>
      </w:hyperlink>
    </w:p>
    <w:p w14:paraId="7EACB42A" w14:textId="6FC78148" w:rsidR="0032234A" w:rsidRDefault="000841E2">
      <w:pPr>
        <w:pStyle w:val="TableofFigures"/>
        <w:tabs>
          <w:tab w:val="right" w:leader="dot" w:pos="9016"/>
        </w:tabs>
        <w:rPr>
          <w:rFonts w:eastAsiaTheme="minorEastAsia" w:cstheme="minorBidi"/>
          <w:bCs w:val="0"/>
          <w:noProof/>
          <w:sz w:val="22"/>
          <w:szCs w:val="22"/>
        </w:rPr>
      </w:pPr>
      <w:hyperlink w:anchor="_Toc4575840" w:history="1">
        <w:r w:rsidR="0032234A" w:rsidRPr="008C3939">
          <w:rPr>
            <w:rStyle w:val="Hyperlink"/>
            <w:noProof/>
          </w:rPr>
          <w:t>Table 3 Proposals for expanding the scope of eligible priority households beyond 2020</w:t>
        </w:r>
        <w:r w:rsidR="0032234A">
          <w:rPr>
            <w:noProof/>
            <w:webHidden/>
          </w:rPr>
          <w:tab/>
        </w:r>
        <w:r w:rsidR="0032234A">
          <w:rPr>
            <w:noProof/>
            <w:webHidden/>
          </w:rPr>
          <w:fldChar w:fldCharType="begin"/>
        </w:r>
        <w:r w:rsidR="0032234A">
          <w:rPr>
            <w:noProof/>
            <w:webHidden/>
          </w:rPr>
          <w:instrText xml:space="preserve"> PAGEREF _Toc4575840 \h </w:instrText>
        </w:r>
        <w:r w:rsidR="0032234A">
          <w:rPr>
            <w:noProof/>
            <w:webHidden/>
          </w:rPr>
        </w:r>
        <w:r w:rsidR="0032234A">
          <w:rPr>
            <w:noProof/>
            <w:webHidden/>
          </w:rPr>
          <w:fldChar w:fldCharType="separate"/>
        </w:r>
        <w:r w:rsidR="00631DC2">
          <w:rPr>
            <w:noProof/>
            <w:webHidden/>
          </w:rPr>
          <w:t>17</w:t>
        </w:r>
        <w:r w:rsidR="0032234A">
          <w:rPr>
            <w:noProof/>
            <w:webHidden/>
          </w:rPr>
          <w:fldChar w:fldCharType="end"/>
        </w:r>
      </w:hyperlink>
    </w:p>
    <w:p w14:paraId="217CF9EF" w14:textId="77777777" w:rsidR="00E04C86" w:rsidRDefault="004E7E2C" w:rsidP="009E5708">
      <w:pPr>
        <w:pStyle w:val="TableofFigures"/>
      </w:pPr>
      <w:r>
        <w:fldChar w:fldCharType="end"/>
      </w:r>
    </w:p>
    <w:p w14:paraId="528CF9D3" w14:textId="2E8CDBD7" w:rsidR="00B115BD" w:rsidRPr="009E5708" w:rsidRDefault="00B115BD" w:rsidP="009E5708">
      <w:pPr>
        <w:pStyle w:val="TableofFigures"/>
        <w:rPr>
          <w:rFonts w:asciiTheme="majorHAnsi" w:hAnsiTheme="majorHAnsi"/>
          <w:b/>
          <w:color w:val="1F497D" w:themeColor="text2"/>
          <w:sz w:val="28"/>
        </w:rPr>
      </w:pPr>
      <w:r w:rsidRPr="009E5708">
        <w:rPr>
          <w:rFonts w:asciiTheme="majorHAnsi" w:hAnsiTheme="majorHAnsi"/>
          <w:b/>
          <w:color w:val="1F497D" w:themeColor="text2"/>
          <w:sz w:val="28"/>
        </w:rPr>
        <w:t>List of Figures</w:t>
      </w:r>
    </w:p>
    <w:p w14:paraId="6732992D" w14:textId="0E462CA6" w:rsidR="00E939E2" w:rsidRDefault="004E7E2C">
      <w:pPr>
        <w:pStyle w:val="TableofFigures"/>
        <w:tabs>
          <w:tab w:val="right" w:leader="dot" w:pos="9016"/>
        </w:tabs>
        <w:rPr>
          <w:rFonts w:eastAsiaTheme="minorEastAsia" w:cstheme="minorBidi"/>
          <w:bCs w:val="0"/>
          <w:noProof/>
          <w:sz w:val="22"/>
          <w:szCs w:val="22"/>
        </w:rPr>
      </w:pPr>
      <w:r>
        <w:fldChar w:fldCharType="begin"/>
      </w:r>
      <w:r w:rsidR="00B115BD">
        <w:instrText xml:space="preserve"> TOC \h \z \c "Figure" </w:instrText>
      </w:r>
      <w:r>
        <w:fldChar w:fldCharType="separate"/>
      </w:r>
      <w:hyperlink w:anchor="_Toc519507886" w:history="1">
        <w:r w:rsidR="00E939E2" w:rsidRPr="004E6227">
          <w:rPr>
            <w:rStyle w:val="Hyperlink"/>
            <w:noProof/>
          </w:rPr>
          <w:t>Figure 1 Share of net worth and equivalised income, Australia, 2015-16</w:t>
        </w:r>
        <w:r w:rsidR="00E939E2">
          <w:rPr>
            <w:noProof/>
            <w:webHidden/>
          </w:rPr>
          <w:tab/>
        </w:r>
        <w:r w:rsidR="00E939E2">
          <w:rPr>
            <w:noProof/>
            <w:webHidden/>
          </w:rPr>
          <w:fldChar w:fldCharType="begin"/>
        </w:r>
        <w:r w:rsidR="00E939E2">
          <w:rPr>
            <w:noProof/>
            <w:webHidden/>
          </w:rPr>
          <w:instrText xml:space="preserve"> PAGEREF _Toc519507886 \h </w:instrText>
        </w:r>
        <w:r w:rsidR="00E939E2">
          <w:rPr>
            <w:noProof/>
            <w:webHidden/>
          </w:rPr>
        </w:r>
        <w:r w:rsidR="00E939E2">
          <w:rPr>
            <w:noProof/>
            <w:webHidden/>
          </w:rPr>
          <w:fldChar w:fldCharType="separate"/>
        </w:r>
        <w:r w:rsidR="00631DC2">
          <w:rPr>
            <w:noProof/>
            <w:webHidden/>
          </w:rPr>
          <w:t>7</w:t>
        </w:r>
        <w:r w:rsidR="00E939E2">
          <w:rPr>
            <w:noProof/>
            <w:webHidden/>
          </w:rPr>
          <w:fldChar w:fldCharType="end"/>
        </w:r>
      </w:hyperlink>
    </w:p>
    <w:p w14:paraId="1B2B5174" w14:textId="037803E4" w:rsidR="00E939E2" w:rsidRDefault="000841E2">
      <w:pPr>
        <w:pStyle w:val="TableofFigures"/>
        <w:tabs>
          <w:tab w:val="right" w:leader="dot" w:pos="9016"/>
        </w:tabs>
        <w:rPr>
          <w:rFonts w:eastAsiaTheme="minorEastAsia" w:cstheme="minorBidi"/>
          <w:bCs w:val="0"/>
          <w:noProof/>
          <w:sz w:val="22"/>
          <w:szCs w:val="22"/>
        </w:rPr>
      </w:pPr>
      <w:hyperlink w:anchor="_Toc519507887" w:history="1">
        <w:r w:rsidR="00E939E2" w:rsidRPr="004E6227">
          <w:rPr>
            <w:rStyle w:val="Hyperlink"/>
            <w:noProof/>
          </w:rPr>
          <w:t>Figure 2 Energy expenditure as a proportion of gross household weekly income</w:t>
        </w:r>
        <w:r w:rsidR="00E939E2">
          <w:rPr>
            <w:noProof/>
            <w:webHidden/>
          </w:rPr>
          <w:tab/>
        </w:r>
        <w:r w:rsidR="00E939E2">
          <w:rPr>
            <w:noProof/>
            <w:webHidden/>
          </w:rPr>
          <w:fldChar w:fldCharType="begin"/>
        </w:r>
        <w:r w:rsidR="00E939E2">
          <w:rPr>
            <w:noProof/>
            <w:webHidden/>
          </w:rPr>
          <w:instrText xml:space="preserve"> PAGEREF _Toc519507887 \h </w:instrText>
        </w:r>
        <w:r w:rsidR="00E939E2">
          <w:rPr>
            <w:noProof/>
            <w:webHidden/>
          </w:rPr>
        </w:r>
        <w:r w:rsidR="00E939E2">
          <w:rPr>
            <w:noProof/>
            <w:webHidden/>
          </w:rPr>
          <w:fldChar w:fldCharType="separate"/>
        </w:r>
        <w:r w:rsidR="00631DC2">
          <w:rPr>
            <w:noProof/>
            <w:webHidden/>
          </w:rPr>
          <w:t>9</w:t>
        </w:r>
        <w:r w:rsidR="00E939E2">
          <w:rPr>
            <w:noProof/>
            <w:webHidden/>
          </w:rPr>
          <w:fldChar w:fldCharType="end"/>
        </w:r>
      </w:hyperlink>
    </w:p>
    <w:p w14:paraId="67E09D83" w14:textId="7ED9DEE7" w:rsidR="00E939E2" w:rsidRDefault="000841E2">
      <w:pPr>
        <w:pStyle w:val="TableofFigures"/>
        <w:tabs>
          <w:tab w:val="right" w:leader="dot" w:pos="9016"/>
        </w:tabs>
        <w:rPr>
          <w:rStyle w:val="Hyperlink"/>
          <w:noProof/>
        </w:rPr>
      </w:pPr>
      <w:hyperlink w:anchor="_Toc519507888" w:history="1">
        <w:r w:rsidR="00E939E2" w:rsidRPr="004E6227">
          <w:rPr>
            <w:rStyle w:val="Hyperlink"/>
            <w:noProof/>
          </w:rPr>
          <w:t>Figure 3 Modelled average delivered mass market prices at major demand centres, Neutral case, 2016 in AUD/GJ</w:t>
        </w:r>
        <w:r w:rsidR="00E939E2">
          <w:rPr>
            <w:noProof/>
            <w:webHidden/>
          </w:rPr>
          <w:tab/>
        </w:r>
        <w:r w:rsidR="00E939E2">
          <w:rPr>
            <w:noProof/>
            <w:webHidden/>
          </w:rPr>
          <w:fldChar w:fldCharType="begin"/>
        </w:r>
        <w:r w:rsidR="00E939E2">
          <w:rPr>
            <w:noProof/>
            <w:webHidden/>
          </w:rPr>
          <w:instrText xml:space="preserve"> PAGEREF _Toc519507888 \h </w:instrText>
        </w:r>
        <w:r w:rsidR="00E939E2">
          <w:rPr>
            <w:noProof/>
            <w:webHidden/>
          </w:rPr>
        </w:r>
        <w:r w:rsidR="00E939E2">
          <w:rPr>
            <w:noProof/>
            <w:webHidden/>
          </w:rPr>
          <w:fldChar w:fldCharType="separate"/>
        </w:r>
        <w:r w:rsidR="00631DC2">
          <w:rPr>
            <w:noProof/>
            <w:webHidden/>
          </w:rPr>
          <w:t>10</w:t>
        </w:r>
        <w:r w:rsidR="00E939E2">
          <w:rPr>
            <w:noProof/>
            <w:webHidden/>
          </w:rPr>
          <w:fldChar w:fldCharType="end"/>
        </w:r>
      </w:hyperlink>
    </w:p>
    <w:p w14:paraId="7AA6B743" w14:textId="77777777" w:rsidR="0032234A" w:rsidRDefault="0032234A">
      <w:pPr>
        <w:autoSpaceDE/>
        <w:autoSpaceDN/>
        <w:adjustRightInd/>
        <w:spacing w:after="0" w:line="240" w:lineRule="auto"/>
        <w:rPr>
          <w:rFonts w:eastAsiaTheme="minorEastAsia"/>
          <w:noProof/>
        </w:rPr>
      </w:pPr>
    </w:p>
    <w:p w14:paraId="28AA6F3A" w14:textId="77777777" w:rsidR="0032234A" w:rsidRDefault="0032234A">
      <w:pPr>
        <w:autoSpaceDE/>
        <w:autoSpaceDN/>
        <w:adjustRightInd/>
        <w:spacing w:after="0" w:line="240" w:lineRule="auto"/>
        <w:rPr>
          <w:rFonts w:eastAsiaTheme="minorEastAsia"/>
          <w:noProof/>
        </w:rPr>
      </w:pPr>
    </w:p>
    <w:p w14:paraId="3426C924" w14:textId="77777777" w:rsidR="0032234A" w:rsidRDefault="0032234A">
      <w:pPr>
        <w:autoSpaceDE/>
        <w:autoSpaceDN/>
        <w:adjustRightInd/>
        <w:spacing w:after="0" w:line="240" w:lineRule="auto"/>
        <w:rPr>
          <w:rFonts w:eastAsiaTheme="minorEastAsia"/>
          <w:noProof/>
        </w:rPr>
      </w:pPr>
    </w:p>
    <w:p w14:paraId="3064D0FC" w14:textId="77777777" w:rsidR="0032234A" w:rsidRDefault="0032234A">
      <w:pPr>
        <w:autoSpaceDE/>
        <w:autoSpaceDN/>
        <w:adjustRightInd/>
        <w:spacing w:after="0" w:line="240" w:lineRule="auto"/>
        <w:rPr>
          <w:rFonts w:eastAsiaTheme="minorEastAsia"/>
          <w:noProof/>
        </w:rPr>
      </w:pPr>
    </w:p>
    <w:p w14:paraId="77FA1262" w14:textId="4EFF3A1A" w:rsidR="0032234A" w:rsidRDefault="00E939E2">
      <w:pPr>
        <w:autoSpaceDE/>
        <w:autoSpaceDN/>
        <w:adjustRightInd/>
        <w:spacing w:after="0" w:line="240" w:lineRule="auto"/>
        <w:rPr>
          <w:rFonts w:eastAsiaTheme="minorEastAsia"/>
          <w:noProof/>
        </w:rPr>
      </w:pPr>
      <w:r>
        <w:rPr>
          <w:rFonts w:eastAsiaTheme="minorEastAsia"/>
          <w:noProof/>
        </w:rPr>
        <w:br w:type="page"/>
      </w:r>
    </w:p>
    <w:p w14:paraId="0457AECF" w14:textId="7F798B68" w:rsidR="00780F66" w:rsidRDefault="004E7E2C" w:rsidP="00936FC2">
      <w:pPr>
        <w:pStyle w:val="Heading1"/>
        <w:numPr>
          <w:ilvl w:val="0"/>
          <w:numId w:val="6"/>
        </w:numPr>
      </w:pPr>
      <w:r>
        <w:lastRenderedPageBreak/>
        <w:fldChar w:fldCharType="end"/>
      </w:r>
      <w:bookmarkStart w:id="1" w:name="_Toc7625302"/>
      <w:r w:rsidR="00A7342D">
        <w:t>Executive Summary</w:t>
      </w:r>
      <w:bookmarkEnd w:id="1"/>
    </w:p>
    <w:p w14:paraId="32D9E8D5" w14:textId="29FD9D97" w:rsidR="00015782" w:rsidRDefault="005600E2" w:rsidP="009E5708">
      <w:r>
        <w:t xml:space="preserve">The </w:t>
      </w:r>
      <w:r w:rsidR="009F00AA" w:rsidRPr="00C43491">
        <w:rPr>
          <w:i/>
        </w:rPr>
        <w:t>Energy Efficiency (Cost of Living) Improvement Act 2012</w:t>
      </w:r>
      <w:r w:rsidR="008231E0">
        <w:rPr>
          <w:rStyle w:val="FootnoteReference"/>
          <w:i/>
        </w:rPr>
        <w:footnoteReference w:id="1"/>
      </w:r>
      <w:r>
        <w:rPr>
          <w:i/>
        </w:rPr>
        <w:t xml:space="preserve"> </w:t>
      </w:r>
      <w:r>
        <w:t>(the Act) establishes the Energy Efficiency Improvement Scheme (EEIS) which aims to encourage the efficient use of energy, reduce greenhouse gas emissions, reduce household and business energy use and costs, and increase opportunities for priority households to reduce energy use and costs. Priority households are Canberra’s lower income household</w:t>
      </w:r>
      <w:r w:rsidR="00E53B84">
        <w:t>s</w:t>
      </w:r>
      <w:r>
        <w:t xml:space="preserve">, defined as </w:t>
      </w:r>
      <w:r w:rsidR="00015782">
        <w:t>households</w:t>
      </w:r>
      <w:r>
        <w:t xml:space="preserve"> in which at least one resident holds an eligible concession card</w:t>
      </w:r>
      <w:r w:rsidR="008231E0">
        <w:t>, are experiencing financial hardship or are residents of priority dwellings</w:t>
      </w:r>
      <w:r>
        <w:t xml:space="preserve">. These households are most affected by energy price rises, but least able to invest in efficient items and thus reduce their energy demand. The Priority Household Target </w:t>
      </w:r>
      <w:r w:rsidR="00D00EDC">
        <w:t xml:space="preserve">(PHT) </w:t>
      </w:r>
      <w:r>
        <w:t xml:space="preserve">ensures that a proportion of </w:t>
      </w:r>
      <w:r w:rsidR="00015782">
        <w:t xml:space="preserve">EEIS </w:t>
      </w:r>
      <w:r>
        <w:t xml:space="preserve">savings </w:t>
      </w:r>
      <w:r w:rsidR="00015782">
        <w:t>are delivered in these priority households.</w:t>
      </w:r>
    </w:p>
    <w:p w14:paraId="4846C675" w14:textId="56761CE6" w:rsidR="007401A7" w:rsidRDefault="0058570B" w:rsidP="0058570B">
      <w:r w:rsidRPr="003544FF">
        <w:t>The PHT has been reviewed and set annually for previous compliance periods until 201</w:t>
      </w:r>
      <w:r w:rsidR="00CE3998">
        <w:t>9</w:t>
      </w:r>
      <w:r w:rsidRPr="003544FF">
        <w:t xml:space="preserve">. This Regulatory Impact Statement is prepared in accordance with Part 5.2 of the </w:t>
      </w:r>
      <w:r w:rsidRPr="003544FF">
        <w:rPr>
          <w:i/>
        </w:rPr>
        <w:t xml:space="preserve">Legislation Act 2001 </w:t>
      </w:r>
      <w:r w:rsidRPr="003544FF">
        <w:t xml:space="preserve">for establishing the PHT for 2020, as a disallowable instrument made under </w:t>
      </w:r>
      <w:r w:rsidR="008E43EC">
        <w:t>S</w:t>
      </w:r>
      <w:r w:rsidRPr="003544FF">
        <w:t>ection 8 of the Act.</w:t>
      </w:r>
    </w:p>
    <w:p w14:paraId="386880B4" w14:textId="08BC53B2" w:rsidR="007F0C3A" w:rsidRPr="003E4F5C" w:rsidRDefault="007F0C3A" w:rsidP="0058570B">
      <w:r>
        <w:t xml:space="preserve">The disallowable instrument sets the EEIS Priority Household Target (PHT) at </w:t>
      </w:r>
      <w:r w:rsidR="00C41A75">
        <w:t>30</w:t>
      </w:r>
      <w:r>
        <w:t xml:space="preserve"> per cent for 2020.</w:t>
      </w:r>
    </w:p>
    <w:p w14:paraId="6A3C9D3C" w14:textId="77777777" w:rsidR="0025653E" w:rsidRDefault="00170950" w:rsidP="00936FC2">
      <w:pPr>
        <w:pStyle w:val="Heading1"/>
        <w:numPr>
          <w:ilvl w:val="0"/>
          <w:numId w:val="6"/>
        </w:numPr>
      </w:pPr>
      <w:bookmarkStart w:id="2" w:name="_Toc7625303"/>
      <w:r>
        <w:t>The authorising law</w:t>
      </w:r>
      <w:bookmarkEnd w:id="2"/>
    </w:p>
    <w:p w14:paraId="32690607" w14:textId="461D17BE" w:rsidR="00735399" w:rsidRPr="000D4FA0" w:rsidRDefault="000450B6" w:rsidP="009E5708">
      <w:r w:rsidRPr="000D4FA0">
        <w:t xml:space="preserve">The Act was passed by the Legislative Assembly on 3 May 2012. </w:t>
      </w:r>
      <w:r w:rsidR="00D00EDC">
        <w:t xml:space="preserve">EEIS is </w:t>
      </w:r>
      <w:r w:rsidR="007A6B94" w:rsidRPr="000D4FA0">
        <w:t xml:space="preserve">a retailer energy efficiency </w:t>
      </w:r>
      <w:r w:rsidR="008231E0" w:rsidRPr="000D4FA0">
        <w:t xml:space="preserve">obligation </w:t>
      </w:r>
      <w:r w:rsidR="007A6B94" w:rsidRPr="000D4FA0">
        <w:t>scheme</w:t>
      </w:r>
      <w:r w:rsidR="00D00EDC">
        <w:t xml:space="preserve"> </w:t>
      </w:r>
      <w:r w:rsidR="008231E0">
        <w:t>currently legislated to run until</w:t>
      </w:r>
      <w:r w:rsidR="00D469FC" w:rsidRPr="000D4FA0">
        <w:rPr>
          <w:rFonts w:cs="Calibri"/>
        </w:rPr>
        <w:t xml:space="preserve"> </w:t>
      </w:r>
      <w:r w:rsidR="0094144B">
        <w:rPr>
          <w:rFonts w:cs="Calibri"/>
        </w:rPr>
        <w:t>31 December </w:t>
      </w:r>
      <w:r w:rsidR="00D469FC" w:rsidRPr="000D4FA0">
        <w:rPr>
          <w:rFonts w:cs="Calibri"/>
        </w:rPr>
        <w:t>2020.</w:t>
      </w:r>
      <w:r w:rsidR="00735399" w:rsidRPr="000D4FA0">
        <w:t xml:space="preserve"> </w:t>
      </w:r>
      <w:r w:rsidR="00DA1BC6">
        <w:t>I</w:t>
      </w:r>
      <w:r w:rsidR="00E2769F">
        <w:t>n 2018</w:t>
      </w:r>
      <w:r w:rsidR="00DA1BC6">
        <w:t>, the ACT Government decided to</w:t>
      </w:r>
      <w:r w:rsidR="00E2769F">
        <w:t xml:space="preserve"> extend the S</w:t>
      </w:r>
      <w:r w:rsidR="00CE3998">
        <w:t xml:space="preserve">cheme </w:t>
      </w:r>
      <w:r w:rsidR="00E2769F">
        <w:t>from 1 January 2021 until 31 December 2030</w:t>
      </w:r>
      <w:r w:rsidR="00CE3998">
        <w:t>.</w:t>
      </w:r>
    </w:p>
    <w:p w14:paraId="0219155C" w14:textId="2444A090" w:rsidR="004E4728" w:rsidRDefault="000D4FA0" w:rsidP="009E5708">
      <w:r>
        <w:t xml:space="preserve">The Act </w:t>
      </w:r>
      <w:r w:rsidR="000450B6" w:rsidRPr="000D4FA0">
        <w:t xml:space="preserve">establishes a Territory-wide Energy Savings Target (EST) which correlates to mandatory </w:t>
      </w:r>
      <w:r w:rsidR="008231E0">
        <w:t>greenhouse gas emission reduction</w:t>
      </w:r>
      <w:r w:rsidR="000450B6" w:rsidRPr="000D4FA0">
        <w:t xml:space="preserve"> obligations for individual electricity retailers based on their electricity sales in the ACT. </w:t>
      </w:r>
      <w:r>
        <w:t xml:space="preserve">The specific level of the EST, and other EEIS targets, are set by </w:t>
      </w:r>
      <w:r w:rsidR="00170950">
        <w:t>disallowable instrument</w:t>
      </w:r>
      <w:r>
        <w:t xml:space="preserve">s for each compliance period, defined as a calendar year. </w:t>
      </w:r>
    </w:p>
    <w:p w14:paraId="6CDA9DCC" w14:textId="2345C15C" w:rsidR="00C43491" w:rsidRDefault="004F57E1" w:rsidP="007D44CC">
      <w:r>
        <w:t>Section 8 of the Act requires t</w:t>
      </w:r>
      <w:r w:rsidR="000D4FA0" w:rsidRPr="00A678DD">
        <w:t xml:space="preserve">ier 1 retailers to achieve </w:t>
      </w:r>
      <w:r w:rsidR="00D10D00">
        <w:t xml:space="preserve">a </w:t>
      </w:r>
      <w:r w:rsidR="000D4FA0" w:rsidRPr="00A678DD">
        <w:t>PHT for the total reduction in greenhouse gas emissions achieved in priority households for each compliance period. The PHT is ex</w:t>
      </w:r>
      <w:r w:rsidR="00C858F9">
        <w:t>pressed as a percentage of the R</w:t>
      </w:r>
      <w:r w:rsidR="000D4FA0" w:rsidRPr="00A678DD">
        <w:t>etailer</w:t>
      </w:r>
      <w:r w:rsidR="00C858F9">
        <w:t xml:space="preserve"> Energy Savings O</w:t>
      </w:r>
      <w:r w:rsidR="000D4FA0" w:rsidRPr="00A678DD">
        <w:t xml:space="preserve">bligation </w:t>
      </w:r>
      <w:r w:rsidR="00C858F9">
        <w:t xml:space="preserve">(RESO) </w:t>
      </w:r>
      <w:r w:rsidR="000D4FA0" w:rsidRPr="00A678DD">
        <w:t xml:space="preserve">and </w:t>
      </w:r>
      <w:r>
        <w:t>t</w:t>
      </w:r>
      <w:r w:rsidR="000D4FA0" w:rsidRPr="00A678DD">
        <w:t xml:space="preserve">ier 1 retailers are obliged to achieve a proportion of their energy savings obligation in </w:t>
      </w:r>
      <w:r w:rsidR="0009521A">
        <w:t>low income</w:t>
      </w:r>
      <w:r w:rsidR="000D4FA0" w:rsidRPr="00A678DD">
        <w:t xml:space="preserve"> households. Section 8 provides for the determination of the PHT by </w:t>
      </w:r>
      <w:r w:rsidR="00170950">
        <w:t>d</w:t>
      </w:r>
      <w:r w:rsidR="000D4FA0" w:rsidRPr="00A678DD">
        <w:t xml:space="preserve">isallowable </w:t>
      </w:r>
      <w:r w:rsidR="00170950">
        <w:t>i</w:t>
      </w:r>
      <w:r w:rsidR="000D4FA0" w:rsidRPr="00A678DD">
        <w:t xml:space="preserve">nstrument. </w:t>
      </w:r>
    </w:p>
    <w:p w14:paraId="17552398" w14:textId="19E47B05" w:rsidR="007D44CC" w:rsidRDefault="007D44CC" w:rsidP="007D44CC">
      <w:r>
        <w:lastRenderedPageBreak/>
        <w:t xml:space="preserve">Section 15 establishes the PHT as a proportion of the total Retailer Energy Savings Obligation as follows: </w:t>
      </w:r>
    </w:p>
    <w:tbl>
      <w:tblPr>
        <w:tblStyle w:val="TableGrid"/>
        <w:tblW w:w="0" w:type="auto"/>
        <w:tblLook w:val="04A0" w:firstRow="1" w:lastRow="0" w:firstColumn="1" w:lastColumn="0" w:noHBand="0" w:noVBand="1"/>
      </w:tblPr>
      <w:tblGrid>
        <w:gridCol w:w="9016"/>
      </w:tblGrid>
      <w:tr w:rsidR="007D44CC" w14:paraId="083D5B28" w14:textId="77777777" w:rsidTr="00C61C89">
        <w:tc>
          <w:tcPr>
            <w:tcW w:w="9242" w:type="dxa"/>
          </w:tcPr>
          <w:p w14:paraId="38434867" w14:textId="2762ADC0" w:rsidR="007D44CC" w:rsidRDefault="007D44CC" w:rsidP="00C61C89">
            <w:r>
              <w:t>Priority Household Obligation</w:t>
            </w:r>
            <w:r w:rsidR="0009521A">
              <w:t xml:space="preserve"> </w:t>
            </w:r>
            <w:r>
              <w:t>=</w:t>
            </w:r>
            <w:r w:rsidR="0009521A">
              <w:t xml:space="preserve"> </w:t>
            </w:r>
            <w:r>
              <w:t>Retailer Energy Savings Obligation</w:t>
            </w:r>
            <w:r w:rsidR="0009521A">
              <w:t xml:space="preserve"> </w:t>
            </w:r>
            <w:r>
              <w:t>x</w:t>
            </w:r>
            <w:r w:rsidR="0009521A">
              <w:t xml:space="preserve"> </w:t>
            </w:r>
            <w:r>
              <w:t>PHT</w:t>
            </w:r>
          </w:p>
        </w:tc>
      </w:tr>
    </w:tbl>
    <w:p w14:paraId="24519613" w14:textId="7FF80B8F" w:rsidR="000D4FA0" w:rsidRPr="00E461D0" w:rsidRDefault="004F57E1" w:rsidP="009E5708">
      <w:r>
        <w:t>The Act requires t</w:t>
      </w:r>
      <w:r w:rsidR="000D4FA0" w:rsidRPr="00E461D0">
        <w:t>ier 1 retailers to achieve their EST by delivering eligible activities</w:t>
      </w:r>
      <w:r w:rsidR="002225C1" w:rsidRPr="00E461D0">
        <w:t>. Eligible activities</w:t>
      </w:r>
      <w:r w:rsidR="00E42142">
        <w:t xml:space="preserve"> are determined by the Minister and</w:t>
      </w:r>
      <w:r w:rsidR="002225C1" w:rsidRPr="00E461D0">
        <w:t xml:space="preserve"> </w:t>
      </w:r>
      <w:r w:rsidR="00E461D0" w:rsidRPr="00E461D0">
        <w:t xml:space="preserve">include installing energy efficient light globes, draught seals, efficient </w:t>
      </w:r>
      <w:r w:rsidR="00C858F9">
        <w:t xml:space="preserve">space heating and cooling systems, </w:t>
      </w:r>
      <w:r w:rsidR="00E461D0" w:rsidRPr="00E461D0">
        <w:t>water heaters a</w:t>
      </w:r>
      <w:r w:rsidR="00C858F9">
        <w:t>nd other items that save energy</w:t>
      </w:r>
      <w:r w:rsidR="00F37760">
        <w:t xml:space="preserve"> bills</w:t>
      </w:r>
      <w:r w:rsidR="00C858F9">
        <w:t xml:space="preserve"> and greenhouse gas emissions </w:t>
      </w:r>
      <w:r w:rsidR="00E461D0" w:rsidRPr="00E461D0">
        <w:t>while maintaining quality of life.</w:t>
      </w:r>
      <w:r w:rsidR="0009521A">
        <w:t xml:space="preserve"> </w:t>
      </w:r>
      <w:r>
        <w:t>Smaller, t</w:t>
      </w:r>
      <w:r w:rsidR="000D4FA0" w:rsidRPr="00E461D0">
        <w:t xml:space="preserve">ier 2 retailers can either deliver eligible activities or pay an </w:t>
      </w:r>
      <w:r w:rsidR="008E43EC">
        <w:t>E</w:t>
      </w:r>
      <w:r w:rsidR="000D4FA0" w:rsidRPr="00E461D0">
        <w:t xml:space="preserve">nergy Savings Contribution. ActewAGL Retail </w:t>
      </w:r>
      <w:r w:rsidR="0094144B" w:rsidRPr="00E461D0">
        <w:t xml:space="preserve">(ActewAGL) </w:t>
      </w:r>
      <w:r>
        <w:t>is currently the only tier 1 r</w:t>
      </w:r>
      <w:r w:rsidR="000D4FA0" w:rsidRPr="00E461D0">
        <w:t>etailer</w:t>
      </w:r>
      <w:r w:rsidR="000A56A5">
        <w:t xml:space="preserve"> in the ACT</w:t>
      </w:r>
      <w:r w:rsidR="000D4FA0" w:rsidRPr="00E461D0">
        <w:t xml:space="preserve">. </w:t>
      </w:r>
    </w:p>
    <w:p w14:paraId="68F725BA" w14:textId="71F9F086" w:rsidR="008F347A" w:rsidRDefault="000450B6" w:rsidP="009E5708">
      <w:pPr>
        <w:rPr>
          <w:i/>
        </w:rPr>
      </w:pPr>
      <w:r w:rsidRPr="000D4FA0">
        <w:t xml:space="preserve">This document outlines the costs and benefits associated with </w:t>
      </w:r>
      <w:r w:rsidR="007817E4">
        <w:t>determining</w:t>
      </w:r>
      <w:r w:rsidRPr="000D4FA0">
        <w:t xml:space="preserve"> </w:t>
      </w:r>
      <w:r w:rsidR="007817E4">
        <w:t>the PHT at</w:t>
      </w:r>
      <w:r w:rsidRPr="000D4FA0">
        <w:t xml:space="preserve"> </w:t>
      </w:r>
      <w:r w:rsidR="00C41A75">
        <w:t>30</w:t>
      </w:r>
      <w:r w:rsidR="007817E4">
        <w:t> </w:t>
      </w:r>
      <w:r w:rsidRPr="000D4FA0">
        <w:t xml:space="preserve">per cent for </w:t>
      </w:r>
      <w:r w:rsidR="003B7CA9" w:rsidRPr="003544FF">
        <w:t>2020</w:t>
      </w:r>
      <w:r w:rsidRPr="003544FF">
        <w:t xml:space="preserve"> </w:t>
      </w:r>
      <w:r w:rsidRPr="000D4FA0">
        <w:t xml:space="preserve">through the </w:t>
      </w:r>
      <w:r w:rsidR="00170950">
        <w:t>disallowable instrument</w:t>
      </w:r>
      <w:r w:rsidRPr="000D4FA0">
        <w:t xml:space="preserve"> </w:t>
      </w:r>
      <w:r w:rsidRPr="000D4FA0">
        <w:rPr>
          <w:i/>
        </w:rPr>
        <w:t xml:space="preserve">Energy Efficiency (Cost of Living) Improvement (Priority Household Target) Determination </w:t>
      </w:r>
      <w:r w:rsidR="00DA1BC6">
        <w:rPr>
          <w:i/>
        </w:rPr>
        <w:t>2019</w:t>
      </w:r>
      <w:r w:rsidRPr="000D4FA0">
        <w:rPr>
          <w:i/>
        </w:rPr>
        <w:t>.</w:t>
      </w:r>
      <w:r w:rsidR="00A678DD" w:rsidRPr="000D4FA0">
        <w:rPr>
          <w:i/>
        </w:rPr>
        <w:t xml:space="preserve"> </w:t>
      </w:r>
    </w:p>
    <w:p w14:paraId="6C6F2DB4" w14:textId="77777777" w:rsidR="0025653E" w:rsidRDefault="00E72595" w:rsidP="00936FC2">
      <w:pPr>
        <w:pStyle w:val="Heading1"/>
        <w:numPr>
          <w:ilvl w:val="0"/>
          <w:numId w:val="6"/>
        </w:numPr>
      </w:pPr>
      <w:bookmarkStart w:id="3" w:name="_Toc7625304"/>
      <w:r>
        <w:t xml:space="preserve">Policy objectives of the </w:t>
      </w:r>
      <w:r w:rsidR="00170950">
        <w:t>d</w:t>
      </w:r>
      <w:r w:rsidR="00C80BE6">
        <w:t xml:space="preserve">isallowable </w:t>
      </w:r>
      <w:r w:rsidR="00170950">
        <w:t xml:space="preserve">instrument </w:t>
      </w:r>
      <w:r>
        <w:t>and the reasons for them</w:t>
      </w:r>
      <w:bookmarkEnd w:id="3"/>
    </w:p>
    <w:p w14:paraId="00394A21" w14:textId="77777777" w:rsidR="00D35A96" w:rsidRDefault="00DF3451" w:rsidP="009E5708">
      <w:r>
        <w:t xml:space="preserve">The policy objective of the disallowable instrument is to achieve </w:t>
      </w:r>
      <w:r w:rsidR="0077140E">
        <w:t xml:space="preserve">one of </w:t>
      </w:r>
      <w:r>
        <w:t>the object</w:t>
      </w:r>
      <w:r w:rsidR="0077140E">
        <w:t>s</w:t>
      </w:r>
      <w:r>
        <w:t xml:space="preserve"> of the Act relating to priority households. </w:t>
      </w:r>
      <w:r w:rsidR="000D4FA0">
        <w:t xml:space="preserve">The </w:t>
      </w:r>
      <w:r w:rsidR="00C858F9">
        <w:t>o</w:t>
      </w:r>
      <w:r w:rsidR="000D4FA0">
        <w:t xml:space="preserve">bjects of the </w:t>
      </w:r>
      <w:r w:rsidR="00C858F9">
        <w:t>A</w:t>
      </w:r>
      <w:r w:rsidR="000D4FA0">
        <w:t xml:space="preserve">ct are established in </w:t>
      </w:r>
      <w:r w:rsidR="007A6B94">
        <w:t>s</w:t>
      </w:r>
      <w:r w:rsidR="000D4FA0">
        <w:t xml:space="preserve">ection 6. Object (d) is to </w:t>
      </w:r>
      <w:r w:rsidR="006C0F5C" w:rsidRPr="00A678DD">
        <w:t xml:space="preserve">“increase opportunities for priority households to reduce energy use and cost”. </w:t>
      </w:r>
      <w:r w:rsidR="000D4FA0">
        <w:t xml:space="preserve">This is consistent with the ACT </w:t>
      </w:r>
      <w:r w:rsidR="00B43162">
        <w:t xml:space="preserve">Government’s </w:t>
      </w:r>
      <w:r w:rsidR="000D4FA0">
        <w:t xml:space="preserve">strategic objective of </w:t>
      </w:r>
      <w:r w:rsidR="00D35A96">
        <w:t xml:space="preserve">helping households, businesses and schools to reduce </w:t>
      </w:r>
      <w:r w:rsidR="00652C8C">
        <w:t xml:space="preserve">emissions, </w:t>
      </w:r>
      <w:r w:rsidR="00D35A96">
        <w:t xml:space="preserve">energy and costs. </w:t>
      </w:r>
    </w:p>
    <w:p w14:paraId="30DD91A8" w14:textId="77777777" w:rsidR="006C0F5C" w:rsidRDefault="00D35A96" w:rsidP="009E5708">
      <w:r>
        <w:t xml:space="preserve">Priority </w:t>
      </w:r>
      <w:r w:rsidR="00170950">
        <w:t>h</w:t>
      </w:r>
      <w:r>
        <w:t xml:space="preserve">ouseholds are intended to </w:t>
      </w:r>
      <w:r w:rsidR="00DF3451">
        <w:t xml:space="preserve">be </w:t>
      </w:r>
      <w:r>
        <w:t xml:space="preserve">those lower income households who can benefit most from energy efficiency, but are least able to make improvements without additional assistance. Priority </w:t>
      </w:r>
      <w:r w:rsidR="00170950">
        <w:t>h</w:t>
      </w:r>
      <w:r>
        <w:t xml:space="preserve">ouseholds are defined in the Act’s dictionary as a residential premises in which one person who lives at the premises – </w:t>
      </w:r>
    </w:p>
    <w:p w14:paraId="3F29A051" w14:textId="77777777" w:rsidR="003B7CA9" w:rsidRDefault="003B7CA9" w:rsidP="003B7CA9">
      <w:pPr>
        <w:pStyle w:val="ListParagraph"/>
        <w:numPr>
          <w:ilvl w:val="0"/>
          <w:numId w:val="3"/>
        </w:numPr>
        <w:autoSpaceDE/>
        <w:autoSpaceDN/>
        <w:adjustRightInd/>
        <w:spacing w:before="120" w:after="120"/>
        <w:contextualSpacing w:val="0"/>
        <w:rPr>
          <w:bCs w:val="0"/>
        </w:rPr>
      </w:pPr>
      <w:r>
        <w:rPr>
          <w:bCs w:val="0"/>
        </w:rPr>
        <w:t>is a recipient of an ACT Government energy concession; or</w:t>
      </w:r>
    </w:p>
    <w:p w14:paraId="3AF813D3" w14:textId="77777777" w:rsidR="003B7CA9" w:rsidRDefault="003B7CA9" w:rsidP="003B7CA9">
      <w:pPr>
        <w:pStyle w:val="ListParagraph"/>
        <w:numPr>
          <w:ilvl w:val="0"/>
          <w:numId w:val="3"/>
        </w:numPr>
        <w:autoSpaceDE/>
        <w:autoSpaceDN/>
        <w:adjustRightInd/>
        <w:spacing w:before="120" w:after="120"/>
        <w:contextualSpacing w:val="0"/>
        <w:rPr>
          <w:bCs w:val="0"/>
        </w:rPr>
      </w:pPr>
      <w:r>
        <w:rPr>
          <w:bCs w:val="0"/>
        </w:rPr>
        <w:t xml:space="preserve">holds a Commonwealth pensioner concession card or health care card; or </w:t>
      </w:r>
    </w:p>
    <w:p w14:paraId="5A1D5BAB" w14:textId="15F9DFF5" w:rsidR="003B7CA9" w:rsidRDefault="003B7CA9" w:rsidP="003B7CA9">
      <w:pPr>
        <w:pStyle w:val="ListParagraph"/>
        <w:numPr>
          <w:ilvl w:val="0"/>
          <w:numId w:val="3"/>
        </w:numPr>
        <w:autoSpaceDE/>
        <w:autoSpaceDN/>
        <w:adjustRightInd/>
        <w:spacing w:before="120" w:after="120"/>
        <w:contextualSpacing w:val="0"/>
        <w:rPr>
          <w:bCs w:val="0"/>
        </w:rPr>
      </w:pPr>
      <w:r>
        <w:rPr>
          <w:bCs w:val="0"/>
        </w:rPr>
        <w:t>holds a Department of Veterans Affairs pensioner concession card, TPI gold repatriation health care card, war widows repatriation health care card or gold repatriation health care card</w:t>
      </w:r>
      <w:r w:rsidR="00DA1BC6">
        <w:rPr>
          <w:bCs w:val="0"/>
        </w:rPr>
        <w:t>; or</w:t>
      </w:r>
    </w:p>
    <w:p w14:paraId="3E205E8C" w14:textId="1A7328C8" w:rsidR="00DA1BC6" w:rsidRDefault="00DA1BC6" w:rsidP="003B7CA9">
      <w:pPr>
        <w:pStyle w:val="ListParagraph"/>
        <w:numPr>
          <w:ilvl w:val="0"/>
          <w:numId w:val="3"/>
        </w:numPr>
        <w:autoSpaceDE/>
        <w:autoSpaceDN/>
        <w:adjustRightInd/>
        <w:spacing w:before="120" w:after="120"/>
        <w:contextualSpacing w:val="0"/>
        <w:rPr>
          <w:bCs w:val="0"/>
        </w:rPr>
      </w:pPr>
      <w:r>
        <w:rPr>
          <w:bCs w:val="0"/>
        </w:rPr>
        <w:t>is within a class of people prescribed by regulation.</w:t>
      </w:r>
    </w:p>
    <w:p w14:paraId="33529D0B" w14:textId="14426E6E" w:rsidR="003B7CA9" w:rsidRPr="00F45AF4" w:rsidRDefault="008231E0" w:rsidP="003B7CA9">
      <w:pPr>
        <w:spacing w:before="120" w:after="120" w:line="240" w:lineRule="auto"/>
        <w:rPr>
          <w:rFonts w:cs="Times New Roman"/>
        </w:rPr>
      </w:pPr>
      <w:r>
        <w:rPr>
          <w:rFonts w:cs="Times New Roman"/>
        </w:rPr>
        <w:t xml:space="preserve">The </w:t>
      </w:r>
      <w:r w:rsidR="009F00AA" w:rsidRPr="007B7F02">
        <w:rPr>
          <w:i/>
        </w:rPr>
        <w:t>Energy Efficiency (Cost of Living) Improvement Regulation 2017</w:t>
      </w:r>
      <w:r>
        <w:rPr>
          <w:rStyle w:val="FootnoteReference"/>
          <w:rFonts w:cs="Times New Roman"/>
        </w:rPr>
        <w:footnoteReference w:id="2"/>
      </w:r>
      <w:r>
        <w:rPr>
          <w:rFonts w:cs="Times New Roman"/>
        </w:rPr>
        <w:t xml:space="preserve"> </w:t>
      </w:r>
      <w:r w:rsidR="00227C41">
        <w:rPr>
          <w:rFonts w:cs="Times New Roman"/>
        </w:rPr>
        <w:t>added</w:t>
      </w:r>
      <w:r w:rsidR="003B7CA9" w:rsidRPr="00F45AF4">
        <w:rPr>
          <w:rFonts w:cs="Times New Roman"/>
        </w:rPr>
        <w:t xml:space="preserve"> the following priority household classes:</w:t>
      </w:r>
    </w:p>
    <w:p w14:paraId="035F7462" w14:textId="2E1189BB" w:rsidR="003B7CA9" w:rsidRDefault="003B7CA9" w:rsidP="00936FC2">
      <w:pPr>
        <w:pStyle w:val="ListParagraph"/>
        <w:numPr>
          <w:ilvl w:val="0"/>
          <w:numId w:val="9"/>
        </w:numPr>
        <w:autoSpaceDE/>
        <w:autoSpaceDN/>
        <w:adjustRightInd/>
        <w:spacing w:before="120" w:after="120"/>
        <w:contextualSpacing w:val="0"/>
        <w:rPr>
          <w:bCs w:val="0"/>
        </w:rPr>
      </w:pPr>
      <w:r w:rsidRPr="00674E68">
        <w:t xml:space="preserve">Three additional </w:t>
      </w:r>
      <w:r w:rsidR="00DA1BC6">
        <w:t>C</w:t>
      </w:r>
      <w:r w:rsidRPr="00674E68">
        <w:t xml:space="preserve">ommonwealth concessions: </w:t>
      </w:r>
    </w:p>
    <w:p w14:paraId="00008EB9" w14:textId="71DD8899" w:rsidR="003B7CA9" w:rsidRPr="004E36F8" w:rsidRDefault="003B7CA9" w:rsidP="00936FC2">
      <w:pPr>
        <w:pStyle w:val="ListParagraph"/>
        <w:numPr>
          <w:ilvl w:val="1"/>
          <w:numId w:val="10"/>
        </w:numPr>
        <w:autoSpaceDE/>
        <w:autoSpaceDN/>
        <w:adjustRightInd/>
        <w:spacing w:before="120" w:after="120"/>
        <w:contextualSpacing w:val="0"/>
      </w:pPr>
      <w:r w:rsidRPr="004E36F8">
        <w:lastRenderedPageBreak/>
        <w:t>Seniors Health Card;</w:t>
      </w:r>
    </w:p>
    <w:p w14:paraId="30700EBF" w14:textId="77777777" w:rsidR="003B7CA9" w:rsidRPr="00674E68" w:rsidRDefault="003B7CA9" w:rsidP="00936FC2">
      <w:pPr>
        <w:pStyle w:val="ListParagraph"/>
        <w:numPr>
          <w:ilvl w:val="1"/>
          <w:numId w:val="10"/>
        </w:numPr>
        <w:autoSpaceDE/>
        <w:autoSpaceDN/>
        <w:adjustRightInd/>
        <w:spacing w:before="120" w:after="120"/>
        <w:contextualSpacing w:val="0"/>
      </w:pPr>
      <w:r w:rsidRPr="00674E68">
        <w:t>Low Income Health Care Card;</w:t>
      </w:r>
    </w:p>
    <w:p w14:paraId="55F2906D" w14:textId="77777777" w:rsidR="003B7CA9" w:rsidRPr="00674E68" w:rsidRDefault="003B7CA9" w:rsidP="00936FC2">
      <w:pPr>
        <w:pStyle w:val="ListParagraph"/>
        <w:numPr>
          <w:ilvl w:val="1"/>
          <w:numId w:val="10"/>
        </w:numPr>
        <w:autoSpaceDE/>
        <w:autoSpaceDN/>
        <w:adjustRightInd/>
        <w:spacing w:before="120" w:after="120"/>
        <w:contextualSpacing w:val="0"/>
      </w:pPr>
      <w:r w:rsidRPr="00674E68">
        <w:t>Disability Support Pension Card;</w:t>
      </w:r>
    </w:p>
    <w:p w14:paraId="559B8175" w14:textId="77777777" w:rsidR="003B7CA9" w:rsidRPr="00674E68" w:rsidRDefault="003B7CA9" w:rsidP="00936FC2">
      <w:pPr>
        <w:pStyle w:val="ListParagraph"/>
        <w:numPr>
          <w:ilvl w:val="0"/>
          <w:numId w:val="9"/>
        </w:numPr>
        <w:autoSpaceDE/>
        <w:autoSpaceDN/>
        <w:adjustRightInd/>
        <w:spacing w:before="120" w:after="120"/>
        <w:contextualSpacing w:val="0"/>
      </w:pPr>
      <w:r w:rsidRPr="00674E68">
        <w:t>Households accessing an approved financial hardship scheme of an energy retailer,</w:t>
      </w:r>
    </w:p>
    <w:p w14:paraId="49C259DE" w14:textId="60E80D00" w:rsidR="003B7CA9" w:rsidRPr="00674E68" w:rsidRDefault="003B7CA9" w:rsidP="00936FC2">
      <w:pPr>
        <w:pStyle w:val="ListParagraph"/>
        <w:numPr>
          <w:ilvl w:val="0"/>
          <w:numId w:val="9"/>
        </w:numPr>
        <w:autoSpaceDE/>
        <w:autoSpaceDN/>
        <w:adjustRightInd/>
        <w:spacing w:before="120" w:after="120"/>
        <w:contextualSpacing w:val="0"/>
      </w:pPr>
      <w:r w:rsidRPr="00674E68">
        <w:t>Households experiencing financial hardship and referred by a specified community</w:t>
      </w:r>
      <w:r w:rsidR="0009521A">
        <w:t xml:space="preserve"> </w:t>
      </w:r>
      <w:r w:rsidRPr="00674E68">
        <w:t>organisation or the Australian Capital Territory Civil and Administrative Tribunal (ACAT); and</w:t>
      </w:r>
    </w:p>
    <w:p w14:paraId="3FFE76DC" w14:textId="77777777" w:rsidR="003B7CA9" w:rsidRPr="00674E68" w:rsidRDefault="003B7CA9" w:rsidP="00936FC2">
      <w:pPr>
        <w:pStyle w:val="ListParagraph"/>
        <w:numPr>
          <w:ilvl w:val="0"/>
          <w:numId w:val="9"/>
        </w:numPr>
        <w:autoSpaceDE/>
        <w:autoSpaceDN/>
        <w:adjustRightInd/>
        <w:spacing w:before="120" w:after="120"/>
        <w:contextualSpacing w:val="0"/>
      </w:pPr>
      <w:r w:rsidRPr="00674E68">
        <w:t xml:space="preserve">Priority dwellings including: </w:t>
      </w:r>
    </w:p>
    <w:p w14:paraId="2022AE44" w14:textId="77777777" w:rsidR="003B7CA9" w:rsidRPr="00674E68" w:rsidRDefault="003B7CA9" w:rsidP="00936FC2">
      <w:pPr>
        <w:pStyle w:val="ListParagraph"/>
        <w:numPr>
          <w:ilvl w:val="0"/>
          <w:numId w:val="11"/>
        </w:numPr>
        <w:autoSpaceDE/>
        <w:autoSpaceDN/>
        <w:adjustRightInd/>
        <w:spacing w:before="120" w:after="120"/>
        <w:contextualSpacing w:val="0"/>
      </w:pPr>
      <w:r w:rsidRPr="00674E68">
        <w:t>Public housing properties managed by Housing ACT;</w:t>
      </w:r>
    </w:p>
    <w:p w14:paraId="6D842019" w14:textId="77777777" w:rsidR="003B7CA9" w:rsidRPr="00674E68" w:rsidRDefault="003B7CA9" w:rsidP="00936FC2">
      <w:pPr>
        <w:pStyle w:val="ListParagraph"/>
        <w:numPr>
          <w:ilvl w:val="0"/>
          <w:numId w:val="11"/>
        </w:numPr>
        <w:autoSpaceDE/>
        <w:autoSpaceDN/>
        <w:adjustRightInd/>
        <w:spacing w:before="120" w:after="120"/>
        <w:contextualSpacing w:val="0"/>
      </w:pPr>
      <w:r w:rsidRPr="00674E68">
        <w:t>Not-for-profit community housing facilities;</w:t>
      </w:r>
    </w:p>
    <w:p w14:paraId="00D03E2C" w14:textId="77777777" w:rsidR="003B7CA9" w:rsidRPr="00674E68" w:rsidRDefault="003B7CA9" w:rsidP="00936FC2">
      <w:pPr>
        <w:pStyle w:val="ListParagraph"/>
        <w:numPr>
          <w:ilvl w:val="0"/>
          <w:numId w:val="11"/>
        </w:numPr>
        <w:autoSpaceDE/>
        <w:autoSpaceDN/>
        <w:adjustRightInd/>
        <w:spacing w:before="120" w:after="120"/>
        <w:contextualSpacing w:val="0"/>
      </w:pPr>
      <w:r w:rsidRPr="00674E68">
        <w:t xml:space="preserve">Not-for-profit aged care housing facilities; and </w:t>
      </w:r>
    </w:p>
    <w:p w14:paraId="4FEDBE6D" w14:textId="77777777" w:rsidR="003B7CA9" w:rsidRPr="00674E68" w:rsidRDefault="003B7CA9" w:rsidP="00936FC2">
      <w:pPr>
        <w:pStyle w:val="ListParagraph"/>
        <w:numPr>
          <w:ilvl w:val="0"/>
          <w:numId w:val="11"/>
        </w:numPr>
        <w:autoSpaceDE/>
        <w:autoSpaceDN/>
        <w:adjustRightInd/>
        <w:spacing w:before="120" w:after="120"/>
        <w:contextualSpacing w:val="0"/>
      </w:pPr>
      <w:r w:rsidRPr="00674E68">
        <w:t>Not-for-profit disability housing facilities.</w:t>
      </w:r>
    </w:p>
    <w:p w14:paraId="6EAF4E63" w14:textId="3B5EA39B" w:rsidR="003A7794" w:rsidRDefault="003A7794" w:rsidP="00E044B5">
      <w:pPr>
        <w:spacing w:after="0"/>
      </w:pPr>
      <w:r>
        <w:t xml:space="preserve">The policy objective of providing benefits for low income households remains a key government priority. The PHT delivers on: </w:t>
      </w:r>
    </w:p>
    <w:p w14:paraId="565F1BC2" w14:textId="77777777" w:rsidR="003A7794" w:rsidRPr="009E5708" w:rsidRDefault="003A7794" w:rsidP="009E5708">
      <w:pPr>
        <w:pStyle w:val="ListParagraph"/>
      </w:pPr>
      <w:r w:rsidRPr="009E5708">
        <w:t>ACT government priorities</w:t>
      </w:r>
      <w:r w:rsidR="0077140E">
        <w:t>;</w:t>
      </w:r>
    </w:p>
    <w:p w14:paraId="19B8BB9E" w14:textId="77777777" w:rsidR="00242CA3" w:rsidRDefault="00242CA3" w:rsidP="003B7CA9">
      <w:pPr>
        <w:pStyle w:val="ListParagraph"/>
        <w:numPr>
          <w:ilvl w:val="1"/>
          <w:numId w:val="4"/>
        </w:numPr>
        <w:spacing w:after="120"/>
        <w:ind w:left="1434" w:hanging="357"/>
      </w:pPr>
      <w:r>
        <w:t>Helping reduce peak electricity and gas demand</w:t>
      </w:r>
      <w:r w:rsidR="0077140E">
        <w:t>,</w:t>
      </w:r>
    </w:p>
    <w:p w14:paraId="5F026394" w14:textId="77777777" w:rsidR="003A7794" w:rsidRPr="009E5708" w:rsidRDefault="003A7794" w:rsidP="003B7CA9">
      <w:pPr>
        <w:pStyle w:val="ListParagraph"/>
        <w:numPr>
          <w:ilvl w:val="1"/>
          <w:numId w:val="4"/>
        </w:numPr>
        <w:spacing w:after="120"/>
        <w:ind w:left="1434" w:hanging="357"/>
      </w:pPr>
      <w:r w:rsidRPr="009E5708">
        <w:t>Improving so</w:t>
      </w:r>
      <w:r w:rsidR="0077140E">
        <w:t>cial housing and affordability,</w:t>
      </w:r>
    </w:p>
    <w:p w14:paraId="79B31408" w14:textId="27AF72B7" w:rsidR="003A7794" w:rsidRPr="009E5708" w:rsidRDefault="003A7794" w:rsidP="003B7CA9">
      <w:pPr>
        <w:pStyle w:val="ListParagraph"/>
        <w:numPr>
          <w:ilvl w:val="1"/>
          <w:numId w:val="4"/>
        </w:numPr>
        <w:spacing w:after="120"/>
        <w:ind w:left="1434" w:hanging="357"/>
      </w:pPr>
      <w:r w:rsidRPr="009E5708">
        <w:t xml:space="preserve">Achieve net zero greenhouse gas </w:t>
      </w:r>
      <w:r w:rsidR="0077140E">
        <w:t>emissions by 20</w:t>
      </w:r>
      <w:r w:rsidR="00C43491">
        <w:t>45</w:t>
      </w:r>
      <w:r w:rsidR="0077140E">
        <w:t xml:space="preserve"> at the latest,</w:t>
      </w:r>
    </w:p>
    <w:p w14:paraId="66146CFE" w14:textId="77777777" w:rsidR="003A7794" w:rsidRDefault="003A7794" w:rsidP="003B7CA9">
      <w:pPr>
        <w:pStyle w:val="ListParagraph"/>
        <w:numPr>
          <w:ilvl w:val="1"/>
          <w:numId w:val="4"/>
        </w:numPr>
        <w:spacing w:after="120"/>
        <w:ind w:left="1434" w:hanging="357"/>
      </w:pPr>
      <w:r w:rsidRPr="009E5708">
        <w:t xml:space="preserve">Helping households to reduce </w:t>
      </w:r>
      <w:r w:rsidR="00652C8C" w:rsidRPr="009E5708">
        <w:t xml:space="preserve">emissions, </w:t>
      </w:r>
      <w:r w:rsidR="0077140E">
        <w:t>energy and costs,</w:t>
      </w:r>
    </w:p>
    <w:p w14:paraId="38A6304E" w14:textId="77777777" w:rsidR="00242CA3" w:rsidRDefault="00242CA3" w:rsidP="003B7CA9">
      <w:pPr>
        <w:pStyle w:val="ListParagraph"/>
        <w:numPr>
          <w:ilvl w:val="1"/>
          <w:numId w:val="4"/>
        </w:numPr>
        <w:spacing w:after="120"/>
        <w:ind w:left="1434" w:hanging="357"/>
      </w:pPr>
      <w:r>
        <w:t>Healthy and smart</w:t>
      </w:r>
      <w:r w:rsidR="0077140E">
        <w:t>, and</w:t>
      </w:r>
    </w:p>
    <w:p w14:paraId="5A97E69E" w14:textId="6D503579" w:rsidR="00274991" w:rsidRPr="009E5708" w:rsidRDefault="0077140E" w:rsidP="003B7CA9">
      <w:pPr>
        <w:pStyle w:val="ListParagraph"/>
        <w:numPr>
          <w:ilvl w:val="1"/>
          <w:numId w:val="4"/>
        </w:numPr>
        <w:spacing w:before="240" w:after="120"/>
        <w:ind w:left="1434" w:hanging="357"/>
      </w:pPr>
      <w:r>
        <w:t xml:space="preserve">Climate change </w:t>
      </w:r>
      <w:r w:rsidR="00C43491">
        <w:t xml:space="preserve">mitigation and </w:t>
      </w:r>
      <w:r>
        <w:t>adaptation.</w:t>
      </w:r>
    </w:p>
    <w:p w14:paraId="107723C7" w14:textId="77777777" w:rsidR="003A7794" w:rsidRPr="009E5708" w:rsidRDefault="00652C8C" w:rsidP="009E5708">
      <w:pPr>
        <w:pStyle w:val="ListParagraph"/>
      </w:pPr>
      <w:r w:rsidRPr="009E5708">
        <w:t xml:space="preserve">Current </w:t>
      </w:r>
      <w:r w:rsidR="00E53B84" w:rsidRPr="009E5708">
        <w:t xml:space="preserve">9th </w:t>
      </w:r>
      <w:r w:rsidR="003A7794" w:rsidRPr="009E5708">
        <w:t>Labor-Greens Parliamentary Agreement</w:t>
      </w:r>
      <w:r w:rsidR="0077140E">
        <w:t>;</w:t>
      </w:r>
    </w:p>
    <w:p w14:paraId="45A43DBE" w14:textId="77777777" w:rsidR="00D35A96" w:rsidRDefault="003A7794" w:rsidP="00A11803">
      <w:pPr>
        <w:pStyle w:val="ListParagraph"/>
        <w:numPr>
          <w:ilvl w:val="1"/>
          <w:numId w:val="4"/>
        </w:numPr>
      </w:pPr>
      <w:r w:rsidRPr="009E5708">
        <w:t>4.8, grow and diversify the not for profit community housing sector, through a combination of capital investment, land transfer and o</w:t>
      </w:r>
      <w:r w:rsidR="0077140E">
        <w:t>ther means, and</w:t>
      </w:r>
    </w:p>
    <w:p w14:paraId="48E1818F" w14:textId="77777777" w:rsidR="00242CA3" w:rsidRPr="009E5708" w:rsidRDefault="00242CA3" w:rsidP="003B7CA9">
      <w:pPr>
        <w:pStyle w:val="ListParagraph"/>
        <w:numPr>
          <w:ilvl w:val="1"/>
          <w:numId w:val="4"/>
        </w:numPr>
        <w:spacing w:after="240"/>
      </w:pPr>
      <w:r>
        <w:t>6.7 I</w:t>
      </w:r>
      <w:r w:rsidRPr="004D0912">
        <w:t>mplementing measures to improve energy efficiency of rental properties</w:t>
      </w:r>
      <w:r>
        <w:t>.</w:t>
      </w:r>
    </w:p>
    <w:p w14:paraId="7DB20B7C" w14:textId="561FCFF2" w:rsidR="00227C41" w:rsidRDefault="00227C41" w:rsidP="009E5708">
      <w:r>
        <w:t xml:space="preserve">The </w:t>
      </w:r>
      <w:r w:rsidR="008E43EC">
        <w:t xml:space="preserve">2018 </w:t>
      </w:r>
      <w:r>
        <w:t xml:space="preserve">independent </w:t>
      </w:r>
      <w:hyperlink r:id="rId9" w:history="1">
        <w:r w:rsidRPr="00C42722">
          <w:rPr>
            <w:rStyle w:val="Hyperlink"/>
          </w:rPr>
          <w:t>Review of the EEIS</w:t>
        </w:r>
        <w:r w:rsidR="00C42722">
          <w:rPr>
            <w:rStyle w:val="FootnoteReference"/>
            <w:color w:val="0044BB"/>
            <w:u w:val="single"/>
          </w:rPr>
          <w:footnoteReference w:id="3"/>
        </w:r>
        <w:r w:rsidRPr="00C42722">
          <w:rPr>
            <w:rStyle w:val="Hyperlink"/>
          </w:rPr>
          <w:t xml:space="preserve"> </w:t>
        </w:r>
      </w:hyperlink>
      <w:r>
        <w:t xml:space="preserve">confirmed that the priority household target is highly valued by scheme stakeholders. One of the recommendations from the </w:t>
      </w:r>
      <w:r w:rsidR="008E43EC">
        <w:t>r</w:t>
      </w:r>
      <w:r>
        <w:t xml:space="preserve">eview is that an extended scheme be focused on a single, primary objective. One </w:t>
      </w:r>
      <w:r w:rsidR="00C42722">
        <w:t>of the potential</w:t>
      </w:r>
      <w:r>
        <w:t xml:space="preserve"> </w:t>
      </w:r>
      <w:r w:rsidR="00C42722">
        <w:t xml:space="preserve">primary </w:t>
      </w:r>
      <w:r>
        <w:t>objective</w:t>
      </w:r>
      <w:r w:rsidR="00C42722">
        <w:t>s</w:t>
      </w:r>
      <w:r>
        <w:t xml:space="preserve"> is </w:t>
      </w:r>
      <w:r>
        <w:rPr>
          <w:i/>
        </w:rPr>
        <w:t>targeted bill savings</w:t>
      </w:r>
      <w:r>
        <w:t>, which would likely lead to an even higher ambition for priority energy users</w:t>
      </w:r>
      <w:r w:rsidR="00C42722">
        <w:t xml:space="preserve">. </w:t>
      </w:r>
    </w:p>
    <w:p w14:paraId="0E341522" w14:textId="77777777" w:rsidR="001F52AA" w:rsidRDefault="001F52AA" w:rsidP="009E5708">
      <w:r w:rsidRPr="00A678DD">
        <w:lastRenderedPageBreak/>
        <w:t xml:space="preserve">The PHT was </w:t>
      </w:r>
      <w:r w:rsidR="007A6B94">
        <w:t>determined</w:t>
      </w:r>
      <w:r w:rsidR="007A6B94" w:rsidRPr="00A678DD">
        <w:t xml:space="preserve"> </w:t>
      </w:r>
      <w:r w:rsidRPr="00A678DD">
        <w:t>at 25 per cent each year from 2013 to 2015. This level was above the estimated 20 per cent of households receiving energy concessions and/or holding a concession card in the ACT.</w:t>
      </w:r>
      <w:r w:rsidR="001A0854">
        <w:t xml:space="preserve"> </w:t>
      </w:r>
    </w:p>
    <w:p w14:paraId="0D6668CF" w14:textId="547772A0" w:rsidR="007401A7" w:rsidRDefault="005C0890" w:rsidP="009E5708">
      <w:r w:rsidRPr="00F740DD">
        <w:t>The</w:t>
      </w:r>
      <w:r w:rsidR="00E461D0" w:rsidRPr="00F740DD">
        <w:t xml:space="preserve"> </w:t>
      </w:r>
      <w:r w:rsidR="009F00AA" w:rsidRPr="007B7F02">
        <w:rPr>
          <w:i/>
        </w:rPr>
        <w:t>EEIS Extension Regulatory Impact Statement</w:t>
      </w:r>
      <w:r w:rsidR="00E461D0" w:rsidRPr="00F740DD">
        <w:rPr>
          <w:rStyle w:val="FootnoteReference"/>
        </w:rPr>
        <w:footnoteReference w:id="4"/>
      </w:r>
      <w:r w:rsidR="00280BCE" w:rsidRPr="00F740DD">
        <w:t xml:space="preserve"> </w:t>
      </w:r>
      <w:r w:rsidR="00E461D0" w:rsidRPr="00F740DD">
        <w:t xml:space="preserve">(the EEIS Extension RIS) </w:t>
      </w:r>
      <w:r w:rsidR="001F52AA" w:rsidRPr="00F740DD">
        <w:t>recommended the PHT be decreased in 2016 to 20 per cent</w:t>
      </w:r>
      <w:r w:rsidR="00F740DD" w:rsidRPr="00F740DD">
        <w:t>. This was b</w:t>
      </w:r>
      <w:r w:rsidR="00E461D0" w:rsidRPr="00F740DD">
        <w:t>ased on modelling results and consultation reported in the EEIS Review</w:t>
      </w:r>
      <w:r w:rsidR="00F740DD" w:rsidRPr="00F740DD">
        <w:t xml:space="preserve"> and aimed to balance the costs </w:t>
      </w:r>
      <w:r w:rsidR="009769AB">
        <w:t xml:space="preserve">that are passed through </w:t>
      </w:r>
      <w:r w:rsidR="00F740DD" w:rsidRPr="00F740DD">
        <w:t>to consumers while ensuring that priority households in the ACT continue to benefit from the EEIS</w:t>
      </w:r>
      <w:r w:rsidR="00E461D0" w:rsidRPr="00F740DD">
        <w:t xml:space="preserve"> (EEIS extension RIS p.20)</w:t>
      </w:r>
      <w:r w:rsidR="001F52AA" w:rsidRPr="00F740DD">
        <w:t xml:space="preserve">. </w:t>
      </w:r>
      <w:r w:rsidR="00F740DD" w:rsidRPr="00F740DD">
        <w:t xml:space="preserve">For the purposes of modelling, all household costs and savings assume a 20 per cent PHT for the period 2016 to 2020. </w:t>
      </w:r>
      <w:r w:rsidR="003B7CA9" w:rsidRPr="00BA6F8D">
        <w:t>From 2016 to 201</w:t>
      </w:r>
      <w:r w:rsidR="00B125E9">
        <w:t>9</w:t>
      </w:r>
      <w:r w:rsidR="003B7CA9" w:rsidRPr="00BA6F8D">
        <w:t>, the PHT was reviewed and set annually at 20</w:t>
      </w:r>
      <w:r w:rsidR="00EE1BFB">
        <w:t xml:space="preserve"> per cent</w:t>
      </w:r>
      <w:r w:rsidR="003B7CA9" w:rsidRPr="00BA6F8D">
        <w:t xml:space="preserve"> for each compliance period. </w:t>
      </w:r>
    </w:p>
    <w:p w14:paraId="28B0654E" w14:textId="1C8D3C0B" w:rsidR="005E5C1F" w:rsidRDefault="007401A7" w:rsidP="007B7F02">
      <w:pPr>
        <w:spacing w:after="0"/>
      </w:pPr>
      <w:r>
        <w:t xml:space="preserve">After consultation with stakeholders, the decision was made to increase the PHT for 2020 to </w:t>
      </w:r>
      <w:r w:rsidR="00C41A75">
        <w:t>30</w:t>
      </w:r>
      <w:r>
        <w:t xml:space="preserve"> per cent. This decision</w:t>
      </w:r>
      <w:r w:rsidR="00B125E9">
        <w:t xml:space="preserve"> </w:t>
      </w:r>
      <w:r w:rsidR="00891A74">
        <w:t xml:space="preserve">was based on </w:t>
      </w:r>
      <w:r w:rsidR="00F83CAC">
        <w:t>favourable</w:t>
      </w:r>
      <w:r w:rsidR="005E5C1F">
        <w:t xml:space="preserve"> conditions that set a promising scenario for delivering the EEIS in the next year:</w:t>
      </w:r>
    </w:p>
    <w:p w14:paraId="7320492A" w14:textId="323C3B5D" w:rsidR="00BA6F8D" w:rsidRDefault="00BA6F8D" w:rsidP="00936FC2">
      <w:pPr>
        <w:pStyle w:val="ListParagraph"/>
        <w:numPr>
          <w:ilvl w:val="0"/>
          <w:numId w:val="12"/>
        </w:numPr>
        <w:spacing w:after="120" w:line="240" w:lineRule="auto"/>
        <w:ind w:left="425" w:hanging="357"/>
        <w:contextualSpacing w:val="0"/>
      </w:pPr>
      <w:r w:rsidRPr="006002BD">
        <w:t>Consultation confirmed a consensus view that the PHT remains a valuable EEIS element and</w:t>
      </w:r>
      <w:r w:rsidR="00B125E9">
        <w:t xml:space="preserve"> the majority of</w:t>
      </w:r>
      <w:r w:rsidRPr="00003BED">
        <w:t xml:space="preserve"> stakeholders supported </w:t>
      </w:r>
      <w:r w:rsidR="00B125E9">
        <w:t>increasing the PHT;</w:t>
      </w:r>
    </w:p>
    <w:p w14:paraId="38A3C97E" w14:textId="5ACE423A" w:rsidR="00BA6F8D" w:rsidRDefault="003B069B" w:rsidP="00936FC2">
      <w:pPr>
        <w:pStyle w:val="ListParagraph"/>
        <w:numPr>
          <w:ilvl w:val="0"/>
          <w:numId w:val="12"/>
        </w:numPr>
        <w:spacing w:before="120" w:after="120" w:line="240" w:lineRule="auto"/>
        <w:ind w:left="425" w:hanging="357"/>
        <w:contextualSpacing w:val="0"/>
      </w:pPr>
      <w:r>
        <w:t xml:space="preserve">The only </w:t>
      </w:r>
      <w:r w:rsidR="00EA2710">
        <w:t>t</w:t>
      </w:r>
      <w:r>
        <w:t>ier 1 retailer</w:t>
      </w:r>
      <w:r w:rsidR="00BA6F8D">
        <w:t xml:space="preserve"> has met the PHT</w:t>
      </w:r>
      <w:r w:rsidR="005E5C1F">
        <w:t xml:space="preserve"> in</w:t>
      </w:r>
      <w:r w:rsidR="00BA6F8D">
        <w:t xml:space="preserve"> every compliance period since the EEIS started in 2013</w:t>
      </w:r>
      <w:r w:rsidR="005E5C1F">
        <w:t xml:space="preserve"> and </w:t>
      </w:r>
      <w:r w:rsidR="00B125E9">
        <w:t xml:space="preserve">is </w:t>
      </w:r>
      <w:r w:rsidR="00E2769F">
        <w:t xml:space="preserve">currently </w:t>
      </w:r>
      <w:r w:rsidR="00B125E9">
        <w:t>delivering</w:t>
      </w:r>
      <w:r w:rsidR="005E5C1F">
        <w:t xml:space="preserve"> heating and hot water activities</w:t>
      </w:r>
      <w:r w:rsidR="00BA6F8D">
        <w:t>;</w:t>
      </w:r>
    </w:p>
    <w:p w14:paraId="7E75BCB6" w14:textId="3F766EC5" w:rsidR="00BB2D1C" w:rsidRPr="009D3C98" w:rsidRDefault="00BB2D1C" w:rsidP="00936FC2">
      <w:pPr>
        <w:pStyle w:val="ListParagraph"/>
        <w:numPr>
          <w:ilvl w:val="0"/>
          <w:numId w:val="12"/>
        </w:numPr>
        <w:spacing w:before="120" w:after="120" w:line="240" w:lineRule="auto"/>
        <w:ind w:left="425" w:hanging="357"/>
        <w:contextualSpacing w:val="0"/>
      </w:pPr>
      <w:r w:rsidRPr="00BA6F8D">
        <w:t>S</w:t>
      </w:r>
      <w:r w:rsidRPr="00BA6F8D">
        <w:rPr>
          <w:bCs w:val="0"/>
        </w:rPr>
        <w:t xml:space="preserve">everal strategies </w:t>
      </w:r>
      <w:r w:rsidR="009F7710">
        <w:rPr>
          <w:bCs w:val="0"/>
        </w:rPr>
        <w:t>have been</w:t>
      </w:r>
      <w:r w:rsidRPr="00BA6F8D">
        <w:rPr>
          <w:bCs w:val="0"/>
        </w:rPr>
        <w:t xml:space="preserve"> implemented </w:t>
      </w:r>
      <w:r w:rsidRPr="00BA6F8D">
        <w:t xml:space="preserve">to enhance </w:t>
      </w:r>
      <w:r w:rsidR="003544FF">
        <w:t>opportunities</w:t>
      </w:r>
      <w:r w:rsidR="009D3C98">
        <w:t xml:space="preserve"> </w:t>
      </w:r>
      <w:r w:rsidRPr="00BA6F8D">
        <w:t>to achieve the PHT:</w:t>
      </w:r>
    </w:p>
    <w:p w14:paraId="05D59F70" w14:textId="77777777" w:rsidR="00BD5C7C" w:rsidRPr="00BA6F8D" w:rsidRDefault="00BD5C7C" w:rsidP="00936FC2">
      <w:pPr>
        <w:pStyle w:val="ListParagraph"/>
        <w:numPr>
          <w:ilvl w:val="1"/>
          <w:numId w:val="20"/>
        </w:numPr>
        <w:spacing w:before="120" w:after="120" w:line="240" w:lineRule="auto"/>
        <w:ind w:left="851"/>
        <w:contextualSpacing w:val="0"/>
        <w:rPr>
          <w:bCs w:val="0"/>
        </w:rPr>
      </w:pPr>
      <w:r w:rsidRPr="006002BD">
        <w:t>A regulation to expand the classes of priority households eligible for EEIS</w:t>
      </w:r>
      <w:r w:rsidR="00BA6F8D">
        <w:t>;</w:t>
      </w:r>
    </w:p>
    <w:p w14:paraId="4B7DDB9F" w14:textId="679CFDA4" w:rsidR="007401A7" w:rsidRDefault="007401A7" w:rsidP="00936FC2">
      <w:pPr>
        <w:pStyle w:val="ListParagraph"/>
        <w:numPr>
          <w:ilvl w:val="1"/>
          <w:numId w:val="20"/>
        </w:numPr>
        <w:spacing w:before="120" w:after="120" w:line="240" w:lineRule="auto"/>
        <w:ind w:left="851"/>
        <w:contextualSpacing w:val="0"/>
      </w:pPr>
      <w:r>
        <w:t>PHT delivery from 2018 until 2020 will be assisted by the</w:t>
      </w:r>
      <w:r w:rsidRPr="00B125E9">
        <w:t xml:space="preserve"> ACT Government invest</w:t>
      </w:r>
      <w:r>
        <w:t>ing</w:t>
      </w:r>
      <w:r w:rsidRPr="00B125E9">
        <w:t xml:space="preserve"> a further $7.0 million to improve energy efficiency in public housing which will be used to provide</w:t>
      </w:r>
      <w:r>
        <w:t xml:space="preserve"> </w:t>
      </w:r>
      <w:r w:rsidRPr="00B125E9">
        <w:t>approximately 2,200 highly efficient heaters and hot water units through the EEIS</w:t>
      </w:r>
      <w:r w:rsidR="006F5219">
        <w:t>;</w:t>
      </w:r>
      <w:r w:rsidR="005F34BA">
        <w:t xml:space="preserve"> and</w:t>
      </w:r>
    </w:p>
    <w:p w14:paraId="150A5C5D" w14:textId="56CB9DD9" w:rsidR="00B125E9" w:rsidRPr="006002BD" w:rsidRDefault="005E5C1F" w:rsidP="00936FC2">
      <w:pPr>
        <w:pStyle w:val="ListParagraph"/>
        <w:numPr>
          <w:ilvl w:val="1"/>
          <w:numId w:val="20"/>
        </w:numPr>
        <w:spacing w:before="120" w:after="120" w:line="240" w:lineRule="auto"/>
        <w:ind w:left="851"/>
        <w:contextualSpacing w:val="0"/>
      </w:pPr>
      <w:r w:rsidRPr="006002BD">
        <w:t>Collaboration with stakeholders to enhance referral pathways between the community sector, Actsmart, Actew</w:t>
      </w:r>
      <w:r>
        <w:t>AGL, Housing ACT, ACAT and EEIS</w:t>
      </w:r>
      <w:r w:rsidR="005F34BA">
        <w:t xml:space="preserve">; </w:t>
      </w:r>
    </w:p>
    <w:p w14:paraId="6E9CD9E6" w14:textId="75B3EECB" w:rsidR="00B125E9" w:rsidRDefault="00B125E9" w:rsidP="00936FC2">
      <w:pPr>
        <w:pStyle w:val="ListParagraph"/>
        <w:numPr>
          <w:ilvl w:val="1"/>
          <w:numId w:val="12"/>
        </w:numPr>
        <w:spacing w:after="200"/>
        <w:ind w:left="425" w:hanging="357"/>
      </w:pPr>
      <w:r>
        <w:t>The forecast abatement from priority households for 2019 and 2020 is higher than 25</w:t>
      </w:r>
      <w:r w:rsidR="007401A7">
        <w:t xml:space="preserve"> per cent (see Table 2).</w:t>
      </w:r>
    </w:p>
    <w:p w14:paraId="3191A3D0" w14:textId="032D0121" w:rsidR="00410D67" w:rsidRDefault="00410D67" w:rsidP="003E4F5C">
      <w:r>
        <w:t>Based on the forecast abatement from the ACT Government investment of funds into public housing, there are several impacts of not increasing the PHT in 2020. This includes:</w:t>
      </w:r>
    </w:p>
    <w:p w14:paraId="7090FDAA" w14:textId="3507E21D" w:rsidR="00410D67" w:rsidRDefault="00410D67" w:rsidP="00936FC2">
      <w:pPr>
        <w:pStyle w:val="ListParagraph"/>
        <w:numPr>
          <w:ilvl w:val="0"/>
          <w:numId w:val="19"/>
        </w:numPr>
        <w:ind w:left="426"/>
      </w:pPr>
      <w:r>
        <w:t>The risk that all priority households in 2020 will be from Housing ACT properties</w:t>
      </w:r>
      <w:r w:rsidR="00673728">
        <w:t xml:space="preserve"> and that other priority households will not be assisted through the EEIS</w:t>
      </w:r>
      <w:r>
        <w:t>; and</w:t>
      </w:r>
    </w:p>
    <w:p w14:paraId="008678EF" w14:textId="17CDB2B5" w:rsidR="00673728" w:rsidRDefault="009B640D" w:rsidP="00936FC2">
      <w:pPr>
        <w:pStyle w:val="ListParagraph"/>
        <w:numPr>
          <w:ilvl w:val="0"/>
          <w:numId w:val="19"/>
        </w:numPr>
        <w:ind w:left="426"/>
      </w:pPr>
      <w:r>
        <w:t>The s</w:t>
      </w:r>
      <w:r w:rsidR="00024C62">
        <w:t>urplus</w:t>
      </w:r>
      <w:r w:rsidR="00410D67">
        <w:t xml:space="preserve"> abatement </w:t>
      </w:r>
      <w:r>
        <w:t>reducing</w:t>
      </w:r>
      <w:r w:rsidR="00410D67">
        <w:t xml:space="preserve"> the</w:t>
      </w:r>
      <w:r w:rsidR="00673728">
        <w:t xml:space="preserve"> total abatement required from</w:t>
      </w:r>
      <w:r w:rsidR="00410D67">
        <w:t xml:space="preserve"> </w:t>
      </w:r>
      <w:r w:rsidR="00673728">
        <w:t xml:space="preserve">priority households in </w:t>
      </w:r>
      <w:r w:rsidR="00433A97">
        <w:t>subsequent years</w:t>
      </w:r>
      <w:r w:rsidR="00673728">
        <w:t xml:space="preserve">. The EEIS allows for surplus abatement from priority households to </w:t>
      </w:r>
      <w:r w:rsidR="00673728">
        <w:lastRenderedPageBreak/>
        <w:t xml:space="preserve">be carried into future years. As seen in Table 2, as a result of the carry-over surplus in 2013 and 2014, the proportion of the total abatement </w:t>
      </w:r>
      <w:r w:rsidR="00433A97">
        <w:t>from</w:t>
      </w:r>
      <w:r w:rsidR="00673728">
        <w:t xml:space="preserve"> priority households was less than the statutory target in each subsequent year. </w:t>
      </w:r>
    </w:p>
    <w:p w14:paraId="64D6262A" w14:textId="77777777" w:rsidR="00673728" w:rsidRDefault="00673728" w:rsidP="00673728">
      <w:pPr>
        <w:pStyle w:val="ListParagraph"/>
        <w:numPr>
          <w:ilvl w:val="0"/>
          <w:numId w:val="0"/>
        </w:numPr>
        <w:ind w:left="426"/>
      </w:pPr>
    </w:p>
    <w:p w14:paraId="6E6231E1" w14:textId="35CF9399" w:rsidR="00E93888" w:rsidRDefault="00DF03E3" w:rsidP="00433A97">
      <w:r>
        <w:t>Responses</w:t>
      </w:r>
      <w:r w:rsidRPr="00AE58E1">
        <w:t xml:space="preserve"> </w:t>
      </w:r>
      <w:r w:rsidR="00E93888" w:rsidRPr="00AE58E1">
        <w:t>received during consultation confirm the ongoing importance of the PHT policy objective.</w:t>
      </w:r>
      <w:r w:rsidR="00AE58E1">
        <w:t xml:space="preserve"> </w:t>
      </w:r>
      <w:r w:rsidR="00AE58E1" w:rsidRPr="00AE58E1">
        <w:t xml:space="preserve">Low income customers are the most likely to be living in housing that has poor energy efficiency and are either unable (as renters) or incapable (as </w:t>
      </w:r>
      <w:r w:rsidR="0009521A">
        <w:t>low</w:t>
      </w:r>
      <w:r w:rsidR="00EA2710">
        <w:t>-</w:t>
      </w:r>
      <w:r w:rsidR="0009521A">
        <w:t>income</w:t>
      </w:r>
      <w:r w:rsidR="00AE58E1" w:rsidRPr="00AE58E1">
        <w:t xml:space="preserve"> home owners) to make capital investments in their housing to reduce energy usage. </w:t>
      </w:r>
    </w:p>
    <w:p w14:paraId="70FD25A0" w14:textId="15426561" w:rsidR="00AE58E1" w:rsidRPr="00AE58E1" w:rsidRDefault="00AE58E1" w:rsidP="00AE58E1">
      <w:pPr>
        <w:pStyle w:val="Default"/>
        <w:spacing w:before="240" w:after="240" w:line="276" w:lineRule="auto"/>
      </w:pPr>
      <w:r w:rsidRPr="00AE58E1">
        <w:t>The National Centre for Social and Economic Modelling analysed data from the 2016 census and estimated the extent of poverty in the ACT. This research found that there were 34,543 people living in poverty (defined as less than $500/week income) in the ACT in 2015-16 (representing 9.2% of the total ACT population).</w:t>
      </w:r>
      <w:r w:rsidR="0009521A">
        <w:t xml:space="preserve"> </w:t>
      </w:r>
      <w:r w:rsidRPr="00AE58E1">
        <w:t xml:space="preserve">There were 8,897 children (representing 12.7% of the 0-14 age group) included in these figures. Older people, people living with disabilities, single parent families and Aboriginal and/or Torres Strait Islander people were over-represented in these figures. </w:t>
      </w:r>
    </w:p>
    <w:p w14:paraId="5ABEE0B9" w14:textId="48206DF0" w:rsidR="00EC081F" w:rsidRDefault="003A7794" w:rsidP="00F740DD">
      <w:pPr>
        <w:pStyle w:val="Default"/>
        <w:spacing w:before="240" w:after="240" w:line="276" w:lineRule="auto"/>
      </w:pPr>
      <w:r>
        <w:t xml:space="preserve">Data available from the </w:t>
      </w:r>
      <w:r w:rsidR="001A0854">
        <w:t xml:space="preserve">Australian Bureau of Statistics (ABS) </w:t>
      </w:r>
      <w:r>
        <w:t xml:space="preserve">confirm </w:t>
      </w:r>
      <w:r w:rsidR="001A0854">
        <w:t xml:space="preserve">the ongoing importance of the PHT policy objective. </w:t>
      </w:r>
      <w:r w:rsidR="00EC081F">
        <w:t>Figure 1 is from a</w:t>
      </w:r>
      <w:r w:rsidR="001A0854">
        <w:t xml:space="preserve"> 201</w:t>
      </w:r>
      <w:r w:rsidR="00F95E55">
        <w:t>7</w:t>
      </w:r>
      <w:r w:rsidR="001A0854">
        <w:t xml:space="preserve"> ABS article on Income and Wealth Distribution</w:t>
      </w:r>
      <w:r w:rsidR="00045232">
        <w:rPr>
          <w:rStyle w:val="FootnoteReference"/>
        </w:rPr>
        <w:footnoteReference w:id="5"/>
      </w:r>
      <w:r w:rsidR="001A0854">
        <w:t xml:space="preserve"> </w:t>
      </w:r>
      <w:r w:rsidR="00EC081F">
        <w:t xml:space="preserve">and </w:t>
      </w:r>
      <w:r w:rsidR="001A0854">
        <w:t xml:space="preserve">shows that households with the lowest 20 per cent of wealth own less than one per cent of all Australian household wealth. </w:t>
      </w:r>
      <w:r w:rsidR="00513CDE">
        <w:t>The graph also shows the</w:t>
      </w:r>
      <w:r w:rsidR="00045232">
        <w:t xml:space="preserve"> strong correlations between households with low income and those with low wealth</w:t>
      </w:r>
      <w:r w:rsidR="00513CDE">
        <w:t>, and the relative disadvantage of Australia’s poorest 20 per cent</w:t>
      </w:r>
      <w:r w:rsidR="00045232">
        <w:t xml:space="preserve">. </w:t>
      </w:r>
    </w:p>
    <w:p w14:paraId="67BFF046" w14:textId="70F580DD" w:rsidR="00EC081F" w:rsidRDefault="00EC081F" w:rsidP="00BD77A9">
      <w:pPr>
        <w:pStyle w:val="Caption"/>
        <w:keepNext/>
      </w:pPr>
      <w:bookmarkStart w:id="4" w:name="_Toc519507886"/>
      <w:r>
        <w:t xml:space="preserve">Figure </w:t>
      </w:r>
      <w:r w:rsidR="004E7E2C">
        <w:fldChar w:fldCharType="begin"/>
      </w:r>
      <w:r w:rsidR="007F7798">
        <w:instrText xml:space="preserve"> SEQ Figure \* ARABIC </w:instrText>
      </w:r>
      <w:r w:rsidR="004E7E2C">
        <w:fldChar w:fldCharType="separate"/>
      </w:r>
      <w:r w:rsidR="00113613">
        <w:rPr>
          <w:noProof/>
        </w:rPr>
        <w:t>1</w:t>
      </w:r>
      <w:r w:rsidR="004E7E2C">
        <w:rPr>
          <w:noProof/>
        </w:rPr>
        <w:fldChar w:fldCharType="end"/>
      </w:r>
      <w:r>
        <w:t xml:space="preserve"> Share of net worth and equivalised income, Australia, 201</w:t>
      </w:r>
      <w:r w:rsidR="00F83CAC">
        <w:t>5</w:t>
      </w:r>
      <w:r>
        <w:t>-1</w:t>
      </w:r>
      <w:r w:rsidR="00F83CAC">
        <w:t>6</w:t>
      </w:r>
      <w:bookmarkEnd w:id="4"/>
      <w:r w:rsidR="003E4F5C">
        <w:rPr>
          <w:rStyle w:val="FootnoteReference"/>
        </w:rPr>
        <w:t>5</w:t>
      </w:r>
    </w:p>
    <w:p w14:paraId="4716D297" w14:textId="64D99BFE" w:rsidR="00F83CAC" w:rsidRDefault="00F83CAC" w:rsidP="00F740DD">
      <w:pPr>
        <w:pStyle w:val="Default"/>
        <w:spacing w:before="240" w:after="240" w:line="276" w:lineRule="auto"/>
      </w:pPr>
      <w:r>
        <w:rPr>
          <w:noProof/>
        </w:rPr>
        <w:drawing>
          <wp:inline distT="0" distB="0" distL="0" distR="0" wp14:anchorId="3745DFA4" wp14:editId="70DABA5F">
            <wp:extent cx="5007239" cy="2381250"/>
            <wp:effectExtent l="0" t="0" r="3175" b="0"/>
            <wp:docPr id="6" name="Picture 6" descr="Graph - Share of equivalised disposable household income and household net worth by quintile for Australia 20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 Share of equivalised disposable household income and household net worth by quintile for Australia 2015-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5437" cy="2408927"/>
                    </a:xfrm>
                    <a:prstGeom prst="rect">
                      <a:avLst/>
                    </a:prstGeom>
                    <a:noFill/>
                    <a:ln>
                      <a:noFill/>
                    </a:ln>
                  </pic:spPr>
                </pic:pic>
              </a:graphicData>
            </a:graphic>
          </wp:inline>
        </w:drawing>
      </w:r>
      <w:r>
        <w:br/>
      </w:r>
    </w:p>
    <w:p w14:paraId="23C0EF58" w14:textId="298F6F2F" w:rsidR="00F740DD" w:rsidRDefault="001A0854" w:rsidP="00F740DD">
      <w:pPr>
        <w:pStyle w:val="Default"/>
        <w:spacing w:before="240" w:after="240" w:line="276" w:lineRule="auto"/>
      </w:pPr>
      <w:r>
        <w:lastRenderedPageBreak/>
        <w:t>The relative poverty of</w:t>
      </w:r>
      <w:r w:rsidR="00B42701">
        <w:t xml:space="preserve"> Australia’s poorest people</w:t>
      </w:r>
      <w:r w:rsidR="007C68D1">
        <w:t xml:space="preserve"> deteriorated during 2013-2014 and showed a slight improvement in 2015-2016, going back to 2011-2012 levels</w:t>
      </w:r>
      <w:r w:rsidR="00AB4F3B">
        <w:t xml:space="preserve"> (Table 1)</w:t>
      </w:r>
      <w:r w:rsidR="007C68D1">
        <w:t xml:space="preserve">. </w:t>
      </w:r>
      <w:r w:rsidR="00045232">
        <w:t xml:space="preserve">This is measured by the Gini coefficient whose range is between zero and one, with zero meaning perfect equality and one complete inequality. </w:t>
      </w:r>
      <w:r w:rsidR="007C68D1">
        <w:t>I</w:t>
      </w:r>
      <w:r w:rsidR="00F95E55">
        <w:t>t</w:t>
      </w:r>
      <w:r w:rsidR="007C68D1">
        <w:t xml:space="preserve"> i</w:t>
      </w:r>
      <w:r w:rsidR="00F95E55">
        <w:t xml:space="preserve">s worth noting the difference between the </w:t>
      </w:r>
      <w:r w:rsidR="007C68D1">
        <w:t>income and w</w:t>
      </w:r>
      <w:r w:rsidR="00F95E55">
        <w:t xml:space="preserve">ealth coefficients, </w:t>
      </w:r>
      <w:r w:rsidR="007C68D1">
        <w:t xml:space="preserve">which shows </w:t>
      </w:r>
      <w:r w:rsidR="00F95E55">
        <w:t>greater inequality in the distribution of wealth.</w:t>
      </w:r>
    </w:p>
    <w:p w14:paraId="3BAAC355" w14:textId="28C47D1B" w:rsidR="00045232" w:rsidRDefault="00045232" w:rsidP="009E5708">
      <w:pPr>
        <w:pStyle w:val="Caption"/>
      </w:pPr>
      <w:bookmarkStart w:id="5" w:name="_Toc4575838"/>
      <w:r>
        <w:t xml:space="preserve">Table </w:t>
      </w:r>
      <w:r w:rsidR="004E7E2C">
        <w:fldChar w:fldCharType="begin"/>
      </w:r>
      <w:r w:rsidR="007F7798">
        <w:instrText xml:space="preserve"> SEQ Table \* ARABIC </w:instrText>
      </w:r>
      <w:r w:rsidR="004E7E2C">
        <w:fldChar w:fldCharType="separate"/>
      </w:r>
      <w:r w:rsidR="00656911">
        <w:rPr>
          <w:noProof/>
        </w:rPr>
        <w:t>1</w:t>
      </w:r>
      <w:r w:rsidR="004E7E2C">
        <w:rPr>
          <w:noProof/>
        </w:rPr>
        <w:fldChar w:fldCharType="end"/>
      </w:r>
      <w:r>
        <w:t xml:space="preserve"> Gini coefficients for inequality of income and wealth</w:t>
      </w:r>
      <w:bookmarkEnd w:id="5"/>
      <w:r w:rsidR="003E4F5C">
        <w:rPr>
          <w:rStyle w:val="FootnoteReference"/>
        </w:rPr>
        <w:t>5</w:t>
      </w:r>
    </w:p>
    <w:tbl>
      <w:tblPr>
        <w:tblStyle w:val="MediumShading1-Accent1"/>
        <w:tblW w:w="0" w:type="auto"/>
        <w:tblLook w:val="04A0" w:firstRow="1" w:lastRow="0" w:firstColumn="1" w:lastColumn="0" w:noHBand="0" w:noVBand="1"/>
      </w:tblPr>
      <w:tblGrid>
        <w:gridCol w:w="2998"/>
        <w:gridCol w:w="3004"/>
        <w:gridCol w:w="3004"/>
      </w:tblGrid>
      <w:tr w:rsidR="00045232" w:rsidRPr="00045232" w14:paraId="316BD33D" w14:textId="77777777" w:rsidTr="000452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1146ED8" w14:textId="77777777" w:rsidR="00045232" w:rsidRPr="00045232" w:rsidRDefault="00045232" w:rsidP="001F52AA">
            <w:pPr>
              <w:pStyle w:val="Default"/>
              <w:spacing w:line="276" w:lineRule="auto"/>
              <w:rPr>
                <w:sz w:val="22"/>
                <w:szCs w:val="22"/>
              </w:rPr>
            </w:pPr>
          </w:p>
        </w:tc>
        <w:tc>
          <w:tcPr>
            <w:tcW w:w="3081" w:type="dxa"/>
          </w:tcPr>
          <w:p w14:paraId="27ED1B94" w14:textId="77777777" w:rsidR="00045232" w:rsidRPr="00045232" w:rsidRDefault="00045232" w:rsidP="00045232">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45232">
              <w:rPr>
                <w:sz w:val="22"/>
                <w:szCs w:val="22"/>
              </w:rPr>
              <w:t>Income</w:t>
            </w:r>
          </w:p>
        </w:tc>
        <w:tc>
          <w:tcPr>
            <w:tcW w:w="3081" w:type="dxa"/>
          </w:tcPr>
          <w:p w14:paraId="4E47BEB4" w14:textId="77777777" w:rsidR="00045232" w:rsidRPr="00045232" w:rsidRDefault="00045232" w:rsidP="00045232">
            <w:pPr>
              <w:pStyle w:val="Default"/>
              <w:spacing w:line="276"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045232">
              <w:rPr>
                <w:sz w:val="22"/>
                <w:szCs w:val="22"/>
              </w:rPr>
              <w:t>Wealth</w:t>
            </w:r>
          </w:p>
        </w:tc>
      </w:tr>
      <w:tr w:rsidR="00045232" w:rsidRPr="00045232" w14:paraId="18641759" w14:textId="77777777" w:rsidTr="00045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0938874" w14:textId="77777777" w:rsidR="00045232" w:rsidRPr="00045232" w:rsidRDefault="00045232" w:rsidP="001F52AA">
            <w:pPr>
              <w:pStyle w:val="Default"/>
              <w:spacing w:line="276" w:lineRule="auto"/>
              <w:rPr>
                <w:sz w:val="22"/>
                <w:szCs w:val="22"/>
              </w:rPr>
            </w:pPr>
            <w:r w:rsidRPr="00045232">
              <w:rPr>
                <w:sz w:val="22"/>
                <w:szCs w:val="22"/>
              </w:rPr>
              <w:t>2011-2012</w:t>
            </w:r>
          </w:p>
        </w:tc>
        <w:tc>
          <w:tcPr>
            <w:tcW w:w="3081" w:type="dxa"/>
          </w:tcPr>
          <w:p w14:paraId="06E693F3" w14:textId="77777777" w:rsidR="00045232" w:rsidRPr="00045232" w:rsidRDefault="00045232" w:rsidP="00045232">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045232">
              <w:rPr>
                <w:sz w:val="22"/>
                <w:szCs w:val="22"/>
              </w:rPr>
              <w:t>0.320</w:t>
            </w:r>
          </w:p>
        </w:tc>
        <w:tc>
          <w:tcPr>
            <w:tcW w:w="3081" w:type="dxa"/>
          </w:tcPr>
          <w:p w14:paraId="56C68188" w14:textId="77777777" w:rsidR="00045232" w:rsidRPr="00045232" w:rsidRDefault="00045232" w:rsidP="00F740DD">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045232">
              <w:rPr>
                <w:sz w:val="22"/>
                <w:szCs w:val="22"/>
              </w:rPr>
              <w:t>0.</w:t>
            </w:r>
            <w:r w:rsidR="00F740DD">
              <w:rPr>
                <w:sz w:val="22"/>
                <w:szCs w:val="22"/>
              </w:rPr>
              <w:t>605</w:t>
            </w:r>
          </w:p>
        </w:tc>
      </w:tr>
      <w:tr w:rsidR="00045232" w:rsidRPr="00045232" w14:paraId="0FA35AB5" w14:textId="77777777" w:rsidTr="000452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2E07C1C" w14:textId="77777777" w:rsidR="00045232" w:rsidRPr="00045232" w:rsidRDefault="00045232" w:rsidP="001F52AA">
            <w:pPr>
              <w:pStyle w:val="Default"/>
              <w:spacing w:line="276" w:lineRule="auto"/>
              <w:rPr>
                <w:sz w:val="22"/>
                <w:szCs w:val="22"/>
              </w:rPr>
            </w:pPr>
            <w:r w:rsidRPr="00045232">
              <w:rPr>
                <w:sz w:val="22"/>
                <w:szCs w:val="22"/>
              </w:rPr>
              <w:t>2013-2014</w:t>
            </w:r>
          </w:p>
        </w:tc>
        <w:tc>
          <w:tcPr>
            <w:tcW w:w="3081" w:type="dxa"/>
          </w:tcPr>
          <w:p w14:paraId="090622A8" w14:textId="77777777" w:rsidR="00045232" w:rsidRPr="00045232" w:rsidRDefault="00045232" w:rsidP="00F23756">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sz w:val="22"/>
                <w:szCs w:val="22"/>
              </w:rPr>
            </w:pPr>
            <w:r w:rsidRPr="00045232">
              <w:rPr>
                <w:sz w:val="22"/>
                <w:szCs w:val="22"/>
              </w:rPr>
              <w:t>0.</w:t>
            </w:r>
            <w:r w:rsidR="00F23756">
              <w:rPr>
                <w:sz w:val="22"/>
                <w:szCs w:val="22"/>
              </w:rPr>
              <w:t>333</w:t>
            </w:r>
          </w:p>
        </w:tc>
        <w:tc>
          <w:tcPr>
            <w:tcW w:w="3081" w:type="dxa"/>
          </w:tcPr>
          <w:p w14:paraId="4B6C2A66" w14:textId="77777777" w:rsidR="00045232" w:rsidRPr="00045232" w:rsidRDefault="00045232" w:rsidP="00F740DD">
            <w:pPr>
              <w:pStyle w:val="Default"/>
              <w:spacing w:line="276" w:lineRule="auto"/>
              <w:jc w:val="center"/>
              <w:cnfStyle w:val="000000010000" w:firstRow="0" w:lastRow="0" w:firstColumn="0" w:lastColumn="0" w:oddVBand="0" w:evenVBand="0" w:oddHBand="0" w:evenHBand="1" w:firstRowFirstColumn="0" w:firstRowLastColumn="0" w:lastRowFirstColumn="0" w:lastRowLastColumn="0"/>
              <w:rPr>
                <w:sz w:val="22"/>
                <w:szCs w:val="22"/>
              </w:rPr>
            </w:pPr>
            <w:r w:rsidRPr="00045232">
              <w:rPr>
                <w:sz w:val="22"/>
                <w:szCs w:val="22"/>
              </w:rPr>
              <w:t>0.6</w:t>
            </w:r>
            <w:r w:rsidR="00F740DD">
              <w:rPr>
                <w:sz w:val="22"/>
                <w:szCs w:val="22"/>
              </w:rPr>
              <w:t>66</w:t>
            </w:r>
          </w:p>
        </w:tc>
      </w:tr>
      <w:tr w:rsidR="00F95E55" w:rsidRPr="00045232" w14:paraId="58B1B432" w14:textId="77777777" w:rsidTr="00045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80A289F" w14:textId="345AC020" w:rsidR="00F95E55" w:rsidRPr="00045232" w:rsidRDefault="00F95E55" w:rsidP="001F52AA">
            <w:pPr>
              <w:pStyle w:val="Default"/>
              <w:spacing w:line="276" w:lineRule="auto"/>
              <w:rPr>
                <w:sz w:val="22"/>
                <w:szCs w:val="22"/>
              </w:rPr>
            </w:pPr>
            <w:r>
              <w:rPr>
                <w:sz w:val="22"/>
                <w:szCs w:val="22"/>
              </w:rPr>
              <w:t>2015-2016</w:t>
            </w:r>
          </w:p>
        </w:tc>
        <w:tc>
          <w:tcPr>
            <w:tcW w:w="3081" w:type="dxa"/>
          </w:tcPr>
          <w:p w14:paraId="78C538BF" w14:textId="68BEA6A5" w:rsidR="00F95E55" w:rsidRPr="00045232" w:rsidRDefault="00F95E55" w:rsidP="00F23756">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0.323</w:t>
            </w:r>
          </w:p>
        </w:tc>
        <w:tc>
          <w:tcPr>
            <w:tcW w:w="3081" w:type="dxa"/>
          </w:tcPr>
          <w:p w14:paraId="411EE130" w14:textId="18895CED" w:rsidR="00F95E55" w:rsidRPr="00045232" w:rsidRDefault="00F95E55" w:rsidP="00F740DD">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0.605</w:t>
            </w:r>
          </w:p>
        </w:tc>
      </w:tr>
    </w:tbl>
    <w:p w14:paraId="08DB8875" w14:textId="15002FDB" w:rsidR="00045232" w:rsidRDefault="00045232" w:rsidP="001F52AA">
      <w:pPr>
        <w:pStyle w:val="Default"/>
        <w:spacing w:line="276" w:lineRule="auto"/>
        <w:rPr>
          <w:sz w:val="18"/>
        </w:rPr>
      </w:pPr>
    </w:p>
    <w:p w14:paraId="690E948B" w14:textId="77777777" w:rsidR="009A119D" w:rsidRDefault="009A119D" w:rsidP="001F52AA">
      <w:pPr>
        <w:pStyle w:val="Default"/>
        <w:spacing w:line="276" w:lineRule="auto"/>
      </w:pPr>
    </w:p>
    <w:p w14:paraId="6F65807E" w14:textId="050647FE" w:rsidR="009A119D" w:rsidRDefault="009A119D" w:rsidP="001F52AA">
      <w:pPr>
        <w:pStyle w:val="Default"/>
        <w:spacing w:line="276" w:lineRule="auto"/>
      </w:pPr>
      <w:r>
        <w:t xml:space="preserve">Many of the ACT priority households are reliant on base-rate government benefits such as pensions as their only source of income. </w:t>
      </w:r>
      <w:r w:rsidR="004B1B5B">
        <w:t>S</w:t>
      </w:r>
      <w:r w:rsidR="000D3BB7">
        <w:t>ome housing costs and health costs have</w:t>
      </w:r>
      <w:r w:rsidR="0009521A">
        <w:t xml:space="preserve"> </w:t>
      </w:r>
      <w:r w:rsidR="000D3BB7">
        <w:t xml:space="preserve">increased </w:t>
      </w:r>
      <w:r w:rsidR="004B1B5B">
        <w:t xml:space="preserve">higher than Australia’s consumer price index </w:t>
      </w:r>
      <w:r w:rsidR="000D3BB7">
        <w:t xml:space="preserve">over recent years, </w:t>
      </w:r>
      <w:r w:rsidR="00D4432C">
        <w:t>exerting</w:t>
      </w:r>
      <w:r w:rsidR="000D3BB7">
        <w:t xml:space="preserve"> additional pressure on households relying entirely on income support. These rising costs are compounded by rising energy prices</w:t>
      </w:r>
      <w:r w:rsidR="000D3BB7">
        <w:rPr>
          <w:rStyle w:val="FootnoteReference"/>
        </w:rPr>
        <w:footnoteReference w:id="6"/>
      </w:r>
      <w:r>
        <w:t>.</w:t>
      </w:r>
    </w:p>
    <w:p w14:paraId="23FF6679" w14:textId="77777777" w:rsidR="009E5708" w:rsidRPr="00045232" w:rsidRDefault="009E5708" w:rsidP="001F52AA">
      <w:pPr>
        <w:pStyle w:val="Default"/>
        <w:spacing w:line="276" w:lineRule="auto"/>
        <w:rPr>
          <w:sz w:val="18"/>
        </w:rPr>
      </w:pPr>
    </w:p>
    <w:p w14:paraId="180AFDCF" w14:textId="77777777" w:rsidR="00581B8D" w:rsidRDefault="00CB02CE" w:rsidP="009E5708">
      <w:pPr>
        <w:pStyle w:val="Heading2"/>
      </w:pPr>
      <w:bookmarkStart w:id="6" w:name="_Toc402188337"/>
      <w:bookmarkStart w:id="7" w:name="_Toc7625305"/>
      <w:r>
        <w:t xml:space="preserve">3.1 </w:t>
      </w:r>
      <w:r w:rsidR="00581B8D">
        <w:t>Impacts of rising energy prices on low income households</w:t>
      </w:r>
      <w:bookmarkEnd w:id="6"/>
      <w:bookmarkEnd w:id="7"/>
    </w:p>
    <w:p w14:paraId="78B7BD78" w14:textId="6FA3FF62" w:rsidR="00E62108" w:rsidRDefault="00581B8D" w:rsidP="00E62108">
      <w:pPr>
        <w:rPr>
          <w:rStyle w:val="Italic"/>
        </w:rPr>
      </w:pPr>
      <w:r w:rsidRPr="007F0350">
        <w:t>The price of energy supply also affects the achievement of the policy objective since rising energy prices affect low income households the most</w:t>
      </w:r>
      <w:r w:rsidRPr="007F0350">
        <w:rPr>
          <w:i/>
        </w:rPr>
        <w:t xml:space="preserve">. </w:t>
      </w:r>
      <w:r w:rsidR="00DA570D" w:rsidRPr="007F0350">
        <w:rPr>
          <w:rStyle w:val="Italic"/>
          <w:i w:val="0"/>
        </w:rPr>
        <w:t>This is because the cost of electricity represents a much larger proportion of low</w:t>
      </w:r>
      <w:r w:rsidR="00EA2710">
        <w:rPr>
          <w:rStyle w:val="Italic"/>
          <w:i w:val="0"/>
        </w:rPr>
        <w:t>-</w:t>
      </w:r>
      <w:r w:rsidR="00DA570D" w:rsidRPr="007F0350">
        <w:rPr>
          <w:rStyle w:val="Italic"/>
          <w:i w:val="0"/>
        </w:rPr>
        <w:t>income household's income than for the general population</w:t>
      </w:r>
      <w:r w:rsidR="00E62108">
        <w:rPr>
          <w:rStyle w:val="Italic"/>
          <w:i w:val="0"/>
        </w:rPr>
        <w:t xml:space="preserve"> and </w:t>
      </w:r>
      <w:r w:rsidR="00E62108" w:rsidRPr="00E62108">
        <w:rPr>
          <w:rStyle w:val="Italic"/>
          <w:i w:val="0"/>
        </w:rPr>
        <w:t xml:space="preserve">energy costs </w:t>
      </w:r>
      <w:r w:rsidR="00E62108">
        <w:rPr>
          <w:rStyle w:val="Italic"/>
          <w:i w:val="0"/>
        </w:rPr>
        <w:t xml:space="preserve">have </w:t>
      </w:r>
      <w:r w:rsidR="00E62108" w:rsidRPr="00E62108">
        <w:rPr>
          <w:rStyle w:val="Italic"/>
          <w:i w:val="0"/>
        </w:rPr>
        <w:t>more impact on the economic wellbeing of lower economic resource groups.</w:t>
      </w:r>
      <w:r w:rsidR="00E62108">
        <w:rPr>
          <w:rStyle w:val="Italic"/>
          <w:i w:val="0"/>
        </w:rPr>
        <w:t xml:space="preserve"> </w:t>
      </w:r>
      <w:r w:rsidR="002732FF">
        <w:rPr>
          <w:rStyle w:val="Italic"/>
          <w:i w:val="0"/>
        </w:rPr>
        <w:t>Figure 2 shows</w:t>
      </w:r>
      <w:r w:rsidR="002732FF" w:rsidRPr="00E62108">
        <w:rPr>
          <w:rStyle w:val="Italic"/>
          <w:i w:val="0"/>
        </w:rPr>
        <w:t xml:space="preserve"> </w:t>
      </w:r>
      <w:r w:rsidR="002732FF">
        <w:rPr>
          <w:rStyle w:val="Italic"/>
          <w:i w:val="0"/>
        </w:rPr>
        <w:t>that l</w:t>
      </w:r>
      <w:r w:rsidR="00E62108" w:rsidRPr="00E62108">
        <w:rPr>
          <w:rStyle w:val="Italic"/>
          <w:i w:val="0"/>
        </w:rPr>
        <w:t xml:space="preserve">ow income households </w:t>
      </w:r>
      <w:r w:rsidR="00E62108">
        <w:rPr>
          <w:rStyle w:val="Italic"/>
          <w:i w:val="0"/>
        </w:rPr>
        <w:t>spend</w:t>
      </w:r>
      <w:r w:rsidR="00E62108" w:rsidRPr="00E62108">
        <w:rPr>
          <w:rStyle w:val="Italic"/>
          <w:i w:val="0"/>
        </w:rPr>
        <w:t xml:space="preserve"> on average almost 10% of their gross household weekly income on total household energy costs, </w:t>
      </w:r>
      <w:r w:rsidR="002732FF">
        <w:rPr>
          <w:rStyle w:val="Italic"/>
          <w:i w:val="0"/>
        </w:rPr>
        <w:t>almost four</w:t>
      </w:r>
      <w:r w:rsidR="00E62108" w:rsidRPr="00E62108">
        <w:rPr>
          <w:rStyle w:val="Italic"/>
          <w:i w:val="0"/>
        </w:rPr>
        <w:t xml:space="preserve"> times that of high</w:t>
      </w:r>
      <w:r w:rsidR="00EA2710">
        <w:rPr>
          <w:rStyle w:val="Italic"/>
          <w:i w:val="0"/>
        </w:rPr>
        <w:t>-</w:t>
      </w:r>
      <w:r w:rsidR="00E62108" w:rsidRPr="00E62108">
        <w:rPr>
          <w:rStyle w:val="Italic"/>
          <w:i w:val="0"/>
        </w:rPr>
        <w:t>income households</w:t>
      </w:r>
      <w:r w:rsidR="00E62108">
        <w:rPr>
          <w:rStyle w:val="FootnoteReference"/>
        </w:rPr>
        <w:footnoteReference w:id="7"/>
      </w:r>
      <w:r w:rsidR="00DA570D" w:rsidRPr="007F0350">
        <w:rPr>
          <w:rStyle w:val="Italic"/>
          <w:i w:val="0"/>
        </w:rPr>
        <w:t>.</w:t>
      </w:r>
      <w:r w:rsidR="00DA570D" w:rsidRPr="007F0350">
        <w:rPr>
          <w:rStyle w:val="Italic"/>
        </w:rPr>
        <w:t xml:space="preserve"> </w:t>
      </w:r>
    </w:p>
    <w:p w14:paraId="442418B2" w14:textId="77777777" w:rsidR="00673728" w:rsidRPr="007F0350" w:rsidRDefault="00673728" w:rsidP="00673728">
      <w:r w:rsidRPr="007F0350">
        <w:t xml:space="preserve">Even though ACT consumers enjoy some of the lowest electricity prices in Australia, energy prices in Australia have risen sharply over the last decade. In response, many households have reduced energy costs by investing in measures to reduce energy consumption, such as purchase of energy efficient appliances, installing rooftop solar panels and home upgrades. Priority households have not had access to the funds required to undertake these measures. </w:t>
      </w:r>
      <w:r w:rsidRPr="007F0350">
        <w:lastRenderedPageBreak/>
        <w:t>Instead, these households have taken other measures such as rationing energy use, seeking emergency assistance to pay for energy costs, or not paying accounts</w:t>
      </w:r>
      <w:r w:rsidRPr="007F0350">
        <w:rPr>
          <w:rStyle w:val="FootnoteReference"/>
        </w:rPr>
        <w:footnoteReference w:id="8"/>
      </w:r>
      <w:r w:rsidRPr="007F0350">
        <w:t>.</w:t>
      </w:r>
    </w:p>
    <w:p w14:paraId="3BECAB8A" w14:textId="77777777" w:rsidR="00E62108" w:rsidRDefault="00E62108" w:rsidP="00E62108">
      <w:pPr>
        <w:pStyle w:val="Caption"/>
        <w:keepNext/>
        <w:rPr>
          <w:rStyle w:val="Italic"/>
          <w:i w:val="0"/>
        </w:rPr>
      </w:pPr>
      <w:bookmarkStart w:id="8" w:name="_Toc519507887"/>
      <w:r>
        <w:t xml:space="preserve">Figure </w:t>
      </w:r>
      <w:r w:rsidR="004E7E2C">
        <w:fldChar w:fldCharType="begin"/>
      </w:r>
      <w:r w:rsidR="007F7798">
        <w:instrText xml:space="preserve"> SEQ Figure \* ARABIC </w:instrText>
      </w:r>
      <w:r w:rsidR="004E7E2C">
        <w:fldChar w:fldCharType="separate"/>
      </w:r>
      <w:r w:rsidR="00113613">
        <w:rPr>
          <w:noProof/>
        </w:rPr>
        <w:t>2</w:t>
      </w:r>
      <w:r w:rsidR="004E7E2C">
        <w:rPr>
          <w:noProof/>
        </w:rPr>
        <w:fldChar w:fldCharType="end"/>
      </w:r>
      <w:r>
        <w:t xml:space="preserve"> </w:t>
      </w:r>
      <w:r w:rsidRPr="00E62108">
        <w:t>Energy expenditure as a proportion of gross household weekly income</w:t>
      </w:r>
      <w:bookmarkEnd w:id="8"/>
    </w:p>
    <w:p w14:paraId="017DAC39" w14:textId="77777777" w:rsidR="00E62108" w:rsidRPr="00E62108" w:rsidRDefault="00E62108" w:rsidP="00E62108">
      <w:pPr>
        <w:rPr>
          <w:rStyle w:val="Italic"/>
          <w:i w:val="0"/>
        </w:rPr>
      </w:pPr>
      <w:r>
        <w:rPr>
          <w:rStyle w:val="Italic"/>
          <w:i w:val="0"/>
          <w:noProof/>
        </w:rPr>
        <w:drawing>
          <wp:inline distT="0" distB="0" distL="0" distR="0" wp14:anchorId="43E8BB83" wp14:editId="20B21422">
            <wp:extent cx="5189178" cy="3624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9178" cy="3624190"/>
                    </a:xfrm>
                    <a:prstGeom prst="rect">
                      <a:avLst/>
                    </a:prstGeom>
                    <a:noFill/>
                    <a:ln>
                      <a:noFill/>
                    </a:ln>
                  </pic:spPr>
                </pic:pic>
              </a:graphicData>
            </a:graphic>
          </wp:inline>
        </w:drawing>
      </w:r>
    </w:p>
    <w:p w14:paraId="3A2D001F" w14:textId="0FEEF978" w:rsidR="002E5E43" w:rsidRDefault="002E5E43" w:rsidP="002E5E43">
      <w:pPr>
        <w:rPr>
          <w:rFonts w:cstheme="minorBidi"/>
          <w:bCs w:val="0"/>
          <w:sz w:val="22"/>
          <w:szCs w:val="22"/>
        </w:rPr>
      </w:pPr>
      <w:r>
        <w:t xml:space="preserve">Electricity and gas prices are predicted to continue to rise in the coming years, putting further pressure on low income households. </w:t>
      </w:r>
      <w:r w:rsidR="00AA39DB">
        <w:t>A Retail electricity price recalibration for 2018-2019</w:t>
      </w:r>
      <w:r w:rsidR="00A15881">
        <w:t xml:space="preserve"> that</w:t>
      </w:r>
      <w:r w:rsidR="00AA39DB">
        <w:t xml:space="preserve"> was released by ICRC in June 2018</w:t>
      </w:r>
      <w:r w:rsidR="00A15881">
        <w:rPr>
          <w:rStyle w:val="FootnoteReference"/>
        </w:rPr>
        <w:footnoteReference w:id="9"/>
      </w:r>
      <w:r w:rsidR="00A15881">
        <w:t xml:space="preserve"> indicates an increase of up to 14.29% in regulated retail prices, which is estimated to have an impact of </w:t>
      </w:r>
      <w:r w:rsidR="00A15881" w:rsidRPr="00A15881">
        <w:t>$299</w:t>
      </w:r>
      <w:r w:rsidR="00A15881">
        <w:t xml:space="preserve"> in the </w:t>
      </w:r>
      <w:r w:rsidR="00A15881" w:rsidRPr="00A15881">
        <w:t>annual bill</w:t>
      </w:r>
      <w:r w:rsidR="00A15881">
        <w:t xml:space="preserve"> of a </w:t>
      </w:r>
      <w:r w:rsidR="00A15881" w:rsidRPr="00A15881">
        <w:t>residential household consuming about 8,000kWh per year</w:t>
      </w:r>
      <w:r w:rsidR="00A15881">
        <w:t xml:space="preserve">. </w:t>
      </w:r>
      <w:r w:rsidR="00341A7F">
        <w:t>This is on top of an 18.95% price rise in 2017-18</w:t>
      </w:r>
      <w:r w:rsidR="009F00AA">
        <w:rPr>
          <w:rStyle w:val="FootnoteReference"/>
        </w:rPr>
        <w:footnoteReference w:id="10"/>
      </w:r>
      <w:r w:rsidR="00341A7F">
        <w:t>.</w:t>
      </w:r>
    </w:p>
    <w:p w14:paraId="6B6A7F06" w14:textId="77777777" w:rsidR="00274991" w:rsidRDefault="00E81A75" w:rsidP="009E5708">
      <w:r>
        <w:t>Meanwh</w:t>
      </w:r>
      <w:r w:rsidR="001F0F12">
        <w:t xml:space="preserve">ile, </w:t>
      </w:r>
      <w:r w:rsidR="00D33F05">
        <w:t xml:space="preserve">Figure </w:t>
      </w:r>
      <w:r w:rsidR="00E62108">
        <w:t>3</w:t>
      </w:r>
      <w:r w:rsidR="00D33F05">
        <w:t xml:space="preserve"> shows that </w:t>
      </w:r>
      <w:r w:rsidR="001F0F12">
        <w:t>gas prices in the ACT are predicted to rise at even faster rates than electricity from 2017 until 2023 as a result of changes to global oil prices</w:t>
      </w:r>
      <w:r w:rsidR="00274991">
        <w:t xml:space="preserve">, </w:t>
      </w:r>
      <w:r w:rsidR="001F0F12">
        <w:t>exchange rates</w:t>
      </w:r>
      <w:r w:rsidR="00274991">
        <w:t xml:space="preserve"> and </w:t>
      </w:r>
      <w:r w:rsidR="000E728F">
        <w:t xml:space="preserve">ongoing effects of the </w:t>
      </w:r>
      <w:r w:rsidR="00274991">
        <w:t xml:space="preserve">linking of the </w:t>
      </w:r>
      <w:r w:rsidR="005372A9">
        <w:t xml:space="preserve">Eastern </w:t>
      </w:r>
      <w:r w:rsidR="00274991">
        <w:t>Australian gas market with international gas markets and prices</w:t>
      </w:r>
      <w:r w:rsidR="001F0F12">
        <w:rPr>
          <w:rStyle w:val="FootnoteReference"/>
        </w:rPr>
        <w:footnoteReference w:id="11"/>
      </w:r>
      <w:r w:rsidR="00E52685" w:rsidRPr="007F0350">
        <w:t xml:space="preserve">. </w:t>
      </w:r>
    </w:p>
    <w:p w14:paraId="34682079" w14:textId="77777777" w:rsidR="001F0F12" w:rsidRPr="007F0350" w:rsidRDefault="001F0F12" w:rsidP="00242CA3">
      <w:pPr>
        <w:pStyle w:val="Caption"/>
        <w:keepNext/>
        <w:rPr>
          <w:szCs w:val="24"/>
        </w:rPr>
      </w:pPr>
      <w:bookmarkStart w:id="9" w:name="_Toc519507888"/>
      <w:r>
        <w:lastRenderedPageBreak/>
        <w:t xml:space="preserve">Figure </w:t>
      </w:r>
      <w:r w:rsidR="004E7E2C">
        <w:fldChar w:fldCharType="begin"/>
      </w:r>
      <w:r w:rsidR="007F7798">
        <w:instrText xml:space="preserve"> SEQ Figure \* ARABIC </w:instrText>
      </w:r>
      <w:r w:rsidR="004E7E2C">
        <w:fldChar w:fldCharType="separate"/>
      </w:r>
      <w:r w:rsidR="00113613">
        <w:rPr>
          <w:noProof/>
        </w:rPr>
        <w:t>3</w:t>
      </w:r>
      <w:r w:rsidR="004E7E2C">
        <w:rPr>
          <w:noProof/>
        </w:rPr>
        <w:fldChar w:fldCharType="end"/>
      </w:r>
      <w:r>
        <w:t xml:space="preserve"> Modelled average delivered mass market prices at major demand centres, Neutral case, 2016 in AUD/GJ</w:t>
      </w:r>
      <w:bookmarkEnd w:id="9"/>
    </w:p>
    <w:p w14:paraId="19B296DA" w14:textId="77777777" w:rsidR="00581B8D" w:rsidRDefault="001F0F12" w:rsidP="009E5708">
      <w:r>
        <w:rPr>
          <w:noProof/>
        </w:rPr>
        <w:drawing>
          <wp:inline distT="0" distB="0" distL="0" distR="0" wp14:anchorId="6FDEFC2D" wp14:editId="587D33D8">
            <wp:extent cx="5177790" cy="23863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0633" cy="2387616"/>
                    </a:xfrm>
                    <a:prstGeom prst="rect">
                      <a:avLst/>
                    </a:prstGeom>
                    <a:noFill/>
                    <a:ln>
                      <a:noFill/>
                    </a:ln>
                  </pic:spPr>
                </pic:pic>
              </a:graphicData>
            </a:graphic>
          </wp:inline>
        </w:drawing>
      </w:r>
    </w:p>
    <w:p w14:paraId="712E8E3A" w14:textId="77777777" w:rsidR="004C57D3" w:rsidRPr="004C57D3" w:rsidRDefault="004C57D3" w:rsidP="004C57D3">
      <w:r w:rsidRPr="004C57D3">
        <w:t xml:space="preserve">These cumulative price rises have put significant pressure on low income household budgets, including households whose primary source of income is a Centrelink payment, who are on a fixed retirement income and households reliant on minimum wage jobs. </w:t>
      </w:r>
    </w:p>
    <w:p w14:paraId="5E497A2E" w14:textId="2D4B60AA" w:rsidR="004C57D3" w:rsidRPr="004C57D3" w:rsidRDefault="004C57D3" w:rsidP="006D11DE">
      <w:r w:rsidRPr="004C57D3">
        <w:t xml:space="preserve">The pressures caused by energy price rises need to be understood in the wider context on costs of living in the ACT. Costs of living are relatively high compared with other capital cities. </w:t>
      </w:r>
      <w:r w:rsidR="006D11DE">
        <w:t xml:space="preserve">The ACT Cost of Living Report </w:t>
      </w:r>
      <w:r w:rsidR="00764788">
        <w:t>(</w:t>
      </w:r>
      <w:r w:rsidR="006D11DE">
        <w:t>2018</w:t>
      </w:r>
      <w:r w:rsidR="00764788">
        <w:t>)</w:t>
      </w:r>
      <w:r w:rsidR="006D11DE">
        <w:t xml:space="preserve"> prepared by ACTCOSS indicates the rising cost of living hits Canberra’s low income households the hardest, Canberra’s CPI rose higher than the national rate, and that </w:t>
      </w:r>
      <w:r w:rsidR="003C2AD5">
        <w:t>Housing costs (which includes utilities) rose by 5.3%, above the national rise of 3.4%</w:t>
      </w:r>
      <w:r w:rsidR="003C2AD5">
        <w:rPr>
          <w:rStyle w:val="FootnoteReference"/>
        </w:rPr>
        <w:footnoteReference w:id="12"/>
      </w:r>
      <w:r w:rsidR="003C2AD5">
        <w:t>.</w:t>
      </w:r>
    </w:p>
    <w:p w14:paraId="43E113B2" w14:textId="018943F9" w:rsidR="004C57D3" w:rsidRDefault="004C57D3" w:rsidP="004C57D3">
      <w:r w:rsidRPr="004C57D3">
        <w:t>The ACT has one of the highest costs of private rental accommodation in the nation, so if you are in a low</w:t>
      </w:r>
      <w:r w:rsidR="00EA2710">
        <w:t>-</w:t>
      </w:r>
      <w:r w:rsidRPr="004C57D3">
        <w:t xml:space="preserve">income household you are spending a disproportionate amount of your income on housing, which does not leave sufficient funds in a monthly budget to cover other essential costs of living, including energy. </w:t>
      </w:r>
    </w:p>
    <w:p w14:paraId="5F5FC532" w14:textId="7007A022" w:rsidR="003924FD" w:rsidRDefault="003924FD" w:rsidP="003924FD">
      <w:r>
        <w:t xml:space="preserve">Many </w:t>
      </w:r>
      <w:r w:rsidR="0009521A">
        <w:t>low</w:t>
      </w:r>
      <w:r w:rsidR="00EA2710">
        <w:t>-</w:t>
      </w:r>
      <w:r w:rsidR="0009521A">
        <w:t>income</w:t>
      </w:r>
      <w:r>
        <w:t xml:space="preserve"> households have difficulty paying their energy bills, and t</w:t>
      </w:r>
      <w:r w:rsidRPr="007F0350">
        <w:t xml:space="preserve">here is strong evidence of the inability of </w:t>
      </w:r>
      <w:r w:rsidR="0009521A">
        <w:t>low</w:t>
      </w:r>
      <w:r w:rsidR="00EA2710">
        <w:t>-</w:t>
      </w:r>
      <w:r w:rsidR="0009521A">
        <w:t>income</w:t>
      </w:r>
      <w:r w:rsidRPr="007F0350">
        <w:t xml:space="preserve"> households to become more energy efficient without assistance</w:t>
      </w:r>
      <w:r>
        <w:t xml:space="preserve">. </w:t>
      </w:r>
    </w:p>
    <w:p w14:paraId="781CFE81" w14:textId="7C9E9B34" w:rsidR="003924FD" w:rsidRPr="003924FD" w:rsidRDefault="003924FD" w:rsidP="003924FD">
      <w:r w:rsidRPr="003924FD">
        <w:t>Households that are struggling to pay their bills will often pay late and/or enter into debt if they do not have money available when their bills fall due. The A</w:t>
      </w:r>
      <w:r w:rsidR="00764788">
        <w:t xml:space="preserve">ustralian </w:t>
      </w:r>
      <w:r w:rsidRPr="003924FD">
        <w:t>E</w:t>
      </w:r>
      <w:r w:rsidR="00764788">
        <w:t xml:space="preserve">nergy </w:t>
      </w:r>
      <w:r w:rsidRPr="003924FD">
        <w:t>R</w:t>
      </w:r>
      <w:r w:rsidR="00764788">
        <w:t>egulator (AER)</w:t>
      </w:r>
      <w:r w:rsidRPr="003924FD">
        <w:t xml:space="preserve"> monitors figures on the energy-related debt that results from customers not paying their bills on time. The AER reported that in </w:t>
      </w:r>
      <w:r w:rsidR="000A53B2">
        <w:t xml:space="preserve">June 2018 the ACT had the highest percentage </w:t>
      </w:r>
      <w:r w:rsidR="000A53B2">
        <w:lastRenderedPageBreak/>
        <w:t>of customers in debt for both electricity (3.8%) and gas (6.1%) compared to other states and territories</w:t>
      </w:r>
      <w:r w:rsidR="000A53B2">
        <w:rPr>
          <w:rStyle w:val="FootnoteReference"/>
        </w:rPr>
        <w:footnoteReference w:id="13"/>
      </w:r>
      <w:r w:rsidRPr="003924FD">
        <w:t xml:space="preserve">. </w:t>
      </w:r>
    </w:p>
    <w:p w14:paraId="0F2A5AB0" w14:textId="6BB502B7" w:rsidR="003924FD" w:rsidRDefault="003924FD" w:rsidP="003924FD">
      <w:r>
        <w:t xml:space="preserve">Should electricity and gas prices </w:t>
      </w:r>
      <w:r w:rsidR="00654EFA">
        <w:t>continue to rise</w:t>
      </w:r>
      <w:r>
        <w:t xml:space="preserve">, we can expect greater </w:t>
      </w:r>
      <w:r w:rsidRPr="007F0350">
        <w:t>demand for emergency relief, community services, affordable housing and schemes like the EEIS</w:t>
      </w:r>
      <w:r>
        <w:t xml:space="preserve">. </w:t>
      </w:r>
    </w:p>
    <w:p w14:paraId="7351FB50" w14:textId="77777777" w:rsidR="003A7794" w:rsidRPr="00A678DD" w:rsidRDefault="003A7794" w:rsidP="00936FC2">
      <w:pPr>
        <w:pStyle w:val="Heading1"/>
        <w:numPr>
          <w:ilvl w:val="0"/>
          <w:numId w:val="6"/>
        </w:numPr>
      </w:pPr>
      <w:bookmarkStart w:id="10" w:name="_Toc4575626"/>
      <w:bookmarkStart w:id="11" w:name="_Toc7625306"/>
      <w:bookmarkEnd w:id="10"/>
      <w:r w:rsidRPr="00A678DD">
        <w:t>Achieving the policy objectives</w:t>
      </w:r>
      <w:bookmarkEnd w:id="11"/>
    </w:p>
    <w:p w14:paraId="2B232F43" w14:textId="38682976" w:rsidR="00671900" w:rsidRDefault="00671900" w:rsidP="009E5708">
      <w:r>
        <w:t>There is good evidence that EEIS activities deliver significant savings to participating households</w:t>
      </w:r>
      <w:r w:rsidR="003A7794">
        <w:t xml:space="preserve">, which to date </w:t>
      </w:r>
      <w:r w:rsidR="00DD6EC1">
        <w:t xml:space="preserve">have </w:t>
      </w:r>
      <w:r w:rsidR="003A7794">
        <w:t>included a proportion of priority households</w:t>
      </w:r>
      <w:r>
        <w:t xml:space="preserve">. </w:t>
      </w:r>
    </w:p>
    <w:p w14:paraId="1367468A" w14:textId="3895F1A6" w:rsidR="00124832" w:rsidRDefault="00124832" w:rsidP="00124832">
      <w:r>
        <w:t>The effectiveness of the EEIS in reducing household and business emissions and energy costs was confirmed by an independent review undertaken in 2018, which also found that the scheme has been cost-efficiently delivered, with an overall positive benefit-cost-ratio.</w:t>
      </w:r>
    </w:p>
    <w:p w14:paraId="12C122B5" w14:textId="77777777" w:rsidR="00B7174D" w:rsidRDefault="00124832" w:rsidP="00124832">
      <w:r>
        <w:t>According to the review, the EEIS has fulfilled its four objectives: encouraging efficient use of energy, reducing emissions, reducing energy use and costs for households, businesses and priority households.</w:t>
      </w:r>
      <w:r w:rsidR="00E74ABA">
        <w:t xml:space="preserve"> It has delivered l</w:t>
      </w:r>
      <w:r>
        <w:t xml:space="preserve">ifetime bill savings of $180M to households </w:t>
      </w:r>
      <w:r w:rsidR="00E74ABA">
        <w:t>and an a</w:t>
      </w:r>
      <w:r>
        <w:t xml:space="preserve">verage weekly savings </w:t>
      </w:r>
      <w:r w:rsidR="00E74ABA">
        <w:t>of</w:t>
      </w:r>
      <w:r>
        <w:t xml:space="preserve"> $5.65 for participating households</w:t>
      </w:r>
      <w:r w:rsidR="00E74ABA">
        <w:t xml:space="preserve">. </w:t>
      </w:r>
    </w:p>
    <w:p w14:paraId="76826804" w14:textId="6F9736DE" w:rsidR="00124832" w:rsidRDefault="00B7174D" w:rsidP="00124832">
      <w:r>
        <w:t>T</w:t>
      </w:r>
      <w:r w:rsidRPr="00B7174D">
        <w:t xml:space="preserve">he EEIS has delivered </w:t>
      </w:r>
      <w:r w:rsidR="000F196A">
        <w:t>over 1M</w:t>
      </w:r>
      <w:r w:rsidRPr="00B7174D">
        <w:t xml:space="preserve"> GJ of lifetime energy savings in priority households, or 2</w:t>
      </w:r>
      <w:r w:rsidR="000F196A">
        <w:t>4</w:t>
      </w:r>
      <w:r w:rsidRPr="00B7174D">
        <w:t xml:space="preserve">% of total scheme residential lifetime energy savings. </w:t>
      </w:r>
      <w:r>
        <w:t xml:space="preserve">It has </w:t>
      </w:r>
      <w:r w:rsidR="00124832">
        <w:t>saved $</w:t>
      </w:r>
      <w:r w:rsidR="000F196A">
        <w:t>49</w:t>
      </w:r>
      <w:r w:rsidR="00124832">
        <w:t xml:space="preserve">M off the energy bills </w:t>
      </w:r>
      <w:r w:rsidR="000F196A">
        <w:t>of over 18,000</w:t>
      </w:r>
      <w:r w:rsidR="00E74ABA">
        <w:t xml:space="preserve"> </w:t>
      </w:r>
      <w:r w:rsidR="00124832">
        <w:t>Canberra’s low</w:t>
      </w:r>
      <w:r w:rsidR="00EA2710">
        <w:t>-</w:t>
      </w:r>
      <w:r w:rsidR="00124832">
        <w:t>income households</w:t>
      </w:r>
      <w:r w:rsidR="00E74ABA">
        <w:t xml:space="preserve"> that participated in the scheme since 2013</w:t>
      </w:r>
      <w:r w:rsidR="00124832">
        <w:t>. Savings from EEIS have been four times greater than the costs of running the scheme.</w:t>
      </w:r>
    </w:p>
    <w:p w14:paraId="41DFEDC3" w14:textId="5D96BFD3" w:rsidR="00455DCF" w:rsidRDefault="00455DCF" w:rsidP="00921879">
      <w:pPr>
        <w:spacing w:after="240"/>
      </w:pPr>
      <w:r>
        <w:t xml:space="preserve">The PHT has been consistently achieved since the life of the scheme. Table 2 shows how </w:t>
      </w:r>
      <w:r w:rsidR="00DE6807">
        <w:t>ActewAGL</w:t>
      </w:r>
      <w:r>
        <w:t xml:space="preserve"> has tracked on the PHT over the life of the scheme. Column one shows the PHT setting for each year of the scheme which was 25</w:t>
      </w:r>
      <w:r w:rsidR="00EE1BFB">
        <w:t xml:space="preserve"> per cent</w:t>
      </w:r>
      <w:r>
        <w:t xml:space="preserve"> from 2013-2015 and 20</w:t>
      </w:r>
      <w:r w:rsidR="00EE1BFB">
        <w:t xml:space="preserve"> per cent</w:t>
      </w:r>
      <w:r>
        <w:t xml:space="preserve"> thereafter. Column 2 shows the proportion of total abatement that ActewAGL delivered in priority households each year. This was well above the PHT in the first two years</w:t>
      </w:r>
      <w:r w:rsidR="00CE7DDD">
        <w:t xml:space="preserve"> </w:t>
      </w:r>
      <w:r>
        <w:t>and has dropped off steeply since then with previous year surplus</w:t>
      </w:r>
      <w:r w:rsidR="00FE5BD1">
        <w:t>es</w:t>
      </w:r>
      <w:r>
        <w:t xml:space="preserve"> being carried over into subsequent years</w:t>
      </w:r>
      <w:r w:rsidR="00551AF6">
        <w:t>. There was</w:t>
      </w:r>
      <w:r w:rsidR="00D9771F">
        <w:t xml:space="preserve"> an increase again in 2018</w:t>
      </w:r>
      <w:r>
        <w:t>.</w:t>
      </w:r>
      <w:r w:rsidR="00D9771F">
        <w:t xml:space="preserve"> </w:t>
      </w:r>
      <w:r w:rsidR="009B00A6">
        <w:t>Table 2</w:t>
      </w:r>
      <w:r>
        <w:t xml:space="preserve"> shows that as a result of the carry-over surplus from the first two years, the proportion of the total abatement that ActewAGL needed to deliver in priority households was less than the statutory target in each subsequent year. </w:t>
      </w:r>
      <w:r w:rsidR="009B00A6">
        <w:t>T</w:t>
      </w:r>
      <w:r>
        <w:t>he total number of priority households in which abatement was delivered each year peaked in 2014</w:t>
      </w:r>
      <w:r w:rsidR="009E364F">
        <w:t>,</w:t>
      </w:r>
      <w:r>
        <w:t xml:space="preserve"> </w:t>
      </w:r>
      <w:r w:rsidR="000F196A">
        <w:t xml:space="preserve">reduced until 2017 and </w:t>
      </w:r>
      <w:r w:rsidR="009B00A6">
        <w:t xml:space="preserve">is forecasted to </w:t>
      </w:r>
      <w:r w:rsidR="000F196A">
        <w:t>increase again in 201</w:t>
      </w:r>
      <w:r w:rsidR="009B00A6">
        <w:t>9 and 2020</w:t>
      </w:r>
      <w:r w:rsidR="009B6FD6">
        <w:t>.</w:t>
      </w:r>
      <w:r w:rsidR="00212E46">
        <w:t xml:space="preserve"> </w:t>
      </w:r>
    </w:p>
    <w:p w14:paraId="46B12B14" w14:textId="5CFCC1CE" w:rsidR="00455DCF" w:rsidRDefault="00455DCF" w:rsidP="00921879">
      <w:pPr>
        <w:pStyle w:val="Caption"/>
        <w:keepNext/>
        <w:contextualSpacing/>
      </w:pPr>
      <w:bookmarkStart w:id="12" w:name="_Toc4575839"/>
      <w:r w:rsidRPr="004B2265">
        <w:lastRenderedPageBreak/>
        <w:t xml:space="preserve">Table </w:t>
      </w:r>
      <w:r w:rsidR="004E7E2C">
        <w:fldChar w:fldCharType="begin"/>
      </w:r>
      <w:r w:rsidR="007F7798">
        <w:instrText xml:space="preserve"> SEQ Table \* ARABIC </w:instrText>
      </w:r>
      <w:r w:rsidR="004E7E2C">
        <w:fldChar w:fldCharType="separate"/>
      </w:r>
      <w:r w:rsidR="00656911">
        <w:rPr>
          <w:noProof/>
        </w:rPr>
        <w:t>2</w:t>
      </w:r>
      <w:r w:rsidR="004E7E2C">
        <w:rPr>
          <w:noProof/>
        </w:rPr>
        <w:fldChar w:fldCharType="end"/>
      </w:r>
      <w:r w:rsidRPr="004B2265">
        <w:t xml:space="preserve"> Achievement of the Priority Household Target</w:t>
      </w:r>
      <w:bookmarkEnd w:id="12"/>
    </w:p>
    <w:tbl>
      <w:tblPr>
        <w:tblStyle w:val="MediumShading1-Accent1"/>
        <w:tblpPr w:leftFromText="181" w:rightFromText="181" w:vertAnchor="text" w:horzAnchor="margin" w:tblpY="250"/>
        <w:tblOverlap w:val="never"/>
        <w:tblW w:w="8921" w:type="dxa"/>
        <w:tblLook w:val="04A0" w:firstRow="1" w:lastRow="0" w:firstColumn="1" w:lastColumn="0" w:noHBand="0" w:noVBand="1"/>
      </w:tblPr>
      <w:tblGrid>
        <w:gridCol w:w="983"/>
        <w:gridCol w:w="125"/>
        <w:gridCol w:w="1258"/>
        <w:gridCol w:w="1735"/>
        <w:gridCol w:w="1559"/>
        <w:gridCol w:w="1701"/>
        <w:gridCol w:w="1560"/>
      </w:tblGrid>
      <w:tr w:rsidR="008920CB" w:rsidRPr="00184C50" w14:paraId="68AF792F" w14:textId="77777777" w:rsidTr="00E86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vAlign w:val="center"/>
          </w:tcPr>
          <w:p w14:paraId="011E8E06" w14:textId="77777777" w:rsidR="00A81B07" w:rsidRPr="00CF702E" w:rsidRDefault="00A81B07" w:rsidP="00921879">
            <w:pPr>
              <w:keepNext/>
              <w:keepLines/>
              <w:spacing w:after="0" w:line="240" w:lineRule="auto"/>
              <w:contextualSpacing/>
              <w:jc w:val="center"/>
              <w:rPr>
                <w:sz w:val="22"/>
              </w:rPr>
            </w:pPr>
            <w:r w:rsidRPr="00CF702E">
              <w:rPr>
                <w:sz w:val="22"/>
              </w:rPr>
              <w:t>Year</w:t>
            </w:r>
          </w:p>
        </w:tc>
        <w:tc>
          <w:tcPr>
            <w:tcW w:w="1383" w:type="dxa"/>
            <w:gridSpan w:val="2"/>
            <w:vAlign w:val="center"/>
          </w:tcPr>
          <w:p w14:paraId="0C3B3966" w14:textId="634674C2" w:rsidR="00A81B07" w:rsidRPr="00CF702E" w:rsidRDefault="00A81B07" w:rsidP="00921879">
            <w:pPr>
              <w:keepNext/>
              <w:keepLine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sz w:val="22"/>
              </w:rPr>
            </w:pPr>
            <w:r w:rsidRPr="00CF702E">
              <w:rPr>
                <w:sz w:val="22"/>
              </w:rPr>
              <w:t xml:space="preserve">PHT </w:t>
            </w:r>
          </w:p>
        </w:tc>
        <w:tc>
          <w:tcPr>
            <w:tcW w:w="1735" w:type="dxa"/>
            <w:vAlign w:val="center"/>
          </w:tcPr>
          <w:p w14:paraId="5715C0E4" w14:textId="6460EEDE" w:rsidR="00A81B07" w:rsidRPr="00CF702E" w:rsidRDefault="008920CB" w:rsidP="00921879">
            <w:pPr>
              <w:keepNext/>
              <w:keepLine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sz w:val="22"/>
              </w:rPr>
            </w:pPr>
            <w:r>
              <w:rPr>
                <w:sz w:val="22"/>
              </w:rPr>
              <w:t xml:space="preserve">% of total </w:t>
            </w:r>
            <w:r w:rsidR="009A7E69">
              <w:rPr>
                <w:sz w:val="22"/>
              </w:rPr>
              <w:t xml:space="preserve">(achieved) </w:t>
            </w:r>
            <w:r>
              <w:rPr>
                <w:sz w:val="22"/>
              </w:rPr>
              <w:t>abatement delivered in priority households</w:t>
            </w:r>
          </w:p>
        </w:tc>
        <w:tc>
          <w:tcPr>
            <w:tcW w:w="1559" w:type="dxa"/>
            <w:vAlign w:val="center"/>
          </w:tcPr>
          <w:p w14:paraId="640BDADC" w14:textId="587172EA" w:rsidR="00A81B07" w:rsidRPr="00E862A6" w:rsidRDefault="00B83F07" w:rsidP="00921879">
            <w:pPr>
              <w:keepNext/>
              <w:keepLine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sz w:val="22"/>
              </w:rPr>
            </w:pPr>
            <w:r>
              <w:rPr>
                <w:sz w:val="22"/>
              </w:rPr>
              <w:t xml:space="preserve">Priority household </w:t>
            </w:r>
            <w:r w:rsidR="00A81B07">
              <w:rPr>
                <w:sz w:val="22"/>
              </w:rPr>
              <w:t>surplus</w:t>
            </w:r>
            <w:r w:rsidR="007008F5">
              <w:rPr>
                <w:sz w:val="22"/>
              </w:rPr>
              <w:t xml:space="preserve"> for the given year</w:t>
            </w:r>
            <w:r>
              <w:rPr>
                <w:sz w:val="22"/>
              </w:rPr>
              <w:t xml:space="preserve"> (tCO</w:t>
            </w:r>
            <w:r w:rsidRPr="00E862A6">
              <w:rPr>
                <w:sz w:val="22"/>
                <w:vertAlign w:val="subscript"/>
              </w:rPr>
              <w:t>2</w:t>
            </w:r>
            <w:r w:rsidR="00166E01" w:rsidRPr="00E862A6">
              <w:rPr>
                <w:sz w:val="22"/>
                <w:vertAlign w:val="subscript"/>
              </w:rPr>
              <w:t xml:space="preserve"> </w:t>
            </w:r>
            <w:r>
              <w:rPr>
                <w:sz w:val="22"/>
              </w:rPr>
              <w:t>e)</w:t>
            </w:r>
          </w:p>
        </w:tc>
        <w:tc>
          <w:tcPr>
            <w:tcW w:w="1701" w:type="dxa"/>
            <w:vAlign w:val="center"/>
          </w:tcPr>
          <w:p w14:paraId="7895D111" w14:textId="192A5D58" w:rsidR="00A81B07" w:rsidRPr="00CF702E" w:rsidRDefault="008920CB" w:rsidP="00921879">
            <w:pPr>
              <w:keepNext/>
              <w:keepLine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sz w:val="22"/>
              </w:rPr>
            </w:pPr>
            <w:r>
              <w:rPr>
                <w:sz w:val="22"/>
              </w:rPr>
              <w:t xml:space="preserve">% of total </w:t>
            </w:r>
            <w:r w:rsidR="009A7E69">
              <w:rPr>
                <w:sz w:val="22"/>
              </w:rPr>
              <w:t>RESO</w:t>
            </w:r>
            <w:r>
              <w:rPr>
                <w:sz w:val="22"/>
              </w:rPr>
              <w:t xml:space="preserve"> required to be delivered in priority households</w:t>
            </w:r>
            <w:r w:rsidR="009A7E69">
              <w:rPr>
                <w:sz w:val="22"/>
              </w:rPr>
              <w:t xml:space="preserve"> less surplus</w:t>
            </w:r>
          </w:p>
        </w:tc>
        <w:tc>
          <w:tcPr>
            <w:tcW w:w="1560" w:type="dxa"/>
            <w:vAlign w:val="center"/>
          </w:tcPr>
          <w:p w14:paraId="2682606E" w14:textId="77777777" w:rsidR="00A81B07" w:rsidRPr="00CF702E" w:rsidRDefault="00A81B07" w:rsidP="00921879">
            <w:pPr>
              <w:keepNext/>
              <w:keepLine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sz w:val="22"/>
              </w:rPr>
            </w:pPr>
            <w:r w:rsidRPr="00CF702E">
              <w:rPr>
                <w:sz w:val="22"/>
              </w:rPr>
              <w:t>Number of priority households visited</w:t>
            </w:r>
          </w:p>
        </w:tc>
      </w:tr>
      <w:tr w:rsidR="009A7E69" w:rsidRPr="00184C50" w14:paraId="5216D2D5" w14:textId="77777777" w:rsidTr="00700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dxa"/>
            <w:gridSpan w:val="2"/>
          </w:tcPr>
          <w:p w14:paraId="2EC8E2E8" w14:textId="77777777" w:rsidR="00A81B07" w:rsidRPr="003E4F5C" w:rsidRDefault="00A81B07" w:rsidP="00921879">
            <w:pPr>
              <w:keepNext/>
              <w:keepLines/>
              <w:spacing w:after="0" w:line="240" w:lineRule="auto"/>
              <w:contextualSpacing/>
              <w:jc w:val="center"/>
            </w:pPr>
            <w:r w:rsidRPr="005C5B05">
              <w:t>2013</w:t>
            </w:r>
          </w:p>
        </w:tc>
        <w:tc>
          <w:tcPr>
            <w:tcW w:w="1258" w:type="dxa"/>
          </w:tcPr>
          <w:p w14:paraId="6BB5A829" w14:textId="77777777"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25%</w:t>
            </w:r>
          </w:p>
        </w:tc>
        <w:tc>
          <w:tcPr>
            <w:tcW w:w="1735" w:type="dxa"/>
          </w:tcPr>
          <w:p w14:paraId="33010A7B" w14:textId="77777777"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31%</w:t>
            </w:r>
          </w:p>
        </w:tc>
        <w:tc>
          <w:tcPr>
            <w:tcW w:w="1559" w:type="dxa"/>
          </w:tcPr>
          <w:p w14:paraId="3BD2D8FA" w14:textId="10269B3D"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t>26,961</w:t>
            </w:r>
          </w:p>
        </w:tc>
        <w:tc>
          <w:tcPr>
            <w:tcW w:w="1701" w:type="dxa"/>
          </w:tcPr>
          <w:p w14:paraId="49FBE594" w14:textId="35D808B5"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25%</w:t>
            </w:r>
          </w:p>
        </w:tc>
        <w:tc>
          <w:tcPr>
            <w:tcW w:w="1560" w:type="dxa"/>
          </w:tcPr>
          <w:p w14:paraId="5FA330E3" w14:textId="77777777"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5,123</w:t>
            </w:r>
          </w:p>
        </w:tc>
      </w:tr>
      <w:tr w:rsidR="009A7E69" w:rsidRPr="00184C50" w14:paraId="1F738F53" w14:textId="77777777" w:rsidTr="007008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dxa"/>
            <w:gridSpan w:val="2"/>
          </w:tcPr>
          <w:p w14:paraId="50A329BE" w14:textId="77777777" w:rsidR="00A81B07" w:rsidRPr="003E4F5C" w:rsidRDefault="00A81B07" w:rsidP="00921879">
            <w:pPr>
              <w:keepNext/>
              <w:keepLines/>
              <w:spacing w:after="0" w:line="240" w:lineRule="auto"/>
              <w:contextualSpacing/>
              <w:jc w:val="center"/>
            </w:pPr>
            <w:r w:rsidRPr="005C5B05">
              <w:t>2014</w:t>
            </w:r>
          </w:p>
        </w:tc>
        <w:tc>
          <w:tcPr>
            <w:tcW w:w="1258" w:type="dxa"/>
          </w:tcPr>
          <w:p w14:paraId="1E853B3D" w14:textId="77777777"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25%</w:t>
            </w:r>
          </w:p>
        </w:tc>
        <w:tc>
          <w:tcPr>
            <w:tcW w:w="1735" w:type="dxa"/>
          </w:tcPr>
          <w:p w14:paraId="783E4522" w14:textId="07D5DF95"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3</w:t>
            </w:r>
            <w:r>
              <w:t>1</w:t>
            </w:r>
            <w:r w:rsidRPr="005C5B05">
              <w:t>%</w:t>
            </w:r>
          </w:p>
        </w:tc>
        <w:tc>
          <w:tcPr>
            <w:tcW w:w="1559" w:type="dxa"/>
          </w:tcPr>
          <w:p w14:paraId="3DBB53CB" w14:textId="5B3D7046"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335DE8">
              <w:t>20,648</w:t>
            </w:r>
          </w:p>
        </w:tc>
        <w:tc>
          <w:tcPr>
            <w:tcW w:w="1701" w:type="dxa"/>
          </w:tcPr>
          <w:p w14:paraId="07EF2F7A" w14:textId="22DAC4C4"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18%</w:t>
            </w:r>
          </w:p>
        </w:tc>
        <w:tc>
          <w:tcPr>
            <w:tcW w:w="1560" w:type="dxa"/>
          </w:tcPr>
          <w:p w14:paraId="7DFD1430" w14:textId="77777777"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8,216</w:t>
            </w:r>
          </w:p>
        </w:tc>
      </w:tr>
      <w:tr w:rsidR="009A7E69" w:rsidRPr="00184C50" w14:paraId="42414A84" w14:textId="77777777" w:rsidTr="00700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dxa"/>
            <w:gridSpan w:val="2"/>
          </w:tcPr>
          <w:p w14:paraId="2F4E3400" w14:textId="77777777" w:rsidR="00A81B07" w:rsidRPr="003E4F5C" w:rsidRDefault="00A81B07" w:rsidP="00921879">
            <w:pPr>
              <w:keepNext/>
              <w:keepLines/>
              <w:spacing w:after="0" w:line="240" w:lineRule="auto"/>
              <w:contextualSpacing/>
              <w:jc w:val="center"/>
            </w:pPr>
            <w:r w:rsidRPr="005C5B05">
              <w:t>2015</w:t>
            </w:r>
          </w:p>
        </w:tc>
        <w:tc>
          <w:tcPr>
            <w:tcW w:w="1258" w:type="dxa"/>
          </w:tcPr>
          <w:p w14:paraId="662DBD76" w14:textId="77777777"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25%</w:t>
            </w:r>
          </w:p>
        </w:tc>
        <w:tc>
          <w:tcPr>
            <w:tcW w:w="1735" w:type="dxa"/>
          </w:tcPr>
          <w:p w14:paraId="03CA536E" w14:textId="77777777"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16%</w:t>
            </w:r>
          </w:p>
        </w:tc>
        <w:tc>
          <w:tcPr>
            <w:tcW w:w="1559" w:type="dxa"/>
          </w:tcPr>
          <w:p w14:paraId="1501E45C" w14:textId="5F090339"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335DE8">
              <w:t>-27,709</w:t>
            </w:r>
          </w:p>
        </w:tc>
        <w:tc>
          <w:tcPr>
            <w:tcW w:w="1701" w:type="dxa"/>
          </w:tcPr>
          <w:p w14:paraId="03EF443C" w14:textId="568A5C40"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9%</w:t>
            </w:r>
          </w:p>
        </w:tc>
        <w:tc>
          <w:tcPr>
            <w:tcW w:w="1560" w:type="dxa"/>
          </w:tcPr>
          <w:p w14:paraId="0D1957CA" w14:textId="77777777"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4,393</w:t>
            </w:r>
          </w:p>
        </w:tc>
      </w:tr>
      <w:tr w:rsidR="009A7E69" w:rsidRPr="00184C50" w14:paraId="559C9248" w14:textId="77777777" w:rsidTr="007008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dxa"/>
            <w:gridSpan w:val="2"/>
          </w:tcPr>
          <w:p w14:paraId="5DD48178" w14:textId="77777777" w:rsidR="00A81B07" w:rsidRPr="003E4F5C" w:rsidRDefault="00A81B07" w:rsidP="00921879">
            <w:pPr>
              <w:keepNext/>
              <w:keepLines/>
              <w:spacing w:after="0" w:line="240" w:lineRule="auto"/>
              <w:contextualSpacing/>
              <w:jc w:val="center"/>
            </w:pPr>
            <w:r w:rsidRPr="005C5B05">
              <w:t>2016</w:t>
            </w:r>
          </w:p>
        </w:tc>
        <w:tc>
          <w:tcPr>
            <w:tcW w:w="1258" w:type="dxa"/>
          </w:tcPr>
          <w:p w14:paraId="3C77B86D" w14:textId="77777777"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20%</w:t>
            </w:r>
          </w:p>
        </w:tc>
        <w:tc>
          <w:tcPr>
            <w:tcW w:w="1735" w:type="dxa"/>
          </w:tcPr>
          <w:p w14:paraId="57EB13A6" w14:textId="77777777"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9%</w:t>
            </w:r>
          </w:p>
        </w:tc>
        <w:tc>
          <w:tcPr>
            <w:tcW w:w="1559" w:type="dxa"/>
          </w:tcPr>
          <w:p w14:paraId="645C3E53" w14:textId="77CD7AB8"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335DE8">
              <w:t>-11,599</w:t>
            </w:r>
          </w:p>
        </w:tc>
        <w:tc>
          <w:tcPr>
            <w:tcW w:w="1701" w:type="dxa"/>
          </w:tcPr>
          <w:p w14:paraId="705DB047" w14:textId="32EF1698"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-2</w:t>
            </w:r>
            <w:r>
              <w:t>5</w:t>
            </w:r>
            <w:r w:rsidRPr="005C5B05">
              <w:t>%*</w:t>
            </w:r>
          </w:p>
        </w:tc>
        <w:tc>
          <w:tcPr>
            <w:tcW w:w="1560" w:type="dxa"/>
          </w:tcPr>
          <w:p w14:paraId="55407FFD" w14:textId="1DFFB0C8"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1</w:t>
            </w:r>
            <w:r w:rsidR="009A7E69">
              <w:t>,</w:t>
            </w:r>
            <w:r w:rsidRPr="005C5B05">
              <w:t>972</w:t>
            </w:r>
          </w:p>
        </w:tc>
      </w:tr>
      <w:tr w:rsidR="009A7E69" w:rsidRPr="00184C50" w14:paraId="627CBD40" w14:textId="77777777" w:rsidTr="00700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dxa"/>
            <w:gridSpan w:val="2"/>
          </w:tcPr>
          <w:p w14:paraId="72A4B170" w14:textId="77777777" w:rsidR="00A81B07" w:rsidRPr="003E4F5C" w:rsidRDefault="00A81B07" w:rsidP="00921879">
            <w:pPr>
              <w:keepNext/>
              <w:keepLines/>
              <w:spacing w:after="0" w:line="240" w:lineRule="auto"/>
              <w:contextualSpacing/>
              <w:jc w:val="center"/>
            </w:pPr>
            <w:r w:rsidRPr="005C5B05">
              <w:t>2017</w:t>
            </w:r>
          </w:p>
        </w:tc>
        <w:tc>
          <w:tcPr>
            <w:tcW w:w="1258" w:type="dxa"/>
          </w:tcPr>
          <w:p w14:paraId="33381B5C" w14:textId="77777777"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20%</w:t>
            </w:r>
          </w:p>
        </w:tc>
        <w:tc>
          <w:tcPr>
            <w:tcW w:w="1735" w:type="dxa"/>
          </w:tcPr>
          <w:p w14:paraId="0A7E7410" w14:textId="77777777"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13%</w:t>
            </w:r>
          </w:p>
        </w:tc>
        <w:tc>
          <w:tcPr>
            <w:tcW w:w="1559" w:type="dxa"/>
          </w:tcPr>
          <w:p w14:paraId="601FAA44" w14:textId="20E9DCF5"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335DE8">
              <w:t>-6,141</w:t>
            </w:r>
          </w:p>
        </w:tc>
        <w:tc>
          <w:tcPr>
            <w:tcW w:w="1701" w:type="dxa"/>
          </w:tcPr>
          <w:p w14:paraId="303742E9" w14:textId="41CFE8B8"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12%</w:t>
            </w:r>
          </w:p>
        </w:tc>
        <w:tc>
          <w:tcPr>
            <w:tcW w:w="1560" w:type="dxa"/>
          </w:tcPr>
          <w:p w14:paraId="530EA7DB" w14:textId="77777777"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356</w:t>
            </w:r>
          </w:p>
        </w:tc>
      </w:tr>
      <w:tr w:rsidR="009A7E69" w:rsidRPr="00184C50" w14:paraId="53887FCD" w14:textId="77777777" w:rsidTr="007008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dxa"/>
            <w:gridSpan w:val="2"/>
          </w:tcPr>
          <w:p w14:paraId="667536DC" w14:textId="77777777" w:rsidR="00A81B07" w:rsidRPr="003E4F5C" w:rsidRDefault="00A81B07" w:rsidP="00921879">
            <w:pPr>
              <w:keepNext/>
              <w:keepLines/>
              <w:spacing w:after="0" w:line="240" w:lineRule="auto"/>
              <w:contextualSpacing/>
              <w:jc w:val="center"/>
            </w:pPr>
            <w:r w:rsidRPr="005C5B05">
              <w:t>2018</w:t>
            </w:r>
          </w:p>
        </w:tc>
        <w:tc>
          <w:tcPr>
            <w:tcW w:w="1258" w:type="dxa"/>
          </w:tcPr>
          <w:p w14:paraId="39C6845E" w14:textId="77777777"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20%</w:t>
            </w:r>
          </w:p>
        </w:tc>
        <w:tc>
          <w:tcPr>
            <w:tcW w:w="1735" w:type="dxa"/>
          </w:tcPr>
          <w:p w14:paraId="0FD0D9F3" w14:textId="1942994A"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2</w:t>
            </w:r>
            <w:r>
              <w:t>6</w:t>
            </w:r>
            <w:r w:rsidRPr="005C5B05">
              <w:t>%</w:t>
            </w:r>
          </w:p>
        </w:tc>
        <w:tc>
          <w:tcPr>
            <w:tcW w:w="1559" w:type="dxa"/>
          </w:tcPr>
          <w:p w14:paraId="10741E7A" w14:textId="46CE5D13"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335DE8">
              <w:t>5,283</w:t>
            </w:r>
          </w:p>
        </w:tc>
        <w:tc>
          <w:tcPr>
            <w:tcW w:w="1701" w:type="dxa"/>
          </w:tcPr>
          <w:p w14:paraId="5A4603E9" w14:textId="2AFF7E15"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1</w:t>
            </w:r>
            <w:r>
              <w:t>6</w:t>
            </w:r>
            <w:r w:rsidRPr="005C5B05">
              <w:t>%</w:t>
            </w:r>
          </w:p>
        </w:tc>
        <w:tc>
          <w:tcPr>
            <w:tcW w:w="1560" w:type="dxa"/>
          </w:tcPr>
          <w:p w14:paraId="4B10EA2B" w14:textId="77777777" w:rsidR="00A81B07" w:rsidRPr="005C5B05"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5C5B05">
              <w:t>775</w:t>
            </w:r>
          </w:p>
        </w:tc>
      </w:tr>
      <w:tr w:rsidR="009A7E69" w:rsidRPr="00184C50" w14:paraId="7347AD66" w14:textId="77777777" w:rsidTr="00700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dxa"/>
            <w:gridSpan w:val="2"/>
            <w:tcBorders>
              <w:bottom w:val="single" w:sz="4" w:space="0" w:color="auto"/>
            </w:tcBorders>
          </w:tcPr>
          <w:p w14:paraId="697F5ADB" w14:textId="77777777" w:rsidR="00A81B07" w:rsidRDefault="00A81B07" w:rsidP="00921879">
            <w:pPr>
              <w:keepNext/>
              <w:keepLines/>
              <w:spacing w:after="0" w:line="240" w:lineRule="auto"/>
              <w:contextualSpacing/>
              <w:jc w:val="center"/>
            </w:pPr>
            <w:r w:rsidRPr="005C5B05">
              <w:t>2019</w:t>
            </w:r>
          </w:p>
          <w:p w14:paraId="369BCCC4" w14:textId="40533EA1" w:rsidR="00A81B07" w:rsidRPr="00B223A1" w:rsidRDefault="00A81B07" w:rsidP="00921879">
            <w:pPr>
              <w:keepNext/>
              <w:keepLines/>
              <w:spacing w:after="0" w:line="240" w:lineRule="auto"/>
              <w:contextualSpacing/>
              <w:jc w:val="center"/>
              <w:rPr>
                <w:b w:val="0"/>
              </w:rPr>
            </w:pPr>
            <w:r w:rsidRPr="00B223A1">
              <w:rPr>
                <w:b w:val="0"/>
                <w:sz w:val="20"/>
              </w:rPr>
              <w:t>Forecast**</w:t>
            </w:r>
          </w:p>
        </w:tc>
        <w:tc>
          <w:tcPr>
            <w:tcW w:w="1258" w:type="dxa"/>
            <w:tcBorders>
              <w:bottom w:val="single" w:sz="4" w:space="0" w:color="auto"/>
            </w:tcBorders>
          </w:tcPr>
          <w:p w14:paraId="120B4742" w14:textId="77777777"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20%</w:t>
            </w:r>
          </w:p>
        </w:tc>
        <w:tc>
          <w:tcPr>
            <w:tcW w:w="1735" w:type="dxa"/>
            <w:tcBorders>
              <w:bottom w:val="single" w:sz="4" w:space="0" w:color="auto"/>
            </w:tcBorders>
          </w:tcPr>
          <w:p w14:paraId="55B97077" w14:textId="0225A5A4"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3</w:t>
            </w:r>
            <w:r>
              <w:t>1</w:t>
            </w:r>
            <w:r w:rsidRPr="005C5B05">
              <w:t>%</w:t>
            </w:r>
          </w:p>
        </w:tc>
        <w:tc>
          <w:tcPr>
            <w:tcW w:w="1559" w:type="dxa"/>
            <w:tcBorders>
              <w:bottom w:val="single" w:sz="4" w:space="0" w:color="auto"/>
            </w:tcBorders>
          </w:tcPr>
          <w:p w14:paraId="17F44A48" w14:textId="75D572F9"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335DE8">
              <w:t>10,802</w:t>
            </w:r>
          </w:p>
        </w:tc>
        <w:tc>
          <w:tcPr>
            <w:tcW w:w="1701" w:type="dxa"/>
            <w:tcBorders>
              <w:bottom w:val="single" w:sz="4" w:space="0" w:color="auto"/>
            </w:tcBorders>
          </w:tcPr>
          <w:p w14:paraId="461C55A1" w14:textId="79502565"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1</w:t>
            </w:r>
            <w:r>
              <w:t>7</w:t>
            </w:r>
            <w:r w:rsidRPr="005C5B05">
              <w:t>%</w:t>
            </w:r>
          </w:p>
        </w:tc>
        <w:tc>
          <w:tcPr>
            <w:tcW w:w="1560" w:type="dxa"/>
            <w:tcBorders>
              <w:bottom w:val="single" w:sz="4" w:space="0" w:color="auto"/>
            </w:tcBorders>
          </w:tcPr>
          <w:p w14:paraId="480DD781" w14:textId="752D9F5A" w:rsidR="00A81B07" w:rsidRPr="005C5B05" w:rsidRDefault="00A81B07" w:rsidP="00921879">
            <w:pPr>
              <w:keepNext/>
              <w:keepLine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pPr>
            <w:r w:rsidRPr="005C5B05">
              <w:t>1</w:t>
            </w:r>
            <w:r w:rsidR="009A7E69">
              <w:t>,</w:t>
            </w:r>
            <w:r w:rsidRPr="005C5B05">
              <w:t>0</w:t>
            </w:r>
            <w:r>
              <w:t>66</w:t>
            </w:r>
          </w:p>
        </w:tc>
      </w:tr>
      <w:tr w:rsidR="009A7E69" w:rsidRPr="00184C50" w14:paraId="6EA1D97A" w14:textId="77777777" w:rsidTr="007008F5">
        <w:trPr>
          <w:cnfStyle w:val="000000010000" w:firstRow="0" w:lastRow="0" w:firstColumn="0" w:lastColumn="0" w:oddVBand="0" w:evenVBand="0" w:oddHBand="0" w:evenHBand="1"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108" w:type="dxa"/>
            <w:gridSpan w:val="2"/>
            <w:tcBorders>
              <w:left w:val="single" w:sz="4" w:space="0" w:color="auto"/>
              <w:bottom w:val="single" w:sz="4" w:space="0" w:color="auto"/>
            </w:tcBorders>
          </w:tcPr>
          <w:p w14:paraId="2933F27F" w14:textId="77777777" w:rsidR="00A81B07" w:rsidRDefault="00A81B07" w:rsidP="00921879">
            <w:pPr>
              <w:keepNext/>
              <w:keepLines/>
              <w:spacing w:after="0" w:line="240" w:lineRule="auto"/>
              <w:contextualSpacing/>
              <w:jc w:val="center"/>
            </w:pPr>
            <w:r>
              <w:t>2020</w:t>
            </w:r>
          </w:p>
          <w:p w14:paraId="1C8162B8" w14:textId="48EAAE9B" w:rsidR="00A81B07" w:rsidRPr="008E43EC" w:rsidRDefault="00A81B07" w:rsidP="00921879">
            <w:pPr>
              <w:keepNext/>
              <w:keepLines/>
              <w:spacing w:after="0" w:line="240" w:lineRule="auto"/>
              <w:contextualSpacing/>
              <w:jc w:val="center"/>
            </w:pPr>
            <w:r w:rsidRPr="00B223A1">
              <w:rPr>
                <w:b w:val="0"/>
                <w:sz w:val="20"/>
              </w:rPr>
              <w:t>Forecast**</w:t>
            </w:r>
          </w:p>
        </w:tc>
        <w:tc>
          <w:tcPr>
            <w:tcW w:w="1258" w:type="dxa"/>
            <w:tcBorders>
              <w:bottom w:val="single" w:sz="4" w:space="0" w:color="auto"/>
            </w:tcBorders>
          </w:tcPr>
          <w:p w14:paraId="2AB4F168" w14:textId="580A3D0B" w:rsidR="00A81B07" w:rsidRPr="008E43EC" w:rsidDel="00B223A1"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t>30%</w:t>
            </w:r>
          </w:p>
        </w:tc>
        <w:tc>
          <w:tcPr>
            <w:tcW w:w="1735" w:type="dxa"/>
            <w:tcBorders>
              <w:bottom w:val="single" w:sz="4" w:space="0" w:color="auto"/>
            </w:tcBorders>
          </w:tcPr>
          <w:p w14:paraId="7A9DDDF9" w14:textId="4457EADD" w:rsidR="00A81B07" w:rsidRPr="0032234A"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t>25%</w:t>
            </w:r>
          </w:p>
        </w:tc>
        <w:tc>
          <w:tcPr>
            <w:tcW w:w="1559" w:type="dxa"/>
            <w:tcBorders>
              <w:bottom w:val="single" w:sz="4" w:space="0" w:color="auto"/>
            </w:tcBorders>
          </w:tcPr>
          <w:p w14:paraId="69D54895" w14:textId="3AAC8B63" w:rsidR="00A81B07"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rsidRPr="00335DE8">
              <w:t>-2,083</w:t>
            </w:r>
          </w:p>
        </w:tc>
        <w:tc>
          <w:tcPr>
            <w:tcW w:w="1701" w:type="dxa"/>
            <w:tcBorders>
              <w:bottom w:val="single" w:sz="4" w:space="0" w:color="auto"/>
            </w:tcBorders>
          </w:tcPr>
          <w:p w14:paraId="15598655" w14:textId="22491C74" w:rsidR="00A81B07" w:rsidRPr="0032234A"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t>11%</w:t>
            </w:r>
          </w:p>
        </w:tc>
        <w:tc>
          <w:tcPr>
            <w:tcW w:w="1560" w:type="dxa"/>
            <w:tcBorders>
              <w:bottom w:val="single" w:sz="4" w:space="0" w:color="auto"/>
            </w:tcBorders>
          </w:tcPr>
          <w:p w14:paraId="26831B82" w14:textId="72473076" w:rsidR="00A81B07" w:rsidRPr="00EE1BFB" w:rsidRDefault="00A81B07" w:rsidP="00921879">
            <w:pPr>
              <w:keepNext/>
              <w:keepLines/>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pPr>
            <w:r>
              <w:t>1</w:t>
            </w:r>
            <w:r w:rsidR="009A7E69">
              <w:t>,</w:t>
            </w:r>
            <w:r>
              <w:t>019</w:t>
            </w:r>
          </w:p>
        </w:tc>
      </w:tr>
    </w:tbl>
    <w:p w14:paraId="62885A22" w14:textId="77777777" w:rsidR="000F196A" w:rsidRDefault="000F196A" w:rsidP="00921879">
      <w:pPr>
        <w:keepNext/>
        <w:spacing w:after="0"/>
        <w:rPr>
          <w:sz w:val="20"/>
          <w:szCs w:val="20"/>
        </w:rPr>
      </w:pPr>
    </w:p>
    <w:p w14:paraId="457F2477" w14:textId="55F992FA" w:rsidR="00455DCF" w:rsidRDefault="00090009" w:rsidP="003E4F5C">
      <w:pPr>
        <w:spacing w:after="0"/>
        <w:rPr>
          <w:sz w:val="20"/>
          <w:szCs w:val="20"/>
        </w:rPr>
      </w:pPr>
      <w:r w:rsidRPr="009B6FD6">
        <w:rPr>
          <w:sz w:val="20"/>
          <w:szCs w:val="20"/>
        </w:rPr>
        <w:t>*no abatement required in this compliance period due to carried over surplus above PHT.</w:t>
      </w:r>
    </w:p>
    <w:p w14:paraId="71F6E727" w14:textId="77777777" w:rsidR="00B148DC" w:rsidRDefault="00620B81" w:rsidP="00E862A6">
      <w:pPr>
        <w:spacing w:after="0"/>
        <w:rPr>
          <w:rFonts w:cstheme="minorHAnsi"/>
          <w:sz w:val="20"/>
          <w:szCs w:val="20"/>
        </w:rPr>
      </w:pPr>
      <w:r w:rsidRPr="007C56BE">
        <w:rPr>
          <w:rFonts w:cstheme="minorHAnsi"/>
          <w:sz w:val="20"/>
          <w:szCs w:val="20"/>
        </w:rPr>
        <w:t xml:space="preserve">**forecast PHT values are based on ACT Government </w:t>
      </w:r>
      <w:r>
        <w:rPr>
          <w:rFonts w:cstheme="minorHAnsi"/>
          <w:sz w:val="20"/>
          <w:szCs w:val="20"/>
        </w:rPr>
        <w:t>investment in H</w:t>
      </w:r>
      <w:r w:rsidRPr="007C56BE">
        <w:rPr>
          <w:rFonts w:cstheme="minorHAnsi"/>
          <w:sz w:val="20"/>
          <w:szCs w:val="20"/>
        </w:rPr>
        <w:t>ousing ACT properties.</w:t>
      </w:r>
    </w:p>
    <w:p w14:paraId="6B167982" w14:textId="38810249" w:rsidR="00B148DC" w:rsidRDefault="00B148DC" w:rsidP="00E862A6">
      <w:pPr>
        <w:spacing w:after="0" w:line="240" w:lineRule="auto"/>
        <w:ind w:left="720" w:hanging="720"/>
        <w:rPr>
          <w:sz w:val="20"/>
          <w:szCs w:val="20"/>
        </w:rPr>
      </w:pPr>
      <w:r>
        <w:rPr>
          <w:sz w:val="20"/>
          <w:szCs w:val="20"/>
        </w:rPr>
        <w:t>Notes</w:t>
      </w:r>
      <w:r>
        <w:rPr>
          <w:sz w:val="20"/>
          <w:szCs w:val="20"/>
        </w:rPr>
        <w:tab/>
        <w:t>Columns 3 and 4 do not account for any carry over surplus from the previous year</w:t>
      </w:r>
      <w:r w:rsidR="009A7E69">
        <w:rPr>
          <w:sz w:val="20"/>
          <w:szCs w:val="20"/>
        </w:rPr>
        <w:t xml:space="preserve"> and relate to abatement delivered</w:t>
      </w:r>
      <w:r w:rsidR="00684C13">
        <w:rPr>
          <w:sz w:val="20"/>
          <w:szCs w:val="20"/>
        </w:rPr>
        <w:t>,</w:t>
      </w:r>
      <w:r w:rsidR="009A7E69">
        <w:rPr>
          <w:sz w:val="20"/>
          <w:szCs w:val="20"/>
        </w:rPr>
        <w:t xml:space="preserve"> not the abatement obligation (RESO)</w:t>
      </w:r>
      <w:r>
        <w:rPr>
          <w:sz w:val="20"/>
          <w:szCs w:val="20"/>
        </w:rPr>
        <w:t>.</w:t>
      </w:r>
    </w:p>
    <w:p w14:paraId="0AE52F92" w14:textId="22766C34" w:rsidR="00B148DC" w:rsidRPr="00B148DC" w:rsidRDefault="00B148DC" w:rsidP="00E862A6">
      <w:pPr>
        <w:spacing w:after="0" w:line="240" w:lineRule="auto"/>
        <w:rPr>
          <w:sz w:val="20"/>
          <w:szCs w:val="20"/>
        </w:rPr>
      </w:pPr>
      <w:r>
        <w:rPr>
          <w:sz w:val="20"/>
          <w:szCs w:val="20"/>
        </w:rPr>
        <w:tab/>
        <w:t>Column 5 account</w:t>
      </w:r>
      <w:r w:rsidR="009A7E69">
        <w:rPr>
          <w:sz w:val="20"/>
          <w:szCs w:val="20"/>
        </w:rPr>
        <w:t>s</w:t>
      </w:r>
      <w:r>
        <w:rPr>
          <w:sz w:val="20"/>
          <w:szCs w:val="20"/>
        </w:rPr>
        <w:t xml:space="preserve"> for the carry over surplus from the previous year.</w:t>
      </w:r>
    </w:p>
    <w:p w14:paraId="1A73E49F" w14:textId="77777777" w:rsidR="00B148DC" w:rsidRDefault="00B148DC" w:rsidP="00620B81">
      <w:pPr>
        <w:rPr>
          <w:rFonts w:cstheme="minorHAnsi"/>
          <w:sz w:val="20"/>
          <w:szCs w:val="20"/>
        </w:rPr>
      </w:pPr>
    </w:p>
    <w:p w14:paraId="7743E455" w14:textId="4228B5B4" w:rsidR="00656911" w:rsidRDefault="00656911" w:rsidP="009E5708">
      <w:pPr>
        <w:rPr>
          <w:bCs w:val="0"/>
        </w:rPr>
      </w:pPr>
      <w:r>
        <w:rPr>
          <w:bCs w:val="0"/>
        </w:rPr>
        <w:t>The forecast figures for 2019 and 2020 are based on the abatement the EEIS is likely to achieve</w:t>
      </w:r>
      <w:r w:rsidRPr="00D9771F">
        <w:rPr>
          <w:bCs w:val="0"/>
        </w:rPr>
        <w:t xml:space="preserve"> </w:t>
      </w:r>
      <w:r>
        <w:rPr>
          <w:bCs w:val="0"/>
        </w:rPr>
        <w:t>in priority households with the $7million investment from the ACT Government. Approximately</w:t>
      </w:r>
      <w:r w:rsidRPr="006002BD">
        <w:rPr>
          <w:bCs w:val="0"/>
        </w:rPr>
        <w:t xml:space="preserve"> 2,200 highly efficient heaters and hot water units</w:t>
      </w:r>
      <w:r>
        <w:rPr>
          <w:bCs w:val="0"/>
        </w:rPr>
        <w:t xml:space="preserve"> will be installed into public housing.</w:t>
      </w:r>
    </w:p>
    <w:p w14:paraId="1D7E112D" w14:textId="3D225EB1" w:rsidR="00A14F25" w:rsidRDefault="003C3352" w:rsidP="009E5708">
      <w:r>
        <w:t xml:space="preserve">This ACT government </w:t>
      </w:r>
      <w:r w:rsidRPr="00055CA9">
        <w:rPr>
          <w:i/>
        </w:rPr>
        <w:t>Energy Efficiency Improvements in Public Housing</w:t>
      </w:r>
      <w:r>
        <w:t xml:space="preserve"> initiative</w:t>
      </w:r>
      <w:r w:rsidR="00397606">
        <w:t xml:space="preserve"> is estimated to </w:t>
      </w:r>
      <w:r>
        <w:t>provide around 4</w:t>
      </w:r>
      <w:r w:rsidR="00D67F84">
        <w:t>8</w:t>
      </w:r>
      <w:r>
        <w:t>,000</w:t>
      </w:r>
      <w:r w:rsidRPr="00BF52FC">
        <w:t xml:space="preserve"> </w:t>
      </w:r>
      <w:r>
        <w:t>tCO</w:t>
      </w:r>
      <w:r w:rsidRPr="00E862A6">
        <w:rPr>
          <w:vertAlign w:val="subscript"/>
        </w:rPr>
        <w:t>2</w:t>
      </w:r>
      <w:r>
        <w:t>e</w:t>
      </w:r>
      <w:r w:rsidR="00397606">
        <w:t xml:space="preserve"> of abatement</w:t>
      </w:r>
      <w:r>
        <w:t xml:space="preserve">. </w:t>
      </w:r>
      <w:r w:rsidR="0034049C">
        <w:t>At the 20</w:t>
      </w:r>
      <w:r w:rsidR="001121CC">
        <w:t xml:space="preserve"> per cent</w:t>
      </w:r>
      <w:r w:rsidR="0034049C">
        <w:t xml:space="preserve"> level, total priority household abatement </w:t>
      </w:r>
      <w:r w:rsidR="000C4234">
        <w:t xml:space="preserve">required </w:t>
      </w:r>
      <w:r w:rsidR="00397606">
        <w:t>f</w:t>
      </w:r>
      <w:r w:rsidR="00397606" w:rsidRPr="00E862A6">
        <w:t>or th</w:t>
      </w:r>
      <w:r w:rsidR="00397606">
        <w:t xml:space="preserve">e 2019 and 2020 periods </w:t>
      </w:r>
      <w:r>
        <w:t xml:space="preserve">would be </w:t>
      </w:r>
      <w:r w:rsidR="00EF4F16">
        <w:t xml:space="preserve">approximately </w:t>
      </w:r>
      <w:r>
        <w:t>31,500</w:t>
      </w:r>
      <w:r w:rsidR="0034049C">
        <w:t xml:space="preserve"> tCO</w:t>
      </w:r>
      <w:r w:rsidR="0034049C" w:rsidRPr="0034049C">
        <w:rPr>
          <w:vertAlign w:val="subscript"/>
        </w:rPr>
        <w:t>2</w:t>
      </w:r>
      <w:r w:rsidR="0034049C">
        <w:t xml:space="preserve">e, meaning that </w:t>
      </w:r>
      <w:r w:rsidR="00397606">
        <w:t xml:space="preserve">ActewAGL would achieve a </w:t>
      </w:r>
      <w:r w:rsidR="0034049C">
        <w:t xml:space="preserve">significant surplus </w:t>
      </w:r>
      <w:r w:rsidR="00397606">
        <w:t>of</w:t>
      </w:r>
      <w:r w:rsidR="00EF4F16">
        <w:t xml:space="preserve"> around</w:t>
      </w:r>
      <w:r w:rsidR="00397606">
        <w:t xml:space="preserve"> 1</w:t>
      </w:r>
      <w:r w:rsidR="00D67F84">
        <w:t>6</w:t>
      </w:r>
      <w:r w:rsidR="00397606">
        <w:t>,500 tCO</w:t>
      </w:r>
      <w:r w:rsidR="00397606" w:rsidRPr="0034049C">
        <w:rPr>
          <w:vertAlign w:val="subscript"/>
        </w:rPr>
        <w:t>2</w:t>
      </w:r>
      <w:r w:rsidR="00397606">
        <w:t xml:space="preserve">e </w:t>
      </w:r>
      <w:r w:rsidR="0034049C">
        <w:t>if the current 20</w:t>
      </w:r>
      <w:r w:rsidR="001121CC">
        <w:t xml:space="preserve"> per cent</w:t>
      </w:r>
      <w:r w:rsidR="0034049C">
        <w:t xml:space="preserve"> target is retained. Raising the target to 30</w:t>
      </w:r>
      <w:r w:rsidR="001121CC">
        <w:t xml:space="preserve"> per cent</w:t>
      </w:r>
      <w:r w:rsidR="0034049C">
        <w:t xml:space="preserve"> would increase the expected priori</w:t>
      </w:r>
      <w:r>
        <w:t>ty household abatement to 39,000</w:t>
      </w:r>
      <w:r w:rsidR="00684C13" w:rsidRPr="00684C13">
        <w:t xml:space="preserve"> </w:t>
      </w:r>
      <w:r w:rsidR="00684C13" w:rsidRPr="00B83F07">
        <w:t>tCO</w:t>
      </w:r>
      <w:r w:rsidR="00684C13" w:rsidRPr="00E656AB">
        <w:rPr>
          <w:vertAlign w:val="subscript"/>
        </w:rPr>
        <w:t>2</w:t>
      </w:r>
      <w:r w:rsidR="00684C13" w:rsidRPr="00B83F07">
        <w:t>e</w:t>
      </w:r>
      <w:r w:rsidR="00397606">
        <w:t>,</w:t>
      </w:r>
      <w:r w:rsidR="00397606" w:rsidRPr="00E862A6">
        <w:t xml:space="preserve"> </w:t>
      </w:r>
      <w:r w:rsidR="00397606">
        <w:t xml:space="preserve">reducing the surplus to </w:t>
      </w:r>
      <w:r w:rsidR="004818A4">
        <w:t>approximately 9</w:t>
      </w:r>
      <w:r w:rsidR="00397606">
        <w:t>,000</w:t>
      </w:r>
      <w:r w:rsidR="00397606" w:rsidRPr="00464A62">
        <w:t xml:space="preserve"> </w:t>
      </w:r>
      <w:r w:rsidR="00397606">
        <w:t>tCO</w:t>
      </w:r>
      <w:r w:rsidR="00397606" w:rsidRPr="00E862A6">
        <w:rPr>
          <w:vertAlign w:val="subscript"/>
        </w:rPr>
        <w:t>2</w:t>
      </w:r>
      <w:r w:rsidR="00397606">
        <w:t xml:space="preserve">e going into 2021.  </w:t>
      </w:r>
      <w:r w:rsidR="00232E04">
        <w:t>It is expected that barriers such as co-payments and split incentives will make achieving the Priority Household Target more difficult beyond 2021.</w:t>
      </w:r>
      <w:r w:rsidR="00EF4F16">
        <w:t xml:space="preserve"> </w:t>
      </w:r>
    </w:p>
    <w:p w14:paraId="0C3040C9" w14:textId="115BE2D7" w:rsidR="00AC6CAC" w:rsidRDefault="0034049C" w:rsidP="009E5708">
      <w:r>
        <w:t>The</w:t>
      </w:r>
      <w:r w:rsidR="00232E04">
        <w:t>refore a</w:t>
      </w:r>
      <w:r>
        <w:t xml:space="preserve"> 30</w:t>
      </w:r>
      <w:r w:rsidR="001121CC">
        <w:t xml:space="preserve"> per cent</w:t>
      </w:r>
      <w:r>
        <w:t xml:space="preserve"> setting is considered optimal </w:t>
      </w:r>
      <w:r w:rsidR="00232E04">
        <w:t xml:space="preserve">to ensure </w:t>
      </w:r>
      <w:r w:rsidR="00BC08B5">
        <w:t xml:space="preserve">ActewAGL </w:t>
      </w:r>
      <w:r w:rsidR="00232E04">
        <w:t xml:space="preserve">is able to meet the target, but </w:t>
      </w:r>
      <w:r w:rsidR="00055CA9">
        <w:t>continues investing</w:t>
      </w:r>
      <w:r w:rsidR="00BC08B5">
        <w:t xml:space="preserve"> in abatement programs to priority households beyond the </w:t>
      </w:r>
      <w:r w:rsidR="00055CA9">
        <w:t xml:space="preserve">public </w:t>
      </w:r>
      <w:r w:rsidR="00BC08B5">
        <w:t xml:space="preserve">housing group. </w:t>
      </w:r>
    </w:p>
    <w:p w14:paraId="39A6B655" w14:textId="78F0EB32" w:rsidR="00455DCF" w:rsidRDefault="00455DCF" w:rsidP="009E5708">
      <w:r>
        <w:t xml:space="preserve">EEIS opportunities have shifted over the life of the scheme, and these changes are reflected in the types of activities that have been delivered by </w:t>
      </w:r>
      <w:r w:rsidR="00DE6807">
        <w:t>ActewAGL</w:t>
      </w:r>
      <w:r>
        <w:t xml:space="preserve">. </w:t>
      </w:r>
      <w:r w:rsidR="0085559B">
        <w:t>From 2013 until 2016</w:t>
      </w:r>
      <w:r>
        <w:t xml:space="preserve">, most </w:t>
      </w:r>
      <w:r>
        <w:lastRenderedPageBreak/>
        <w:t>of the priority household abatement was delivered through a small set of activities including standby power controller, compact fluorescent light globe</w:t>
      </w:r>
      <w:r w:rsidR="00AC745E">
        <w:t>, draught sealing</w:t>
      </w:r>
      <w:r>
        <w:t xml:space="preserve"> and refrigerator removal activities. These activities are widely considered the ‘low hanging fruit’ of energy efficiency schemes and have been delivered free of charge in the ACT, consistent with other schemes. </w:t>
      </w:r>
    </w:p>
    <w:p w14:paraId="2F3CAC80" w14:textId="53C40B1E" w:rsidR="0085559B" w:rsidRDefault="0085559B" w:rsidP="009E5708">
      <w:r>
        <w:t>In 2017,</w:t>
      </w:r>
      <w:r w:rsidR="00B7174D" w:rsidRPr="00B7174D">
        <w:t xml:space="preserve"> </w:t>
      </w:r>
      <w:r w:rsidR="009B6FD6">
        <w:t>more</w:t>
      </w:r>
      <w:r w:rsidR="00B7174D" w:rsidRPr="00B7174D">
        <w:t xml:space="preserve"> heating and cooling activities </w:t>
      </w:r>
      <w:r w:rsidR="009B6FD6">
        <w:t xml:space="preserve">were delivered which </w:t>
      </w:r>
      <w:r w:rsidR="00B7174D" w:rsidRPr="00B7174D">
        <w:t xml:space="preserve">has led to </w:t>
      </w:r>
      <w:r w:rsidR="009B6FD6">
        <w:t>higher</w:t>
      </w:r>
      <w:r w:rsidR="00B7174D" w:rsidRPr="00B7174D">
        <w:t xml:space="preserve"> energy </w:t>
      </w:r>
      <w:r w:rsidR="009B6FD6">
        <w:t xml:space="preserve">bill and emission </w:t>
      </w:r>
      <w:r w:rsidR="00B7174D" w:rsidRPr="00B7174D">
        <w:t xml:space="preserve">savings </w:t>
      </w:r>
      <w:r w:rsidR="009B6FD6">
        <w:t xml:space="preserve">and improvements in thermal comfort </w:t>
      </w:r>
      <w:r w:rsidR="00B7174D" w:rsidRPr="00B7174D">
        <w:t>for participating households</w:t>
      </w:r>
      <w:r w:rsidR="009B6FD6">
        <w:t>. However, a</w:t>
      </w:r>
      <w:r w:rsidR="00B7174D" w:rsidRPr="00B7174D">
        <w:t xml:space="preserve"> smaller number of households have benefited </w:t>
      </w:r>
      <w:r w:rsidR="00B7174D">
        <w:t>from these activities, which explains the reduced number of priority households visited in 2017</w:t>
      </w:r>
      <w:r w:rsidR="00D9771F">
        <w:t xml:space="preserve"> and 2018</w:t>
      </w:r>
      <w:r w:rsidR="00551AF6">
        <w:t>.</w:t>
      </w:r>
      <w:r w:rsidR="00397606">
        <w:t xml:space="preserve"> </w:t>
      </w:r>
    </w:p>
    <w:p w14:paraId="624DC497" w14:textId="6BE5E92B" w:rsidR="009B6FD6" w:rsidRDefault="00CE7DDD" w:rsidP="009B6FD6">
      <w:r>
        <w:t>Over 18,000</w:t>
      </w:r>
      <w:r w:rsidR="009B6FD6" w:rsidRPr="00212E46">
        <w:t xml:space="preserve"> </w:t>
      </w:r>
      <w:r w:rsidR="009B6FD6">
        <w:t xml:space="preserve">priority households received EEIS activities </w:t>
      </w:r>
      <w:r w:rsidR="009B6FD6" w:rsidRPr="00212E46">
        <w:t>from 2013 to 201</w:t>
      </w:r>
      <w:r w:rsidR="00D9771F">
        <w:t>8</w:t>
      </w:r>
      <w:r w:rsidR="009B6FD6">
        <w:t xml:space="preserve">. </w:t>
      </w:r>
      <w:r w:rsidR="009B6FD6" w:rsidRPr="00212E46">
        <w:t>Commentary in advance of the ACT Budget 2016-17 states that “concessions play an important role in supporting around 30,000 Canberra households, and the need for support is increasing”</w:t>
      </w:r>
      <w:r w:rsidR="009B6FD6" w:rsidRPr="00212E46">
        <w:rPr>
          <w:rStyle w:val="FootnoteReference"/>
          <w:rFonts w:cs="Calibri"/>
        </w:rPr>
        <w:footnoteReference w:id="14"/>
      </w:r>
      <w:r w:rsidR="009B6FD6" w:rsidRPr="00212E46">
        <w:t>. ABS estimates that there are approximately 156,000 households in ACT in 2017, meaning that over 19 per cent of all Canberra houses fit the definition of EEIS priority households. This</w:t>
      </w:r>
      <w:r w:rsidR="009B6FD6">
        <w:t xml:space="preserve"> suggests that about two-thirds of ACT priority households have received EEIS benefits.</w:t>
      </w:r>
    </w:p>
    <w:p w14:paraId="6F2EF66D" w14:textId="0F226BA1" w:rsidR="002D6374" w:rsidRDefault="00A57AF1" w:rsidP="009E5708">
      <w:r>
        <w:t xml:space="preserve">The </w:t>
      </w:r>
      <w:r w:rsidR="00702A6A">
        <w:t xml:space="preserve">ACT </w:t>
      </w:r>
      <w:r w:rsidR="00CE7DDD">
        <w:t>G</w:t>
      </w:r>
      <w:r w:rsidR="002D6374">
        <w:t>overnment is maintaining comple</w:t>
      </w:r>
      <w:r w:rsidR="00702A6A">
        <w:t>mentary programs to assist low income households with energy efficient upgrades. These include the Actsmart Household Energy Efficiency Program</w:t>
      </w:r>
      <w:r w:rsidR="00702A6A">
        <w:rPr>
          <w:rStyle w:val="FootnoteReference"/>
          <w:rFonts w:cs="Calibri"/>
        </w:rPr>
        <w:footnoteReference w:id="15"/>
      </w:r>
      <w:r w:rsidR="00702A6A">
        <w:t>, No Interest Loan Scheme</w:t>
      </w:r>
      <w:r w:rsidR="00702A6A">
        <w:rPr>
          <w:rStyle w:val="FootnoteReference"/>
          <w:rFonts w:cs="Calibri"/>
        </w:rPr>
        <w:footnoteReference w:id="16"/>
      </w:r>
      <w:r w:rsidR="00702A6A">
        <w:t xml:space="preserve">, and the </w:t>
      </w:r>
      <w:r w:rsidR="00621891" w:rsidRPr="00F215BF">
        <w:rPr>
          <w:bCs w:val="0"/>
        </w:rPr>
        <w:t>Solar for Low Income Program</w:t>
      </w:r>
      <w:r w:rsidR="00702A6A">
        <w:rPr>
          <w:rStyle w:val="FootnoteReference"/>
          <w:rFonts w:cs="Calibri"/>
        </w:rPr>
        <w:footnoteReference w:id="17"/>
      </w:r>
      <w:r w:rsidR="00702A6A">
        <w:t xml:space="preserve">. </w:t>
      </w:r>
      <w:r w:rsidR="002D6374">
        <w:t>The</w:t>
      </w:r>
      <w:r w:rsidR="009B6FD6">
        <w:t>se</w:t>
      </w:r>
      <w:r w:rsidR="002D6374">
        <w:t xml:space="preserve"> Actsmart Energy programs are funded by, and operate complementary to</w:t>
      </w:r>
      <w:r w:rsidR="00551AF6">
        <w:t xml:space="preserve">, </w:t>
      </w:r>
      <w:r w:rsidR="002D6374">
        <w:t>the Energy Efficiency Improvement Scheme (EEIS) to maximise opportunities for businesses and households to reduce emissions and energy costs</w:t>
      </w:r>
      <w:r w:rsidR="00C16A2C">
        <w:t xml:space="preserve"> by offering energy efficient opportunities beyond those being delivered through EEIS</w:t>
      </w:r>
      <w:r w:rsidR="002D6374">
        <w:t xml:space="preserve">. </w:t>
      </w:r>
    </w:p>
    <w:p w14:paraId="77B09D78" w14:textId="10E2A493" w:rsidR="00A678DD" w:rsidRDefault="00B6737F" w:rsidP="009E5708">
      <w:r>
        <w:t>Together, these examples show that the PHT policy objectives are being consistently met and that new opportunities exist for continuing to deliver these objectives through the PHT.</w:t>
      </w:r>
      <w:r w:rsidR="0009521A">
        <w:t xml:space="preserve"> </w:t>
      </w:r>
    </w:p>
    <w:p w14:paraId="028E7CB1" w14:textId="77777777" w:rsidR="00986E3F" w:rsidRPr="00F93E3B" w:rsidRDefault="00986E3F" w:rsidP="00936FC2">
      <w:pPr>
        <w:pStyle w:val="Heading1"/>
        <w:numPr>
          <w:ilvl w:val="0"/>
          <w:numId w:val="6"/>
        </w:numPr>
      </w:pPr>
      <w:bookmarkStart w:id="13" w:name="_Toc7625307"/>
      <w:r w:rsidRPr="00F93E3B">
        <w:t>Consultation</w:t>
      </w:r>
      <w:bookmarkEnd w:id="13"/>
    </w:p>
    <w:p w14:paraId="2F525031" w14:textId="111FC5EE" w:rsidR="00986E3F" w:rsidRPr="00F93E3B" w:rsidRDefault="00986E3F" w:rsidP="003E4F5C">
      <w:r w:rsidRPr="00F93E3B">
        <w:t xml:space="preserve">Consultation on the Priority Household Target </w:t>
      </w:r>
      <w:r>
        <w:t xml:space="preserve">(PHT) </w:t>
      </w:r>
      <w:r w:rsidRPr="00F93E3B">
        <w:t xml:space="preserve">was carried out </w:t>
      </w:r>
      <w:r w:rsidR="00CE7DDD">
        <w:t>at an EEIS Stakeholder Forum in February 2019</w:t>
      </w:r>
      <w:r w:rsidRPr="00F93E3B">
        <w:t>.</w:t>
      </w:r>
    </w:p>
    <w:p w14:paraId="0DA5D6EE" w14:textId="3F0A0530" w:rsidR="00986E3F" w:rsidRDefault="00986E3F" w:rsidP="00986E3F">
      <w:pPr>
        <w:rPr>
          <w:rFonts w:ascii="Calibri" w:hAnsi="Calibri" w:cs="Times New Roman"/>
          <w:bCs w:val="0"/>
          <w:sz w:val="22"/>
          <w:szCs w:val="22"/>
        </w:rPr>
      </w:pPr>
      <w:r w:rsidRPr="00FB2A73">
        <w:t>Stakeholders were asked to provide feedback on the following questions:</w:t>
      </w:r>
    </w:p>
    <w:tbl>
      <w:tblPr>
        <w:tblW w:w="0" w:type="auto"/>
        <w:tblCellMar>
          <w:left w:w="0" w:type="dxa"/>
          <w:right w:w="0" w:type="dxa"/>
        </w:tblCellMar>
        <w:tblLook w:val="04A0" w:firstRow="1" w:lastRow="0" w:firstColumn="1" w:lastColumn="0" w:noHBand="0" w:noVBand="1"/>
      </w:tblPr>
      <w:tblGrid>
        <w:gridCol w:w="9006"/>
      </w:tblGrid>
      <w:tr w:rsidR="00986E3F" w14:paraId="42A9F465" w14:textId="77777777" w:rsidTr="008231E0">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24A224" w14:textId="77777777" w:rsidR="00CE7DDD" w:rsidRPr="007C56BE" w:rsidRDefault="00CE7DDD" w:rsidP="00CE7DDD">
            <w:pPr>
              <w:rPr>
                <w:rFonts w:cstheme="minorHAnsi"/>
                <w:color w:val="000000" w:themeColor="text1"/>
              </w:rPr>
            </w:pPr>
            <w:r w:rsidRPr="007C56BE">
              <w:rPr>
                <w:rFonts w:cstheme="minorHAnsi"/>
                <w:color w:val="000000" w:themeColor="text1"/>
              </w:rPr>
              <w:lastRenderedPageBreak/>
              <w:t xml:space="preserve">The ACT Government is </w:t>
            </w:r>
            <w:r>
              <w:rPr>
                <w:rFonts w:cstheme="minorHAnsi"/>
                <w:color w:val="000000" w:themeColor="text1"/>
              </w:rPr>
              <w:t xml:space="preserve">consulting stakeholders on </w:t>
            </w:r>
            <w:r w:rsidRPr="007C56BE">
              <w:rPr>
                <w:rFonts w:cstheme="minorHAnsi"/>
                <w:color w:val="000000" w:themeColor="text1"/>
              </w:rPr>
              <w:t xml:space="preserve">the </w:t>
            </w:r>
            <w:r>
              <w:rPr>
                <w:rFonts w:cstheme="minorHAnsi"/>
                <w:color w:val="000000" w:themeColor="text1"/>
              </w:rPr>
              <w:t>setting of the 2020 Priority Household T</w:t>
            </w:r>
            <w:r w:rsidRPr="007C56BE">
              <w:rPr>
                <w:rFonts w:cstheme="minorHAnsi"/>
                <w:color w:val="000000" w:themeColor="text1"/>
              </w:rPr>
              <w:t>arget.</w:t>
            </w:r>
          </w:p>
          <w:p w14:paraId="216D0224" w14:textId="77777777" w:rsidR="00CE7DDD" w:rsidRPr="007C56BE" w:rsidRDefault="00CE7DDD" w:rsidP="00936FC2">
            <w:pPr>
              <w:pStyle w:val="ListParagraph"/>
              <w:numPr>
                <w:ilvl w:val="0"/>
                <w:numId w:val="14"/>
              </w:numPr>
              <w:autoSpaceDE/>
              <w:autoSpaceDN/>
              <w:adjustRightInd/>
              <w:spacing w:after="160" w:line="259" w:lineRule="auto"/>
              <w:rPr>
                <w:rFonts w:eastAsia="Calibri" w:cstheme="minorHAnsi"/>
                <w:bCs w:val="0"/>
                <w:color w:val="000000" w:themeColor="text1"/>
              </w:rPr>
            </w:pPr>
            <w:r w:rsidRPr="007C56BE">
              <w:rPr>
                <w:rFonts w:eastAsia="Calibri" w:cstheme="minorHAnsi"/>
                <w:color w:val="000000" w:themeColor="text1"/>
              </w:rPr>
              <w:t xml:space="preserve">What do you think the EEIS Priority Household Target should be set at in 2020? </w:t>
            </w:r>
          </w:p>
          <w:p w14:paraId="6DF7E85B" w14:textId="77777777" w:rsidR="00CE7DDD" w:rsidRPr="007C56BE" w:rsidRDefault="00CE7DDD" w:rsidP="00936FC2">
            <w:pPr>
              <w:pStyle w:val="ListParagraph"/>
              <w:numPr>
                <w:ilvl w:val="0"/>
                <w:numId w:val="14"/>
              </w:numPr>
              <w:autoSpaceDE/>
              <w:autoSpaceDN/>
              <w:adjustRightInd/>
              <w:spacing w:after="160" w:line="259" w:lineRule="auto"/>
              <w:rPr>
                <w:rFonts w:eastAsia="Calibri" w:cstheme="minorHAnsi"/>
                <w:bCs w:val="0"/>
                <w:color w:val="000000" w:themeColor="text1"/>
              </w:rPr>
            </w:pPr>
            <w:r w:rsidRPr="007C56BE">
              <w:rPr>
                <w:rFonts w:eastAsia="Calibri" w:cstheme="minorHAnsi"/>
                <w:color w:val="000000" w:themeColor="text1"/>
              </w:rPr>
              <w:t>Why do you think it should be set at this level?</w:t>
            </w:r>
          </w:p>
          <w:p w14:paraId="4B2AC3E5" w14:textId="77777777" w:rsidR="00986E3F" w:rsidRDefault="00986E3F" w:rsidP="008231E0">
            <w:pPr>
              <w:spacing w:after="160" w:line="252" w:lineRule="auto"/>
              <w:ind w:left="1080"/>
              <w:contextualSpacing/>
              <w:rPr>
                <w:sz w:val="22"/>
                <w:szCs w:val="22"/>
              </w:rPr>
            </w:pPr>
          </w:p>
        </w:tc>
      </w:tr>
    </w:tbl>
    <w:p w14:paraId="76B8C50D" w14:textId="77777777" w:rsidR="00986E3F" w:rsidRPr="00F93E3B" w:rsidRDefault="00986E3F" w:rsidP="00986E3F">
      <w:pPr>
        <w:spacing w:after="0"/>
      </w:pPr>
    </w:p>
    <w:p w14:paraId="296C80DB" w14:textId="45C710CB" w:rsidR="00986E3F" w:rsidRPr="00F93E3B" w:rsidRDefault="00986E3F" w:rsidP="00986E3F">
      <w:pPr>
        <w:spacing w:after="0"/>
      </w:pPr>
      <w:r w:rsidRPr="00F93E3B">
        <w:t xml:space="preserve">The following stakeholders </w:t>
      </w:r>
      <w:r w:rsidR="00551AF6">
        <w:t>provided input at</w:t>
      </w:r>
      <w:r w:rsidR="00CE7DDD">
        <w:t xml:space="preserve"> the forum:</w:t>
      </w:r>
    </w:p>
    <w:p w14:paraId="42981239" w14:textId="61BD146C" w:rsidR="00986E3F" w:rsidRPr="00F93E3B" w:rsidRDefault="00986E3F" w:rsidP="00986E3F">
      <w:pPr>
        <w:pStyle w:val="ListParagraph"/>
        <w:numPr>
          <w:ilvl w:val="0"/>
          <w:numId w:val="5"/>
        </w:numPr>
      </w:pPr>
      <w:r w:rsidRPr="00F93E3B">
        <w:t>ACAT Energy and Water</w:t>
      </w:r>
      <w:r>
        <w:t xml:space="preserve"> (ACAT</w:t>
      </w:r>
      <w:r w:rsidR="00CE7DDD">
        <w:t>)</w:t>
      </w:r>
    </w:p>
    <w:p w14:paraId="5EFFE52E" w14:textId="77777777" w:rsidR="00986E3F" w:rsidRPr="00F93E3B" w:rsidRDefault="00986E3F" w:rsidP="00986E3F">
      <w:pPr>
        <w:pStyle w:val="ListParagraph"/>
        <w:numPr>
          <w:ilvl w:val="0"/>
          <w:numId w:val="5"/>
        </w:numPr>
      </w:pPr>
      <w:r w:rsidRPr="00F93E3B">
        <w:t>ACT Council of Social Services (ACTCOSS)</w:t>
      </w:r>
    </w:p>
    <w:p w14:paraId="1A07F2B3" w14:textId="1720C448" w:rsidR="00986E3F" w:rsidRPr="00F93E3B" w:rsidRDefault="00986E3F" w:rsidP="00986E3F">
      <w:pPr>
        <w:pStyle w:val="ListParagraph"/>
        <w:numPr>
          <w:ilvl w:val="0"/>
          <w:numId w:val="5"/>
        </w:numPr>
      </w:pPr>
      <w:r w:rsidRPr="00F93E3B">
        <w:t>ActewAGL</w:t>
      </w:r>
    </w:p>
    <w:p w14:paraId="4258961F" w14:textId="77777777" w:rsidR="00BA5017" w:rsidRDefault="00BA5017" w:rsidP="00986E3F">
      <w:pPr>
        <w:pStyle w:val="ListParagraph"/>
        <w:numPr>
          <w:ilvl w:val="0"/>
          <w:numId w:val="5"/>
        </w:numPr>
      </w:pPr>
      <w:r>
        <w:t>Origin</w:t>
      </w:r>
    </w:p>
    <w:p w14:paraId="2655C808" w14:textId="5B840125" w:rsidR="00CE7DDD" w:rsidRDefault="00CE7DDD" w:rsidP="00986E3F">
      <w:pPr>
        <w:pStyle w:val="ListParagraph"/>
        <w:numPr>
          <w:ilvl w:val="0"/>
          <w:numId w:val="5"/>
        </w:numPr>
      </w:pPr>
      <w:r>
        <w:t>Better Renting</w:t>
      </w:r>
    </w:p>
    <w:p w14:paraId="14FD316C" w14:textId="505DC60A" w:rsidR="00CE7DDD" w:rsidRDefault="00CE7DDD" w:rsidP="00986E3F">
      <w:pPr>
        <w:pStyle w:val="ListParagraph"/>
        <w:numPr>
          <w:ilvl w:val="0"/>
          <w:numId w:val="5"/>
        </w:numPr>
      </w:pPr>
      <w:r>
        <w:t>Canberra Multicultural Community Forum</w:t>
      </w:r>
    </w:p>
    <w:p w14:paraId="3DF68077" w14:textId="0B60A095" w:rsidR="00986E3F" w:rsidRDefault="00986E3F" w:rsidP="00986E3F">
      <w:pPr>
        <w:pStyle w:val="ListParagraph"/>
        <w:numPr>
          <w:ilvl w:val="0"/>
          <w:numId w:val="5"/>
        </w:numPr>
      </w:pPr>
      <w:r w:rsidRPr="00F93E3B">
        <w:t>Care Financial Counselling Services</w:t>
      </w:r>
      <w:r>
        <w:t xml:space="preserve"> (CARE)</w:t>
      </w:r>
    </w:p>
    <w:p w14:paraId="6E780F1C" w14:textId="2A98C84B" w:rsidR="00CE7DDD" w:rsidRDefault="00CE7DDD" w:rsidP="00986E3F">
      <w:pPr>
        <w:pStyle w:val="ListParagraph"/>
        <w:numPr>
          <w:ilvl w:val="0"/>
          <w:numId w:val="5"/>
        </w:numPr>
      </w:pPr>
      <w:r>
        <w:t>Housing ACT</w:t>
      </w:r>
    </w:p>
    <w:p w14:paraId="5183B478" w14:textId="072C6613" w:rsidR="00CE7DDD" w:rsidRDefault="00CE7DDD" w:rsidP="005C5B05">
      <w:pPr>
        <w:pStyle w:val="ListParagraph"/>
        <w:numPr>
          <w:ilvl w:val="0"/>
          <w:numId w:val="5"/>
        </w:numPr>
      </w:pPr>
      <w:r>
        <w:t>St Vincent de Paul</w:t>
      </w:r>
    </w:p>
    <w:p w14:paraId="722CD921" w14:textId="5F16CBB5" w:rsidR="00BA5017" w:rsidRDefault="00BA5017" w:rsidP="00EA2710">
      <w:pPr>
        <w:pStyle w:val="ListParagraph"/>
        <w:numPr>
          <w:ilvl w:val="0"/>
          <w:numId w:val="0"/>
        </w:numPr>
        <w:ind w:left="720"/>
      </w:pPr>
    </w:p>
    <w:p w14:paraId="3D92CE62" w14:textId="2C3D78DD" w:rsidR="00BA5017" w:rsidRDefault="00EA2710" w:rsidP="005C5B05">
      <w:pPr>
        <w:pStyle w:val="ListParagraph"/>
        <w:numPr>
          <w:ilvl w:val="0"/>
          <w:numId w:val="5"/>
        </w:numPr>
      </w:pPr>
      <w:r>
        <w:t>Chief Minister, Treasury and Economic Development Directorate (</w:t>
      </w:r>
      <w:r w:rsidR="00BA5017">
        <w:t>CMTEDD</w:t>
      </w:r>
      <w:r>
        <w:t>)</w:t>
      </w:r>
    </w:p>
    <w:p w14:paraId="781BB4B8" w14:textId="536AABBF" w:rsidR="00BA5017" w:rsidRDefault="00BA5017" w:rsidP="005C5B05">
      <w:pPr>
        <w:pStyle w:val="ListParagraph"/>
        <w:numPr>
          <w:ilvl w:val="0"/>
          <w:numId w:val="5"/>
        </w:numPr>
      </w:pPr>
      <w:r>
        <w:t>Tuggeranong and Inner South Community Councils</w:t>
      </w:r>
    </w:p>
    <w:p w14:paraId="098AB868" w14:textId="48348C66" w:rsidR="00BA5017" w:rsidRDefault="00BA5017" w:rsidP="005C5B05">
      <w:pPr>
        <w:pStyle w:val="ListParagraph"/>
        <w:numPr>
          <w:ilvl w:val="0"/>
          <w:numId w:val="5"/>
        </w:numPr>
      </w:pPr>
      <w:r>
        <w:t>Alexander Watson Home Insulation Company</w:t>
      </w:r>
    </w:p>
    <w:p w14:paraId="57EA07A8" w14:textId="151985F3" w:rsidR="00BA5017" w:rsidRDefault="00BA5017" w:rsidP="005C5B05">
      <w:pPr>
        <w:pStyle w:val="ListParagraph"/>
        <w:numPr>
          <w:ilvl w:val="0"/>
          <w:numId w:val="5"/>
        </w:numPr>
      </w:pPr>
      <w:r>
        <w:t>Office of the Commissioner for Sustainability and the Environment</w:t>
      </w:r>
    </w:p>
    <w:p w14:paraId="0F346E28" w14:textId="6972B4D1" w:rsidR="00BA5017" w:rsidRDefault="00BA5017" w:rsidP="005C5B05">
      <w:pPr>
        <w:pStyle w:val="ListParagraph"/>
        <w:numPr>
          <w:ilvl w:val="0"/>
          <w:numId w:val="5"/>
        </w:numPr>
      </w:pPr>
      <w:r>
        <w:t>Wildlife Carers Group</w:t>
      </w:r>
    </w:p>
    <w:p w14:paraId="3E4BA650" w14:textId="7738226D" w:rsidR="00BA5017" w:rsidRDefault="00BA5017" w:rsidP="005C5B05">
      <w:pPr>
        <w:pStyle w:val="ListParagraph"/>
        <w:numPr>
          <w:ilvl w:val="0"/>
          <w:numId w:val="5"/>
        </w:numPr>
      </w:pPr>
      <w:r>
        <w:t>EvoEnergy</w:t>
      </w:r>
    </w:p>
    <w:p w14:paraId="3F8DA7DC" w14:textId="386D6AEE" w:rsidR="00BA5017" w:rsidRDefault="00BA5017" w:rsidP="005C5B05">
      <w:pPr>
        <w:pStyle w:val="ListParagraph"/>
        <w:numPr>
          <w:ilvl w:val="0"/>
          <w:numId w:val="5"/>
        </w:numPr>
      </w:pPr>
      <w:r>
        <w:t>Knauf Insulation</w:t>
      </w:r>
    </w:p>
    <w:p w14:paraId="4A3D409C" w14:textId="77777777" w:rsidR="00986E3F" w:rsidRDefault="00986E3F" w:rsidP="00986E3F">
      <w:pPr>
        <w:spacing w:after="0"/>
        <w:rPr>
          <w:highlight w:val="yellow"/>
        </w:rPr>
      </w:pPr>
    </w:p>
    <w:p w14:paraId="43EF532D" w14:textId="019698D7" w:rsidR="00CE7DDD" w:rsidRDefault="00CE7DDD" w:rsidP="003E4F5C">
      <w:r>
        <w:t>Consultation confirmed that the PHT remains valuable</w:t>
      </w:r>
      <w:r w:rsidR="007A4387">
        <w:t xml:space="preserve">. </w:t>
      </w:r>
      <w:r w:rsidRPr="00CE7DDD">
        <w:t>The general consensus was to keep the PHT at a minimum of 20</w:t>
      </w:r>
      <w:r w:rsidR="00042299">
        <w:t xml:space="preserve"> per cent</w:t>
      </w:r>
      <w:r w:rsidRPr="00CE7DDD">
        <w:t>, while the majority of participants supported an increase in the PHT, with suggestions as high as 30</w:t>
      </w:r>
      <w:r w:rsidR="00042299">
        <w:t xml:space="preserve"> per cent</w:t>
      </w:r>
      <w:r w:rsidRPr="00CE7DDD">
        <w:t>.</w:t>
      </w:r>
      <w:r>
        <w:t xml:space="preserve"> </w:t>
      </w:r>
    </w:p>
    <w:p w14:paraId="52DCE36E" w14:textId="4794B1C9" w:rsidR="007A4387" w:rsidRDefault="007A4387" w:rsidP="007A4387">
      <w:r>
        <w:t>Comments on potential PHT settings were received at the workshop, and through an online survey. These include:</w:t>
      </w:r>
    </w:p>
    <w:p w14:paraId="25A15DC2" w14:textId="77777777" w:rsidR="00287B7C" w:rsidRDefault="00287B7C" w:rsidP="00936FC2">
      <w:pPr>
        <w:pStyle w:val="ListParagraph"/>
        <w:numPr>
          <w:ilvl w:val="0"/>
          <w:numId w:val="15"/>
        </w:numPr>
        <w:autoSpaceDE/>
        <w:autoSpaceDN/>
        <w:adjustRightInd/>
        <w:spacing w:after="160" w:line="259" w:lineRule="auto"/>
      </w:pPr>
      <w:r>
        <w:t>The target could be increased to ensure the scheme still assists private renters and home owners. If the target is not increased in 2020 there is a risk that only Housing ACT tenants will make up the PHT.</w:t>
      </w:r>
    </w:p>
    <w:p w14:paraId="3A9694A6" w14:textId="77777777" w:rsidR="00287B7C" w:rsidRDefault="00287B7C" w:rsidP="00936FC2">
      <w:pPr>
        <w:pStyle w:val="ListParagraph"/>
        <w:numPr>
          <w:ilvl w:val="0"/>
          <w:numId w:val="15"/>
        </w:numPr>
        <w:autoSpaceDE/>
        <w:autoSpaceDN/>
        <w:adjustRightInd/>
        <w:spacing w:after="160" w:line="259" w:lineRule="auto"/>
      </w:pPr>
      <w:r>
        <w:t>Increasing the target encourages the retailers to adopt new activities that could benefit priority households, for example insulation.</w:t>
      </w:r>
    </w:p>
    <w:p w14:paraId="3DD16E7C" w14:textId="77777777" w:rsidR="00287B7C" w:rsidRDefault="00287B7C" w:rsidP="00936FC2">
      <w:pPr>
        <w:pStyle w:val="ListParagraph"/>
        <w:numPr>
          <w:ilvl w:val="0"/>
          <w:numId w:val="15"/>
        </w:numPr>
        <w:autoSpaceDE/>
        <w:autoSpaceDN/>
        <w:adjustRightInd/>
        <w:spacing w:after="160" w:line="259" w:lineRule="auto"/>
      </w:pPr>
      <w:r>
        <w:t>Meeting the 20% target is already getting harder due to the removal of gas-to-gas activities from the scheme. Changing from ducted gas to ducted efficient electric is expensive and is unlikely to be taken up by priority households, making it harder to reach the PHT.</w:t>
      </w:r>
    </w:p>
    <w:p w14:paraId="26885E25" w14:textId="77777777" w:rsidR="00287B7C" w:rsidRDefault="00287B7C" w:rsidP="00936FC2">
      <w:pPr>
        <w:pStyle w:val="ListParagraph"/>
        <w:numPr>
          <w:ilvl w:val="0"/>
          <w:numId w:val="15"/>
        </w:numPr>
        <w:autoSpaceDE/>
        <w:autoSpaceDN/>
        <w:adjustRightInd/>
        <w:spacing w:after="160" w:line="259" w:lineRule="auto"/>
      </w:pPr>
      <w:r>
        <w:lastRenderedPageBreak/>
        <w:t>Keep the PHT at 20% because it is currently working. It’s hard to provide further comments without the cost/benefit being available.</w:t>
      </w:r>
    </w:p>
    <w:p w14:paraId="589075C6" w14:textId="5A2069E1" w:rsidR="00287B7C" w:rsidRDefault="00287B7C" w:rsidP="00936FC2">
      <w:pPr>
        <w:pStyle w:val="ListParagraph"/>
        <w:numPr>
          <w:ilvl w:val="0"/>
          <w:numId w:val="15"/>
        </w:numPr>
        <w:autoSpaceDE/>
        <w:autoSpaceDN/>
        <w:adjustRightInd/>
        <w:spacing w:after="160" w:line="259" w:lineRule="auto"/>
      </w:pPr>
      <w:r>
        <w:t xml:space="preserve">Increase to </w:t>
      </w:r>
      <w:r w:rsidR="0034049C">
        <w:t>30</w:t>
      </w:r>
      <w:r>
        <w:t xml:space="preserve">% because the target is currently being met and is forecast to </w:t>
      </w:r>
      <w:r w:rsidR="0034049C">
        <w:t>exceed the 20% level in both 2020 and 2021 as a result of the government’s public housing energy efficiency upgrade program.</w:t>
      </w:r>
    </w:p>
    <w:p w14:paraId="39031FF2" w14:textId="77777777" w:rsidR="00287B7C" w:rsidRDefault="00287B7C" w:rsidP="00936FC2">
      <w:pPr>
        <w:pStyle w:val="ListParagraph"/>
        <w:numPr>
          <w:ilvl w:val="0"/>
          <w:numId w:val="15"/>
        </w:numPr>
        <w:autoSpaceDE/>
        <w:autoSpaceDN/>
        <w:adjustRightInd/>
        <w:spacing w:after="160" w:line="259" w:lineRule="auto"/>
      </w:pPr>
      <w:r>
        <w:t>Have the target at 20% or below because having a lower target could potentially create higher rebates for each priority household.</w:t>
      </w:r>
    </w:p>
    <w:p w14:paraId="47ED59C9" w14:textId="77777777" w:rsidR="00287B7C" w:rsidRDefault="00287B7C" w:rsidP="00936FC2">
      <w:pPr>
        <w:pStyle w:val="ListParagraph"/>
        <w:numPr>
          <w:ilvl w:val="0"/>
          <w:numId w:val="15"/>
        </w:numPr>
        <w:autoSpaceDE/>
        <w:autoSpaceDN/>
        <w:adjustRightInd/>
        <w:spacing w:after="160" w:line="259" w:lineRule="auto"/>
      </w:pPr>
      <w:r>
        <w:t>Priority households can re-access the program so it’s still feasible for a higher PHT to be met with new activities coming online.</w:t>
      </w:r>
    </w:p>
    <w:p w14:paraId="779A49CF" w14:textId="77777777" w:rsidR="00287B7C" w:rsidRDefault="00287B7C" w:rsidP="00936FC2">
      <w:pPr>
        <w:pStyle w:val="ListParagraph"/>
        <w:numPr>
          <w:ilvl w:val="0"/>
          <w:numId w:val="15"/>
        </w:numPr>
        <w:autoSpaceDE/>
        <w:autoSpaceDN/>
        <w:adjustRightInd/>
        <w:spacing w:after="160" w:line="259" w:lineRule="auto"/>
      </w:pPr>
      <w:r>
        <w:t xml:space="preserve">If the ACT Government is very keen to help the priority households perhaps they can fund the co-payment for capital works from the contribution they receive from Tier 2 retailers. Strict eligibility criteria would need to apply. </w:t>
      </w:r>
    </w:p>
    <w:p w14:paraId="750E8993" w14:textId="10ADF10F" w:rsidR="00287B7C" w:rsidRDefault="00287B7C" w:rsidP="00936FC2">
      <w:pPr>
        <w:pStyle w:val="ListParagraph"/>
        <w:numPr>
          <w:ilvl w:val="0"/>
          <w:numId w:val="15"/>
        </w:numPr>
        <w:autoSpaceDE/>
        <w:autoSpaceDN/>
        <w:adjustRightInd/>
        <w:spacing w:after="160" w:line="259" w:lineRule="auto"/>
      </w:pPr>
      <w:r>
        <w:t>Home energy audits lead to other activities being taken up.</w:t>
      </w:r>
      <w:r w:rsidR="0009521A">
        <w:t xml:space="preserve"> </w:t>
      </w:r>
    </w:p>
    <w:p w14:paraId="49C0C483" w14:textId="77777777" w:rsidR="00287B7C" w:rsidRDefault="00287B7C" w:rsidP="00936FC2">
      <w:pPr>
        <w:pStyle w:val="ListParagraph"/>
        <w:numPr>
          <w:ilvl w:val="0"/>
          <w:numId w:val="15"/>
        </w:numPr>
        <w:autoSpaceDE/>
        <w:autoSpaceDN/>
        <w:adjustRightInd/>
        <w:spacing w:after="160" w:line="259" w:lineRule="auto"/>
      </w:pPr>
      <w:r>
        <w:t>Expand the classes of priority households and increase the Priority Household Target.</w:t>
      </w:r>
    </w:p>
    <w:p w14:paraId="30EC7190" w14:textId="7A685480" w:rsidR="004861DA" w:rsidRDefault="00287B7C" w:rsidP="00936FC2">
      <w:pPr>
        <w:pStyle w:val="ListParagraph"/>
        <w:numPr>
          <w:ilvl w:val="0"/>
          <w:numId w:val="15"/>
        </w:numPr>
      </w:pPr>
      <w:r>
        <w:t>Barriers to increasing the PHT include priority households are less able to afford a co-contribution, renters make a significant proportion of priority households and will continue to be affected by split incentives, and removing gas activities from the scheme will reduce the subset of priority households that are able to access the scheme. Alternative policy options could be used to counteract these barriers, for example mandating energy efficient heating in rental properties, the provision of loans to owner occupiers and mandating disclosure of a property’s energy rating when entering into a new lease.</w:t>
      </w:r>
      <w:r w:rsidR="0009521A">
        <w:t xml:space="preserve"> </w:t>
      </w:r>
    </w:p>
    <w:p w14:paraId="224E247F" w14:textId="20C3A8EB" w:rsidR="005C5B05" w:rsidRDefault="005C5B05" w:rsidP="00986E3F">
      <w:pPr>
        <w:spacing w:after="0"/>
      </w:pPr>
    </w:p>
    <w:p w14:paraId="589FE69F" w14:textId="58BEAAD1" w:rsidR="00287B7C" w:rsidRDefault="00287B7C" w:rsidP="00986E3F">
      <w:pPr>
        <w:spacing w:after="0"/>
      </w:pPr>
      <w:r>
        <w:t xml:space="preserve">Additional consultation </w:t>
      </w:r>
      <w:r w:rsidR="00764788">
        <w:t>occurred</w:t>
      </w:r>
      <w:r>
        <w:t xml:space="preserve"> for the proposal to increase the PHT to 25</w:t>
      </w:r>
      <w:r w:rsidR="00764788">
        <w:t xml:space="preserve"> per cent</w:t>
      </w:r>
      <w:r>
        <w:t>. An email was circulated to relevant stakeholders requesting any final comments. No comments were made relating to the</w:t>
      </w:r>
      <w:r w:rsidR="00764788">
        <w:t xml:space="preserve"> increase in the</w:t>
      </w:r>
      <w:r>
        <w:t xml:space="preserve"> PHT.</w:t>
      </w:r>
    </w:p>
    <w:p w14:paraId="382D225B" w14:textId="77777777" w:rsidR="00287B7C" w:rsidRDefault="00287B7C" w:rsidP="00986E3F">
      <w:pPr>
        <w:spacing w:after="0"/>
      </w:pPr>
    </w:p>
    <w:p w14:paraId="0D33FE2A" w14:textId="0CC4F977" w:rsidR="005C5B05" w:rsidRDefault="005C5B05" w:rsidP="00986E3F">
      <w:pPr>
        <w:spacing w:after="0"/>
      </w:pPr>
      <w:r>
        <w:t xml:space="preserve">The consultation </w:t>
      </w:r>
      <w:r w:rsidR="002361B4">
        <w:t xml:space="preserve">results support the increase of an EEIS priority household target to </w:t>
      </w:r>
      <w:r w:rsidR="00C41A75">
        <w:t xml:space="preserve">at least </w:t>
      </w:r>
      <w:r w:rsidR="002361B4">
        <w:t>25</w:t>
      </w:r>
      <w:r w:rsidR="00764788">
        <w:t xml:space="preserve"> per cent</w:t>
      </w:r>
      <w:r w:rsidR="002361B4">
        <w:t xml:space="preserve"> for 2020.</w:t>
      </w:r>
      <w:r w:rsidR="0009521A">
        <w:t xml:space="preserve"> </w:t>
      </w:r>
    </w:p>
    <w:p w14:paraId="177D9C4F" w14:textId="77777777" w:rsidR="00986E3F" w:rsidRDefault="00986E3F" w:rsidP="00986E3F">
      <w:pPr>
        <w:spacing w:after="0"/>
      </w:pPr>
    </w:p>
    <w:p w14:paraId="48E22F5B" w14:textId="721080EA" w:rsidR="00986E3F" w:rsidRPr="009A5004" w:rsidRDefault="00224632" w:rsidP="00936FC2">
      <w:pPr>
        <w:pStyle w:val="Heading2"/>
        <w:numPr>
          <w:ilvl w:val="1"/>
          <w:numId w:val="6"/>
        </w:numPr>
      </w:pPr>
      <w:r>
        <w:t xml:space="preserve"> </w:t>
      </w:r>
      <w:bookmarkStart w:id="14" w:name="_Toc7625308"/>
      <w:r w:rsidR="00986E3F" w:rsidRPr="009A5004">
        <w:t>Barriers to participation</w:t>
      </w:r>
      <w:bookmarkEnd w:id="14"/>
    </w:p>
    <w:p w14:paraId="6AC13A28" w14:textId="3C06FE6E" w:rsidR="00D42670" w:rsidRDefault="00D42670" w:rsidP="00D42670">
      <w:pPr>
        <w:rPr>
          <w:rStyle w:val="Calibri12"/>
        </w:rPr>
      </w:pPr>
      <w:r w:rsidRPr="00D42670">
        <w:rPr>
          <w:rStyle w:val="Calibri12"/>
        </w:rPr>
        <w:t xml:space="preserve">On completion of the </w:t>
      </w:r>
      <w:r w:rsidRPr="00D42670">
        <w:rPr>
          <w:i/>
        </w:rPr>
        <w:t>Energy Efficiency Improvements in Public Housing</w:t>
      </w:r>
      <w:r w:rsidRPr="00D42670">
        <w:t xml:space="preserve"> initiative</w:t>
      </w:r>
      <w:r w:rsidRPr="00D42670">
        <w:rPr>
          <w:rStyle w:val="Calibri12"/>
        </w:rPr>
        <w:t xml:space="preserve"> in 2020, it is expected that achieving the PHT will become more difficult.  This is due to a range of factors, including gas to gas activities being removed from the scheme, higher cost activities requiring co-payments from priority households and split incentives in rental properties. </w:t>
      </w:r>
    </w:p>
    <w:p w14:paraId="483D17A7" w14:textId="77777777" w:rsidR="00D42670" w:rsidRDefault="00D42670" w:rsidP="00986E3F"/>
    <w:p w14:paraId="50B9DC95" w14:textId="28405D04" w:rsidR="008F4F1B" w:rsidRDefault="008F4F1B" w:rsidP="00921879">
      <w:pPr>
        <w:keepLines/>
      </w:pPr>
      <w:r>
        <w:lastRenderedPageBreak/>
        <w:t>A significant message that was evident at the forum was the importance of ensuring access to the EEIS for priority households. As the EEIS has moved from free items to items that require a co-contribution, many of the most vulnerable households will not be able to pay the up-front fee and may not be able to access EEIS activities. Panel members and forum participants highlighted the need for mechanisms to assist priority households with the co-contribution. Such mechanisms may include no interest loans, additional Government subsidies, or alternative programs such as the Actsmart Home Energy Efficiency Program.</w:t>
      </w:r>
    </w:p>
    <w:p w14:paraId="2668A9B5" w14:textId="0901CBED" w:rsidR="00055CD5" w:rsidRPr="00055CD5" w:rsidRDefault="00055CD5" w:rsidP="00055CD5">
      <w:r w:rsidRPr="00055CD5">
        <w:t>The particular problems for renters in the private market were</w:t>
      </w:r>
      <w:r w:rsidR="008F4F1B">
        <w:t xml:space="preserve"> also discussed at the forum. </w:t>
      </w:r>
      <w:r w:rsidRPr="00055CD5">
        <w:t>These households are unable to participate in many of the Energy Efficiency Improvement Scheme</w:t>
      </w:r>
      <w:r w:rsidR="00D42670">
        <w:t xml:space="preserve"> activities</w:t>
      </w:r>
      <w:r w:rsidRPr="00055CD5">
        <w:t xml:space="preserve"> because they either do not have permission from their landlord to modify their housing and/or have no capacity to co-contribute to the costs of government or industry assistance programs. </w:t>
      </w:r>
    </w:p>
    <w:p w14:paraId="022EB626" w14:textId="77777777" w:rsidR="00430215" w:rsidRDefault="008F4F1B" w:rsidP="00986E3F">
      <w:r>
        <w:t>Increasing</w:t>
      </w:r>
      <w:r w:rsidRPr="00986E3F">
        <w:t xml:space="preserve"> </w:t>
      </w:r>
      <w:r w:rsidR="00986E3F" w:rsidRPr="00986E3F">
        <w:t xml:space="preserve">the target </w:t>
      </w:r>
      <w:r w:rsidR="005C5B05">
        <w:t>to</w:t>
      </w:r>
      <w:r w:rsidR="00986E3F" w:rsidRPr="00986E3F">
        <w:t xml:space="preserve"> </w:t>
      </w:r>
      <w:r w:rsidR="00C41A75">
        <w:t>30</w:t>
      </w:r>
      <w:r w:rsidR="007F0C3A">
        <w:t xml:space="preserve"> per cent</w:t>
      </w:r>
      <w:r w:rsidR="00986E3F" w:rsidRPr="00986E3F">
        <w:t xml:space="preserve"> </w:t>
      </w:r>
      <w:r>
        <w:t>is</w:t>
      </w:r>
      <w:r w:rsidRPr="00986E3F">
        <w:t xml:space="preserve"> </w:t>
      </w:r>
      <w:r w:rsidR="00986E3F" w:rsidRPr="00986E3F">
        <w:t>a</w:t>
      </w:r>
      <w:r w:rsidR="00C41A75">
        <w:t>n achievable target</w:t>
      </w:r>
      <w:r w:rsidR="007E3AEC">
        <w:t xml:space="preserve"> for 2020 due to the investment of funds from the ACT Government.</w:t>
      </w:r>
      <w:r w:rsidR="00C41A75">
        <w:t xml:space="preserve"> </w:t>
      </w:r>
      <w:r w:rsidR="00986E3F" w:rsidRPr="00986E3F">
        <w:t xml:space="preserve"> </w:t>
      </w:r>
      <w:r w:rsidR="007F0C3A">
        <w:t>The installation of 2,200 efficient heaters and hot water systems in Housing ACT properties</w:t>
      </w:r>
      <w:r w:rsidR="005C5B05">
        <w:t xml:space="preserve"> is forecast to meet over </w:t>
      </w:r>
      <w:r w:rsidR="002361B4">
        <w:t>25</w:t>
      </w:r>
      <w:r w:rsidR="007F0C3A">
        <w:t xml:space="preserve"> per cent</w:t>
      </w:r>
      <w:r w:rsidR="009E364F">
        <w:t xml:space="preserve"> of the </w:t>
      </w:r>
      <w:r w:rsidR="005C5B05">
        <w:t xml:space="preserve">total abatement in </w:t>
      </w:r>
      <w:r w:rsidR="00287B7C">
        <w:t xml:space="preserve">both </w:t>
      </w:r>
      <w:r w:rsidR="005C5B05">
        <w:t>2019</w:t>
      </w:r>
      <w:r w:rsidR="002361B4">
        <w:t xml:space="preserve"> and 2020</w:t>
      </w:r>
      <w:r w:rsidR="007F0C3A">
        <w:t>, support</w:t>
      </w:r>
      <w:r w:rsidR="00901A55">
        <w:t>ing an increase in the PHT to 30</w:t>
      </w:r>
      <w:r w:rsidR="007F0C3A">
        <w:t xml:space="preserve"> per cent for 2020</w:t>
      </w:r>
      <w:r w:rsidR="00D42670">
        <w:t xml:space="preserve">. </w:t>
      </w:r>
    </w:p>
    <w:p w14:paraId="13E1F008" w14:textId="376CA02E" w:rsidR="00986E3F" w:rsidRPr="00430215" w:rsidRDefault="00430215" w:rsidP="00986E3F">
      <w:pPr>
        <w:rPr>
          <w:rFonts w:ascii="Calibri" w:hAnsi="Calibri"/>
        </w:rPr>
      </w:pPr>
      <w:r w:rsidRPr="00D42670">
        <w:rPr>
          <w:rStyle w:val="Calibri12"/>
        </w:rPr>
        <w:t>Options such as expanding the priority household definition are being explored to ensure more priority households, especially those in the second quintile, benefit from the scheme in the future.</w:t>
      </w:r>
      <w:r>
        <w:rPr>
          <w:rStyle w:val="Calibri12"/>
        </w:rPr>
        <w:t xml:space="preserve"> </w:t>
      </w:r>
      <w:r w:rsidR="00D42670">
        <w:t xml:space="preserve">Any future </w:t>
      </w:r>
      <w:r>
        <w:t xml:space="preserve">priority household </w:t>
      </w:r>
      <w:r w:rsidR="00D42670">
        <w:t xml:space="preserve">targets will need to take into account all of these factors. </w:t>
      </w:r>
    </w:p>
    <w:p w14:paraId="40240A3F" w14:textId="7C6C0B7B" w:rsidR="00986E3F" w:rsidRPr="00986E3F" w:rsidRDefault="00224632" w:rsidP="00936FC2">
      <w:pPr>
        <w:pStyle w:val="Heading2"/>
        <w:numPr>
          <w:ilvl w:val="1"/>
          <w:numId w:val="6"/>
        </w:numPr>
      </w:pPr>
      <w:r>
        <w:t xml:space="preserve"> </w:t>
      </w:r>
      <w:bookmarkStart w:id="15" w:name="_Toc7625309"/>
      <w:r w:rsidR="002361B4">
        <w:t>Increasing opportunities for priority households</w:t>
      </w:r>
      <w:bookmarkEnd w:id="15"/>
    </w:p>
    <w:p w14:paraId="22A2CD1A" w14:textId="62CB5BA9" w:rsidR="002361B4" w:rsidRDefault="002361B4" w:rsidP="002361B4">
      <w:r>
        <w:t>In 2018 the Minister for Climate Change and Sustainability made a regulation to expand the classes of priority households beyond the original scope as defined in the Act. This expansion will assist in meeting the PHT in 2019 and 2020.</w:t>
      </w:r>
    </w:p>
    <w:p w14:paraId="3C2A4660" w14:textId="34D34688" w:rsidR="00594494" w:rsidRDefault="002361B4" w:rsidP="002361B4">
      <w:r>
        <w:t xml:space="preserve">Consultation occurred at the forum on ways to increase opportunities for </w:t>
      </w:r>
      <w:r w:rsidR="0009521A">
        <w:t>low income</w:t>
      </w:r>
      <w:r>
        <w:t xml:space="preserve"> households </w:t>
      </w:r>
      <w:r w:rsidR="00594494">
        <w:t>for</w:t>
      </w:r>
      <w:r>
        <w:t xml:space="preserve"> the extension of the </w:t>
      </w:r>
      <w:r w:rsidR="00594494">
        <w:t>EEIS</w:t>
      </w:r>
      <w:r w:rsidR="00DC6F3E">
        <w:t xml:space="preserve"> </w:t>
      </w:r>
      <w:r w:rsidR="00CB4621">
        <w:t>from 1 January 2021 until 31 December 2030</w:t>
      </w:r>
      <w:r>
        <w:t xml:space="preserve">. There was strong support to expand the scope of eligible priority households. The majority of workshop participants supported the expansion into private rentals, Family Tax Benefit B recipients, ACT Services Access Card and expanding referral organisations. </w:t>
      </w:r>
      <w:r w:rsidR="00DC6F3E">
        <w:t>Comments received at the forum can be seen in Table 3.</w:t>
      </w:r>
      <w:r w:rsidR="00024C62">
        <w:t xml:space="preserve"> </w:t>
      </w:r>
      <w:r w:rsidR="00DC6F3E">
        <w:t>This expansion</w:t>
      </w:r>
      <w:r w:rsidR="007F0C3A">
        <w:t xml:space="preserve"> of eligible households</w:t>
      </w:r>
      <w:r w:rsidR="00DC6F3E">
        <w:t xml:space="preserve"> would</w:t>
      </w:r>
      <w:r w:rsidR="00594494">
        <w:t xml:space="preserve"> not occur until the EEIS is extended </w:t>
      </w:r>
      <w:r w:rsidR="0009521A">
        <w:t xml:space="preserve">beyond 2020 </w:t>
      </w:r>
      <w:r w:rsidR="00DC6F3E">
        <w:t xml:space="preserve">but would help to reduce some of the barriers to participation. </w:t>
      </w:r>
    </w:p>
    <w:p w14:paraId="324E2975" w14:textId="6A3BB2D2" w:rsidR="00594494" w:rsidRDefault="00656911" w:rsidP="003E4F5C">
      <w:pPr>
        <w:pStyle w:val="Caption"/>
        <w:keepNext/>
        <w:keepLines/>
      </w:pPr>
      <w:bookmarkStart w:id="16" w:name="_Toc1662053"/>
      <w:bookmarkStart w:id="17" w:name="_Toc4575840"/>
      <w:r>
        <w:lastRenderedPageBreak/>
        <w:t xml:space="preserve">Table </w:t>
      </w:r>
      <w:r w:rsidR="004F5313">
        <w:rPr>
          <w:noProof/>
        </w:rPr>
        <w:fldChar w:fldCharType="begin"/>
      </w:r>
      <w:r w:rsidR="004F5313">
        <w:rPr>
          <w:noProof/>
        </w:rPr>
        <w:instrText xml:space="preserve"> SEQ Table \* ARABIC </w:instrText>
      </w:r>
      <w:r w:rsidR="004F5313">
        <w:rPr>
          <w:noProof/>
        </w:rPr>
        <w:fldChar w:fldCharType="separate"/>
      </w:r>
      <w:r>
        <w:rPr>
          <w:noProof/>
        </w:rPr>
        <w:t>3</w:t>
      </w:r>
      <w:r w:rsidR="004F5313">
        <w:rPr>
          <w:noProof/>
        </w:rPr>
        <w:fldChar w:fldCharType="end"/>
      </w:r>
      <w:r w:rsidR="00594494" w:rsidRPr="00C262F7">
        <w:t xml:space="preserve"> Proposals for expanding the scope of eligible priority household</w:t>
      </w:r>
      <w:bookmarkEnd w:id="16"/>
      <w:r w:rsidR="00594494">
        <w:t>s beyond 2020</w:t>
      </w:r>
      <w:bookmarkEnd w:id="17"/>
    </w:p>
    <w:tbl>
      <w:tblPr>
        <w:tblStyle w:val="GridTable4-Accent52"/>
        <w:tblW w:w="9209" w:type="dxa"/>
        <w:tblLayout w:type="fixed"/>
        <w:tblLook w:val="04A0" w:firstRow="1" w:lastRow="0" w:firstColumn="1" w:lastColumn="0" w:noHBand="0" w:noVBand="1"/>
      </w:tblPr>
      <w:tblGrid>
        <w:gridCol w:w="1129"/>
        <w:gridCol w:w="6379"/>
        <w:gridCol w:w="1701"/>
      </w:tblGrid>
      <w:tr w:rsidR="00656911" w:rsidRPr="00656911" w14:paraId="6A8E04D5" w14:textId="77777777" w:rsidTr="006569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F142FA6" w14:textId="77777777" w:rsidR="00656911" w:rsidRPr="00656911" w:rsidRDefault="00656911" w:rsidP="003E4F5C">
            <w:pPr>
              <w:keepNext/>
              <w:keepLines/>
              <w:autoSpaceDE/>
              <w:autoSpaceDN/>
              <w:adjustRightInd/>
              <w:spacing w:after="0" w:line="240" w:lineRule="auto"/>
              <w:rPr>
                <w:rFonts w:ascii="Calibri" w:hAnsi="Calibri" w:cs="Times New Roman"/>
                <w:bCs/>
                <w:sz w:val="20"/>
                <w:szCs w:val="22"/>
              </w:rPr>
            </w:pPr>
            <w:r w:rsidRPr="00656911">
              <w:rPr>
                <w:rFonts w:ascii="Calibri" w:hAnsi="Calibri" w:cs="Times New Roman"/>
                <w:bCs/>
                <w:sz w:val="20"/>
                <w:szCs w:val="22"/>
              </w:rPr>
              <w:t>Proposed new class</w:t>
            </w:r>
          </w:p>
        </w:tc>
        <w:tc>
          <w:tcPr>
            <w:tcW w:w="6379" w:type="dxa"/>
          </w:tcPr>
          <w:p w14:paraId="2474D77C" w14:textId="77777777" w:rsidR="00656911" w:rsidRPr="00656911" w:rsidRDefault="00656911" w:rsidP="003E4F5C">
            <w:pPr>
              <w:keepNext/>
              <w:keepLines/>
              <w:autoSpaceDE/>
              <w:autoSpaceDN/>
              <w:adjustRightInd/>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Times New Roman"/>
                <w:bCs/>
                <w:sz w:val="20"/>
                <w:szCs w:val="22"/>
              </w:rPr>
            </w:pPr>
            <w:r w:rsidRPr="00656911">
              <w:rPr>
                <w:rFonts w:ascii="Calibri" w:hAnsi="Calibri" w:cs="Times New Roman"/>
                <w:bCs/>
                <w:sz w:val="20"/>
                <w:szCs w:val="22"/>
              </w:rPr>
              <w:t>Comments</w:t>
            </w:r>
          </w:p>
        </w:tc>
        <w:tc>
          <w:tcPr>
            <w:tcW w:w="1701" w:type="dxa"/>
          </w:tcPr>
          <w:p w14:paraId="317B8444" w14:textId="77777777" w:rsidR="00656911" w:rsidRPr="00656911" w:rsidRDefault="00656911" w:rsidP="003E4F5C">
            <w:pPr>
              <w:keepNext/>
              <w:keepLines/>
              <w:autoSpaceDE/>
              <w:autoSpaceDN/>
              <w:adjustRightInd/>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Times New Roman"/>
                <w:bCs/>
                <w:sz w:val="20"/>
                <w:szCs w:val="22"/>
              </w:rPr>
            </w:pPr>
            <w:r w:rsidRPr="00656911">
              <w:rPr>
                <w:rFonts w:ascii="Calibri" w:hAnsi="Calibri" w:cs="Times New Roman"/>
                <w:bCs/>
                <w:sz w:val="20"/>
                <w:szCs w:val="22"/>
              </w:rPr>
              <w:t>Potential number of households</w:t>
            </w:r>
          </w:p>
        </w:tc>
      </w:tr>
      <w:tr w:rsidR="00656911" w:rsidRPr="00656911" w14:paraId="11EB88DD" w14:textId="77777777" w:rsidTr="00656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55C614D" w14:textId="77777777" w:rsidR="00656911" w:rsidRPr="00656911" w:rsidRDefault="00656911" w:rsidP="003E4F5C">
            <w:pPr>
              <w:keepNext/>
              <w:keepLines/>
              <w:autoSpaceDE/>
              <w:autoSpaceDN/>
              <w:adjustRightInd/>
              <w:spacing w:after="0" w:line="240" w:lineRule="auto"/>
              <w:rPr>
                <w:rFonts w:ascii="Calibri" w:hAnsi="Calibri" w:cs="Times New Roman"/>
                <w:bCs/>
                <w:sz w:val="20"/>
                <w:szCs w:val="22"/>
              </w:rPr>
            </w:pPr>
            <w:r w:rsidRPr="00656911">
              <w:rPr>
                <w:rFonts w:ascii="Calibri" w:hAnsi="Calibri" w:cs="Times New Roman"/>
                <w:bCs/>
                <w:sz w:val="20"/>
                <w:szCs w:val="22"/>
              </w:rPr>
              <w:t>All renters</w:t>
            </w:r>
          </w:p>
        </w:tc>
        <w:tc>
          <w:tcPr>
            <w:tcW w:w="6379" w:type="dxa"/>
          </w:tcPr>
          <w:p w14:paraId="240DC5D4" w14:textId="0891B886" w:rsidR="00656911" w:rsidRPr="00656911" w:rsidRDefault="00656911" w:rsidP="00936FC2">
            <w:pPr>
              <w:keepNext/>
              <w:keepLines/>
              <w:numPr>
                <w:ilvl w:val="0"/>
                <w:numId w:val="16"/>
              </w:numPr>
              <w:autoSpaceDE/>
              <w:autoSpaceDN/>
              <w:adjustRightInd/>
              <w:spacing w:after="0" w:line="240" w:lineRule="auto"/>
              <w:ind w:left="312" w:hanging="284"/>
              <w:contextualSpacing/>
              <w:cnfStyle w:val="000000100000" w:firstRow="0" w:lastRow="0" w:firstColumn="0" w:lastColumn="0" w:oddVBand="0" w:evenVBand="0" w:oddHBand="1"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 xml:space="preserve">This was considered a good umbrella group as many rental households would qualify under different criteria (such as student share houses, new migrants and bottom two income quintiles). This </w:t>
            </w:r>
            <w:r w:rsidR="00EA2710">
              <w:rPr>
                <w:rFonts w:ascii="Calibri" w:hAnsi="Calibri" w:cs="Times New Roman"/>
                <w:sz w:val="20"/>
                <w:szCs w:val="22"/>
              </w:rPr>
              <w:t>criterion</w:t>
            </w:r>
            <w:r w:rsidRPr="00656911">
              <w:rPr>
                <w:rFonts w:ascii="Calibri" w:hAnsi="Calibri" w:cs="Times New Roman"/>
                <w:sz w:val="20"/>
                <w:szCs w:val="22"/>
              </w:rPr>
              <w:t xml:space="preserve"> requires significantly less administration to verify their financial situation.</w:t>
            </w:r>
          </w:p>
          <w:p w14:paraId="3F6B1D59" w14:textId="77777777" w:rsidR="00656911" w:rsidRPr="00656911" w:rsidRDefault="00656911" w:rsidP="00936FC2">
            <w:pPr>
              <w:keepNext/>
              <w:keepLines/>
              <w:numPr>
                <w:ilvl w:val="0"/>
                <w:numId w:val="16"/>
              </w:numPr>
              <w:autoSpaceDE/>
              <w:autoSpaceDN/>
              <w:adjustRightInd/>
              <w:spacing w:after="0" w:line="240" w:lineRule="auto"/>
              <w:ind w:left="312" w:hanging="284"/>
              <w:contextualSpacing/>
              <w:cnfStyle w:val="000000100000" w:firstRow="0" w:lastRow="0" w:firstColumn="0" w:lastColumn="0" w:oddVBand="0" w:evenVBand="0" w:oddHBand="1"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 xml:space="preserve">A major concern was to include restrictions on rent increases if landlords upgraded rental accommodation. The </w:t>
            </w:r>
            <w:r w:rsidRPr="00656911">
              <w:rPr>
                <w:rFonts w:ascii="Calibri" w:hAnsi="Calibri" w:cs="Times New Roman"/>
                <w:i/>
                <w:sz w:val="20"/>
                <w:szCs w:val="22"/>
              </w:rPr>
              <w:t>ACT Residential Tenancies Act 1997</w:t>
            </w:r>
            <w:r w:rsidRPr="00656911">
              <w:rPr>
                <w:rFonts w:ascii="Calibri" w:hAnsi="Calibri" w:cs="Times New Roman"/>
                <w:sz w:val="20"/>
                <w:szCs w:val="22"/>
              </w:rPr>
              <w:t xml:space="preserve"> may already offer this protection. This will be investigated further by EPSDD.</w:t>
            </w:r>
          </w:p>
          <w:p w14:paraId="0B51B62D" w14:textId="77777777" w:rsidR="00656911" w:rsidRPr="00656911" w:rsidRDefault="00656911" w:rsidP="00936FC2">
            <w:pPr>
              <w:keepNext/>
              <w:keepLines/>
              <w:numPr>
                <w:ilvl w:val="0"/>
                <w:numId w:val="16"/>
              </w:numPr>
              <w:autoSpaceDE/>
              <w:autoSpaceDN/>
              <w:adjustRightInd/>
              <w:spacing w:after="0" w:line="240" w:lineRule="auto"/>
              <w:ind w:left="312" w:hanging="284"/>
              <w:contextualSpacing/>
              <w:cnfStyle w:val="000000100000" w:firstRow="0" w:lastRow="0" w:firstColumn="0" w:lastColumn="0" w:oddVBand="0" w:evenVBand="0" w:oddHBand="1"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Well-off renters in efficient accommodation would not likely access the scheme due to the nature of eligible activities offered.</w:t>
            </w:r>
          </w:p>
          <w:p w14:paraId="58C6A3D4" w14:textId="77777777" w:rsidR="00656911" w:rsidRPr="00656911" w:rsidRDefault="00656911" w:rsidP="00936FC2">
            <w:pPr>
              <w:keepNext/>
              <w:keepLines/>
              <w:numPr>
                <w:ilvl w:val="0"/>
                <w:numId w:val="16"/>
              </w:numPr>
              <w:autoSpaceDE/>
              <w:autoSpaceDN/>
              <w:adjustRightInd/>
              <w:spacing w:after="0" w:line="240" w:lineRule="auto"/>
              <w:ind w:left="312" w:hanging="284"/>
              <w:contextualSpacing/>
              <w:cnfStyle w:val="000000100000" w:firstRow="0" w:lastRow="0" w:firstColumn="0" w:lastColumn="0" w:oddVBand="0" w:evenVBand="0" w:oddHBand="1"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The EEIS activities generally support upgrades of the older housing stock in Canberra, which is more likely to be rented by people on lower incomes.</w:t>
            </w:r>
          </w:p>
          <w:p w14:paraId="5787E0CB" w14:textId="77777777" w:rsidR="00656911" w:rsidRPr="00656911" w:rsidRDefault="00656911" w:rsidP="00936FC2">
            <w:pPr>
              <w:keepNext/>
              <w:keepLines/>
              <w:numPr>
                <w:ilvl w:val="0"/>
                <w:numId w:val="16"/>
              </w:numPr>
              <w:autoSpaceDE/>
              <w:autoSpaceDN/>
              <w:adjustRightInd/>
              <w:spacing w:after="0" w:line="240" w:lineRule="auto"/>
              <w:ind w:left="312" w:hanging="284"/>
              <w:contextualSpacing/>
              <w:cnfStyle w:val="000000100000" w:firstRow="0" w:lastRow="0" w:firstColumn="0" w:lastColumn="0" w:oddVBand="0" w:evenVBand="0" w:oddHBand="1"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Making renters eligible keeps the administration simple and puts the responsibility onto the landlord rather than the tenant.</w:t>
            </w:r>
          </w:p>
        </w:tc>
        <w:tc>
          <w:tcPr>
            <w:tcW w:w="1701" w:type="dxa"/>
          </w:tcPr>
          <w:p w14:paraId="12C7B15A" w14:textId="77777777" w:rsidR="00656911" w:rsidRPr="00656911" w:rsidRDefault="00656911" w:rsidP="003E4F5C">
            <w:pPr>
              <w:keepNext/>
              <w:keepLines/>
              <w:autoSpaceDE/>
              <w:autoSpaceDN/>
              <w:adjustRightInd/>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Times New Roman"/>
                <w:sz w:val="20"/>
                <w:szCs w:val="22"/>
                <w:vertAlign w:val="superscript"/>
              </w:rPr>
            </w:pPr>
            <w:r w:rsidRPr="00656911">
              <w:rPr>
                <w:rFonts w:ascii="Calibri" w:hAnsi="Calibri" w:cs="Times New Roman"/>
                <w:sz w:val="20"/>
                <w:szCs w:val="22"/>
              </w:rPr>
              <w:t>45,000 (includes Housing ACT and Community Housing organisations).</w:t>
            </w:r>
            <w:r w:rsidRPr="00656911">
              <w:rPr>
                <w:rFonts w:ascii="Calibri" w:hAnsi="Calibri" w:cs="Times New Roman"/>
                <w:sz w:val="20"/>
                <w:szCs w:val="22"/>
                <w:vertAlign w:val="superscript"/>
              </w:rPr>
              <w:footnoteReference w:id="18"/>
            </w:r>
          </w:p>
        </w:tc>
      </w:tr>
      <w:tr w:rsidR="00656911" w:rsidRPr="00656911" w14:paraId="5A0719A3" w14:textId="77777777" w:rsidTr="00410D67">
        <w:tc>
          <w:tcPr>
            <w:cnfStyle w:val="001000000000" w:firstRow="0" w:lastRow="0" w:firstColumn="1" w:lastColumn="0" w:oddVBand="0" w:evenVBand="0" w:oddHBand="0" w:evenHBand="0" w:firstRowFirstColumn="0" w:firstRowLastColumn="0" w:lastRowFirstColumn="0" w:lastRowLastColumn="0"/>
            <w:tcW w:w="1129" w:type="dxa"/>
          </w:tcPr>
          <w:p w14:paraId="13EE3E7C" w14:textId="77777777" w:rsidR="00656911" w:rsidRPr="00656911" w:rsidRDefault="00656911" w:rsidP="003E4F5C">
            <w:pPr>
              <w:keepNext/>
              <w:keepLines/>
              <w:autoSpaceDE/>
              <w:autoSpaceDN/>
              <w:adjustRightInd/>
              <w:spacing w:after="0" w:line="240" w:lineRule="auto"/>
              <w:rPr>
                <w:rFonts w:ascii="Calibri" w:hAnsi="Calibri" w:cs="Times New Roman"/>
                <w:bCs/>
                <w:sz w:val="20"/>
                <w:szCs w:val="22"/>
              </w:rPr>
            </w:pPr>
            <w:r w:rsidRPr="00656911">
              <w:rPr>
                <w:rFonts w:ascii="Calibri" w:hAnsi="Calibri" w:cs="Times New Roman"/>
                <w:bCs/>
                <w:sz w:val="20"/>
                <w:szCs w:val="22"/>
              </w:rPr>
              <w:t>Family Tax Benefit B (FTBB)</w:t>
            </w:r>
          </w:p>
        </w:tc>
        <w:tc>
          <w:tcPr>
            <w:tcW w:w="6379" w:type="dxa"/>
          </w:tcPr>
          <w:p w14:paraId="35DFD75D" w14:textId="77777777" w:rsidR="00656911" w:rsidRPr="00656911" w:rsidRDefault="00656911" w:rsidP="00936FC2">
            <w:pPr>
              <w:keepNext/>
              <w:keepLines/>
              <w:numPr>
                <w:ilvl w:val="0"/>
                <w:numId w:val="17"/>
              </w:numPr>
              <w:autoSpaceDE/>
              <w:autoSpaceDN/>
              <w:adjustRightInd/>
              <w:spacing w:after="0" w:line="240" w:lineRule="auto"/>
              <w:ind w:left="312" w:hanging="283"/>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This was considered to be a good umbrella group that would be easier to administer than income dependent criteria such as the lowest two income quintiles.</w:t>
            </w:r>
          </w:p>
          <w:p w14:paraId="6755ED17" w14:textId="77777777" w:rsidR="00656911" w:rsidRPr="00656911" w:rsidRDefault="00656911" w:rsidP="00936FC2">
            <w:pPr>
              <w:keepNext/>
              <w:keepLines/>
              <w:numPr>
                <w:ilvl w:val="0"/>
                <w:numId w:val="17"/>
              </w:numPr>
              <w:autoSpaceDE/>
              <w:autoSpaceDN/>
              <w:adjustRightInd/>
              <w:spacing w:after="0" w:line="240" w:lineRule="auto"/>
              <w:ind w:left="312" w:hanging="283"/>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Maximum household incomes for FTBB is $127,772 and the financial limit does not increase based on the number of children in the household (unlike Family Tax Benefit A).</w:t>
            </w:r>
          </w:p>
          <w:p w14:paraId="6675712E" w14:textId="77777777" w:rsidR="00656911" w:rsidRPr="00656911" w:rsidRDefault="00656911" w:rsidP="00936FC2">
            <w:pPr>
              <w:keepNext/>
              <w:keepLines/>
              <w:numPr>
                <w:ilvl w:val="0"/>
                <w:numId w:val="17"/>
              </w:numPr>
              <w:autoSpaceDE/>
              <w:autoSpaceDN/>
              <w:adjustRightInd/>
              <w:spacing w:after="0" w:line="240" w:lineRule="auto"/>
              <w:ind w:left="312" w:hanging="283"/>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This group could include homeowners.</w:t>
            </w:r>
          </w:p>
        </w:tc>
        <w:tc>
          <w:tcPr>
            <w:tcW w:w="1701" w:type="dxa"/>
          </w:tcPr>
          <w:p w14:paraId="4283EC25" w14:textId="77777777" w:rsidR="00656911" w:rsidRPr="00656911" w:rsidRDefault="00656911" w:rsidP="003E4F5C">
            <w:pPr>
              <w:keepNext/>
              <w:keepLines/>
              <w:autoSpaceDE/>
              <w:autoSpaceDN/>
              <w:adjustRightInd/>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13,759</w:t>
            </w:r>
            <w:r w:rsidRPr="00656911">
              <w:rPr>
                <w:rFonts w:ascii="Calibri" w:hAnsi="Calibri" w:cs="Times New Roman"/>
                <w:sz w:val="20"/>
                <w:szCs w:val="22"/>
                <w:vertAlign w:val="superscript"/>
              </w:rPr>
              <w:footnoteReference w:id="19"/>
            </w:r>
          </w:p>
        </w:tc>
      </w:tr>
      <w:tr w:rsidR="00656911" w:rsidRPr="00656911" w14:paraId="0097FC35" w14:textId="77777777" w:rsidTr="006569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D6F6605" w14:textId="77777777" w:rsidR="00656911" w:rsidRPr="00656911" w:rsidRDefault="00656911" w:rsidP="003E4F5C">
            <w:pPr>
              <w:keepNext/>
              <w:keepLines/>
              <w:autoSpaceDE/>
              <w:autoSpaceDN/>
              <w:adjustRightInd/>
              <w:spacing w:after="0" w:line="240" w:lineRule="auto"/>
              <w:rPr>
                <w:rFonts w:ascii="Calibri" w:hAnsi="Calibri" w:cs="Times New Roman"/>
                <w:bCs/>
                <w:sz w:val="20"/>
                <w:szCs w:val="22"/>
              </w:rPr>
            </w:pPr>
            <w:r w:rsidRPr="00656911">
              <w:rPr>
                <w:rFonts w:ascii="Calibri" w:hAnsi="Calibri" w:cs="Times New Roman"/>
                <w:bCs/>
                <w:sz w:val="20"/>
                <w:szCs w:val="22"/>
              </w:rPr>
              <w:t>ACT Services Access Card</w:t>
            </w:r>
          </w:p>
        </w:tc>
        <w:tc>
          <w:tcPr>
            <w:tcW w:w="6379" w:type="dxa"/>
          </w:tcPr>
          <w:p w14:paraId="15A9A58F" w14:textId="77777777" w:rsidR="00656911" w:rsidRPr="00656911" w:rsidRDefault="00656911" w:rsidP="00936FC2">
            <w:pPr>
              <w:keepNext/>
              <w:keepLines/>
              <w:numPr>
                <w:ilvl w:val="0"/>
                <w:numId w:val="17"/>
              </w:numPr>
              <w:autoSpaceDE/>
              <w:autoSpaceDN/>
              <w:adjustRightInd/>
              <w:spacing w:after="0" w:line="240" w:lineRule="auto"/>
              <w:ind w:left="312" w:hanging="283"/>
              <w:contextualSpacing/>
              <w:cnfStyle w:val="000000100000" w:firstRow="0" w:lastRow="0" w:firstColumn="0" w:lastColumn="0" w:oddVBand="0" w:evenVBand="0" w:oddHBand="1"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This card was well supported and is limited to ACT residents with a Visa Protection.</w:t>
            </w:r>
          </w:p>
          <w:p w14:paraId="28412D53" w14:textId="77777777" w:rsidR="00656911" w:rsidRPr="00656911" w:rsidRDefault="00656911" w:rsidP="003E4F5C">
            <w:pPr>
              <w:keepNext/>
              <w:keepLines/>
              <w:autoSpaceDE/>
              <w:autoSpaceDN/>
              <w:adjustRightInd/>
              <w:spacing w:after="0" w:line="240" w:lineRule="auto"/>
              <w:ind w:left="312"/>
              <w:contextualSpacing/>
              <w:cnfStyle w:val="000000100000" w:firstRow="0" w:lastRow="0" w:firstColumn="0" w:lastColumn="0" w:oddVBand="0" w:evenVBand="0" w:oddHBand="1" w:evenHBand="0" w:firstRowFirstColumn="0" w:firstRowLastColumn="0" w:lastRowFirstColumn="0" w:lastRowLastColumn="0"/>
              <w:rPr>
                <w:rFonts w:ascii="Calibri" w:hAnsi="Calibri" w:cs="Times New Roman"/>
                <w:sz w:val="20"/>
                <w:szCs w:val="22"/>
              </w:rPr>
            </w:pPr>
          </w:p>
        </w:tc>
        <w:tc>
          <w:tcPr>
            <w:tcW w:w="1701" w:type="dxa"/>
          </w:tcPr>
          <w:p w14:paraId="6774A2D7" w14:textId="77777777" w:rsidR="00656911" w:rsidRPr="00656911" w:rsidRDefault="00656911" w:rsidP="003E4F5C">
            <w:pPr>
              <w:keepNext/>
              <w:keepLines/>
              <w:autoSpaceDE/>
              <w:autoSpaceDN/>
              <w:adjustRightInd/>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Not known</w:t>
            </w:r>
          </w:p>
        </w:tc>
      </w:tr>
      <w:tr w:rsidR="00656911" w:rsidRPr="00656911" w14:paraId="1ECD483F" w14:textId="77777777" w:rsidTr="00410D67">
        <w:tc>
          <w:tcPr>
            <w:cnfStyle w:val="001000000000" w:firstRow="0" w:lastRow="0" w:firstColumn="1" w:lastColumn="0" w:oddVBand="0" w:evenVBand="0" w:oddHBand="0" w:evenHBand="0" w:firstRowFirstColumn="0" w:firstRowLastColumn="0" w:lastRowFirstColumn="0" w:lastRowLastColumn="0"/>
            <w:tcW w:w="1129" w:type="dxa"/>
          </w:tcPr>
          <w:p w14:paraId="61B33885" w14:textId="77777777" w:rsidR="00656911" w:rsidRPr="00656911" w:rsidRDefault="00656911" w:rsidP="003E4F5C">
            <w:pPr>
              <w:keepNext/>
              <w:keepLines/>
              <w:autoSpaceDE/>
              <w:autoSpaceDN/>
              <w:adjustRightInd/>
              <w:spacing w:after="0" w:line="240" w:lineRule="auto"/>
              <w:rPr>
                <w:rFonts w:ascii="Calibri" w:hAnsi="Calibri" w:cs="Times New Roman"/>
                <w:bCs/>
                <w:sz w:val="20"/>
                <w:szCs w:val="22"/>
              </w:rPr>
            </w:pPr>
            <w:r w:rsidRPr="00656911">
              <w:rPr>
                <w:rFonts w:ascii="Calibri" w:hAnsi="Calibri" w:cs="Times New Roman"/>
                <w:bCs/>
                <w:sz w:val="20"/>
                <w:szCs w:val="22"/>
              </w:rPr>
              <w:t>Increasing referral organisations</w:t>
            </w:r>
          </w:p>
        </w:tc>
        <w:tc>
          <w:tcPr>
            <w:tcW w:w="6379" w:type="dxa"/>
          </w:tcPr>
          <w:p w14:paraId="338C3A28" w14:textId="77777777" w:rsidR="00656911" w:rsidRPr="00656911" w:rsidRDefault="00656911" w:rsidP="00936FC2">
            <w:pPr>
              <w:keepNext/>
              <w:keepLines/>
              <w:numPr>
                <w:ilvl w:val="0"/>
                <w:numId w:val="17"/>
              </w:numPr>
              <w:autoSpaceDE/>
              <w:autoSpaceDN/>
              <w:adjustRightInd/>
              <w:spacing w:after="0" w:line="240" w:lineRule="auto"/>
              <w:ind w:left="312" w:hanging="283"/>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Increasing the number of referral organisations was well supported.</w:t>
            </w:r>
          </w:p>
          <w:p w14:paraId="259FEECB" w14:textId="77777777" w:rsidR="00656911" w:rsidRPr="00656911" w:rsidRDefault="00656911" w:rsidP="00936FC2">
            <w:pPr>
              <w:keepNext/>
              <w:keepLines/>
              <w:numPr>
                <w:ilvl w:val="0"/>
                <w:numId w:val="17"/>
              </w:numPr>
              <w:autoSpaceDE/>
              <w:autoSpaceDN/>
              <w:adjustRightInd/>
              <w:spacing w:after="0" w:line="240" w:lineRule="auto"/>
              <w:ind w:left="312" w:hanging="283"/>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No consensus was reached about which organisations would be included and research would need to be conducted on each additional organisation.</w:t>
            </w:r>
          </w:p>
          <w:p w14:paraId="0398A88F" w14:textId="77777777" w:rsidR="00656911" w:rsidRPr="00656911" w:rsidRDefault="00656911" w:rsidP="00936FC2">
            <w:pPr>
              <w:keepNext/>
              <w:keepLines/>
              <w:numPr>
                <w:ilvl w:val="0"/>
                <w:numId w:val="17"/>
              </w:numPr>
              <w:autoSpaceDE/>
              <w:autoSpaceDN/>
              <w:adjustRightInd/>
              <w:spacing w:after="0" w:line="240" w:lineRule="auto"/>
              <w:ind w:left="312" w:hanging="283"/>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Suggested organisations included:</w:t>
            </w:r>
          </w:p>
          <w:p w14:paraId="12871C04" w14:textId="77777777" w:rsidR="00656911" w:rsidRPr="00656911" w:rsidRDefault="00656911" w:rsidP="00936FC2">
            <w:pPr>
              <w:keepNext/>
              <w:keepLines/>
              <w:numPr>
                <w:ilvl w:val="0"/>
                <w:numId w:val="18"/>
              </w:numPr>
              <w:autoSpaceDE/>
              <w:autoSpaceDN/>
              <w:adjustRightInd/>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Migrant and Refugee Resettlement Services (MARRS) and other migrant groups</w:t>
            </w:r>
          </w:p>
          <w:p w14:paraId="644A836B" w14:textId="77777777" w:rsidR="00656911" w:rsidRPr="00656911" w:rsidRDefault="00656911" w:rsidP="00936FC2">
            <w:pPr>
              <w:keepNext/>
              <w:keepLines/>
              <w:numPr>
                <w:ilvl w:val="0"/>
                <w:numId w:val="18"/>
              </w:numPr>
              <w:autoSpaceDE/>
              <w:autoSpaceDN/>
              <w:adjustRightInd/>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Legal Aid</w:t>
            </w:r>
          </w:p>
          <w:p w14:paraId="19A08208" w14:textId="77777777" w:rsidR="00656911" w:rsidRPr="00656911" w:rsidRDefault="00656911" w:rsidP="00936FC2">
            <w:pPr>
              <w:keepNext/>
              <w:keepLines/>
              <w:numPr>
                <w:ilvl w:val="0"/>
                <w:numId w:val="18"/>
              </w:numPr>
              <w:autoSpaceDE/>
              <w:autoSpaceDN/>
              <w:adjustRightInd/>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Carers ACT</w:t>
            </w:r>
          </w:p>
          <w:p w14:paraId="3DA91E6F" w14:textId="77777777" w:rsidR="00656911" w:rsidRPr="00656911" w:rsidRDefault="00656911" w:rsidP="00936FC2">
            <w:pPr>
              <w:keepNext/>
              <w:keepLines/>
              <w:numPr>
                <w:ilvl w:val="0"/>
                <w:numId w:val="18"/>
              </w:numPr>
              <w:autoSpaceDE/>
              <w:autoSpaceDN/>
              <w:adjustRightInd/>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The Public Trustee and Guardian</w:t>
            </w:r>
          </w:p>
          <w:p w14:paraId="22035F16" w14:textId="77777777" w:rsidR="00656911" w:rsidRDefault="009E364F" w:rsidP="00936FC2">
            <w:pPr>
              <w:keepNext/>
              <w:keepLines/>
              <w:numPr>
                <w:ilvl w:val="0"/>
                <w:numId w:val="18"/>
              </w:numPr>
              <w:autoSpaceDE/>
              <w:autoSpaceDN/>
              <w:adjustRightInd/>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Pr>
                <w:rFonts w:ascii="Calibri" w:hAnsi="Calibri" w:cs="Times New Roman"/>
                <w:sz w:val="20"/>
                <w:szCs w:val="22"/>
              </w:rPr>
              <w:t>Council of the Aging</w:t>
            </w:r>
          </w:p>
          <w:p w14:paraId="62E19AA5" w14:textId="77777777" w:rsidR="009E364F" w:rsidRDefault="009E364F" w:rsidP="00936FC2">
            <w:pPr>
              <w:keepNext/>
              <w:keepLines/>
              <w:numPr>
                <w:ilvl w:val="0"/>
                <w:numId w:val="18"/>
              </w:numPr>
              <w:autoSpaceDE/>
              <w:autoSpaceDN/>
              <w:adjustRightInd/>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Pr>
                <w:rFonts w:ascii="Calibri" w:hAnsi="Calibri" w:cs="Times New Roman"/>
                <w:sz w:val="20"/>
                <w:szCs w:val="22"/>
              </w:rPr>
              <w:t>Emergency relief agencies</w:t>
            </w:r>
          </w:p>
          <w:p w14:paraId="1C0164A3" w14:textId="27C129ED" w:rsidR="009E364F" w:rsidRPr="00656911" w:rsidRDefault="009E364F" w:rsidP="00936FC2">
            <w:pPr>
              <w:keepNext/>
              <w:keepLines/>
              <w:numPr>
                <w:ilvl w:val="0"/>
                <w:numId w:val="18"/>
              </w:numPr>
              <w:autoSpaceDE/>
              <w:autoSpaceDN/>
              <w:adjustRightInd/>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Pr>
                <w:rFonts w:ascii="Calibri" w:hAnsi="Calibri" w:cs="Times New Roman"/>
                <w:sz w:val="20"/>
                <w:szCs w:val="22"/>
              </w:rPr>
              <w:t>Indigenous organisations</w:t>
            </w:r>
          </w:p>
        </w:tc>
        <w:tc>
          <w:tcPr>
            <w:tcW w:w="1701" w:type="dxa"/>
          </w:tcPr>
          <w:p w14:paraId="7C7E92A9" w14:textId="77777777" w:rsidR="00656911" w:rsidRPr="00656911" w:rsidRDefault="00656911" w:rsidP="003E4F5C">
            <w:pPr>
              <w:keepNext/>
              <w:keepLines/>
              <w:autoSpaceDE/>
              <w:autoSpaceDN/>
              <w:adjustRightInd/>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sz w:val="20"/>
                <w:szCs w:val="22"/>
              </w:rPr>
            </w:pPr>
            <w:r w:rsidRPr="00656911">
              <w:rPr>
                <w:rFonts w:ascii="Calibri" w:hAnsi="Calibri" w:cs="Times New Roman"/>
                <w:sz w:val="20"/>
                <w:szCs w:val="22"/>
              </w:rPr>
              <w:t xml:space="preserve">Not applicable </w:t>
            </w:r>
          </w:p>
        </w:tc>
      </w:tr>
    </w:tbl>
    <w:p w14:paraId="2035F121" w14:textId="03F6A268" w:rsidR="007B5455" w:rsidRDefault="007B5455" w:rsidP="005C5B05"/>
    <w:p w14:paraId="1CF09DD4" w14:textId="1DE33A4D" w:rsidR="0025653E" w:rsidRDefault="00E72595" w:rsidP="00936FC2">
      <w:pPr>
        <w:pStyle w:val="Heading1"/>
        <w:numPr>
          <w:ilvl w:val="0"/>
          <w:numId w:val="6"/>
        </w:numPr>
      </w:pPr>
      <w:bookmarkStart w:id="18" w:name="_Toc2000461"/>
      <w:bookmarkStart w:id="19" w:name="_Toc2000490"/>
      <w:bookmarkStart w:id="20" w:name="_Toc4575631"/>
      <w:bookmarkStart w:id="21" w:name="_Toc2000463"/>
      <w:bookmarkStart w:id="22" w:name="_Toc2000492"/>
      <w:bookmarkStart w:id="23" w:name="_Toc4575633"/>
      <w:bookmarkStart w:id="24" w:name="_Toc2000468"/>
      <w:bookmarkStart w:id="25" w:name="_Toc2000497"/>
      <w:bookmarkStart w:id="26" w:name="_Toc4575638"/>
      <w:bookmarkStart w:id="27" w:name="_Toc2000469"/>
      <w:bookmarkStart w:id="28" w:name="_Toc2000498"/>
      <w:bookmarkStart w:id="29" w:name="_Toc4575639"/>
      <w:bookmarkStart w:id="30" w:name="_Toc2000472"/>
      <w:bookmarkStart w:id="31" w:name="_Toc2000501"/>
      <w:bookmarkStart w:id="32" w:name="_Toc4575642"/>
      <w:bookmarkStart w:id="33" w:name="_Toc762531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lastRenderedPageBreak/>
        <w:t xml:space="preserve">Consistency of the </w:t>
      </w:r>
      <w:r w:rsidR="00170950">
        <w:t>disallowable instrument</w:t>
      </w:r>
      <w:r>
        <w:t xml:space="preserve"> with the authorising law</w:t>
      </w:r>
      <w:bookmarkEnd w:id="33"/>
    </w:p>
    <w:p w14:paraId="55E3987E" w14:textId="77777777" w:rsidR="00B82854" w:rsidRDefault="00B82854" w:rsidP="009E5708">
      <w:r>
        <w:t xml:space="preserve">The </w:t>
      </w:r>
      <w:r w:rsidR="00170950">
        <w:t>disallowable instrument</w:t>
      </w:r>
      <w:r>
        <w:t xml:space="preserve"> is consistent with the object of the Act to increase opportunities for priority households to reduce energy use and cost</w:t>
      </w:r>
      <w:r w:rsidR="007A6B94">
        <w:t>.</w:t>
      </w:r>
    </w:p>
    <w:p w14:paraId="175E08BF" w14:textId="77777777" w:rsidR="00823149" w:rsidRDefault="00823149" w:rsidP="009E5708">
      <w:r w:rsidRPr="00823149">
        <w:t xml:space="preserve">The </w:t>
      </w:r>
      <w:r w:rsidR="007A6B94">
        <w:t>a</w:t>
      </w:r>
      <w:r w:rsidRPr="00823149">
        <w:t xml:space="preserve">uthorising </w:t>
      </w:r>
      <w:r w:rsidR="007A6B94">
        <w:t>l</w:t>
      </w:r>
      <w:r w:rsidRPr="00823149">
        <w:t xml:space="preserve">aw requires the Minister to set a PHT at least three months before the start of the compliance period to which the priority household target relates. </w:t>
      </w:r>
      <w:r>
        <w:t>The</w:t>
      </w:r>
      <w:r w:rsidR="00B82854">
        <w:t xml:space="preserve"> requirement is for the PHT to be established six-months before the start of the compliance period if the PHT is to be increased. Compliance periods are calendar years. </w:t>
      </w:r>
    </w:p>
    <w:p w14:paraId="322F2970" w14:textId="17D7B663" w:rsidR="00FB3DDA" w:rsidRDefault="00B82854" w:rsidP="009E5708">
      <w:r>
        <w:t xml:space="preserve">As the proposal is to </w:t>
      </w:r>
      <w:r w:rsidR="00DC6F3E">
        <w:t>increase</w:t>
      </w:r>
      <w:r>
        <w:t xml:space="preserve">, rather than to </w:t>
      </w:r>
      <w:r w:rsidR="00DC6F3E">
        <w:t xml:space="preserve">retain </w:t>
      </w:r>
      <w:r>
        <w:t xml:space="preserve">the PHT, the authorising law requires the PHT to be set at least </w:t>
      </w:r>
      <w:r w:rsidR="00DC6F3E">
        <w:t xml:space="preserve">six </w:t>
      </w:r>
      <w:r>
        <w:t>months before the end of 201</w:t>
      </w:r>
      <w:r w:rsidR="00DC6F3E">
        <w:t>9</w:t>
      </w:r>
      <w:r w:rsidR="00F0658B">
        <w:t xml:space="preserve"> for the 20</w:t>
      </w:r>
      <w:r w:rsidR="00DC6F3E">
        <w:t>20</w:t>
      </w:r>
      <w:r w:rsidR="00F0658B">
        <w:t xml:space="preserve"> compliance period</w:t>
      </w:r>
      <w:r>
        <w:t>.</w:t>
      </w:r>
      <w:r w:rsidR="00147DE4" w:rsidDel="00147DE4">
        <w:t xml:space="preserve"> </w:t>
      </w:r>
    </w:p>
    <w:p w14:paraId="5827614F" w14:textId="77777777" w:rsidR="00E72595" w:rsidRDefault="00E72595" w:rsidP="00936FC2">
      <w:pPr>
        <w:pStyle w:val="Heading1"/>
        <w:numPr>
          <w:ilvl w:val="0"/>
          <w:numId w:val="6"/>
        </w:numPr>
      </w:pPr>
      <w:bookmarkStart w:id="34" w:name="_Toc7625311"/>
      <w:r>
        <w:t xml:space="preserve">The </w:t>
      </w:r>
      <w:r w:rsidR="00170950">
        <w:t>disallowable instrument</w:t>
      </w:r>
      <w:r>
        <w:t xml:space="preserve"> is not inconsistent with the policy objectives of another Territory</w:t>
      </w:r>
      <w:r w:rsidR="00A70CCD">
        <w:t xml:space="preserve"> </w:t>
      </w:r>
      <w:r>
        <w:t>law</w:t>
      </w:r>
      <w:bookmarkEnd w:id="34"/>
    </w:p>
    <w:p w14:paraId="79CCFED8" w14:textId="77777777" w:rsidR="0088104C" w:rsidRDefault="00F32CC2" w:rsidP="009E5708">
      <w:r w:rsidRPr="00B82854">
        <w:t xml:space="preserve">The proposed law is not inconsistent with the policy objectives of another </w:t>
      </w:r>
      <w:r w:rsidR="005F59A1">
        <w:t>T</w:t>
      </w:r>
      <w:r w:rsidR="005F59A1" w:rsidRPr="00B82854">
        <w:t xml:space="preserve">erritory </w:t>
      </w:r>
      <w:r w:rsidRPr="00B82854">
        <w:t xml:space="preserve">law. </w:t>
      </w:r>
    </w:p>
    <w:p w14:paraId="48599AEE" w14:textId="77777777" w:rsidR="00E72595" w:rsidRDefault="00E72595" w:rsidP="00936FC2">
      <w:pPr>
        <w:pStyle w:val="Heading1"/>
        <w:numPr>
          <w:ilvl w:val="0"/>
          <w:numId w:val="6"/>
        </w:numPr>
      </w:pPr>
      <w:bookmarkStart w:id="35" w:name="_Toc7625312"/>
      <w:r>
        <w:t xml:space="preserve">Reasonable alternatives to the </w:t>
      </w:r>
      <w:r w:rsidR="00170950">
        <w:t>disallowable instrument</w:t>
      </w:r>
      <w:bookmarkEnd w:id="35"/>
    </w:p>
    <w:p w14:paraId="48897604" w14:textId="58532C5F" w:rsidR="00F0658B" w:rsidRDefault="00B82854" w:rsidP="009E5708">
      <w:r w:rsidRPr="00B82854">
        <w:t xml:space="preserve">Section 8 of </w:t>
      </w:r>
      <w:r w:rsidR="005F59A1">
        <w:t>t</w:t>
      </w:r>
      <w:r w:rsidRPr="00B82854">
        <w:t xml:space="preserve">he authorising law is explicit in its requirement for a PHT to be </w:t>
      </w:r>
      <w:r w:rsidR="004056FE">
        <w:t>determined</w:t>
      </w:r>
      <w:r w:rsidR="004056FE" w:rsidRPr="00B82854">
        <w:t xml:space="preserve"> </w:t>
      </w:r>
      <w:r w:rsidRPr="00B82854">
        <w:t xml:space="preserve">by the Minister and provides for no alternative. </w:t>
      </w:r>
      <w:r w:rsidR="000E025A">
        <w:t>A</w:t>
      </w:r>
      <w:r w:rsidR="004B2265">
        <w:t>lternative</w:t>
      </w:r>
      <w:r w:rsidR="000E025A">
        <w:t>s</w:t>
      </w:r>
      <w:r w:rsidR="004B2265">
        <w:t xml:space="preserve"> to the disallowable instrument </w:t>
      </w:r>
      <w:r w:rsidR="000201B4">
        <w:t>are therefore restricted to</w:t>
      </w:r>
      <w:r w:rsidR="008F347A" w:rsidRPr="00B82854">
        <w:t xml:space="preserve"> either </w:t>
      </w:r>
      <w:r w:rsidR="000201B4">
        <w:t xml:space="preserve">a </w:t>
      </w:r>
      <w:r w:rsidR="008F347A" w:rsidRPr="00B82854">
        <w:t xml:space="preserve">lower or a higher </w:t>
      </w:r>
      <w:r w:rsidR="000E025A">
        <w:t>setting</w:t>
      </w:r>
      <w:r w:rsidR="004F2343">
        <w:t>, or other pathways that provide for an achievable PHT</w:t>
      </w:r>
      <w:r w:rsidR="000E025A">
        <w:t xml:space="preserve">. </w:t>
      </w:r>
    </w:p>
    <w:p w14:paraId="0B5EEE02" w14:textId="6417F13A" w:rsidR="00F10BBE" w:rsidRDefault="00F10BBE" w:rsidP="009E5708">
      <w:r>
        <w:t xml:space="preserve">The disallowable instrument sets the PHT at </w:t>
      </w:r>
      <w:r w:rsidR="0034049C">
        <w:t>30</w:t>
      </w:r>
      <w:r w:rsidR="007F0C3A">
        <w:t xml:space="preserve"> per cent</w:t>
      </w:r>
      <w:r>
        <w:t xml:space="preserve"> </w:t>
      </w:r>
      <w:r w:rsidR="009C20C6">
        <w:t>for</w:t>
      </w:r>
      <w:r>
        <w:t xml:space="preserve"> </w:t>
      </w:r>
      <w:r w:rsidR="00F0658B">
        <w:t>2020</w:t>
      </w:r>
      <w:r>
        <w:t xml:space="preserve">. </w:t>
      </w:r>
    </w:p>
    <w:p w14:paraId="35124F4B" w14:textId="6CE9BBB6" w:rsidR="00245A11" w:rsidRDefault="00F0658B" w:rsidP="00F7629D">
      <w:r>
        <w:t xml:space="preserve">As mentioned previously, </w:t>
      </w:r>
      <w:r w:rsidRPr="00F0658B">
        <w:t>several strategies</w:t>
      </w:r>
      <w:r w:rsidR="00572221">
        <w:t xml:space="preserve"> have been implemented</w:t>
      </w:r>
      <w:r w:rsidRPr="00F0658B">
        <w:t xml:space="preserve"> to enhance </w:t>
      </w:r>
      <w:r w:rsidR="003C31BD">
        <w:t>opportunities</w:t>
      </w:r>
      <w:r w:rsidRPr="00F0658B">
        <w:t xml:space="preserve"> to achieve the PHT</w:t>
      </w:r>
      <w:r w:rsidR="00572221">
        <w:t xml:space="preserve">. </w:t>
      </w:r>
      <w:r w:rsidR="003C31BD">
        <w:t xml:space="preserve">Referral pathways have been established between the EEIS and community sector, </w:t>
      </w:r>
      <w:r w:rsidR="00572221">
        <w:t xml:space="preserve">ActewAGL </w:t>
      </w:r>
      <w:r w:rsidR="003155C6">
        <w:t xml:space="preserve">and Housing ACT </w:t>
      </w:r>
      <w:r w:rsidR="00DC6F3E">
        <w:t>are</w:t>
      </w:r>
      <w:r w:rsidR="003155C6">
        <w:t xml:space="preserve"> continu</w:t>
      </w:r>
      <w:r w:rsidR="00DC6F3E">
        <w:t>ing to</w:t>
      </w:r>
      <w:r w:rsidR="003155C6">
        <w:t xml:space="preserve"> </w:t>
      </w:r>
      <w:r w:rsidR="00572221">
        <w:t>deliver</w:t>
      </w:r>
      <w:r w:rsidR="00DC6F3E">
        <w:t xml:space="preserve"> the</w:t>
      </w:r>
      <w:r w:rsidR="00572221">
        <w:t xml:space="preserve"> EEIS activities to </w:t>
      </w:r>
      <w:r w:rsidR="003155C6">
        <w:t>public housing</w:t>
      </w:r>
      <w:r w:rsidR="00572221">
        <w:t xml:space="preserve"> tenants and the pool of </w:t>
      </w:r>
      <w:r w:rsidR="003C31BD">
        <w:t xml:space="preserve">eligible </w:t>
      </w:r>
      <w:r w:rsidR="00572221">
        <w:t>households was expanded</w:t>
      </w:r>
      <w:r w:rsidR="003155C6">
        <w:t xml:space="preserve"> by a Regulation</w:t>
      </w:r>
      <w:r w:rsidR="00164B36">
        <w:t xml:space="preserve"> in 2017</w:t>
      </w:r>
      <w:r w:rsidR="00420AF5">
        <w:t xml:space="preserve">. These </w:t>
      </w:r>
      <w:r w:rsidR="003C31BD">
        <w:t>strategies</w:t>
      </w:r>
      <w:r w:rsidR="00420AF5">
        <w:t xml:space="preserve"> were described</w:t>
      </w:r>
      <w:r w:rsidR="00F7629D">
        <w:t xml:space="preserve"> and assessed</w:t>
      </w:r>
      <w:r w:rsidR="00420AF5">
        <w:t xml:space="preserve"> in the Regulatory Impact Statement</w:t>
      </w:r>
      <w:r w:rsidR="00F7629D">
        <w:t xml:space="preserve"> (RIS)</w:t>
      </w:r>
      <w:r w:rsidR="00420AF5">
        <w:t xml:space="preserve"> for the </w:t>
      </w:r>
      <w:r w:rsidR="00882456" w:rsidRPr="00882456">
        <w:rPr>
          <w:i/>
        </w:rPr>
        <w:t>Energy Efficiency (Cost of Living) Improvement (Priority Household Target) Determination 2017</w:t>
      </w:r>
      <w:r w:rsidR="00420AF5">
        <w:rPr>
          <w:rStyle w:val="FootnoteReference"/>
        </w:rPr>
        <w:footnoteReference w:id="20"/>
      </w:r>
      <w:r w:rsidR="00F7629D">
        <w:t>.</w:t>
      </w:r>
      <w:r w:rsidR="00420AF5">
        <w:t xml:space="preserve"> </w:t>
      </w:r>
    </w:p>
    <w:p w14:paraId="0F382284" w14:textId="72A5B8BC" w:rsidR="00245A11" w:rsidRDefault="003C31BD" w:rsidP="00245A11">
      <w:r>
        <w:t>T</w:t>
      </w:r>
      <w:r w:rsidR="00F7629D">
        <w:t xml:space="preserve">hese </w:t>
      </w:r>
      <w:r>
        <w:t>strategies</w:t>
      </w:r>
      <w:r w:rsidR="003155C6">
        <w:t>, along with</w:t>
      </w:r>
      <w:r>
        <w:t xml:space="preserve"> new EEIS activities being phased in by ActewAGL set a favourable scenario for </w:t>
      </w:r>
      <w:r w:rsidR="003155C6">
        <w:t>reaching more priority households in the future</w:t>
      </w:r>
      <w:r>
        <w:t xml:space="preserve">, which justifies </w:t>
      </w:r>
      <w:r w:rsidR="00CB4621">
        <w:t>an increase to the PHT of</w:t>
      </w:r>
      <w:r w:rsidR="003155C6">
        <w:t xml:space="preserve"> </w:t>
      </w:r>
      <w:r w:rsidR="001121CC">
        <w:t>30</w:t>
      </w:r>
      <w:r w:rsidR="007F0C3A">
        <w:t xml:space="preserve"> per cent</w:t>
      </w:r>
      <w:r w:rsidR="003155C6">
        <w:t xml:space="preserve"> </w:t>
      </w:r>
      <w:r w:rsidR="00CB4621">
        <w:t>for</w:t>
      </w:r>
      <w:r w:rsidR="003155C6">
        <w:t xml:space="preserve"> </w:t>
      </w:r>
      <w:r w:rsidR="00DC6F3E">
        <w:t>2020</w:t>
      </w:r>
      <w:r>
        <w:t>.</w:t>
      </w:r>
    </w:p>
    <w:p w14:paraId="4578C1B5" w14:textId="7790E190" w:rsidR="0025653E" w:rsidRDefault="00B42B48" w:rsidP="00936FC2">
      <w:pPr>
        <w:pStyle w:val="Heading1"/>
        <w:numPr>
          <w:ilvl w:val="0"/>
          <w:numId w:val="6"/>
        </w:numPr>
      </w:pPr>
      <w:bookmarkStart w:id="36" w:name="_Toc7625313"/>
      <w:r>
        <w:lastRenderedPageBreak/>
        <w:t>A</w:t>
      </w:r>
      <w:r w:rsidR="00C14669">
        <w:t xml:space="preserve">ssessment of benefits and costs of the </w:t>
      </w:r>
      <w:r w:rsidR="00170950">
        <w:t>disallowable instrument</w:t>
      </w:r>
      <w:bookmarkEnd w:id="36"/>
    </w:p>
    <w:p w14:paraId="41F7F7E7" w14:textId="25DFBDF7" w:rsidR="00555B11" w:rsidRDefault="00555B11" w:rsidP="00555B11">
      <w:r>
        <w:t>An independent review of the EEIS was undertaken in 2018, which showed it had</w:t>
      </w:r>
      <w:r w:rsidRPr="00287399">
        <w:t xml:space="preserve"> been effective in reducing house</w:t>
      </w:r>
      <w:r>
        <w:t xml:space="preserve">hold and business emissions, </w:t>
      </w:r>
      <w:r w:rsidRPr="00287399">
        <w:t xml:space="preserve">energy </w:t>
      </w:r>
      <w:r>
        <w:t>bills</w:t>
      </w:r>
      <w:r w:rsidRPr="00287399">
        <w:t xml:space="preserve"> and been cost-efficiently delivered, with an overall positive benefit-cost-ratio.</w:t>
      </w:r>
    </w:p>
    <w:p w14:paraId="1CCE0B86" w14:textId="794C0D3E" w:rsidR="00555B11" w:rsidRDefault="00555B11" w:rsidP="003E4F5C">
      <w:pPr>
        <w:keepNext/>
      </w:pPr>
      <w:r w:rsidRPr="00555B11">
        <w:t>Key results of the Review</w:t>
      </w:r>
      <w:r>
        <w:t xml:space="preserve"> included</w:t>
      </w:r>
      <w:r w:rsidR="00CB4621">
        <w:t>:</w:t>
      </w:r>
      <w:r>
        <w:t xml:space="preserve"> </w:t>
      </w:r>
    </w:p>
    <w:p w14:paraId="72B72D9E" w14:textId="77777777" w:rsidR="00555B11" w:rsidRDefault="00555B11" w:rsidP="00936FC2">
      <w:pPr>
        <w:pStyle w:val="ListParagraph"/>
        <w:numPr>
          <w:ilvl w:val="0"/>
          <w:numId w:val="13"/>
        </w:numPr>
        <w:rPr>
          <w:rStyle w:val="Calibri12"/>
        </w:rPr>
      </w:pPr>
      <w:r>
        <w:t>t</w:t>
      </w:r>
      <w:r w:rsidRPr="00BE05BB">
        <w:rPr>
          <w:rStyle w:val="Calibri12"/>
        </w:rPr>
        <w:t>otal lifetime bill savings of $240M including $180M to households and $60</w:t>
      </w:r>
      <w:r>
        <w:rPr>
          <w:rStyle w:val="Calibri12"/>
        </w:rPr>
        <w:t>M</w:t>
      </w:r>
      <w:r w:rsidRPr="00BE05BB">
        <w:rPr>
          <w:rStyle w:val="Calibri12"/>
        </w:rPr>
        <w:t xml:space="preserve"> to small and medium businesses. </w:t>
      </w:r>
    </w:p>
    <w:p w14:paraId="09A31254" w14:textId="77777777" w:rsidR="00555B11" w:rsidRDefault="00555B11" w:rsidP="00936FC2">
      <w:pPr>
        <w:pStyle w:val="ListParagraph"/>
        <w:numPr>
          <w:ilvl w:val="0"/>
          <w:numId w:val="13"/>
        </w:numPr>
        <w:rPr>
          <w:rStyle w:val="Calibri12"/>
        </w:rPr>
      </w:pPr>
      <w:r w:rsidRPr="00BE05BB">
        <w:rPr>
          <w:rStyle w:val="Calibri12"/>
        </w:rPr>
        <w:t>Average weekly savings are $5.65 for participating households and $57 for participating businesses.</w:t>
      </w:r>
    </w:p>
    <w:p w14:paraId="0C8A26FE" w14:textId="1239C5F7" w:rsidR="00D959FF" w:rsidRDefault="00D959FF" w:rsidP="00936FC2">
      <w:pPr>
        <w:pStyle w:val="ListParagraph"/>
        <w:numPr>
          <w:ilvl w:val="0"/>
          <w:numId w:val="13"/>
        </w:numPr>
        <w:rPr>
          <w:rStyle w:val="Calibri12"/>
        </w:rPr>
      </w:pPr>
      <w:r>
        <w:rPr>
          <w:rStyle w:val="Calibri12"/>
        </w:rPr>
        <w:t>The EEIS im</w:t>
      </w:r>
      <w:r w:rsidR="009E364F">
        <w:rPr>
          <w:rStyle w:val="Calibri12"/>
        </w:rPr>
        <w:t>poses a small pass-through cost</w:t>
      </w:r>
      <w:r>
        <w:rPr>
          <w:rStyle w:val="Calibri12"/>
        </w:rPr>
        <w:t xml:space="preserve"> onto all ACT energy users. The review calculated these pass-through costs as averaging $30 per year for average ACT households in 2017. </w:t>
      </w:r>
      <w:r w:rsidR="00D71A21">
        <w:rPr>
          <w:rStyle w:val="Calibri12"/>
        </w:rPr>
        <w:t xml:space="preserve">Average weekly </w:t>
      </w:r>
      <w:r w:rsidR="00D71A21" w:rsidRPr="00D959FF">
        <w:rPr>
          <w:rStyle w:val="Calibri12"/>
        </w:rPr>
        <w:t xml:space="preserve">savings </w:t>
      </w:r>
      <w:r w:rsidR="00D71A21">
        <w:rPr>
          <w:rStyle w:val="Calibri12"/>
        </w:rPr>
        <w:t>for participating households were estimated at $294 per year in 2017</w:t>
      </w:r>
      <w:r w:rsidR="00D71A21" w:rsidRPr="00D959FF">
        <w:rPr>
          <w:rStyle w:val="Calibri12"/>
        </w:rPr>
        <w:t>.</w:t>
      </w:r>
    </w:p>
    <w:p w14:paraId="4CF01705" w14:textId="59609105" w:rsidR="00555B11" w:rsidRDefault="00555B11" w:rsidP="00936FC2">
      <w:pPr>
        <w:pStyle w:val="ListParagraph"/>
        <w:numPr>
          <w:ilvl w:val="0"/>
          <w:numId w:val="13"/>
        </w:numPr>
        <w:rPr>
          <w:rStyle w:val="Calibri12"/>
        </w:rPr>
      </w:pPr>
      <w:r w:rsidRPr="00BE05BB">
        <w:rPr>
          <w:rStyle w:val="Calibri12"/>
        </w:rPr>
        <w:t>EEIS saved over $15M off the energy bills of Canberra’s low</w:t>
      </w:r>
      <w:r w:rsidR="00EA2710">
        <w:rPr>
          <w:rStyle w:val="Calibri12"/>
        </w:rPr>
        <w:t>-</w:t>
      </w:r>
      <w:r w:rsidRPr="00BE05BB">
        <w:rPr>
          <w:rStyle w:val="Calibri12"/>
        </w:rPr>
        <w:t xml:space="preserve">income households. </w:t>
      </w:r>
    </w:p>
    <w:p w14:paraId="46E8DE15" w14:textId="5C1FC3FB" w:rsidR="00D959FF" w:rsidRDefault="00D959FF" w:rsidP="00936FC2">
      <w:pPr>
        <w:pStyle w:val="ListParagraph"/>
        <w:numPr>
          <w:ilvl w:val="0"/>
          <w:numId w:val="13"/>
        </w:numPr>
        <w:rPr>
          <w:rStyle w:val="Calibri12"/>
        </w:rPr>
      </w:pPr>
      <w:r>
        <w:rPr>
          <w:rStyle w:val="Calibri12"/>
        </w:rPr>
        <w:t>Without the disallowable instrument, there will be no requirement for the Tier 1 retailer to continue delivering EEIS savings to low income households</w:t>
      </w:r>
      <w:r w:rsidR="00D71A21">
        <w:rPr>
          <w:rStyle w:val="Calibri12"/>
        </w:rPr>
        <w:t>, which would very likely result in fewer savings being delivered in those households</w:t>
      </w:r>
      <w:r>
        <w:rPr>
          <w:rStyle w:val="Calibri12"/>
        </w:rPr>
        <w:t xml:space="preserve">. In this case, low income households would continue to pay an average of $30 per year towards EEIS, but be much less likely to achieve savings averaging </w:t>
      </w:r>
      <w:r w:rsidR="00D71A21">
        <w:rPr>
          <w:rStyle w:val="Calibri12"/>
        </w:rPr>
        <w:t xml:space="preserve">$294 per year. </w:t>
      </w:r>
    </w:p>
    <w:p w14:paraId="1B80B926" w14:textId="45F75028" w:rsidR="001D5C24" w:rsidRPr="00555B11" w:rsidRDefault="00D71A21" w:rsidP="00936FC2">
      <w:pPr>
        <w:pStyle w:val="ListParagraph"/>
        <w:numPr>
          <w:ilvl w:val="0"/>
          <w:numId w:val="13"/>
        </w:numPr>
        <w:rPr>
          <w:rFonts w:ascii="Calibri" w:hAnsi="Calibri"/>
        </w:rPr>
      </w:pPr>
      <w:r>
        <w:rPr>
          <w:rStyle w:val="Calibri12"/>
        </w:rPr>
        <w:t>Lifetime s</w:t>
      </w:r>
      <w:r w:rsidR="00555B11" w:rsidRPr="00BE05BB">
        <w:rPr>
          <w:rStyle w:val="Calibri12"/>
        </w:rPr>
        <w:t>avings from EEIS have been four times greater than the costs of running the scheme.</w:t>
      </w:r>
      <w:r w:rsidR="009C20C6">
        <w:t xml:space="preserve"> </w:t>
      </w:r>
    </w:p>
    <w:p w14:paraId="344BA512" w14:textId="77777777" w:rsidR="00790D1E" w:rsidRDefault="00790D1E" w:rsidP="00936FC2">
      <w:pPr>
        <w:pStyle w:val="Heading1"/>
        <w:numPr>
          <w:ilvl w:val="0"/>
          <w:numId w:val="6"/>
        </w:numPr>
      </w:pPr>
      <w:bookmarkStart w:id="37" w:name="_Toc7625314"/>
      <w:r>
        <w:t>Human Rights</w:t>
      </w:r>
      <w:bookmarkEnd w:id="37"/>
    </w:p>
    <w:p w14:paraId="55087B34" w14:textId="5C5BE5D9" w:rsidR="002225C1" w:rsidRPr="009C20C6" w:rsidRDefault="002225C1" w:rsidP="009E5708">
      <w:pPr>
        <w:pStyle w:val="CommentText"/>
        <w:rPr>
          <w:sz w:val="24"/>
        </w:rPr>
      </w:pPr>
      <w:r w:rsidRPr="009C20C6">
        <w:rPr>
          <w:sz w:val="24"/>
        </w:rPr>
        <w:t xml:space="preserve">The determination does not affect any human right set out in the </w:t>
      </w:r>
      <w:r w:rsidRPr="009C20C6">
        <w:rPr>
          <w:i/>
          <w:sz w:val="24"/>
        </w:rPr>
        <w:t>Human Rights Act 2004</w:t>
      </w:r>
      <w:r w:rsidRPr="009C20C6">
        <w:rPr>
          <w:sz w:val="24"/>
        </w:rPr>
        <w:t>.</w:t>
      </w:r>
      <w:r w:rsidR="0009521A">
        <w:rPr>
          <w:sz w:val="24"/>
        </w:rPr>
        <w:t xml:space="preserve"> </w:t>
      </w:r>
    </w:p>
    <w:p w14:paraId="21B8E5AD" w14:textId="4DDA63EA" w:rsidR="00982BD8" w:rsidRDefault="00982BD8" w:rsidP="00936FC2">
      <w:pPr>
        <w:pStyle w:val="Heading1"/>
        <w:numPr>
          <w:ilvl w:val="0"/>
          <w:numId w:val="6"/>
        </w:numPr>
      </w:pPr>
      <w:bookmarkStart w:id="38" w:name="_Toc4575649"/>
      <w:bookmarkStart w:id="39" w:name="_Toc7625315"/>
      <w:bookmarkEnd w:id="38"/>
      <w:r>
        <w:t>Conclusion</w:t>
      </w:r>
      <w:bookmarkEnd w:id="39"/>
    </w:p>
    <w:p w14:paraId="0CC7702D" w14:textId="5B46D32F" w:rsidR="0059277B" w:rsidRDefault="009C20C6" w:rsidP="009E5708">
      <w:r>
        <w:t>The disallowable instrument sets the EEIS</w:t>
      </w:r>
      <w:r w:rsidR="00F64FDA">
        <w:t xml:space="preserve"> Priority Household Target </w:t>
      </w:r>
      <w:r w:rsidR="00CB2524">
        <w:t xml:space="preserve">(PHT) </w:t>
      </w:r>
      <w:r w:rsidR="00F64FDA">
        <w:t xml:space="preserve">at </w:t>
      </w:r>
      <w:r w:rsidR="001121CC">
        <w:t>30</w:t>
      </w:r>
      <w:r w:rsidR="007F0C3A">
        <w:t xml:space="preserve"> per cent</w:t>
      </w:r>
      <w:r>
        <w:t xml:space="preserve"> for </w:t>
      </w:r>
      <w:r w:rsidR="00953026">
        <w:t>2020</w:t>
      </w:r>
      <w:r>
        <w:t xml:space="preserve">. </w:t>
      </w:r>
      <w:r w:rsidR="00C21766">
        <w:rPr>
          <w:rFonts w:cs="Calibri"/>
        </w:rPr>
        <w:t xml:space="preserve">The </w:t>
      </w:r>
      <w:r w:rsidR="001121CC">
        <w:rPr>
          <w:rFonts w:cs="Calibri"/>
        </w:rPr>
        <w:t>30</w:t>
      </w:r>
      <w:r w:rsidR="007F0C3A">
        <w:rPr>
          <w:rFonts w:cs="Calibri"/>
        </w:rPr>
        <w:t xml:space="preserve"> per cent</w:t>
      </w:r>
      <w:r w:rsidR="00C21766">
        <w:rPr>
          <w:rFonts w:cs="Calibri"/>
        </w:rPr>
        <w:t xml:space="preserve"> EEIS PHT maintains </w:t>
      </w:r>
      <w:r w:rsidR="00CA746E" w:rsidRPr="008C2006">
        <w:t xml:space="preserve">opportunities for </w:t>
      </w:r>
      <w:r w:rsidR="00024CA6">
        <w:t>low income</w:t>
      </w:r>
      <w:r w:rsidR="00CA746E" w:rsidRPr="008C2006">
        <w:t xml:space="preserve"> households to</w:t>
      </w:r>
      <w:r w:rsidR="00A46858">
        <w:t xml:space="preserve"> reduce energy use and cost by requiring</w:t>
      </w:r>
      <w:r w:rsidR="00CA746E" w:rsidRPr="008C2006">
        <w:t xml:space="preserve"> </w:t>
      </w:r>
      <w:r w:rsidR="00F86753" w:rsidRPr="008C2006">
        <w:t xml:space="preserve">obligated retailers deliver </w:t>
      </w:r>
      <w:r w:rsidR="00CA746E" w:rsidRPr="008C2006">
        <w:t xml:space="preserve">a proportion of total EEIS abatement in </w:t>
      </w:r>
      <w:r w:rsidR="00A46858">
        <w:t>priority households</w:t>
      </w:r>
      <w:r w:rsidR="00CA746E" w:rsidRPr="008C2006">
        <w:t xml:space="preserve">. </w:t>
      </w:r>
      <w:r w:rsidR="00F86753" w:rsidRPr="008C2006">
        <w:t xml:space="preserve">The PHT was set at 25 per cent between 2013 and 2015 and 20 per cent since 2016. </w:t>
      </w:r>
      <w:r w:rsidR="00CA746E" w:rsidRPr="008C2006">
        <w:t xml:space="preserve">The PHT has been consistently achieved throughout the life of the EEIS. </w:t>
      </w:r>
      <w:r w:rsidR="00F86753" w:rsidRPr="008C2006">
        <w:t xml:space="preserve">With inequality </w:t>
      </w:r>
      <w:r w:rsidR="008E37F8">
        <w:t>and energy prices increasing</w:t>
      </w:r>
      <w:r w:rsidR="00F86753" w:rsidRPr="008C2006">
        <w:t xml:space="preserve">, the need for priority household support remains as pressing as ever. </w:t>
      </w:r>
      <w:r w:rsidR="00F64FDA">
        <w:t>Consultation</w:t>
      </w:r>
      <w:r w:rsidR="00B77DAE">
        <w:t xml:space="preserve"> indicated a</w:t>
      </w:r>
      <w:r w:rsidR="00F64FDA">
        <w:t xml:space="preserve"> </w:t>
      </w:r>
      <w:r w:rsidR="00B77DAE" w:rsidRPr="006002BD">
        <w:t>consensus view that the PHT remains a valuable EEIS element and</w:t>
      </w:r>
      <w:r w:rsidR="008E37F8">
        <w:t xml:space="preserve"> most stakeholders supported an</w:t>
      </w:r>
      <w:r w:rsidR="00B77DAE">
        <w:t xml:space="preserve"> </w:t>
      </w:r>
      <w:r w:rsidR="004D5C3A">
        <w:t>increase</w:t>
      </w:r>
      <w:r w:rsidR="008E37F8">
        <w:t xml:space="preserve"> to</w:t>
      </w:r>
      <w:r w:rsidR="004D5C3A" w:rsidRPr="00003BED">
        <w:t xml:space="preserve"> </w:t>
      </w:r>
      <w:r w:rsidR="001121CC">
        <w:t>the PHT</w:t>
      </w:r>
      <w:r w:rsidR="00B77DAE" w:rsidRPr="00003BED">
        <w:t>.</w:t>
      </w:r>
    </w:p>
    <w:p w14:paraId="5A273621" w14:textId="60D44BBE" w:rsidR="0059277B" w:rsidRDefault="0059277B" w:rsidP="009C20C6">
      <w:pPr>
        <w:spacing w:after="0"/>
      </w:pPr>
      <w:r>
        <w:t xml:space="preserve">The government </w:t>
      </w:r>
      <w:r w:rsidR="00B77DAE">
        <w:t>has implemented several strategies</w:t>
      </w:r>
      <w:r>
        <w:t xml:space="preserve"> to </w:t>
      </w:r>
      <w:r w:rsidR="00B77DAE">
        <w:t xml:space="preserve">minimise </w:t>
      </w:r>
      <w:r w:rsidR="009C20C6">
        <w:t xml:space="preserve">the risk of missing the </w:t>
      </w:r>
      <w:r w:rsidR="00024CA6">
        <w:t xml:space="preserve">PHT in </w:t>
      </w:r>
      <w:r w:rsidR="00B77DAE">
        <w:t>2020</w:t>
      </w:r>
      <w:r w:rsidR="00024CA6">
        <w:t>:</w:t>
      </w:r>
    </w:p>
    <w:p w14:paraId="1A7DFAEA" w14:textId="6291B50F" w:rsidR="009C20C6" w:rsidRDefault="009C20C6" w:rsidP="00936FC2">
      <w:pPr>
        <w:pStyle w:val="ListParagraph"/>
        <w:numPr>
          <w:ilvl w:val="0"/>
          <w:numId w:val="7"/>
        </w:numPr>
      </w:pPr>
      <w:r>
        <w:lastRenderedPageBreak/>
        <w:t>Supporting the delivery of EEIS activities to Housing ACT tenants</w:t>
      </w:r>
      <w:r w:rsidR="00FD5EB2">
        <w:t xml:space="preserve"> through a successful trial pilot program and a further </w:t>
      </w:r>
      <w:r w:rsidR="00FD5EB2" w:rsidRPr="006002BD">
        <w:rPr>
          <w:bCs w:val="0"/>
        </w:rPr>
        <w:t>$7.0 million</w:t>
      </w:r>
      <w:r w:rsidR="00FD5EB2">
        <w:rPr>
          <w:bCs w:val="0"/>
        </w:rPr>
        <w:t xml:space="preserve"> investment</w:t>
      </w:r>
      <w:r w:rsidR="00FD5EB2" w:rsidRPr="006002BD">
        <w:rPr>
          <w:bCs w:val="0"/>
        </w:rPr>
        <w:t xml:space="preserve"> to improve ener</w:t>
      </w:r>
      <w:r w:rsidR="00FD5EB2">
        <w:rPr>
          <w:bCs w:val="0"/>
        </w:rPr>
        <w:t>gy efficiency in public housing;</w:t>
      </w:r>
    </w:p>
    <w:p w14:paraId="14CA50A0" w14:textId="1C62FACF" w:rsidR="00FD5EB2" w:rsidRDefault="00FD5EB2" w:rsidP="00936FC2">
      <w:pPr>
        <w:pStyle w:val="ListParagraph"/>
        <w:numPr>
          <w:ilvl w:val="0"/>
          <w:numId w:val="7"/>
        </w:numPr>
        <w:spacing w:after="240"/>
      </w:pPr>
      <w:r>
        <w:t>Expanding</w:t>
      </w:r>
      <w:r w:rsidRPr="006002BD">
        <w:t xml:space="preserve"> the classes of priority households eligible for EEIS</w:t>
      </w:r>
      <w:r>
        <w:t xml:space="preserve"> and therefore i</w:t>
      </w:r>
      <w:r w:rsidR="009C20C6">
        <w:t>ncreasing the scope of the PHT</w:t>
      </w:r>
      <w:r>
        <w:t>;</w:t>
      </w:r>
    </w:p>
    <w:p w14:paraId="1724E8CD" w14:textId="455FF9F4" w:rsidR="00FD5EB2" w:rsidRDefault="009E1F24" w:rsidP="00936FC2">
      <w:pPr>
        <w:pStyle w:val="ListParagraph"/>
        <w:numPr>
          <w:ilvl w:val="0"/>
          <w:numId w:val="7"/>
        </w:numPr>
        <w:spacing w:after="240"/>
      </w:pPr>
      <w:r>
        <w:t>Introducing</w:t>
      </w:r>
      <w:r w:rsidR="00B77DAE" w:rsidRPr="006002BD">
        <w:t xml:space="preserve"> new EEIS heating and hot water activities;</w:t>
      </w:r>
    </w:p>
    <w:p w14:paraId="30399B25" w14:textId="0F4E33C0" w:rsidR="00B77DAE" w:rsidRDefault="009E1F24" w:rsidP="00936FC2">
      <w:pPr>
        <w:pStyle w:val="ListParagraph"/>
        <w:numPr>
          <w:ilvl w:val="0"/>
          <w:numId w:val="7"/>
        </w:numPr>
        <w:spacing w:after="240"/>
      </w:pPr>
      <w:r>
        <w:t>Collaborating</w:t>
      </w:r>
      <w:r w:rsidR="00B77DAE" w:rsidRPr="006002BD">
        <w:t xml:space="preserve"> with stakeholders to enhance referral pathways between the community sector, Actsmart, ActewAGL, Housing ACT, ACAT and EEIS.</w:t>
      </w:r>
    </w:p>
    <w:p w14:paraId="13948666" w14:textId="277E0CE3" w:rsidR="00024C62" w:rsidRDefault="00024C62" w:rsidP="00515693">
      <w:r>
        <w:t>Not increasing the PHT for 2020 could have the following impacts:</w:t>
      </w:r>
    </w:p>
    <w:p w14:paraId="7193BA49" w14:textId="77777777" w:rsidR="00024C62" w:rsidRDefault="00024C62" w:rsidP="00936FC2">
      <w:pPr>
        <w:pStyle w:val="ListParagraph"/>
        <w:numPr>
          <w:ilvl w:val="0"/>
          <w:numId w:val="19"/>
        </w:numPr>
        <w:ind w:left="709"/>
      </w:pPr>
      <w:r>
        <w:t>The risk that all priority households in 2020 will be from Housing ACT properties and that other priority households will not be assisted through the EEIS; and</w:t>
      </w:r>
    </w:p>
    <w:p w14:paraId="29C12420" w14:textId="4B5E7A7B" w:rsidR="00024C62" w:rsidRDefault="00024C62" w:rsidP="00936FC2">
      <w:pPr>
        <w:pStyle w:val="ListParagraph"/>
        <w:numPr>
          <w:ilvl w:val="0"/>
          <w:numId w:val="19"/>
        </w:numPr>
        <w:spacing w:after="200"/>
        <w:ind w:left="709" w:hanging="352"/>
      </w:pPr>
      <w:r>
        <w:t>Surplus abatement will reduce the total abatement required from priority households in subsequent years.</w:t>
      </w:r>
    </w:p>
    <w:p w14:paraId="11815ACD" w14:textId="5B128BC8" w:rsidR="004950E8" w:rsidRPr="00515693" w:rsidRDefault="004D5C3A" w:rsidP="00515693">
      <w:pPr>
        <w:rPr>
          <w:rFonts w:asciiTheme="majorHAnsi" w:eastAsiaTheme="majorEastAsia" w:hAnsiTheme="majorHAnsi" w:cstheme="majorBidi"/>
          <w:b/>
          <w:bCs w:val="0"/>
          <w:color w:val="365F91" w:themeColor="accent1" w:themeShade="BF"/>
          <w:sz w:val="28"/>
          <w:szCs w:val="28"/>
        </w:rPr>
      </w:pPr>
      <w:r>
        <w:t xml:space="preserve">Increasing </w:t>
      </w:r>
      <w:r w:rsidR="0065459F">
        <w:t xml:space="preserve">the PHT target </w:t>
      </w:r>
      <w:r>
        <w:t xml:space="preserve">to </w:t>
      </w:r>
      <w:r w:rsidR="001121CC">
        <w:t>30</w:t>
      </w:r>
      <w:r w:rsidR="00B8350E">
        <w:t xml:space="preserve"> per cent</w:t>
      </w:r>
      <w:r w:rsidR="0065459F">
        <w:t xml:space="preserve"> in </w:t>
      </w:r>
      <w:r w:rsidR="00FD5EB2">
        <w:t>2020</w:t>
      </w:r>
      <w:r w:rsidR="0065459F">
        <w:t xml:space="preserve"> </w:t>
      </w:r>
      <w:r w:rsidR="00FD5EB2">
        <w:t>will ensure</w:t>
      </w:r>
      <w:r w:rsidR="005A7D1F">
        <w:t xml:space="preserve"> </w:t>
      </w:r>
      <w:r w:rsidR="002004A9">
        <w:t xml:space="preserve">the </w:t>
      </w:r>
      <w:r w:rsidR="005A7D1F">
        <w:t xml:space="preserve">EEIS </w:t>
      </w:r>
      <w:r w:rsidR="002004A9">
        <w:t>increases opportunities for priority households to reduce energy</w:t>
      </w:r>
      <w:r w:rsidR="00882456">
        <w:t xml:space="preserve"> use and costs</w:t>
      </w:r>
      <w:r w:rsidR="002004A9">
        <w:t xml:space="preserve"> while encouraging the efficient use of energy</w:t>
      </w:r>
      <w:r w:rsidR="00882456">
        <w:t xml:space="preserve"> and </w:t>
      </w:r>
      <w:r w:rsidR="002004A9">
        <w:t>reducing greenhouse gas emissions.</w:t>
      </w:r>
      <w:r w:rsidR="0065459F">
        <w:t xml:space="preserve"> This setting</w:t>
      </w:r>
      <w:r w:rsidR="005A7D1F">
        <w:t xml:space="preserve"> is considered </w:t>
      </w:r>
      <w:r w:rsidR="00E0371F">
        <w:t>to be the best outcome for achieving the EEIS policy goals.</w:t>
      </w:r>
      <w:r w:rsidR="0009521A">
        <w:t xml:space="preserve"> </w:t>
      </w:r>
    </w:p>
    <w:sectPr w:rsidR="004950E8" w:rsidRPr="00515693" w:rsidSect="00800EC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186F0" w14:textId="77777777" w:rsidR="00800ECA" w:rsidRDefault="00800ECA" w:rsidP="009E5708">
      <w:r>
        <w:separator/>
      </w:r>
    </w:p>
  </w:endnote>
  <w:endnote w:type="continuationSeparator" w:id="0">
    <w:p w14:paraId="534B1B06" w14:textId="77777777" w:rsidR="00800ECA" w:rsidRDefault="00800ECA" w:rsidP="009E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15F1" w14:textId="77777777" w:rsidR="007C78A0" w:rsidRDefault="007C7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7CC56" w14:textId="0B8996F0" w:rsidR="00800ECA" w:rsidRDefault="00800ECA" w:rsidP="009E5708">
    <w:pPr>
      <w:pStyle w:val="Footer"/>
      <w:rPr>
        <w:noProof/>
      </w:rPr>
    </w:pPr>
    <w:r>
      <w:br/>
    </w:r>
    <w:r w:rsidRPr="00D4432C">
      <w:rPr>
        <w:i/>
      </w:rPr>
      <w:t>Regulatory Impact Statement to set 20</w:t>
    </w:r>
    <w:r>
      <w:rPr>
        <w:i/>
      </w:rPr>
      <w:t>20</w:t>
    </w:r>
    <w:r w:rsidRPr="00D4432C">
      <w:rPr>
        <w:i/>
      </w:rPr>
      <w:t xml:space="preserve"> Priority Household Target</w:t>
    </w:r>
    <w:r>
      <w:tab/>
    </w:r>
    <w:r>
      <w:fldChar w:fldCharType="begin"/>
    </w:r>
    <w:r>
      <w:instrText xml:space="preserve"> PAGE   \* MERGEFORMAT </w:instrText>
    </w:r>
    <w:r>
      <w:fldChar w:fldCharType="separate"/>
    </w:r>
    <w:r>
      <w:rPr>
        <w:noProof/>
      </w:rPr>
      <w:t>20</w:t>
    </w:r>
    <w:r>
      <w:rPr>
        <w:noProof/>
      </w:rPr>
      <w:fldChar w:fldCharType="end"/>
    </w:r>
  </w:p>
  <w:p w14:paraId="38701E06" w14:textId="18E2F6AC" w:rsidR="00800ECA" w:rsidRPr="007C78A0" w:rsidRDefault="007C78A0" w:rsidP="007C78A0">
    <w:pPr>
      <w:pStyle w:val="Footer"/>
      <w:jc w:val="center"/>
      <w:rPr>
        <w:rFonts w:ascii="Arial" w:hAnsi="Arial" w:cs="Arial"/>
        <w:sz w:val="14"/>
      </w:rPr>
    </w:pPr>
    <w:r w:rsidRPr="007C78A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98F34" w14:textId="2DEF7353" w:rsidR="00800ECA" w:rsidRDefault="00800ECA">
    <w:pPr>
      <w:pStyle w:val="Footer"/>
      <w:rPr>
        <w:noProof/>
      </w:rPr>
    </w:pPr>
    <w:r w:rsidRPr="00D4432C">
      <w:rPr>
        <w:i/>
      </w:rPr>
      <w:t>Regulatory Impact Statement to se</w:t>
    </w:r>
    <w:r>
      <w:rPr>
        <w:i/>
      </w:rPr>
      <w:t>t 2020 Priority Household Target</w:t>
    </w:r>
    <w:r>
      <w:tab/>
    </w:r>
    <w:r>
      <w:fldChar w:fldCharType="begin"/>
    </w:r>
    <w:r>
      <w:instrText xml:space="preserve"> PAGE   \* MERGEFORMAT </w:instrText>
    </w:r>
    <w:r>
      <w:fldChar w:fldCharType="separate"/>
    </w:r>
    <w:r>
      <w:rPr>
        <w:noProof/>
      </w:rPr>
      <w:t>1</w:t>
    </w:r>
    <w:r>
      <w:rPr>
        <w:noProof/>
      </w:rPr>
      <w:fldChar w:fldCharType="end"/>
    </w:r>
  </w:p>
  <w:p w14:paraId="56280BD2" w14:textId="26DA1EF9" w:rsidR="00800ECA" w:rsidRPr="007C78A0" w:rsidRDefault="007C78A0" w:rsidP="007C78A0">
    <w:pPr>
      <w:pStyle w:val="Footer"/>
      <w:jc w:val="center"/>
      <w:rPr>
        <w:rFonts w:ascii="Arial" w:hAnsi="Arial" w:cs="Arial"/>
        <w:sz w:val="14"/>
      </w:rPr>
    </w:pPr>
    <w:r w:rsidRPr="007C78A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55E20" w14:textId="77777777" w:rsidR="00800ECA" w:rsidRDefault="00800ECA" w:rsidP="009E5708">
      <w:r>
        <w:separator/>
      </w:r>
    </w:p>
  </w:footnote>
  <w:footnote w:type="continuationSeparator" w:id="0">
    <w:p w14:paraId="3E3B96B3" w14:textId="77777777" w:rsidR="00800ECA" w:rsidRDefault="00800ECA" w:rsidP="009E5708">
      <w:r>
        <w:continuationSeparator/>
      </w:r>
    </w:p>
  </w:footnote>
  <w:footnote w:id="1">
    <w:p w14:paraId="112C7E1A" w14:textId="54059AC5" w:rsidR="00800ECA" w:rsidRDefault="00800ECA">
      <w:pPr>
        <w:pStyle w:val="FootnoteText"/>
      </w:pPr>
      <w:r>
        <w:rPr>
          <w:rStyle w:val="FootnoteReference"/>
        </w:rPr>
        <w:footnoteRef/>
      </w:r>
      <w:r>
        <w:t xml:space="preserve"> </w:t>
      </w:r>
      <w:hyperlink r:id="rId1" w:history="1">
        <w:r w:rsidRPr="00583A16">
          <w:rPr>
            <w:rStyle w:val="Hyperlink"/>
          </w:rPr>
          <w:t>http://www.legislation.act.gov.au/a/2012-17/default.asp</w:t>
        </w:r>
      </w:hyperlink>
      <w:r>
        <w:t xml:space="preserve"> </w:t>
      </w:r>
    </w:p>
  </w:footnote>
  <w:footnote w:id="2">
    <w:p w14:paraId="135E02B5" w14:textId="101BA0A3" w:rsidR="00800ECA" w:rsidRDefault="00800ECA">
      <w:pPr>
        <w:pStyle w:val="FootnoteText"/>
      </w:pPr>
      <w:r>
        <w:rPr>
          <w:rStyle w:val="FootnoteReference"/>
        </w:rPr>
        <w:footnoteRef/>
      </w:r>
      <w:r>
        <w:t xml:space="preserve"> </w:t>
      </w:r>
      <w:hyperlink r:id="rId2" w:history="1">
        <w:r w:rsidRPr="00583A16">
          <w:rPr>
            <w:rStyle w:val="Hyperlink"/>
          </w:rPr>
          <w:t>http://www.legislation.act.gov.au/sl/2017-41/default.asp</w:t>
        </w:r>
      </w:hyperlink>
      <w:r>
        <w:t xml:space="preserve"> </w:t>
      </w:r>
    </w:p>
  </w:footnote>
  <w:footnote w:id="3">
    <w:p w14:paraId="026D8C4E" w14:textId="51B44EF2" w:rsidR="00800ECA" w:rsidRDefault="00800ECA">
      <w:pPr>
        <w:pStyle w:val="FootnoteText"/>
      </w:pPr>
      <w:r>
        <w:rPr>
          <w:rStyle w:val="FootnoteReference"/>
        </w:rPr>
        <w:footnoteRef/>
      </w:r>
      <w:r>
        <w:t xml:space="preserve"> </w:t>
      </w:r>
      <w:hyperlink r:id="rId3" w:history="1">
        <w:r w:rsidRPr="00EA2710">
          <w:rPr>
            <w:rStyle w:val="Hyperlink"/>
          </w:rPr>
          <w:t>https://www.environment.act.gov.au/energy/smarter-use-of-energy/energy_efficiency_improvement_scheme/publications</w:t>
        </w:r>
      </w:hyperlink>
      <w:r>
        <w:t xml:space="preserve"> </w:t>
      </w:r>
    </w:p>
  </w:footnote>
  <w:footnote w:id="4">
    <w:p w14:paraId="6DE6AFC1" w14:textId="7500CF6F" w:rsidR="00800ECA" w:rsidRPr="00623584" w:rsidRDefault="00800ECA" w:rsidP="009E5708">
      <w:pPr>
        <w:pStyle w:val="FootnoteText"/>
        <w:rPr>
          <w:sz w:val="16"/>
        </w:rPr>
      </w:pPr>
      <w:r w:rsidRPr="00623584">
        <w:rPr>
          <w:rStyle w:val="FootnoteReference"/>
          <w:sz w:val="16"/>
        </w:rPr>
        <w:footnoteRef/>
      </w:r>
      <w:r w:rsidRPr="00623584">
        <w:rPr>
          <w:sz w:val="16"/>
        </w:rPr>
        <w:t xml:space="preserve"> ACT Government Environment and Planning Directorate (2015) </w:t>
      </w:r>
      <w:r w:rsidRPr="00623584">
        <w:rPr>
          <w:i/>
          <w:sz w:val="16"/>
        </w:rPr>
        <w:t>Energy Efficiency Improvement Scheme: Setting Key Parameters to 2020. Regulatory Impact Statement.</w:t>
      </w:r>
      <w:r>
        <w:rPr>
          <w:sz w:val="16"/>
        </w:rPr>
        <w:t xml:space="preserve"> </w:t>
      </w:r>
      <w:r w:rsidRPr="00623584">
        <w:rPr>
          <w:sz w:val="16"/>
        </w:rPr>
        <w:t xml:space="preserve">Available at </w:t>
      </w:r>
      <w:hyperlink r:id="rId4" w:history="1">
        <w:r w:rsidRPr="00623584">
          <w:rPr>
            <w:rStyle w:val="Hyperlink"/>
            <w:sz w:val="16"/>
          </w:rPr>
          <w:t>http://www.environment.act.gov.au/__data/assets/pdf_file/0006/735990/Attachment-C-Regulatory-Impact-Satement-EEIS-Parameters-to-2020-FINAL.pdf</w:t>
        </w:r>
      </w:hyperlink>
      <w:r w:rsidRPr="00623584">
        <w:rPr>
          <w:sz w:val="16"/>
        </w:rPr>
        <w:t xml:space="preserve"> .</w:t>
      </w:r>
    </w:p>
  </w:footnote>
  <w:footnote w:id="5">
    <w:p w14:paraId="45F17799" w14:textId="41441AED" w:rsidR="00800ECA" w:rsidRPr="00623584" w:rsidRDefault="00800ECA" w:rsidP="009E5708">
      <w:pPr>
        <w:pStyle w:val="FootnoteText"/>
      </w:pPr>
      <w:r w:rsidRPr="00623584">
        <w:rPr>
          <w:rStyle w:val="FootnoteReference"/>
          <w:sz w:val="16"/>
        </w:rPr>
        <w:footnoteRef/>
      </w:r>
      <w:r w:rsidRPr="00623584">
        <w:rPr>
          <w:sz w:val="16"/>
        </w:rPr>
        <w:t xml:space="preserve"> Australian Bureau of Statistics (201</w:t>
      </w:r>
      <w:r>
        <w:rPr>
          <w:sz w:val="16"/>
        </w:rPr>
        <w:t>7</w:t>
      </w:r>
      <w:r w:rsidRPr="00623584">
        <w:rPr>
          <w:sz w:val="16"/>
        </w:rPr>
        <w:t xml:space="preserve">) </w:t>
      </w:r>
      <w:r w:rsidRPr="00623584">
        <w:rPr>
          <w:i/>
          <w:sz w:val="16"/>
        </w:rPr>
        <w:t>Income and Wealth Distribution.</w:t>
      </w:r>
      <w:r w:rsidRPr="00623584">
        <w:rPr>
          <w:sz w:val="16"/>
        </w:rPr>
        <w:t xml:space="preserve"> Available at </w:t>
      </w:r>
      <w:hyperlink r:id="rId5" w:history="1">
        <w:r w:rsidRPr="00B57139">
          <w:rPr>
            <w:rStyle w:val="Hyperlink"/>
            <w:sz w:val="16"/>
          </w:rPr>
          <w:t>http://www.abs.gov.au/ausstats/abs@.nsf/Lookup/by%20Subject/6523.0~2015-16~Main%20Features~Household%20Income%20and%20Wealth%20Distribution~6</w:t>
        </w:r>
      </w:hyperlink>
      <w:r>
        <w:rPr>
          <w:sz w:val="16"/>
        </w:rPr>
        <w:t xml:space="preserve"> </w:t>
      </w:r>
    </w:p>
  </w:footnote>
  <w:footnote w:id="6">
    <w:p w14:paraId="5B86056B" w14:textId="16630E8B" w:rsidR="00800ECA" w:rsidRPr="00623584" w:rsidRDefault="00800ECA" w:rsidP="009E5708">
      <w:pPr>
        <w:pStyle w:val="FootnoteText"/>
        <w:rPr>
          <w:sz w:val="16"/>
          <w:szCs w:val="16"/>
        </w:rPr>
      </w:pPr>
      <w:r w:rsidRPr="00623584">
        <w:rPr>
          <w:rStyle w:val="FootnoteReference"/>
          <w:sz w:val="16"/>
          <w:szCs w:val="16"/>
        </w:rPr>
        <w:footnoteRef/>
      </w:r>
      <w:r w:rsidRPr="00623584">
        <w:rPr>
          <w:sz w:val="16"/>
          <w:szCs w:val="16"/>
        </w:rPr>
        <w:t xml:space="preserve"> Australian Council of Social Services (ACOSS) (201</w:t>
      </w:r>
      <w:r>
        <w:rPr>
          <w:sz w:val="16"/>
          <w:szCs w:val="16"/>
        </w:rPr>
        <w:t>8</w:t>
      </w:r>
      <w:r w:rsidRPr="00623584">
        <w:rPr>
          <w:sz w:val="16"/>
          <w:szCs w:val="16"/>
        </w:rPr>
        <w:t xml:space="preserve">) </w:t>
      </w:r>
      <w:r w:rsidRPr="00A46858">
        <w:rPr>
          <w:i/>
          <w:sz w:val="16"/>
          <w:szCs w:val="16"/>
        </w:rPr>
        <w:t>ACT Cost of Living Report</w:t>
      </w:r>
      <w:r w:rsidRPr="00623584">
        <w:rPr>
          <w:i/>
          <w:sz w:val="16"/>
          <w:szCs w:val="16"/>
        </w:rPr>
        <w:t xml:space="preserve">. </w:t>
      </w:r>
      <w:r w:rsidRPr="00623584">
        <w:rPr>
          <w:sz w:val="16"/>
          <w:szCs w:val="16"/>
        </w:rPr>
        <w:t xml:space="preserve">Available at </w:t>
      </w:r>
      <w:hyperlink r:id="rId6" w:history="1">
        <w:r w:rsidRPr="00B57139">
          <w:rPr>
            <w:rStyle w:val="Hyperlink"/>
            <w:sz w:val="16"/>
            <w:szCs w:val="16"/>
          </w:rPr>
          <w:t>https://www.actcoss.org.au/publications/advocacy-publications/act-cost-living-report-2018</w:t>
        </w:r>
      </w:hyperlink>
      <w:r>
        <w:rPr>
          <w:sz w:val="16"/>
          <w:szCs w:val="16"/>
        </w:rPr>
        <w:t xml:space="preserve"> </w:t>
      </w:r>
    </w:p>
  </w:footnote>
  <w:footnote w:id="7">
    <w:p w14:paraId="3F8AB5BC" w14:textId="77777777" w:rsidR="00800ECA" w:rsidRPr="00623584" w:rsidRDefault="00800ECA">
      <w:pPr>
        <w:pStyle w:val="FootnoteText"/>
        <w:rPr>
          <w:sz w:val="16"/>
          <w:szCs w:val="16"/>
        </w:rPr>
      </w:pPr>
      <w:r w:rsidRPr="00623584">
        <w:rPr>
          <w:rStyle w:val="FootnoteReference"/>
          <w:sz w:val="16"/>
          <w:szCs w:val="16"/>
        </w:rPr>
        <w:footnoteRef/>
      </w:r>
      <w:r w:rsidRPr="00623584">
        <w:rPr>
          <w:sz w:val="16"/>
          <w:szCs w:val="16"/>
        </w:rPr>
        <w:t xml:space="preserve"> Australian Bureau of Statistics (ABS) </w:t>
      </w:r>
      <w:r w:rsidRPr="00623584">
        <w:rPr>
          <w:rFonts w:cs="Arial"/>
          <w:bCs w:val="0"/>
          <w:i/>
          <w:color w:val="000000"/>
          <w:sz w:val="16"/>
          <w:szCs w:val="16"/>
          <w:shd w:val="clear" w:color="auto" w:fill="FFFFFF"/>
        </w:rPr>
        <w:t>4670.0 - Household Energy Consumption Survey, Australia: Summary of Results</w:t>
      </w:r>
      <w:r w:rsidRPr="00623584">
        <w:rPr>
          <w:rFonts w:cs="Arial"/>
          <w:bCs w:val="0"/>
          <w:color w:val="000000"/>
          <w:sz w:val="16"/>
          <w:szCs w:val="16"/>
          <w:shd w:val="clear" w:color="auto" w:fill="FFFFFF"/>
        </w:rPr>
        <w:t xml:space="preserve"> (2012) </w:t>
      </w:r>
      <w:r w:rsidRPr="00623584">
        <w:rPr>
          <w:sz w:val="16"/>
          <w:szCs w:val="16"/>
        </w:rPr>
        <w:t xml:space="preserve">Available at </w:t>
      </w:r>
      <w:hyperlink r:id="rId7" w:history="1">
        <w:r w:rsidRPr="00623584">
          <w:rPr>
            <w:rStyle w:val="Hyperlink"/>
            <w:sz w:val="16"/>
            <w:szCs w:val="16"/>
          </w:rPr>
          <w:t>http://www.abs.gov.au/ausstats/abs@.nsf/Lookup/4670.0main+features100032012</w:t>
        </w:r>
      </w:hyperlink>
      <w:r w:rsidRPr="00623584">
        <w:rPr>
          <w:sz w:val="16"/>
          <w:szCs w:val="16"/>
        </w:rPr>
        <w:t xml:space="preserve"> </w:t>
      </w:r>
    </w:p>
  </w:footnote>
  <w:footnote w:id="8">
    <w:p w14:paraId="37D43B48" w14:textId="77777777" w:rsidR="00800ECA" w:rsidRPr="00623584" w:rsidRDefault="00800ECA" w:rsidP="00673728">
      <w:pPr>
        <w:pStyle w:val="Imprintinformation"/>
        <w:rPr>
          <w:rFonts w:ascii="Arial" w:hAnsi="Arial" w:cs="Arial"/>
          <w:szCs w:val="16"/>
        </w:rPr>
      </w:pPr>
      <w:r w:rsidRPr="00623584">
        <w:rPr>
          <w:rStyle w:val="FootnoteReference"/>
          <w:rFonts w:ascii="Arial" w:hAnsi="Arial" w:cs="Arial"/>
          <w:szCs w:val="16"/>
        </w:rPr>
        <w:footnoteRef/>
      </w:r>
      <w:r>
        <w:rPr>
          <w:rFonts w:ascii="Arial" w:hAnsi="Arial" w:cs="Arial"/>
          <w:szCs w:val="16"/>
        </w:rPr>
        <w:t xml:space="preserve"> </w:t>
      </w:r>
      <w:r w:rsidRPr="00623584">
        <w:rPr>
          <w:rFonts w:ascii="Arial" w:hAnsi="Arial" w:cs="Arial"/>
          <w:szCs w:val="16"/>
        </w:rPr>
        <w:t xml:space="preserve">Australian Council of Social Service (ACOSS) (2013). </w:t>
      </w:r>
      <w:r w:rsidRPr="00623584">
        <w:rPr>
          <w:rStyle w:val="Italic"/>
          <w:rFonts w:ascii="Arial" w:hAnsi="Arial" w:cs="Arial"/>
          <w:szCs w:val="16"/>
        </w:rPr>
        <w:t>Energy Efficiency &amp; People on Low Incomes:</w:t>
      </w:r>
      <w:r>
        <w:rPr>
          <w:rStyle w:val="Italic"/>
          <w:rFonts w:ascii="Arial" w:hAnsi="Arial" w:cs="Arial"/>
          <w:szCs w:val="16"/>
        </w:rPr>
        <w:t xml:space="preserve"> </w:t>
      </w:r>
      <w:r w:rsidRPr="00623584">
        <w:rPr>
          <w:rStyle w:val="Italic"/>
          <w:rFonts w:ascii="Arial" w:hAnsi="Arial" w:cs="Arial"/>
          <w:szCs w:val="16"/>
        </w:rPr>
        <w:t>policy to improve affordability and extreme weather adaptation,</w:t>
      </w:r>
      <w:r>
        <w:rPr>
          <w:rStyle w:val="Italic"/>
          <w:rFonts w:ascii="Arial" w:hAnsi="Arial" w:cs="Arial"/>
          <w:szCs w:val="16"/>
        </w:rPr>
        <w:t xml:space="preserve"> </w:t>
      </w:r>
      <w:r w:rsidRPr="00623584">
        <w:rPr>
          <w:rStyle w:val="Italic"/>
          <w:rFonts w:ascii="Arial" w:hAnsi="Arial" w:cs="Arial"/>
          <w:szCs w:val="16"/>
        </w:rPr>
        <w:t xml:space="preserve">ACOSS, </w:t>
      </w:r>
      <w:r w:rsidRPr="00623584">
        <w:rPr>
          <w:rFonts w:ascii="Arial" w:hAnsi="Arial" w:cs="Arial"/>
          <w:szCs w:val="16"/>
        </w:rPr>
        <w:t>Strawberry Hills, NSW, Australia, August 2013.</w:t>
      </w:r>
      <w:r>
        <w:rPr>
          <w:rFonts w:ascii="Arial" w:hAnsi="Arial" w:cs="Arial"/>
          <w:szCs w:val="16"/>
        </w:rPr>
        <w:t xml:space="preserve"> </w:t>
      </w:r>
      <w:r w:rsidRPr="00623584">
        <w:rPr>
          <w:rFonts w:ascii="Arial" w:hAnsi="Arial" w:cs="Arial"/>
          <w:szCs w:val="16"/>
        </w:rPr>
        <w:t xml:space="preserve">Available at </w:t>
      </w:r>
      <w:hyperlink r:id="rId8" w:history="1">
        <w:r w:rsidRPr="00623584">
          <w:rPr>
            <w:rStyle w:val="Hyperlink"/>
            <w:rFonts w:ascii="Arial" w:hAnsi="Arial" w:cs="Arial"/>
            <w:szCs w:val="16"/>
          </w:rPr>
          <w:t>www.acoss.org.au/images/uploads/ACOSS_ENERGY_EFFICIENCY_PAPER_FINAL.pdf</w:t>
        </w:r>
      </w:hyperlink>
    </w:p>
  </w:footnote>
  <w:footnote w:id="9">
    <w:p w14:paraId="1A06D457" w14:textId="7FEC0FA6" w:rsidR="00800ECA" w:rsidRDefault="00800ECA">
      <w:pPr>
        <w:pStyle w:val="FootnoteText"/>
      </w:pPr>
      <w:r>
        <w:rPr>
          <w:rStyle w:val="FootnoteReference"/>
        </w:rPr>
        <w:footnoteRef/>
      </w:r>
      <w:r>
        <w:t xml:space="preserve"> </w:t>
      </w:r>
      <w:r w:rsidRPr="00A15881">
        <w:rPr>
          <w:rFonts w:cs="Arial"/>
          <w:sz w:val="16"/>
          <w:szCs w:val="16"/>
        </w:rPr>
        <w:t xml:space="preserve">Independent Competition and Regulatory Commission </w:t>
      </w:r>
      <w:r w:rsidRPr="00623584">
        <w:rPr>
          <w:rFonts w:cs="Arial"/>
          <w:sz w:val="16"/>
          <w:szCs w:val="16"/>
        </w:rPr>
        <w:t>(201</w:t>
      </w:r>
      <w:r>
        <w:rPr>
          <w:rFonts w:cs="Arial"/>
          <w:sz w:val="16"/>
          <w:szCs w:val="16"/>
        </w:rPr>
        <w:t>8</w:t>
      </w:r>
      <w:r w:rsidRPr="00623584">
        <w:rPr>
          <w:rFonts w:cs="Arial"/>
          <w:sz w:val="16"/>
          <w:szCs w:val="16"/>
        </w:rPr>
        <w:t xml:space="preserve">) </w:t>
      </w:r>
      <w:r w:rsidRPr="00A15881">
        <w:rPr>
          <w:rFonts w:cs="Arial"/>
          <w:i/>
          <w:sz w:val="16"/>
          <w:szCs w:val="16"/>
        </w:rPr>
        <w:t>Retail electricity price recalibration 2018−19</w:t>
      </w:r>
      <w:r w:rsidRPr="00623584">
        <w:rPr>
          <w:rFonts w:cs="Arial"/>
          <w:sz w:val="16"/>
          <w:szCs w:val="16"/>
        </w:rPr>
        <w:t xml:space="preserve">. Available at </w:t>
      </w:r>
      <w:r w:rsidRPr="00B42701">
        <w:rPr>
          <w:rStyle w:val="Hyperlink"/>
          <w:rFonts w:cs="Arial"/>
          <w:sz w:val="16"/>
          <w:szCs w:val="16"/>
        </w:rPr>
        <w:t>http://www.icrc.act.gov.au/wp-content/uploads/2017/03/Report-3-of-2018-Retail-electricity-price-recalibration-2018–19.pdf</w:t>
      </w:r>
    </w:p>
  </w:footnote>
  <w:footnote w:id="10">
    <w:p w14:paraId="6395F73F" w14:textId="3A3D5F15" w:rsidR="00800ECA" w:rsidRPr="00623584" w:rsidRDefault="00800ECA" w:rsidP="009E5708">
      <w:pPr>
        <w:pStyle w:val="FootnoteText"/>
      </w:pPr>
      <w:r w:rsidRPr="00C27B69">
        <w:rPr>
          <w:rStyle w:val="FootnoteReference"/>
          <w:rFonts w:cs="Arial"/>
          <w:sz w:val="16"/>
          <w:szCs w:val="16"/>
        </w:rPr>
        <w:footnoteRef/>
      </w:r>
      <w:r w:rsidRPr="00C27B69">
        <w:rPr>
          <w:rFonts w:cs="Arial"/>
          <w:sz w:val="16"/>
          <w:szCs w:val="16"/>
        </w:rPr>
        <w:t xml:space="preserve"> Australian Energy Market Commission (2017) </w:t>
      </w:r>
      <w:r w:rsidRPr="00C27B69">
        <w:rPr>
          <w:rFonts w:cs="Arial"/>
          <w:i/>
          <w:sz w:val="16"/>
          <w:szCs w:val="16"/>
        </w:rPr>
        <w:t>Residential electricity price trends report</w:t>
      </w:r>
      <w:r w:rsidRPr="00C27B69">
        <w:rPr>
          <w:rFonts w:cs="Arial"/>
          <w:sz w:val="16"/>
          <w:szCs w:val="16"/>
        </w:rPr>
        <w:t xml:space="preserve">. Available at </w:t>
      </w:r>
      <w:hyperlink r:id="rId9" w:history="1">
        <w:r w:rsidRPr="00C27B69">
          <w:rPr>
            <w:rStyle w:val="Hyperlink"/>
            <w:sz w:val="16"/>
            <w:szCs w:val="16"/>
          </w:rPr>
          <w:t>https://www.aemc.gov.au/markets-reviews-advice/2017-residential-electricity-price-trends</w:t>
        </w:r>
      </w:hyperlink>
      <w:r>
        <w:rPr>
          <w:sz w:val="16"/>
          <w:szCs w:val="16"/>
        </w:rPr>
        <w:t xml:space="preserve"> </w:t>
      </w:r>
    </w:p>
  </w:footnote>
  <w:footnote w:id="11">
    <w:p w14:paraId="4E92F98D" w14:textId="3B62B886" w:rsidR="00800ECA" w:rsidRPr="00623584" w:rsidRDefault="00800ECA" w:rsidP="009E5708">
      <w:pPr>
        <w:pStyle w:val="FootnoteText"/>
      </w:pPr>
      <w:r w:rsidRPr="00623584">
        <w:rPr>
          <w:rStyle w:val="FootnoteReference"/>
          <w:rFonts w:cs="Arial"/>
          <w:sz w:val="16"/>
          <w:szCs w:val="16"/>
        </w:rPr>
        <w:footnoteRef/>
      </w:r>
      <w:r w:rsidRPr="00623584">
        <w:rPr>
          <w:rFonts w:cs="Arial"/>
          <w:sz w:val="16"/>
          <w:szCs w:val="16"/>
        </w:rPr>
        <w:t xml:space="preserve"> Core Energy Group (2016) National Gas Forecasting Report. Available at</w:t>
      </w:r>
      <w:r>
        <w:rPr>
          <w:rFonts w:cs="Arial"/>
          <w:sz w:val="16"/>
          <w:szCs w:val="16"/>
        </w:rPr>
        <w:t xml:space="preserve"> </w:t>
      </w:r>
      <w:hyperlink r:id="rId10" w:history="1">
        <w:r w:rsidRPr="00623584">
          <w:rPr>
            <w:rStyle w:val="Hyperlink"/>
            <w:rFonts w:cs="Arial"/>
            <w:sz w:val="16"/>
            <w:szCs w:val="16"/>
          </w:rPr>
          <w:t>http://www.aemo.com.au/-/media/Files/Gas/National_Planning_and_Forecasting/NGFR/2016/NGFR-Gas-Price-Review-Final-Report-October-2016.pdf</w:t>
        </w:r>
      </w:hyperlink>
    </w:p>
    <w:p w14:paraId="0B3B0B20" w14:textId="77777777" w:rsidR="00800ECA" w:rsidRDefault="00800ECA" w:rsidP="009E5708">
      <w:pPr>
        <w:pStyle w:val="FootnoteText"/>
      </w:pPr>
    </w:p>
  </w:footnote>
  <w:footnote w:id="12">
    <w:p w14:paraId="5277AFB0" w14:textId="44F5479B" w:rsidR="00800ECA" w:rsidRPr="003E4F5C" w:rsidRDefault="00800ECA">
      <w:pPr>
        <w:pStyle w:val="FootnoteText"/>
        <w:rPr>
          <w:sz w:val="16"/>
          <w:szCs w:val="16"/>
        </w:rPr>
      </w:pPr>
      <w:r w:rsidRPr="003E4F5C">
        <w:rPr>
          <w:rStyle w:val="FootnoteReference"/>
          <w:sz w:val="16"/>
          <w:szCs w:val="16"/>
        </w:rPr>
        <w:footnoteRef/>
      </w:r>
      <w:r w:rsidRPr="003E4F5C">
        <w:rPr>
          <w:sz w:val="16"/>
          <w:szCs w:val="16"/>
        </w:rPr>
        <w:t xml:space="preserve"> ACTCOSS (2018) ACT Cost of Living Report, Available at </w:t>
      </w:r>
      <w:hyperlink r:id="rId11" w:history="1">
        <w:r w:rsidRPr="003E4F5C">
          <w:rPr>
            <w:rStyle w:val="Hyperlink"/>
            <w:sz w:val="16"/>
            <w:szCs w:val="16"/>
          </w:rPr>
          <w:t>https://www.actcoss.org.au/sites/default/files/public/publications/2018-report-act-cost-of-living-may2018.pdf</w:t>
        </w:r>
      </w:hyperlink>
    </w:p>
  </w:footnote>
  <w:footnote w:id="13">
    <w:p w14:paraId="67DC53B9" w14:textId="33A69869" w:rsidR="00800ECA" w:rsidRPr="003E4F5C" w:rsidRDefault="00800ECA">
      <w:pPr>
        <w:pStyle w:val="FootnoteText"/>
        <w:rPr>
          <w:sz w:val="16"/>
          <w:szCs w:val="16"/>
        </w:rPr>
      </w:pPr>
      <w:r w:rsidRPr="003E4F5C">
        <w:rPr>
          <w:rStyle w:val="FootnoteReference"/>
          <w:sz w:val="16"/>
          <w:szCs w:val="16"/>
        </w:rPr>
        <w:footnoteRef/>
      </w:r>
      <w:r w:rsidRPr="003E4F5C">
        <w:rPr>
          <w:sz w:val="16"/>
          <w:szCs w:val="16"/>
        </w:rPr>
        <w:t xml:space="preserve"> Australian Energy Regulator (2018) State of the Energy Market, Available At </w:t>
      </w:r>
      <w:hyperlink r:id="rId12" w:history="1">
        <w:r w:rsidRPr="003E4F5C">
          <w:rPr>
            <w:rStyle w:val="Hyperlink"/>
            <w:sz w:val="16"/>
            <w:szCs w:val="16"/>
          </w:rPr>
          <w:t>https://www.aer.gov.au/system/files/State%20of%20the%20Energy%20Market%202018%20-%20Full%20report%20A4_2.pdf</w:t>
        </w:r>
      </w:hyperlink>
    </w:p>
  </w:footnote>
  <w:footnote w:id="14">
    <w:p w14:paraId="5C7BCA1E" w14:textId="302AB2A3" w:rsidR="00800ECA" w:rsidRPr="00623584" w:rsidRDefault="00800ECA" w:rsidP="009B6FD6">
      <w:pPr>
        <w:pStyle w:val="FootnoteText"/>
        <w:rPr>
          <w:sz w:val="16"/>
          <w:szCs w:val="16"/>
        </w:rPr>
      </w:pPr>
      <w:r w:rsidRPr="00623584">
        <w:rPr>
          <w:rStyle w:val="FootnoteReference"/>
          <w:sz w:val="16"/>
          <w:szCs w:val="16"/>
        </w:rPr>
        <w:footnoteRef/>
      </w:r>
      <w:r w:rsidRPr="00623584">
        <w:rPr>
          <w:sz w:val="16"/>
          <w:szCs w:val="16"/>
        </w:rPr>
        <w:t xml:space="preserve"> ACT Government (2016). </w:t>
      </w:r>
      <w:r w:rsidRPr="00623584">
        <w:rPr>
          <w:i/>
          <w:sz w:val="16"/>
          <w:szCs w:val="16"/>
        </w:rPr>
        <w:t>ACT Budget 2016-17</w:t>
      </w:r>
      <w:r w:rsidRPr="00623584">
        <w:rPr>
          <w:sz w:val="16"/>
          <w:szCs w:val="16"/>
        </w:rPr>
        <w:t xml:space="preserve">. </w:t>
      </w:r>
      <w:r w:rsidRPr="00507A56">
        <w:rPr>
          <w:sz w:val="16"/>
          <w:szCs w:val="16"/>
        </w:rPr>
        <w:t>Available at</w:t>
      </w:r>
      <w:r>
        <w:t xml:space="preserve"> </w:t>
      </w:r>
      <w:hyperlink r:id="rId13" w:history="1">
        <w:r w:rsidRPr="00623584">
          <w:rPr>
            <w:rStyle w:val="Hyperlink"/>
            <w:sz w:val="16"/>
            <w:szCs w:val="16"/>
          </w:rPr>
          <w:t>http://apps.treasury.act.gov.au/budget/budget-2016-2017/fact-sheets/concessions</w:t>
        </w:r>
      </w:hyperlink>
      <w:r w:rsidRPr="00623584">
        <w:rPr>
          <w:sz w:val="16"/>
          <w:szCs w:val="16"/>
        </w:rPr>
        <w:t xml:space="preserve"> </w:t>
      </w:r>
    </w:p>
  </w:footnote>
  <w:footnote w:id="15">
    <w:p w14:paraId="6C5143FC" w14:textId="7D917683" w:rsidR="00800ECA" w:rsidRPr="00623584" w:rsidRDefault="00800ECA" w:rsidP="009E5708">
      <w:pPr>
        <w:pStyle w:val="FootnoteText"/>
        <w:rPr>
          <w:sz w:val="16"/>
          <w:szCs w:val="16"/>
        </w:rPr>
      </w:pPr>
      <w:r w:rsidRPr="00623584">
        <w:rPr>
          <w:rStyle w:val="FootnoteReference"/>
          <w:sz w:val="16"/>
          <w:szCs w:val="16"/>
        </w:rPr>
        <w:footnoteRef/>
      </w:r>
      <w:r w:rsidRPr="00623584">
        <w:rPr>
          <w:sz w:val="16"/>
          <w:szCs w:val="16"/>
        </w:rPr>
        <w:t xml:space="preserve"> Actsmart (201</w:t>
      </w:r>
      <w:r>
        <w:rPr>
          <w:sz w:val="16"/>
          <w:szCs w:val="16"/>
        </w:rPr>
        <w:t>8</w:t>
      </w:r>
      <w:r w:rsidRPr="00623584">
        <w:rPr>
          <w:sz w:val="16"/>
          <w:szCs w:val="16"/>
        </w:rPr>
        <w:t xml:space="preserve">) </w:t>
      </w:r>
      <w:r w:rsidRPr="00623584">
        <w:rPr>
          <w:i/>
          <w:sz w:val="16"/>
          <w:szCs w:val="16"/>
        </w:rPr>
        <w:t>Low income households</w:t>
      </w:r>
      <w:r w:rsidRPr="00623584">
        <w:rPr>
          <w:sz w:val="16"/>
          <w:szCs w:val="16"/>
        </w:rPr>
        <w:t xml:space="preserve">. Available at </w:t>
      </w:r>
      <w:hyperlink r:id="rId14" w:history="1">
        <w:r w:rsidRPr="00623584">
          <w:rPr>
            <w:rStyle w:val="Hyperlink"/>
            <w:sz w:val="16"/>
            <w:szCs w:val="16"/>
          </w:rPr>
          <w:t>http://www.actsmart.act.gov.au/what-can-i-do/homes/Actsmart-household-energy-efficiency-program</w:t>
        </w:r>
      </w:hyperlink>
      <w:r w:rsidRPr="00623584">
        <w:rPr>
          <w:sz w:val="16"/>
          <w:szCs w:val="16"/>
        </w:rPr>
        <w:t xml:space="preserve">. Accessed </w:t>
      </w:r>
      <w:r>
        <w:rPr>
          <w:sz w:val="16"/>
          <w:szCs w:val="16"/>
        </w:rPr>
        <w:t>July</w:t>
      </w:r>
      <w:r w:rsidRPr="00623584">
        <w:rPr>
          <w:sz w:val="16"/>
          <w:szCs w:val="16"/>
        </w:rPr>
        <w:t xml:space="preserve"> 201</w:t>
      </w:r>
      <w:r>
        <w:rPr>
          <w:sz w:val="16"/>
          <w:szCs w:val="16"/>
        </w:rPr>
        <w:t>8</w:t>
      </w:r>
      <w:r w:rsidRPr="00623584">
        <w:rPr>
          <w:sz w:val="16"/>
          <w:szCs w:val="16"/>
        </w:rPr>
        <w:t xml:space="preserve">. </w:t>
      </w:r>
    </w:p>
  </w:footnote>
  <w:footnote w:id="16">
    <w:p w14:paraId="04AA155C" w14:textId="537C8F8F" w:rsidR="00800ECA" w:rsidRPr="00623584" w:rsidRDefault="00800ECA" w:rsidP="009E5708">
      <w:pPr>
        <w:pStyle w:val="FootnoteText"/>
        <w:rPr>
          <w:sz w:val="16"/>
          <w:szCs w:val="16"/>
        </w:rPr>
      </w:pPr>
      <w:r w:rsidRPr="00623584">
        <w:rPr>
          <w:rStyle w:val="FootnoteReference"/>
          <w:sz w:val="16"/>
          <w:szCs w:val="16"/>
        </w:rPr>
        <w:footnoteRef/>
      </w:r>
      <w:r w:rsidRPr="00623584">
        <w:rPr>
          <w:sz w:val="16"/>
          <w:szCs w:val="16"/>
        </w:rPr>
        <w:t xml:space="preserve"> Good Shepherd Microfinance (201</w:t>
      </w:r>
      <w:r>
        <w:rPr>
          <w:sz w:val="16"/>
          <w:szCs w:val="16"/>
        </w:rPr>
        <w:t>8</w:t>
      </w:r>
      <w:r w:rsidRPr="00623584">
        <w:rPr>
          <w:sz w:val="16"/>
          <w:szCs w:val="16"/>
        </w:rPr>
        <w:t xml:space="preserve">) </w:t>
      </w:r>
      <w:r w:rsidRPr="00623584">
        <w:rPr>
          <w:i/>
          <w:sz w:val="16"/>
          <w:szCs w:val="16"/>
        </w:rPr>
        <w:t xml:space="preserve">The No Interest Loan Scheme. </w:t>
      </w:r>
      <w:r w:rsidRPr="00623584">
        <w:rPr>
          <w:sz w:val="16"/>
          <w:szCs w:val="16"/>
        </w:rPr>
        <w:t xml:space="preserve">Available at </w:t>
      </w:r>
      <w:hyperlink r:id="rId15" w:history="1">
        <w:r w:rsidRPr="00623584">
          <w:rPr>
            <w:rStyle w:val="Hyperlink"/>
            <w:sz w:val="16"/>
            <w:szCs w:val="16"/>
          </w:rPr>
          <w:t>http://nils.com.au/?gclid=CjwKEAiArbrFBRDL4Oiz97GP2nISJAAmJMFa3MbPIsjmV8YkIDFL6o7vxMq8COyJwvjSW9vRgMyCDBoCxIvw_wcB</w:t>
        </w:r>
      </w:hyperlink>
      <w:r w:rsidRPr="00623584">
        <w:rPr>
          <w:sz w:val="16"/>
          <w:szCs w:val="16"/>
        </w:rPr>
        <w:t xml:space="preserve"> Accessed </w:t>
      </w:r>
      <w:r>
        <w:rPr>
          <w:sz w:val="16"/>
          <w:szCs w:val="16"/>
        </w:rPr>
        <w:t>July</w:t>
      </w:r>
      <w:r w:rsidRPr="00623584">
        <w:rPr>
          <w:sz w:val="16"/>
          <w:szCs w:val="16"/>
        </w:rPr>
        <w:t xml:space="preserve"> 201</w:t>
      </w:r>
      <w:r>
        <w:rPr>
          <w:sz w:val="16"/>
          <w:szCs w:val="16"/>
        </w:rPr>
        <w:t>8</w:t>
      </w:r>
      <w:r w:rsidRPr="00623584">
        <w:rPr>
          <w:sz w:val="16"/>
          <w:szCs w:val="16"/>
        </w:rPr>
        <w:t>.</w:t>
      </w:r>
    </w:p>
  </w:footnote>
  <w:footnote w:id="17">
    <w:p w14:paraId="0C0212D0" w14:textId="4B2AA949" w:rsidR="00800ECA" w:rsidRDefault="00800ECA" w:rsidP="009E5708">
      <w:pPr>
        <w:pStyle w:val="FootnoteText"/>
      </w:pPr>
      <w:r w:rsidRPr="00623584">
        <w:rPr>
          <w:rStyle w:val="FootnoteReference"/>
          <w:sz w:val="16"/>
          <w:szCs w:val="16"/>
        </w:rPr>
        <w:footnoteRef/>
      </w:r>
      <w:r w:rsidRPr="00623584">
        <w:rPr>
          <w:sz w:val="16"/>
          <w:szCs w:val="16"/>
        </w:rPr>
        <w:t xml:space="preserve"> Actsmart (201</w:t>
      </w:r>
      <w:r>
        <w:rPr>
          <w:sz w:val="16"/>
          <w:szCs w:val="16"/>
        </w:rPr>
        <w:t>8</w:t>
      </w:r>
      <w:r w:rsidRPr="00623584">
        <w:rPr>
          <w:sz w:val="16"/>
          <w:szCs w:val="16"/>
        </w:rPr>
        <w:t>)</w:t>
      </w:r>
      <w:r>
        <w:rPr>
          <w:sz w:val="16"/>
          <w:szCs w:val="16"/>
        </w:rPr>
        <w:t xml:space="preserve"> </w:t>
      </w:r>
      <w:r w:rsidRPr="00A46858">
        <w:rPr>
          <w:i/>
          <w:sz w:val="16"/>
          <w:szCs w:val="16"/>
        </w:rPr>
        <w:t>Solar for</w:t>
      </w:r>
      <w:r w:rsidRPr="00623584">
        <w:rPr>
          <w:sz w:val="16"/>
          <w:szCs w:val="16"/>
        </w:rPr>
        <w:t xml:space="preserve"> </w:t>
      </w:r>
      <w:r w:rsidRPr="00623584">
        <w:rPr>
          <w:i/>
          <w:sz w:val="16"/>
          <w:szCs w:val="16"/>
        </w:rPr>
        <w:t>Low income households</w:t>
      </w:r>
      <w:r w:rsidRPr="00623584">
        <w:rPr>
          <w:sz w:val="16"/>
          <w:szCs w:val="16"/>
        </w:rPr>
        <w:t>. Available at</w:t>
      </w:r>
      <w:r>
        <w:rPr>
          <w:sz w:val="16"/>
          <w:szCs w:val="16"/>
        </w:rPr>
        <w:t xml:space="preserve"> </w:t>
      </w:r>
      <w:hyperlink r:id="rId16" w:history="1">
        <w:r w:rsidRPr="00A47A58">
          <w:rPr>
            <w:rStyle w:val="Hyperlink"/>
            <w:sz w:val="16"/>
            <w:szCs w:val="16"/>
          </w:rPr>
          <w:t>https://www.actsmart.act.gov.au/what-can-i-do/homes/Actsmart-household-solar-for-low-income</w:t>
        </w:r>
      </w:hyperlink>
      <w:r>
        <w:rPr>
          <w:sz w:val="16"/>
          <w:szCs w:val="16"/>
        </w:rPr>
        <w:t xml:space="preserve">. </w:t>
      </w:r>
      <w:r w:rsidRPr="00623584">
        <w:rPr>
          <w:sz w:val="16"/>
          <w:szCs w:val="16"/>
        </w:rPr>
        <w:t xml:space="preserve">Accessed </w:t>
      </w:r>
      <w:r>
        <w:rPr>
          <w:sz w:val="16"/>
          <w:szCs w:val="16"/>
        </w:rPr>
        <w:t>July</w:t>
      </w:r>
      <w:r w:rsidRPr="00623584">
        <w:rPr>
          <w:sz w:val="16"/>
          <w:szCs w:val="16"/>
        </w:rPr>
        <w:t xml:space="preserve"> 201</w:t>
      </w:r>
      <w:r>
        <w:rPr>
          <w:sz w:val="16"/>
          <w:szCs w:val="16"/>
        </w:rPr>
        <w:t>8</w:t>
      </w:r>
      <w:r w:rsidRPr="00623584">
        <w:rPr>
          <w:sz w:val="16"/>
          <w:szCs w:val="16"/>
        </w:rPr>
        <w:t>.</w:t>
      </w:r>
    </w:p>
  </w:footnote>
  <w:footnote w:id="18">
    <w:p w14:paraId="44594D43" w14:textId="77777777" w:rsidR="00800ECA" w:rsidRDefault="00800ECA" w:rsidP="00656911">
      <w:pPr>
        <w:pStyle w:val="FootnoteText"/>
      </w:pPr>
      <w:r>
        <w:rPr>
          <w:rStyle w:val="FootnoteReference"/>
        </w:rPr>
        <w:footnoteRef/>
      </w:r>
      <w:r>
        <w:t xml:space="preserve"> </w:t>
      </w:r>
      <w:hyperlink r:id="rId17" w:history="1">
        <w:r w:rsidRPr="00EA318A">
          <w:rPr>
            <w:rStyle w:val="Hyperlink"/>
          </w:rPr>
          <w:t>http://quickstats.censusdata.abs.gov.au/census_services/getproduct/census/2016/quickstat/8ACTE?opendocument</w:t>
        </w:r>
      </w:hyperlink>
    </w:p>
  </w:footnote>
  <w:footnote w:id="19">
    <w:p w14:paraId="30F5DBE8" w14:textId="77777777" w:rsidR="00800ECA" w:rsidRDefault="00800ECA" w:rsidP="00656911">
      <w:pPr>
        <w:pStyle w:val="FootnoteText"/>
      </w:pPr>
      <w:r>
        <w:rPr>
          <w:rStyle w:val="FootnoteReference"/>
        </w:rPr>
        <w:footnoteRef/>
      </w:r>
      <w:r>
        <w:t xml:space="preserve"> </w:t>
      </w:r>
      <w:hyperlink r:id="rId18" w:history="1">
        <w:r w:rsidRPr="00313D73">
          <w:rPr>
            <w:rStyle w:val="Hyperlink"/>
          </w:rPr>
          <w:t>https://www.actcoss.org.au/sites/default/files/public/publications/2018-factsheet-poverty-and-inequality-in-the-act.pdf</w:t>
        </w:r>
      </w:hyperlink>
    </w:p>
  </w:footnote>
  <w:footnote w:id="20">
    <w:p w14:paraId="2B74D603" w14:textId="4D9730E7" w:rsidR="00800ECA" w:rsidRPr="003A2F71" w:rsidRDefault="00800ECA">
      <w:pPr>
        <w:pStyle w:val="FootnoteText"/>
        <w:rPr>
          <w:rStyle w:val="Hyperlink"/>
          <w:sz w:val="16"/>
          <w:szCs w:val="16"/>
        </w:rPr>
      </w:pPr>
      <w:r>
        <w:rPr>
          <w:rStyle w:val="FootnoteReference"/>
        </w:rPr>
        <w:footnoteRef/>
      </w:r>
      <w:r w:rsidRPr="00507A56">
        <w:rPr>
          <w:sz w:val="16"/>
          <w:szCs w:val="16"/>
        </w:rPr>
        <w:t xml:space="preserve">EEIS RIS </w:t>
      </w:r>
      <w:r>
        <w:rPr>
          <w:sz w:val="16"/>
          <w:szCs w:val="16"/>
        </w:rPr>
        <w:t xml:space="preserve">PHT Determination 2017. </w:t>
      </w:r>
      <w:r w:rsidRPr="00507A56">
        <w:rPr>
          <w:sz w:val="16"/>
          <w:szCs w:val="16"/>
        </w:rPr>
        <w:t>Available at</w:t>
      </w:r>
      <w:r>
        <w:t xml:space="preserve"> </w:t>
      </w:r>
      <w:r w:rsidRPr="00882456">
        <w:rPr>
          <w:rStyle w:val="Hyperlink"/>
          <w:sz w:val="16"/>
          <w:szCs w:val="16"/>
        </w:rPr>
        <w:t>http://www.legislation.act.gov.au/ri/db_56930/current/pdf/db_56930.pdf</w:t>
      </w:r>
      <w:r w:rsidRPr="003A2F71">
        <w:rPr>
          <w:rStyle w:val="Hyperlink"/>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942F2" w14:textId="77777777" w:rsidR="007C78A0" w:rsidRDefault="007C7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0732" w14:textId="77777777" w:rsidR="007C78A0" w:rsidRDefault="007C7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73A08" w14:textId="77777777" w:rsidR="007C78A0" w:rsidRDefault="007C7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EAF"/>
    <w:multiLevelType w:val="hybridMultilevel"/>
    <w:tmpl w:val="051A1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B5DD6"/>
    <w:multiLevelType w:val="hybridMultilevel"/>
    <w:tmpl w:val="BFFE1C7E"/>
    <w:lvl w:ilvl="0" w:tplc="B4C0A85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32E7F84"/>
    <w:multiLevelType w:val="hybridMultilevel"/>
    <w:tmpl w:val="8CCCE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86D92"/>
    <w:multiLevelType w:val="hybridMultilevel"/>
    <w:tmpl w:val="B24E0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8E4613"/>
    <w:multiLevelType w:val="hybridMultilevel"/>
    <w:tmpl w:val="1C121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7F5F97"/>
    <w:multiLevelType w:val="hybridMultilevel"/>
    <w:tmpl w:val="BFD4A442"/>
    <w:lvl w:ilvl="0" w:tplc="7480BADA">
      <w:start w:val="1"/>
      <w:numFmt w:val="lowerLetter"/>
      <w:lvlText w:val="(%1)"/>
      <w:lvlJc w:val="left"/>
      <w:pPr>
        <w:ind w:left="1980" w:hanging="360"/>
      </w:pPr>
      <w:rPr>
        <w:rFonts w:cs="Times New Roman" w:hint="default"/>
      </w:rPr>
    </w:lvl>
    <w:lvl w:ilvl="1" w:tplc="0C090019" w:tentative="1">
      <w:start w:val="1"/>
      <w:numFmt w:val="lowerLetter"/>
      <w:lvlText w:val="%2."/>
      <w:lvlJc w:val="left"/>
      <w:pPr>
        <w:ind w:left="2700" w:hanging="360"/>
      </w:pPr>
      <w:rPr>
        <w:rFonts w:cs="Times New Roman"/>
      </w:rPr>
    </w:lvl>
    <w:lvl w:ilvl="2" w:tplc="0C09001B" w:tentative="1">
      <w:start w:val="1"/>
      <w:numFmt w:val="lowerRoman"/>
      <w:lvlText w:val="%3."/>
      <w:lvlJc w:val="right"/>
      <w:pPr>
        <w:ind w:left="3420" w:hanging="180"/>
      </w:pPr>
      <w:rPr>
        <w:rFonts w:cs="Times New Roman"/>
      </w:rPr>
    </w:lvl>
    <w:lvl w:ilvl="3" w:tplc="0C09000F" w:tentative="1">
      <w:start w:val="1"/>
      <w:numFmt w:val="decimal"/>
      <w:lvlText w:val="%4."/>
      <w:lvlJc w:val="left"/>
      <w:pPr>
        <w:ind w:left="4140" w:hanging="360"/>
      </w:pPr>
      <w:rPr>
        <w:rFonts w:cs="Times New Roman"/>
      </w:rPr>
    </w:lvl>
    <w:lvl w:ilvl="4" w:tplc="0C090019" w:tentative="1">
      <w:start w:val="1"/>
      <w:numFmt w:val="lowerLetter"/>
      <w:lvlText w:val="%5."/>
      <w:lvlJc w:val="left"/>
      <w:pPr>
        <w:ind w:left="4860" w:hanging="360"/>
      </w:pPr>
      <w:rPr>
        <w:rFonts w:cs="Times New Roman"/>
      </w:rPr>
    </w:lvl>
    <w:lvl w:ilvl="5" w:tplc="0C09001B" w:tentative="1">
      <w:start w:val="1"/>
      <w:numFmt w:val="lowerRoman"/>
      <w:lvlText w:val="%6."/>
      <w:lvlJc w:val="right"/>
      <w:pPr>
        <w:ind w:left="5580" w:hanging="180"/>
      </w:pPr>
      <w:rPr>
        <w:rFonts w:cs="Times New Roman"/>
      </w:rPr>
    </w:lvl>
    <w:lvl w:ilvl="6" w:tplc="0C09000F" w:tentative="1">
      <w:start w:val="1"/>
      <w:numFmt w:val="decimal"/>
      <w:lvlText w:val="%7."/>
      <w:lvlJc w:val="left"/>
      <w:pPr>
        <w:ind w:left="6300" w:hanging="360"/>
      </w:pPr>
      <w:rPr>
        <w:rFonts w:cs="Times New Roman"/>
      </w:rPr>
    </w:lvl>
    <w:lvl w:ilvl="7" w:tplc="0C090019" w:tentative="1">
      <w:start w:val="1"/>
      <w:numFmt w:val="lowerLetter"/>
      <w:lvlText w:val="%8."/>
      <w:lvlJc w:val="left"/>
      <w:pPr>
        <w:ind w:left="7020" w:hanging="360"/>
      </w:pPr>
      <w:rPr>
        <w:rFonts w:cs="Times New Roman"/>
      </w:rPr>
    </w:lvl>
    <w:lvl w:ilvl="8" w:tplc="0C09001B" w:tentative="1">
      <w:start w:val="1"/>
      <w:numFmt w:val="lowerRoman"/>
      <w:lvlText w:val="%9."/>
      <w:lvlJc w:val="right"/>
      <w:pPr>
        <w:ind w:left="7740" w:hanging="180"/>
      </w:pPr>
      <w:rPr>
        <w:rFonts w:cs="Times New Roman"/>
      </w:rPr>
    </w:lvl>
  </w:abstractNum>
  <w:abstractNum w:abstractNumId="6" w15:restartNumberingAfterBreak="0">
    <w:nsid w:val="2DA83C84"/>
    <w:multiLevelType w:val="hybridMultilevel"/>
    <w:tmpl w:val="22081270"/>
    <w:lvl w:ilvl="0" w:tplc="5212F942">
      <w:start w:val="1"/>
      <w:numFmt w:val="lowerRoman"/>
      <w:lvlText w:val="%1."/>
      <w:lvlJc w:val="left"/>
      <w:pPr>
        <w:ind w:left="2700" w:hanging="720"/>
      </w:pPr>
      <w:rPr>
        <w:rFonts w:cs="Times New Roman" w:hint="default"/>
      </w:rPr>
    </w:lvl>
    <w:lvl w:ilvl="1" w:tplc="0C090019" w:tentative="1">
      <w:start w:val="1"/>
      <w:numFmt w:val="lowerLetter"/>
      <w:lvlText w:val="%2."/>
      <w:lvlJc w:val="left"/>
      <w:pPr>
        <w:ind w:left="3060" w:hanging="360"/>
      </w:pPr>
      <w:rPr>
        <w:rFonts w:cs="Times New Roman"/>
      </w:rPr>
    </w:lvl>
    <w:lvl w:ilvl="2" w:tplc="0C09001B" w:tentative="1">
      <w:start w:val="1"/>
      <w:numFmt w:val="lowerRoman"/>
      <w:lvlText w:val="%3."/>
      <w:lvlJc w:val="right"/>
      <w:pPr>
        <w:ind w:left="3780" w:hanging="180"/>
      </w:pPr>
      <w:rPr>
        <w:rFonts w:cs="Times New Roman"/>
      </w:rPr>
    </w:lvl>
    <w:lvl w:ilvl="3" w:tplc="0C09000F" w:tentative="1">
      <w:start w:val="1"/>
      <w:numFmt w:val="decimal"/>
      <w:lvlText w:val="%4."/>
      <w:lvlJc w:val="left"/>
      <w:pPr>
        <w:ind w:left="4500" w:hanging="360"/>
      </w:pPr>
      <w:rPr>
        <w:rFonts w:cs="Times New Roman"/>
      </w:rPr>
    </w:lvl>
    <w:lvl w:ilvl="4" w:tplc="0C090019" w:tentative="1">
      <w:start w:val="1"/>
      <w:numFmt w:val="lowerLetter"/>
      <w:lvlText w:val="%5."/>
      <w:lvlJc w:val="left"/>
      <w:pPr>
        <w:ind w:left="5220" w:hanging="360"/>
      </w:pPr>
      <w:rPr>
        <w:rFonts w:cs="Times New Roman"/>
      </w:rPr>
    </w:lvl>
    <w:lvl w:ilvl="5" w:tplc="0C09001B" w:tentative="1">
      <w:start w:val="1"/>
      <w:numFmt w:val="lowerRoman"/>
      <w:lvlText w:val="%6."/>
      <w:lvlJc w:val="right"/>
      <w:pPr>
        <w:ind w:left="5940" w:hanging="180"/>
      </w:pPr>
      <w:rPr>
        <w:rFonts w:cs="Times New Roman"/>
      </w:rPr>
    </w:lvl>
    <w:lvl w:ilvl="6" w:tplc="0C09000F" w:tentative="1">
      <w:start w:val="1"/>
      <w:numFmt w:val="decimal"/>
      <w:lvlText w:val="%7."/>
      <w:lvlJc w:val="left"/>
      <w:pPr>
        <w:ind w:left="6660" w:hanging="360"/>
      </w:pPr>
      <w:rPr>
        <w:rFonts w:cs="Times New Roman"/>
      </w:rPr>
    </w:lvl>
    <w:lvl w:ilvl="7" w:tplc="0C090019" w:tentative="1">
      <w:start w:val="1"/>
      <w:numFmt w:val="lowerLetter"/>
      <w:lvlText w:val="%8."/>
      <w:lvlJc w:val="left"/>
      <w:pPr>
        <w:ind w:left="7380" w:hanging="360"/>
      </w:pPr>
      <w:rPr>
        <w:rFonts w:cs="Times New Roman"/>
      </w:rPr>
    </w:lvl>
    <w:lvl w:ilvl="8" w:tplc="0C09001B" w:tentative="1">
      <w:start w:val="1"/>
      <w:numFmt w:val="lowerRoman"/>
      <w:lvlText w:val="%9."/>
      <w:lvlJc w:val="right"/>
      <w:pPr>
        <w:ind w:left="8100" w:hanging="180"/>
      </w:pPr>
      <w:rPr>
        <w:rFonts w:cs="Times New Roman"/>
      </w:rPr>
    </w:lvl>
  </w:abstractNum>
  <w:abstractNum w:abstractNumId="7" w15:restartNumberingAfterBreak="0">
    <w:nsid w:val="3F4F7CBF"/>
    <w:multiLevelType w:val="hybridMultilevel"/>
    <w:tmpl w:val="DF86A6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D674BD"/>
    <w:multiLevelType w:val="hybridMultilevel"/>
    <w:tmpl w:val="5EEC18F6"/>
    <w:lvl w:ilvl="0" w:tplc="0C090003">
      <w:start w:val="1"/>
      <w:numFmt w:val="bullet"/>
      <w:pStyle w:val="ListParagraph"/>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7D7186"/>
    <w:multiLevelType w:val="hybridMultilevel"/>
    <w:tmpl w:val="E1342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2B5417"/>
    <w:multiLevelType w:val="hybridMultilevel"/>
    <w:tmpl w:val="80F82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1A0776"/>
    <w:multiLevelType w:val="hybridMultilevel"/>
    <w:tmpl w:val="EEFA9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C96751"/>
    <w:multiLevelType w:val="hybridMultilevel"/>
    <w:tmpl w:val="D1CC3B1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3615A41"/>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841A98"/>
    <w:multiLevelType w:val="hybridMultilevel"/>
    <w:tmpl w:val="E0C220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2438C5"/>
    <w:multiLevelType w:val="hybridMultilevel"/>
    <w:tmpl w:val="03E4C48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23026B"/>
    <w:multiLevelType w:val="hybridMultilevel"/>
    <w:tmpl w:val="979CD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39113E"/>
    <w:multiLevelType w:val="hybridMultilevel"/>
    <w:tmpl w:val="FF0C081C"/>
    <w:lvl w:ilvl="0" w:tplc="E8083364">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7C38337D"/>
    <w:multiLevelType w:val="hybridMultilevel"/>
    <w:tmpl w:val="DA92A21E"/>
    <w:lvl w:ilvl="0" w:tplc="E8083364">
      <w:start w:val="1"/>
      <w:numFmt w:val="lowerLetter"/>
      <w:lvlText w:val="(%1)"/>
      <w:lvlJc w:val="left"/>
      <w:pPr>
        <w:ind w:left="720" w:hanging="360"/>
      </w:pPr>
      <w:rPr>
        <w:rFonts w:cs="Times New Roman"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7CAB0788"/>
    <w:multiLevelType w:val="hybridMultilevel"/>
    <w:tmpl w:val="FF0C081C"/>
    <w:lvl w:ilvl="0" w:tplc="E80833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6"/>
  </w:num>
  <w:num w:numId="3">
    <w:abstractNumId w:val="19"/>
  </w:num>
  <w:num w:numId="4">
    <w:abstractNumId w:val="8"/>
  </w:num>
  <w:num w:numId="5">
    <w:abstractNumId w:val="7"/>
  </w:num>
  <w:num w:numId="6">
    <w:abstractNumId w:val="13"/>
  </w:num>
  <w:num w:numId="7">
    <w:abstractNumId w:val="2"/>
  </w:num>
  <w:num w:numId="8">
    <w:abstractNumId w:val="1"/>
  </w:num>
  <w:num w:numId="9">
    <w:abstractNumId w:val="17"/>
  </w:num>
  <w:num w:numId="10">
    <w:abstractNumId w:val="18"/>
  </w:num>
  <w:num w:numId="11">
    <w:abstractNumId w:val="12"/>
  </w:num>
  <w:num w:numId="12">
    <w:abstractNumId w:val="15"/>
  </w:num>
  <w:num w:numId="13">
    <w:abstractNumId w:val="10"/>
  </w:num>
  <w:num w:numId="14">
    <w:abstractNumId w:val="16"/>
  </w:num>
  <w:num w:numId="15">
    <w:abstractNumId w:val="11"/>
  </w:num>
  <w:num w:numId="16">
    <w:abstractNumId w:val="9"/>
  </w:num>
  <w:num w:numId="17">
    <w:abstractNumId w:val="4"/>
  </w:num>
  <w:num w:numId="18">
    <w:abstractNumId w:val="14"/>
  </w:num>
  <w:num w:numId="19">
    <w:abstractNumId w:val="0"/>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2D"/>
    <w:rsid w:val="00005844"/>
    <w:rsid w:val="000071AF"/>
    <w:rsid w:val="0001461D"/>
    <w:rsid w:val="00015782"/>
    <w:rsid w:val="000201B4"/>
    <w:rsid w:val="00024C62"/>
    <w:rsid w:val="00024CA6"/>
    <w:rsid w:val="00034C75"/>
    <w:rsid w:val="00036E85"/>
    <w:rsid w:val="00041293"/>
    <w:rsid w:val="000419E2"/>
    <w:rsid w:val="00042299"/>
    <w:rsid w:val="000450B6"/>
    <w:rsid w:val="00045232"/>
    <w:rsid w:val="000461B9"/>
    <w:rsid w:val="000535B6"/>
    <w:rsid w:val="000545F7"/>
    <w:rsid w:val="00055CA9"/>
    <w:rsid w:val="00055CD5"/>
    <w:rsid w:val="00062811"/>
    <w:rsid w:val="000628B7"/>
    <w:rsid w:val="0006383A"/>
    <w:rsid w:val="00065C52"/>
    <w:rsid w:val="00070263"/>
    <w:rsid w:val="0007071E"/>
    <w:rsid w:val="00074740"/>
    <w:rsid w:val="00075925"/>
    <w:rsid w:val="00077E42"/>
    <w:rsid w:val="0008054D"/>
    <w:rsid w:val="0008187E"/>
    <w:rsid w:val="00081F3C"/>
    <w:rsid w:val="000841E2"/>
    <w:rsid w:val="00084A71"/>
    <w:rsid w:val="00090009"/>
    <w:rsid w:val="00093667"/>
    <w:rsid w:val="00093D58"/>
    <w:rsid w:val="0009521A"/>
    <w:rsid w:val="000975FA"/>
    <w:rsid w:val="000977C6"/>
    <w:rsid w:val="000A2354"/>
    <w:rsid w:val="000A2E9F"/>
    <w:rsid w:val="000A4F54"/>
    <w:rsid w:val="000A53B2"/>
    <w:rsid w:val="000A56A5"/>
    <w:rsid w:val="000B1128"/>
    <w:rsid w:val="000B1C4F"/>
    <w:rsid w:val="000B253D"/>
    <w:rsid w:val="000B2D00"/>
    <w:rsid w:val="000B44F7"/>
    <w:rsid w:val="000B5AC2"/>
    <w:rsid w:val="000B7E03"/>
    <w:rsid w:val="000C10DC"/>
    <w:rsid w:val="000C4234"/>
    <w:rsid w:val="000C4E1C"/>
    <w:rsid w:val="000D00D6"/>
    <w:rsid w:val="000D3BB7"/>
    <w:rsid w:val="000D4FA0"/>
    <w:rsid w:val="000E025A"/>
    <w:rsid w:val="000E17DD"/>
    <w:rsid w:val="000E607B"/>
    <w:rsid w:val="000E6F0F"/>
    <w:rsid w:val="000E7169"/>
    <w:rsid w:val="000E728F"/>
    <w:rsid w:val="000F0A56"/>
    <w:rsid w:val="000F196A"/>
    <w:rsid w:val="000F74A5"/>
    <w:rsid w:val="00100A2E"/>
    <w:rsid w:val="00105B9B"/>
    <w:rsid w:val="00110736"/>
    <w:rsid w:val="0011083D"/>
    <w:rsid w:val="001121CC"/>
    <w:rsid w:val="00113613"/>
    <w:rsid w:val="00113C1C"/>
    <w:rsid w:val="00115458"/>
    <w:rsid w:val="00116156"/>
    <w:rsid w:val="00116E89"/>
    <w:rsid w:val="001237C8"/>
    <w:rsid w:val="00124832"/>
    <w:rsid w:val="00124B0F"/>
    <w:rsid w:val="00125A38"/>
    <w:rsid w:val="00125C04"/>
    <w:rsid w:val="00125E0E"/>
    <w:rsid w:val="00131CC4"/>
    <w:rsid w:val="00134E3D"/>
    <w:rsid w:val="00143F0A"/>
    <w:rsid w:val="00145844"/>
    <w:rsid w:val="001478B3"/>
    <w:rsid w:val="00147DE4"/>
    <w:rsid w:val="00150D63"/>
    <w:rsid w:val="0015478C"/>
    <w:rsid w:val="001613E9"/>
    <w:rsid w:val="001628A3"/>
    <w:rsid w:val="001637F3"/>
    <w:rsid w:val="00163973"/>
    <w:rsid w:val="00164B36"/>
    <w:rsid w:val="0016606B"/>
    <w:rsid w:val="00166E01"/>
    <w:rsid w:val="00170950"/>
    <w:rsid w:val="00175DE1"/>
    <w:rsid w:val="0018174B"/>
    <w:rsid w:val="00181F52"/>
    <w:rsid w:val="001837FC"/>
    <w:rsid w:val="00185C33"/>
    <w:rsid w:val="00186A16"/>
    <w:rsid w:val="00187062"/>
    <w:rsid w:val="00191DAA"/>
    <w:rsid w:val="00192726"/>
    <w:rsid w:val="001946A2"/>
    <w:rsid w:val="00196E8E"/>
    <w:rsid w:val="0019798A"/>
    <w:rsid w:val="001A0854"/>
    <w:rsid w:val="001A5CB7"/>
    <w:rsid w:val="001A6D8B"/>
    <w:rsid w:val="001A7FE8"/>
    <w:rsid w:val="001B0B0B"/>
    <w:rsid w:val="001B282C"/>
    <w:rsid w:val="001B5952"/>
    <w:rsid w:val="001C2AEB"/>
    <w:rsid w:val="001C665F"/>
    <w:rsid w:val="001C6A43"/>
    <w:rsid w:val="001C793A"/>
    <w:rsid w:val="001D015A"/>
    <w:rsid w:val="001D1DF9"/>
    <w:rsid w:val="001D4587"/>
    <w:rsid w:val="001D5C24"/>
    <w:rsid w:val="001D7F51"/>
    <w:rsid w:val="001E0435"/>
    <w:rsid w:val="001E4C14"/>
    <w:rsid w:val="001E699D"/>
    <w:rsid w:val="001F0F12"/>
    <w:rsid w:val="001F52AA"/>
    <w:rsid w:val="001F5985"/>
    <w:rsid w:val="001F684F"/>
    <w:rsid w:val="002004A9"/>
    <w:rsid w:val="00206507"/>
    <w:rsid w:val="002102D0"/>
    <w:rsid w:val="00210C0E"/>
    <w:rsid w:val="00210FF0"/>
    <w:rsid w:val="00211471"/>
    <w:rsid w:val="00212E46"/>
    <w:rsid w:val="00215729"/>
    <w:rsid w:val="00217DC7"/>
    <w:rsid w:val="00220AF6"/>
    <w:rsid w:val="002225C1"/>
    <w:rsid w:val="00224632"/>
    <w:rsid w:val="0022491A"/>
    <w:rsid w:val="002277D6"/>
    <w:rsid w:val="00227C41"/>
    <w:rsid w:val="00232E04"/>
    <w:rsid w:val="00234C6E"/>
    <w:rsid w:val="002361B4"/>
    <w:rsid w:val="002366CF"/>
    <w:rsid w:val="00237334"/>
    <w:rsid w:val="00240B4E"/>
    <w:rsid w:val="00241EEC"/>
    <w:rsid w:val="00242CA3"/>
    <w:rsid w:val="00243B4C"/>
    <w:rsid w:val="00245A11"/>
    <w:rsid w:val="00252846"/>
    <w:rsid w:val="00256135"/>
    <w:rsid w:val="0025653E"/>
    <w:rsid w:val="002625F8"/>
    <w:rsid w:val="0026351B"/>
    <w:rsid w:val="002732FF"/>
    <w:rsid w:val="00273ADF"/>
    <w:rsid w:val="00273DBD"/>
    <w:rsid w:val="00274298"/>
    <w:rsid w:val="002748E8"/>
    <w:rsid w:val="00274991"/>
    <w:rsid w:val="00275FCF"/>
    <w:rsid w:val="00280670"/>
    <w:rsid w:val="00280BCE"/>
    <w:rsid w:val="00281DD1"/>
    <w:rsid w:val="0028237F"/>
    <w:rsid w:val="0028278C"/>
    <w:rsid w:val="00285C8B"/>
    <w:rsid w:val="00287B7C"/>
    <w:rsid w:val="00292FB8"/>
    <w:rsid w:val="00297816"/>
    <w:rsid w:val="002A146A"/>
    <w:rsid w:val="002A549E"/>
    <w:rsid w:val="002A7693"/>
    <w:rsid w:val="002B39BA"/>
    <w:rsid w:val="002C0F28"/>
    <w:rsid w:val="002C2B67"/>
    <w:rsid w:val="002C4937"/>
    <w:rsid w:val="002C523D"/>
    <w:rsid w:val="002C6EDB"/>
    <w:rsid w:val="002C7226"/>
    <w:rsid w:val="002C742A"/>
    <w:rsid w:val="002C76D3"/>
    <w:rsid w:val="002D1EF3"/>
    <w:rsid w:val="002D3D07"/>
    <w:rsid w:val="002D6374"/>
    <w:rsid w:val="002D683E"/>
    <w:rsid w:val="002E0936"/>
    <w:rsid w:val="002E4C87"/>
    <w:rsid w:val="002E5E43"/>
    <w:rsid w:val="002E6B2A"/>
    <w:rsid w:val="002F1BCF"/>
    <w:rsid w:val="002F2D25"/>
    <w:rsid w:val="002F2D3E"/>
    <w:rsid w:val="002F720F"/>
    <w:rsid w:val="00301D90"/>
    <w:rsid w:val="003024DF"/>
    <w:rsid w:val="0030423F"/>
    <w:rsid w:val="00305181"/>
    <w:rsid w:val="0030535A"/>
    <w:rsid w:val="003056C6"/>
    <w:rsid w:val="00307CA0"/>
    <w:rsid w:val="003155C6"/>
    <w:rsid w:val="00316921"/>
    <w:rsid w:val="00320EAF"/>
    <w:rsid w:val="0032234A"/>
    <w:rsid w:val="00323BB8"/>
    <w:rsid w:val="003279D3"/>
    <w:rsid w:val="00330B45"/>
    <w:rsid w:val="00330E46"/>
    <w:rsid w:val="00333B7B"/>
    <w:rsid w:val="00335C27"/>
    <w:rsid w:val="00337A40"/>
    <w:rsid w:val="0034049C"/>
    <w:rsid w:val="00341A7F"/>
    <w:rsid w:val="00344DAE"/>
    <w:rsid w:val="003451D2"/>
    <w:rsid w:val="00346B9C"/>
    <w:rsid w:val="00350882"/>
    <w:rsid w:val="003544FF"/>
    <w:rsid w:val="0035471D"/>
    <w:rsid w:val="00355308"/>
    <w:rsid w:val="00357583"/>
    <w:rsid w:val="00364ACE"/>
    <w:rsid w:val="00366290"/>
    <w:rsid w:val="003676D3"/>
    <w:rsid w:val="00370A57"/>
    <w:rsid w:val="003712D8"/>
    <w:rsid w:val="00371B95"/>
    <w:rsid w:val="0038310B"/>
    <w:rsid w:val="003846F6"/>
    <w:rsid w:val="00384C22"/>
    <w:rsid w:val="0039150C"/>
    <w:rsid w:val="003924FD"/>
    <w:rsid w:val="003953FF"/>
    <w:rsid w:val="00397606"/>
    <w:rsid w:val="003A0AF6"/>
    <w:rsid w:val="003A2F71"/>
    <w:rsid w:val="003A5147"/>
    <w:rsid w:val="003A7794"/>
    <w:rsid w:val="003A79E2"/>
    <w:rsid w:val="003B069B"/>
    <w:rsid w:val="003B0E5F"/>
    <w:rsid w:val="003B2EC2"/>
    <w:rsid w:val="003B446B"/>
    <w:rsid w:val="003B6E4C"/>
    <w:rsid w:val="003B73B4"/>
    <w:rsid w:val="003B7CA9"/>
    <w:rsid w:val="003C2AD5"/>
    <w:rsid w:val="003C31BD"/>
    <w:rsid w:val="003C3352"/>
    <w:rsid w:val="003C59BC"/>
    <w:rsid w:val="003D40FB"/>
    <w:rsid w:val="003D5948"/>
    <w:rsid w:val="003E0788"/>
    <w:rsid w:val="003E0B62"/>
    <w:rsid w:val="003E1DCC"/>
    <w:rsid w:val="003E4F5C"/>
    <w:rsid w:val="003E64BB"/>
    <w:rsid w:val="003E68DC"/>
    <w:rsid w:val="003E6FB7"/>
    <w:rsid w:val="003F1D0E"/>
    <w:rsid w:val="003F45C7"/>
    <w:rsid w:val="003F65E6"/>
    <w:rsid w:val="003F6D75"/>
    <w:rsid w:val="00403D55"/>
    <w:rsid w:val="004056FE"/>
    <w:rsid w:val="00410D67"/>
    <w:rsid w:val="00415AB0"/>
    <w:rsid w:val="00420881"/>
    <w:rsid w:val="00420AF5"/>
    <w:rsid w:val="00421242"/>
    <w:rsid w:val="004277C1"/>
    <w:rsid w:val="00430215"/>
    <w:rsid w:val="004318E3"/>
    <w:rsid w:val="00433A97"/>
    <w:rsid w:val="00435807"/>
    <w:rsid w:val="00435F25"/>
    <w:rsid w:val="00442185"/>
    <w:rsid w:val="00447AE7"/>
    <w:rsid w:val="00451CB8"/>
    <w:rsid w:val="00455DCF"/>
    <w:rsid w:val="0046435A"/>
    <w:rsid w:val="00464A62"/>
    <w:rsid w:val="00467230"/>
    <w:rsid w:val="00467980"/>
    <w:rsid w:val="0047083F"/>
    <w:rsid w:val="0047256A"/>
    <w:rsid w:val="00475480"/>
    <w:rsid w:val="00480CE1"/>
    <w:rsid w:val="004818A4"/>
    <w:rsid w:val="004861DA"/>
    <w:rsid w:val="00490C31"/>
    <w:rsid w:val="004950E8"/>
    <w:rsid w:val="00496575"/>
    <w:rsid w:val="004973A6"/>
    <w:rsid w:val="004A0945"/>
    <w:rsid w:val="004A7CD4"/>
    <w:rsid w:val="004B1B5B"/>
    <w:rsid w:val="004B2265"/>
    <w:rsid w:val="004C57D3"/>
    <w:rsid w:val="004C61F4"/>
    <w:rsid w:val="004D33E3"/>
    <w:rsid w:val="004D5C3A"/>
    <w:rsid w:val="004D7D59"/>
    <w:rsid w:val="004E069C"/>
    <w:rsid w:val="004E1F47"/>
    <w:rsid w:val="004E2F13"/>
    <w:rsid w:val="004E3A37"/>
    <w:rsid w:val="004E4728"/>
    <w:rsid w:val="004E5FF7"/>
    <w:rsid w:val="004E639D"/>
    <w:rsid w:val="004E70B7"/>
    <w:rsid w:val="004E76A6"/>
    <w:rsid w:val="004E7770"/>
    <w:rsid w:val="004E7C21"/>
    <w:rsid w:val="004E7E2C"/>
    <w:rsid w:val="004F2343"/>
    <w:rsid w:val="004F5313"/>
    <w:rsid w:val="004F57E1"/>
    <w:rsid w:val="005034B0"/>
    <w:rsid w:val="00503FEB"/>
    <w:rsid w:val="00507A56"/>
    <w:rsid w:val="00510BD1"/>
    <w:rsid w:val="00511957"/>
    <w:rsid w:val="00513CDE"/>
    <w:rsid w:val="00515693"/>
    <w:rsid w:val="00524612"/>
    <w:rsid w:val="00527672"/>
    <w:rsid w:val="00536794"/>
    <w:rsid w:val="005372A9"/>
    <w:rsid w:val="00546CE6"/>
    <w:rsid w:val="005475E7"/>
    <w:rsid w:val="00547A6F"/>
    <w:rsid w:val="00551AF6"/>
    <w:rsid w:val="00553B4C"/>
    <w:rsid w:val="00553DA0"/>
    <w:rsid w:val="00554F77"/>
    <w:rsid w:val="00555B11"/>
    <w:rsid w:val="00556303"/>
    <w:rsid w:val="00556629"/>
    <w:rsid w:val="005571CF"/>
    <w:rsid w:val="005600E2"/>
    <w:rsid w:val="005600F7"/>
    <w:rsid w:val="0056070E"/>
    <w:rsid w:val="00562ECA"/>
    <w:rsid w:val="0056518A"/>
    <w:rsid w:val="005657A6"/>
    <w:rsid w:val="005710EE"/>
    <w:rsid w:val="00572221"/>
    <w:rsid w:val="00573786"/>
    <w:rsid w:val="0057726F"/>
    <w:rsid w:val="00581B8D"/>
    <w:rsid w:val="00583AAC"/>
    <w:rsid w:val="0058570B"/>
    <w:rsid w:val="00590B36"/>
    <w:rsid w:val="00591CDB"/>
    <w:rsid w:val="0059277B"/>
    <w:rsid w:val="00594494"/>
    <w:rsid w:val="00595BB5"/>
    <w:rsid w:val="005A2228"/>
    <w:rsid w:val="005A56B8"/>
    <w:rsid w:val="005A7D1D"/>
    <w:rsid w:val="005A7D1F"/>
    <w:rsid w:val="005B372C"/>
    <w:rsid w:val="005C0890"/>
    <w:rsid w:val="005C4FA1"/>
    <w:rsid w:val="005C5B05"/>
    <w:rsid w:val="005D003A"/>
    <w:rsid w:val="005D2485"/>
    <w:rsid w:val="005D3415"/>
    <w:rsid w:val="005E2631"/>
    <w:rsid w:val="005E2A86"/>
    <w:rsid w:val="005E312F"/>
    <w:rsid w:val="005E5C1F"/>
    <w:rsid w:val="005E7584"/>
    <w:rsid w:val="005F0045"/>
    <w:rsid w:val="005F214F"/>
    <w:rsid w:val="005F34BA"/>
    <w:rsid w:val="005F378F"/>
    <w:rsid w:val="005F568E"/>
    <w:rsid w:val="005F5777"/>
    <w:rsid w:val="005F59A1"/>
    <w:rsid w:val="005F5F41"/>
    <w:rsid w:val="005F66D3"/>
    <w:rsid w:val="006002BD"/>
    <w:rsid w:val="00600400"/>
    <w:rsid w:val="006005D8"/>
    <w:rsid w:val="00602B60"/>
    <w:rsid w:val="006031BE"/>
    <w:rsid w:val="00604EAC"/>
    <w:rsid w:val="00605164"/>
    <w:rsid w:val="006072DA"/>
    <w:rsid w:val="00612077"/>
    <w:rsid w:val="00612316"/>
    <w:rsid w:val="006130D9"/>
    <w:rsid w:val="006147D6"/>
    <w:rsid w:val="006176DF"/>
    <w:rsid w:val="00620B81"/>
    <w:rsid w:val="00621891"/>
    <w:rsid w:val="006232D1"/>
    <w:rsid w:val="00623584"/>
    <w:rsid w:val="00631DC2"/>
    <w:rsid w:val="00632EE3"/>
    <w:rsid w:val="00634722"/>
    <w:rsid w:val="006351C6"/>
    <w:rsid w:val="00637ECF"/>
    <w:rsid w:val="00644B59"/>
    <w:rsid w:val="0065068D"/>
    <w:rsid w:val="00652C8C"/>
    <w:rsid w:val="0065459F"/>
    <w:rsid w:val="00654EFA"/>
    <w:rsid w:val="00655D6A"/>
    <w:rsid w:val="00656911"/>
    <w:rsid w:val="006573B1"/>
    <w:rsid w:val="00661B8B"/>
    <w:rsid w:val="006653AA"/>
    <w:rsid w:val="006678DE"/>
    <w:rsid w:val="00670E56"/>
    <w:rsid w:val="00671900"/>
    <w:rsid w:val="00673728"/>
    <w:rsid w:val="006748FB"/>
    <w:rsid w:val="00684C13"/>
    <w:rsid w:val="00684D2F"/>
    <w:rsid w:val="00691622"/>
    <w:rsid w:val="0069308A"/>
    <w:rsid w:val="006A0213"/>
    <w:rsid w:val="006A1C4C"/>
    <w:rsid w:val="006A6D9D"/>
    <w:rsid w:val="006B35BC"/>
    <w:rsid w:val="006B677C"/>
    <w:rsid w:val="006C0F5C"/>
    <w:rsid w:val="006C1F65"/>
    <w:rsid w:val="006D11DE"/>
    <w:rsid w:val="006D23A0"/>
    <w:rsid w:val="006D6618"/>
    <w:rsid w:val="006E4C40"/>
    <w:rsid w:val="006E6DDA"/>
    <w:rsid w:val="006F0143"/>
    <w:rsid w:val="006F0DD3"/>
    <w:rsid w:val="006F5219"/>
    <w:rsid w:val="006F5B94"/>
    <w:rsid w:val="007008F5"/>
    <w:rsid w:val="00702A6A"/>
    <w:rsid w:val="00706DD6"/>
    <w:rsid w:val="00710EEB"/>
    <w:rsid w:val="0071516E"/>
    <w:rsid w:val="00715470"/>
    <w:rsid w:val="00717E15"/>
    <w:rsid w:val="00723A58"/>
    <w:rsid w:val="00726682"/>
    <w:rsid w:val="0073073A"/>
    <w:rsid w:val="00735399"/>
    <w:rsid w:val="00736068"/>
    <w:rsid w:val="00736F36"/>
    <w:rsid w:val="007401A7"/>
    <w:rsid w:val="00740359"/>
    <w:rsid w:val="00752FAF"/>
    <w:rsid w:val="00755190"/>
    <w:rsid w:val="00756DA0"/>
    <w:rsid w:val="00757725"/>
    <w:rsid w:val="00763A91"/>
    <w:rsid w:val="00764788"/>
    <w:rsid w:val="0076505D"/>
    <w:rsid w:val="00765CA5"/>
    <w:rsid w:val="0077100F"/>
    <w:rsid w:val="0077140E"/>
    <w:rsid w:val="00773C17"/>
    <w:rsid w:val="00775125"/>
    <w:rsid w:val="00777EBF"/>
    <w:rsid w:val="00777FDB"/>
    <w:rsid w:val="00780F66"/>
    <w:rsid w:val="007817E4"/>
    <w:rsid w:val="00781F67"/>
    <w:rsid w:val="00790D1E"/>
    <w:rsid w:val="007952D0"/>
    <w:rsid w:val="007A0123"/>
    <w:rsid w:val="007A16CC"/>
    <w:rsid w:val="007A4387"/>
    <w:rsid w:val="007A6B94"/>
    <w:rsid w:val="007B5455"/>
    <w:rsid w:val="007B5CF5"/>
    <w:rsid w:val="007B7F02"/>
    <w:rsid w:val="007C264A"/>
    <w:rsid w:val="007C2A82"/>
    <w:rsid w:val="007C5656"/>
    <w:rsid w:val="007C5BC1"/>
    <w:rsid w:val="007C68D1"/>
    <w:rsid w:val="007C78A0"/>
    <w:rsid w:val="007D1479"/>
    <w:rsid w:val="007D3382"/>
    <w:rsid w:val="007D44CC"/>
    <w:rsid w:val="007E027B"/>
    <w:rsid w:val="007E2BE5"/>
    <w:rsid w:val="007E2ECC"/>
    <w:rsid w:val="007E2F7F"/>
    <w:rsid w:val="007E3AEC"/>
    <w:rsid w:val="007E41BD"/>
    <w:rsid w:val="007E48C1"/>
    <w:rsid w:val="007E57FF"/>
    <w:rsid w:val="007E5918"/>
    <w:rsid w:val="007E7907"/>
    <w:rsid w:val="007F0350"/>
    <w:rsid w:val="007F0C3A"/>
    <w:rsid w:val="007F268C"/>
    <w:rsid w:val="007F45AA"/>
    <w:rsid w:val="007F6B86"/>
    <w:rsid w:val="007F7798"/>
    <w:rsid w:val="007F785F"/>
    <w:rsid w:val="007F79F1"/>
    <w:rsid w:val="00800ECA"/>
    <w:rsid w:val="00807D84"/>
    <w:rsid w:val="00810068"/>
    <w:rsid w:val="00813C35"/>
    <w:rsid w:val="00816F74"/>
    <w:rsid w:val="008219C2"/>
    <w:rsid w:val="00823149"/>
    <w:rsid w:val="008231E0"/>
    <w:rsid w:val="008232CA"/>
    <w:rsid w:val="00823885"/>
    <w:rsid w:val="00826BBB"/>
    <w:rsid w:val="00827806"/>
    <w:rsid w:val="00835FDB"/>
    <w:rsid w:val="00840BB1"/>
    <w:rsid w:val="0084308C"/>
    <w:rsid w:val="00847C1A"/>
    <w:rsid w:val="0085286D"/>
    <w:rsid w:val="00853349"/>
    <w:rsid w:val="00854977"/>
    <w:rsid w:val="00854FD3"/>
    <w:rsid w:val="00855199"/>
    <w:rsid w:val="0085559B"/>
    <w:rsid w:val="00855EE1"/>
    <w:rsid w:val="0085671A"/>
    <w:rsid w:val="00860B49"/>
    <w:rsid w:val="008703D7"/>
    <w:rsid w:val="00870EE7"/>
    <w:rsid w:val="00872236"/>
    <w:rsid w:val="008735C9"/>
    <w:rsid w:val="008775BA"/>
    <w:rsid w:val="00877FC5"/>
    <w:rsid w:val="0088104C"/>
    <w:rsid w:val="00882456"/>
    <w:rsid w:val="008867C3"/>
    <w:rsid w:val="00886DBF"/>
    <w:rsid w:val="00891A74"/>
    <w:rsid w:val="008920CB"/>
    <w:rsid w:val="00894829"/>
    <w:rsid w:val="00895D22"/>
    <w:rsid w:val="00896997"/>
    <w:rsid w:val="00897039"/>
    <w:rsid w:val="008A0BD6"/>
    <w:rsid w:val="008B02C7"/>
    <w:rsid w:val="008B3558"/>
    <w:rsid w:val="008C2006"/>
    <w:rsid w:val="008C5244"/>
    <w:rsid w:val="008C5C67"/>
    <w:rsid w:val="008C64D0"/>
    <w:rsid w:val="008D0D16"/>
    <w:rsid w:val="008D3BFE"/>
    <w:rsid w:val="008D7C1D"/>
    <w:rsid w:val="008E03DF"/>
    <w:rsid w:val="008E37F8"/>
    <w:rsid w:val="008E43EC"/>
    <w:rsid w:val="008F347A"/>
    <w:rsid w:val="008F3B07"/>
    <w:rsid w:val="008F3BE2"/>
    <w:rsid w:val="008F4F1B"/>
    <w:rsid w:val="008F605E"/>
    <w:rsid w:val="00901A55"/>
    <w:rsid w:val="00904EBE"/>
    <w:rsid w:val="00913ED8"/>
    <w:rsid w:val="009154F7"/>
    <w:rsid w:val="0092153B"/>
    <w:rsid w:val="00921879"/>
    <w:rsid w:val="00923ADB"/>
    <w:rsid w:val="009273EA"/>
    <w:rsid w:val="00933033"/>
    <w:rsid w:val="009343C5"/>
    <w:rsid w:val="00936EB3"/>
    <w:rsid w:val="00936FC2"/>
    <w:rsid w:val="00937EAA"/>
    <w:rsid w:val="0094144B"/>
    <w:rsid w:val="00946A71"/>
    <w:rsid w:val="00946BFA"/>
    <w:rsid w:val="00950B60"/>
    <w:rsid w:val="00953026"/>
    <w:rsid w:val="00954417"/>
    <w:rsid w:val="00955A20"/>
    <w:rsid w:val="00955D4A"/>
    <w:rsid w:val="00962CA7"/>
    <w:rsid w:val="00972AE8"/>
    <w:rsid w:val="00976174"/>
    <w:rsid w:val="009769AB"/>
    <w:rsid w:val="00981CB4"/>
    <w:rsid w:val="00982BD8"/>
    <w:rsid w:val="00983320"/>
    <w:rsid w:val="00985322"/>
    <w:rsid w:val="00986E3F"/>
    <w:rsid w:val="00990CB1"/>
    <w:rsid w:val="009947BF"/>
    <w:rsid w:val="0099517C"/>
    <w:rsid w:val="0099593F"/>
    <w:rsid w:val="00995A70"/>
    <w:rsid w:val="0099728E"/>
    <w:rsid w:val="009A119D"/>
    <w:rsid w:val="009A370E"/>
    <w:rsid w:val="009A5217"/>
    <w:rsid w:val="009A7E69"/>
    <w:rsid w:val="009B00A6"/>
    <w:rsid w:val="009B5C6D"/>
    <w:rsid w:val="009B640D"/>
    <w:rsid w:val="009B6E87"/>
    <w:rsid w:val="009B6FD6"/>
    <w:rsid w:val="009B7457"/>
    <w:rsid w:val="009C035E"/>
    <w:rsid w:val="009C20C6"/>
    <w:rsid w:val="009C22F7"/>
    <w:rsid w:val="009C268F"/>
    <w:rsid w:val="009D14AA"/>
    <w:rsid w:val="009D3C98"/>
    <w:rsid w:val="009D4FC2"/>
    <w:rsid w:val="009D745B"/>
    <w:rsid w:val="009E1F24"/>
    <w:rsid w:val="009E211B"/>
    <w:rsid w:val="009E364F"/>
    <w:rsid w:val="009E5708"/>
    <w:rsid w:val="009E7BE8"/>
    <w:rsid w:val="009F00AA"/>
    <w:rsid w:val="009F7710"/>
    <w:rsid w:val="00A0391B"/>
    <w:rsid w:val="00A0432D"/>
    <w:rsid w:val="00A0604A"/>
    <w:rsid w:val="00A11803"/>
    <w:rsid w:val="00A11BF0"/>
    <w:rsid w:val="00A14F25"/>
    <w:rsid w:val="00A15881"/>
    <w:rsid w:val="00A24E7E"/>
    <w:rsid w:val="00A27414"/>
    <w:rsid w:val="00A3406C"/>
    <w:rsid w:val="00A345E9"/>
    <w:rsid w:val="00A3656D"/>
    <w:rsid w:val="00A46858"/>
    <w:rsid w:val="00A5099A"/>
    <w:rsid w:val="00A521C1"/>
    <w:rsid w:val="00A53BB9"/>
    <w:rsid w:val="00A53D0E"/>
    <w:rsid w:val="00A57AF1"/>
    <w:rsid w:val="00A66663"/>
    <w:rsid w:val="00A678DD"/>
    <w:rsid w:val="00A70473"/>
    <w:rsid w:val="00A70CCD"/>
    <w:rsid w:val="00A71A35"/>
    <w:rsid w:val="00A7221C"/>
    <w:rsid w:val="00A7342D"/>
    <w:rsid w:val="00A81B07"/>
    <w:rsid w:val="00A81F0E"/>
    <w:rsid w:val="00A826BD"/>
    <w:rsid w:val="00A84232"/>
    <w:rsid w:val="00A851C0"/>
    <w:rsid w:val="00A91C33"/>
    <w:rsid w:val="00A95E7F"/>
    <w:rsid w:val="00A96990"/>
    <w:rsid w:val="00A974C9"/>
    <w:rsid w:val="00AA39DB"/>
    <w:rsid w:val="00AA5405"/>
    <w:rsid w:val="00AA6B73"/>
    <w:rsid w:val="00AA6DA1"/>
    <w:rsid w:val="00AB2DC8"/>
    <w:rsid w:val="00AB44DB"/>
    <w:rsid w:val="00AB4F3B"/>
    <w:rsid w:val="00AC10C2"/>
    <w:rsid w:val="00AC3659"/>
    <w:rsid w:val="00AC5CA9"/>
    <w:rsid w:val="00AC6684"/>
    <w:rsid w:val="00AC67DC"/>
    <w:rsid w:val="00AC6CAC"/>
    <w:rsid w:val="00AC745E"/>
    <w:rsid w:val="00AD2B65"/>
    <w:rsid w:val="00AE24D9"/>
    <w:rsid w:val="00AE4EB5"/>
    <w:rsid w:val="00AE58E1"/>
    <w:rsid w:val="00AE6E30"/>
    <w:rsid w:val="00AF1FB6"/>
    <w:rsid w:val="00AF329C"/>
    <w:rsid w:val="00B03C54"/>
    <w:rsid w:val="00B115BD"/>
    <w:rsid w:val="00B125E9"/>
    <w:rsid w:val="00B148DC"/>
    <w:rsid w:val="00B223A1"/>
    <w:rsid w:val="00B22821"/>
    <w:rsid w:val="00B22AB6"/>
    <w:rsid w:val="00B323EB"/>
    <w:rsid w:val="00B34CE3"/>
    <w:rsid w:val="00B35E19"/>
    <w:rsid w:val="00B400DB"/>
    <w:rsid w:val="00B4269A"/>
    <w:rsid w:val="00B42701"/>
    <w:rsid w:val="00B42B48"/>
    <w:rsid w:val="00B43162"/>
    <w:rsid w:val="00B457DE"/>
    <w:rsid w:val="00B534C3"/>
    <w:rsid w:val="00B55C56"/>
    <w:rsid w:val="00B5723E"/>
    <w:rsid w:val="00B61468"/>
    <w:rsid w:val="00B61964"/>
    <w:rsid w:val="00B65FEC"/>
    <w:rsid w:val="00B6737F"/>
    <w:rsid w:val="00B70AF3"/>
    <w:rsid w:val="00B7174D"/>
    <w:rsid w:val="00B72669"/>
    <w:rsid w:val="00B734D4"/>
    <w:rsid w:val="00B74115"/>
    <w:rsid w:val="00B765B7"/>
    <w:rsid w:val="00B77875"/>
    <w:rsid w:val="00B77DAE"/>
    <w:rsid w:val="00B77FEF"/>
    <w:rsid w:val="00B80612"/>
    <w:rsid w:val="00B8236F"/>
    <w:rsid w:val="00B82854"/>
    <w:rsid w:val="00B8350E"/>
    <w:rsid w:val="00B83F07"/>
    <w:rsid w:val="00B84146"/>
    <w:rsid w:val="00B848BE"/>
    <w:rsid w:val="00B85806"/>
    <w:rsid w:val="00B91CF1"/>
    <w:rsid w:val="00B948CA"/>
    <w:rsid w:val="00B95053"/>
    <w:rsid w:val="00BA0C2E"/>
    <w:rsid w:val="00BA1DBF"/>
    <w:rsid w:val="00BA4612"/>
    <w:rsid w:val="00BA5017"/>
    <w:rsid w:val="00BA66A2"/>
    <w:rsid w:val="00BA6BF4"/>
    <w:rsid w:val="00BA6F8D"/>
    <w:rsid w:val="00BA7E00"/>
    <w:rsid w:val="00BB0546"/>
    <w:rsid w:val="00BB1662"/>
    <w:rsid w:val="00BB2D1C"/>
    <w:rsid w:val="00BB2FEF"/>
    <w:rsid w:val="00BC08B5"/>
    <w:rsid w:val="00BD2BC0"/>
    <w:rsid w:val="00BD5C7C"/>
    <w:rsid w:val="00BD6565"/>
    <w:rsid w:val="00BD77A9"/>
    <w:rsid w:val="00BD7DDC"/>
    <w:rsid w:val="00BE23D3"/>
    <w:rsid w:val="00BF52FC"/>
    <w:rsid w:val="00C07E92"/>
    <w:rsid w:val="00C10DF6"/>
    <w:rsid w:val="00C126DF"/>
    <w:rsid w:val="00C14669"/>
    <w:rsid w:val="00C16A2C"/>
    <w:rsid w:val="00C176A0"/>
    <w:rsid w:val="00C2060A"/>
    <w:rsid w:val="00C20CED"/>
    <w:rsid w:val="00C21766"/>
    <w:rsid w:val="00C22D41"/>
    <w:rsid w:val="00C24808"/>
    <w:rsid w:val="00C27B69"/>
    <w:rsid w:val="00C27F52"/>
    <w:rsid w:val="00C3417F"/>
    <w:rsid w:val="00C40FED"/>
    <w:rsid w:val="00C41807"/>
    <w:rsid w:val="00C41A75"/>
    <w:rsid w:val="00C42722"/>
    <w:rsid w:val="00C43491"/>
    <w:rsid w:val="00C45440"/>
    <w:rsid w:val="00C50064"/>
    <w:rsid w:val="00C514E6"/>
    <w:rsid w:val="00C543C1"/>
    <w:rsid w:val="00C55D88"/>
    <w:rsid w:val="00C55ED3"/>
    <w:rsid w:val="00C56382"/>
    <w:rsid w:val="00C56E82"/>
    <w:rsid w:val="00C61C89"/>
    <w:rsid w:val="00C6488A"/>
    <w:rsid w:val="00C7013B"/>
    <w:rsid w:val="00C767EC"/>
    <w:rsid w:val="00C80AD6"/>
    <w:rsid w:val="00C80BE6"/>
    <w:rsid w:val="00C849E7"/>
    <w:rsid w:val="00C855F1"/>
    <w:rsid w:val="00C858F9"/>
    <w:rsid w:val="00C87511"/>
    <w:rsid w:val="00C8774C"/>
    <w:rsid w:val="00C940AE"/>
    <w:rsid w:val="00C97FCC"/>
    <w:rsid w:val="00CA1021"/>
    <w:rsid w:val="00CA1363"/>
    <w:rsid w:val="00CA746E"/>
    <w:rsid w:val="00CB02CE"/>
    <w:rsid w:val="00CB1D09"/>
    <w:rsid w:val="00CB1E31"/>
    <w:rsid w:val="00CB23E5"/>
    <w:rsid w:val="00CB2524"/>
    <w:rsid w:val="00CB4621"/>
    <w:rsid w:val="00CB4F7A"/>
    <w:rsid w:val="00CB5D69"/>
    <w:rsid w:val="00CB5F45"/>
    <w:rsid w:val="00CC2A0B"/>
    <w:rsid w:val="00CC2DA9"/>
    <w:rsid w:val="00CC4D5C"/>
    <w:rsid w:val="00CD5D48"/>
    <w:rsid w:val="00CE0CF2"/>
    <w:rsid w:val="00CE3595"/>
    <w:rsid w:val="00CE3998"/>
    <w:rsid w:val="00CE7DDD"/>
    <w:rsid w:val="00CF5168"/>
    <w:rsid w:val="00CF6BE6"/>
    <w:rsid w:val="00CF702E"/>
    <w:rsid w:val="00D00110"/>
    <w:rsid w:val="00D00EDC"/>
    <w:rsid w:val="00D04A61"/>
    <w:rsid w:val="00D10ACD"/>
    <w:rsid w:val="00D10D00"/>
    <w:rsid w:val="00D12013"/>
    <w:rsid w:val="00D16EA7"/>
    <w:rsid w:val="00D23290"/>
    <w:rsid w:val="00D256C8"/>
    <w:rsid w:val="00D270E3"/>
    <w:rsid w:val="00D30AFF"/>
    <w:rsid w:val="00D33F05"/>
    <w:rsid w:val="00D35A96"/>
    <w:rsid w:val="00D42670"/>
    <w:rsid w:val="00D428B7"/>
    <w:rsid w:val="00D4432C"/>
    <w:rsid w:val="00D44904"/>
    <w:rsid w:val="00D469FC"/>
    <w:rsid w:val="00D63FE4"/>
    <w:rsid w:val="00D65B25"/>
    <w:rsid w:val="00D67F84"/>
    <w:rsid w:val="00D71A21"/>
    <w:rsid w:val="00D728CF"/>
    <w:rsid w:val="00D73B5F"/>
    <w:rsid w:val="00D75AA8"/>
    <w:rsid w:val="00D76D54"/>
    <w:rsid w:val="00D776D7"/>
    <w:rsid w:val="00D81C01"/>
    <w:rsid w:val="00D90E6D"/>
    <w:rsid w:val="00D91440"/>
    <w:rsid w:val="00D92F9B"/>
    <w:rsid w:val="00D94BD4"/>
    <w:rsid w:val="00D959FF"/>
    <w:rsid w:val="00D96F03"/>
    <w:rsid w:val="00D9771F"/>
    <w:rsid w:val="00DA0804"/>
    <w:rsid w:val="00DA0BE7"/>
    <w:rsid w:val="00DA1BC6"/>
    <w:rsid w:val="00DA560D"/>
    <w:rsid w:val="00DA570D"/>
    <w:rsid w:val="00DB212B"/>
    <w:rsid w:val="00DB2EA5"/>
    <w:rsid w:val="00DB4CA9"/>
    <w:rsid w:val="00DC2830"/>
    <w:rsid w:val="00DC3D04"/>
    <w:rsid w:val="00DC4F3E"/>
    <w:rsid w:val="00DC6F3E"/>
    <w:rsid w:val="00DC760E"/>
    <w:rsid w:val="00DD0300"/>
    <w:rsid w:val="00DD10FC"/>
    <w:rsid w:val="00DD4279"/>
    <w:rsid w:val="00DD61F2"/>
    <w:rsid w:val="00DD6EC1"/>
    <w:rsid w:val="00DE45D4"/>
    <w:rsid w:val="00DE673C"/>
    <w:rsid w:val="00DE6807"/>
    <w:rsid w:val="00DF03E3"/>
    <w:rsid w:val="00DF22C7"/>
    <w:rsid w:val="00DF25B8"/>
    <w:rsid w:val="00DF3451"/>
    <w:rsid w:val="00DF3574"/>
    <w:rsid w:val="00DF380D"/>
    <w:rsid w:val="00DF56AD"/>
    <w:rsid w:val="00E0371F"/>
    <w:rsid w:val="00E044B5"/>
    <w:rsid w:val="00E04C5A"/>
    <w:rsid w:val="00E04C86"/>
    <w:rsid w:val="00E04E29"/>
    <w:rsid w:val="00E07AAC"/>
    <w:rsid w:val="00E15748"/>
    <w:rsid w:val="00E2254F"/>
    <w:rsid w:val="00E256C0"/>
    <w:rsid w:val="00E257BF"/>
    <w:rsid w:val="00E26634"/>
    <w:rsid w:val="00E2762D"/>
    <w:rsid w:val="00E2769F"/>
    <w:rsid w:val="00E310B9"/>
    <w:rsid w:val="00E31838"/>
    <w:rsid w:val="00E33A03"/>
    <w:rsid w:val="00E35FA0"/>
    <w:rsid w:val="00E42142"/>
    <w:rsid w:val="00E461D0"/>
    <w:rsid w:val="00E47E8C"/>
    <w:rsid w:val="00E51517"/>
    <w:rsid w:val="00E52685"/>
    <w:rsid w:val="00E53B84"/>
    <w:rsid w:val="00E53BD0"/>
    <w:rsid w:val="00E54CC9"/>
    <w:rsid w:val="00E6025B"/>
    <w:rsid w:val="00E62108"/>
    <w:rsid w:val="00E67782"/>
    <w:rsid w:val="00E72595"/>
    <w:rsid w:val="00E73274"/>
    <w:rsid w:val="00E74ABA"/>
    <w:rsid w:val="00E801C9"/>
    <w:rsid w:val="00E81A75"/>
    <w:rsid w:val="00E862A6"/>
    <w:rsid w:val="00E863D4"/>
    <w:rsid w:val="00E8663C"/>
    <w:rsid w:val="00E91C5C"/>
    <w:rsid w:val="00E93888"/>
    <w:rsid w:val="00E939E2"/>
    <w:rsid w:val="00E94114"/>
    <w:rsid w:val="00E94365"/>
    <w:rsid w:val="00E959D1"/>
    <w:rsid w:val="00EA2710"/>
    <w:rsid w:val="00EA362C"/>
    <w:rsid w:val="00EB0C11"/>
    <w:rsid w:val="00EB7FDE"/>
    <w:rsid w:val="00EC081F"/>
    <w:rsid w:val="00EC16FB"/>
    <w:rsid w:val="00EC3A3C"/>
    <w:rsid w:val="00EC7236"/>
    <w:rsid w:val="00ED3EBF"/>
    <w:rsid w:val="00ED5C68"/>
    <w:rsid w:val="00EE1BFB"/>
    <w:rsid w:val="00EE1EE9"/>
    <w:rsid w:val="00EE6AA1"/>
    <w:rsid w:val="00EE7768"/>
    <w:rsid w:val="00EF397F"/>
    <w:rsid w:val="00EF3E73"/>
    <w:rsid w:val="00EF4F16"/>
    <w:rsid w:val="00F02296"/>
    <w:rsid w:val="00F05EBB"/>
    <w:rsid w:val="00F0658B"/>
    <w:rsid w:val="00F07906"/>
    <w:rsid w:val="00F10BBE"/>
    <w:rsid w:val="00F10F00"/>
    <w:rsid w:val="00F130A1"/>
    <w:rsid w:val="00F13AA4"/>
    <w:rsid w:val="00F2261C"/>
    <w:rsid w:val="00F23756"/>
    <w:rsid w:val="00F249EF"/>
    <w:rsid w:val="00F263C4"/>
    <w:rsid w:val="00F323F0"/>
    <w:rsid w:val="00F32CC2"/>
    <w:rsid w:val="00F35FEC"/>
    <w:rsid w:val="00F3652B"/>
    <w:rsid w:val="00F36E75"/>
    <w:rsid w:val="00F37760"/>
    <w:rsid w:val="00F43987"/>
    <w:rsid w:val="00F44166"/>
    <w:rsid w:val="00F44D41"/>
    <w:rsid w:val="00F46207"/>
    <w:rsid w:val="00F50209"/>
    <w:rsid w:val="00F53982"/>
    <w:rsid w:val="00F53BA9"/>
    <w:rsid w:val="00F563F6"/>
    <w:rsid w:val="00F57F71"/>
    <w:rsid w:val="00F64FDA"/>
    <w:rsid w:val="00F67FB6"/>
    <w:rsid w:val="00F70369"/>
    <w:rsid w:val="00F709B9"/>
    <w:rsid w:val="00F70B49"/>
    <w:rsid w:val="00F71176"/>
    <w:rsid w:val="00F73A9A"/>
    <w:rsid w:val="00F740DD"/>
    <w:rsid w:val="00F754D8"/>
    <w:rsid w:val="00F7629D"/>
    <w:rsid w:val="00F7701D"/>
    <w:rsid w:val="00F802C4"/>
    <w:rsid w:val="00F8236F"/>
    <w:rsid w:val="00F8352C"/>
    <w:rsid w:val="00F837A8"/>
    <w:rsid w:val="00F83CAC"/>
    <w:rsid w:val="00F86753"/>
    <w:rsid w:val="00F86BD2"/>
    <w:rsid w:val="00F91EDF"/>
    <w:rsid w:val="00F9242F"/>
    <w:rsid w:val="00F928CB"/>
    <w:rsid w:val="00F938DC"/>
    <w:rsid w:val="00F93E3B"/>
    <w:rsid w:val="00F9540E"/>
    <w:rsid w:val="00F95989"/>
    <w:rsid w:val="00F95E55"/>
    <w:rsid w:val="00F968FF"/>
    <w:rsid w:val="00F97AEB"/>
    <w:rsid w:val="00FA0DAF"/>
    <w:rsid w:val="00FA2789"/>
    <w:rsid w:val="00FA5F0B"/>
    <w:rsid w:val="00FB1C05"/>
    <w:rsid w:val="00FB2449"/>
    <w:rsid w:val="00FB2A73"/>
    <w:rsid w:val="00FB3DDA"/>
    <w:rsid w:val="00FB54F9"/>
    <w:rsid w:val="00FB695C"/>
    <w:rsid w:val="00FC1446"/>
    <w:rsid w:val="00FD29FE"/>
    <w:rsid w:val="00FD2E8A"/>
    <w:rsid w:val="00FD36F0"/>
    <w:rsid w:val="00FD3737"/>
    <w:rsid w:val="00FD579E"/>
    <w:rsid w:val="00FD5EB2"/>
    <w:rsid w:val="00FE262C"/>
    <w:rsid w:val="00FE5BBF"/>
    <w:rsid w:val="00FE5BD1"/>
    <w:rsid w:val="00FF46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C67E53D"/>
  <w15:docId w15:val="{1750BB86-713A-45C8-81BF-9A7BD88A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708"/>
    <w:pPr>
      <w:autoSpaceDE w:val="0"/>
      <w:autoSpaceDN w:val="0"/>
      <w:adjustRightInd w:val="0"/>
      <w:spacing w:after="200" w:line="276" w:lineRule="auto"/>
    </w:pPr>
    <w:rPr>
      <w:rFonts w:asciiTheme="minorHAnsi" w:hAnsiTheme="minorHAnsi" w:cs="Calibri-Bold"/>
      <w:bCs/>
      <w:sz w:val="24"/>
      <w:szCs w:val="24"/>
    </w:rPr>
  </w:style>
  <w:style w:type="paragraph" w:styleId="Heading1">
    <w:name w:val="heading 1"/>
    <w:basedOn w:val="Normal"/>
    <w:next w:val="Normal"/>
    <w:link w:val="Heading1Char"/>
    <w:uiPriority w:val="9"/>
    <w:qFormat/>
    <w:rsid w:val="00EE6AA1"/>
    <w:pPr>
      <w:keepNext/>
      <w:keepLines/>
      <w:spacing w:before="480" w:after="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EE6AA1"/>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5C0890"/>
    <w:pPr>
      <w:keepNext/>
      <w:keepLines/>
      <w:spacing w:before="200" w:after="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5708"/>
    <w:pPr>
      <w:numPr>
        <w:numId w:val="4"/>
      </w:numPr>
      <w:spacing w:after="0"/>
      <w:contextualSpacing/>
    </w:pPr>
  </w:style>
  <w:style w:type="paragraph" w:styleId="NormalWeb">
    <w:name w:val="Normal (Web)"/>
    <w:basedOn w:val="Normal"/>
    <w:uiPriority w:val="99"/>
    <w:semiHidden/>
    <w:unhideWhenUsed/>
    <w:rsid w:val="006176DF"/>
    <w:pPr>
      <w:spacing w:before="189" w:after="100" w:afterAutospacing="1" w:line="240" w:lineRule="auto"/>
    </w:pPr>
    <w:rPr>
      <w:rFonts w:ascii="Times New Roman" w:hAnsi="Times New Roman"/>
    </w:rPr>
  </w:style>
  <w:style w:type="paragraph" w:styleId="FootnoteText">
    <w:name w:val="footnote text"/>
    <w:basedOn w:val="Normal"/>
    <w:link w:val="FootnoteTextChar"/>
    <w:uiPriority w:val="99"/>
    <w:rsid w:val="00AC6684"/>
    <w:pPr>
      <w:spacing w:after="0" w:line="240" w:lineRule="auto"/>
    </w:pPr>
    <w:rPr>
      <w:rFonts w:ascii="Arial" w:hAnsi="Arial"/>
      <w:sz w:val="20"/>
      <w:szCs w:val="20"/>
    </w:rPr>
  </w:style>
  <w:style w:type="character" w:customStyle="1" w:styleId="FootnoteTextChar">
    <w:name w:val="Footnote Text Char"/>
    <w:basedOn w:val="DefaultParagraphFont"/>
    <w:link w:val="FootnoteText"/>
    <w:locked/>
    <w:rsid w:val="00AC6684"/>
    <w:rPr>
      <w:rFonts w:ascii="Arial" w:hAnsi="Arial"/>
      <w:lang w:eastAsia="en-US"/>
    </w:rPr>
  </w:style>
  <w:style w:type="character" w:styleId="FootnoteReference">
    <w:name w:val="footnote reference"/>
    <w:basedOn w:val="DefaultParagraphFont"/>
    <w:uiPriority w:val="99"/>
    <w:rsid w:val="00AC6684"/>
    <w:rPr>
      <w:vertAlign w:val="superscript"/>
    </w:rPr>
  </w:style>
  <w:style w:type="character" w:styleId="Hyperlink">
    <w:name w:val="Hyperlink"/>
    <w:basedOn w:val="DefaultParagraphFont"/>
    <w:uiPriority w:val="99"/>
    <w:unhideWhenUsed/>
    <w:rsid w:val="00AC6684"/>
    <w:rPr>
      <w:color w:val="0044BB"/>
      <w:u w:val="single"/>
    </w:rPr>
  </w:style>
  <w:style w:type="paragraph" w:styleId="Header">
    <w:name w:val="header"/>
    <w:basedOn w:val="Normal"/>
    <w:link w:val="HeaderChar"/>
    <w:uiPriority w:val="99"/>
    <w:unhideWhenUsed/>
    <w:rsid w:val="00DC2830"/>
    <w:pPr>
      <w:tabs>
        <w:tab w:val="center" w:pos="4513"/>
        <w:tab w:val="right" w:pos="9026"/>
      </w:tabs>
    </w:pPr>
  </w:style>
  <w:style w:type="character" w:customStyle="1" w:styleId="HeaderChar">
    <w:name w:val="Header Char"/>
    <w:basedOn w:val="DefaultParagraphFont"/>
    <w:link w:val="Header"/>
    <w:uiPriority w:val="99"/>
    <w:locked/>
    <w:rsid w:val="00DC2830"/>
    <w:rPr>
      <w:rFonts w:cs="Times New Roman"/>
      <w:sz w:val="22"/>
      <w:szCs w:val="22"/>
      <w:lang w:eastAsia="en-US"/>
    </w:rPr>
  </w:style>
  <w:style w:type="paragraph" w:styleId="Footer">
    <w:name w:val="footer"/>
    <w:basedOn w:val="Normal"/>
    <w:link w:val="FooterChar"/>
    <w:uiPriority w:val="99"/>
    <w:unhideWhenUsed/>
    <w:rsid w:val="00DC2830"/>
    <w:pPr>
      <w:tabs>
        <w:tab w:val="center" w:pos="4513"/>
        <w:tab w:val="right" w:pos="9026"/>
      </w:tabs>
    </w:pPr>
  </w:style>
  <w:style w:type="character" w:customStyle="1" w:styleId="FooterChar">
    <w:name w:val="Footer Char"/>
    <w:basedOn w:val="DefaultParagraphFont"/>
    <w:link w:val="Footer"/>
    <w:uiPriority w:val="99"/>
    <w:locked/>
    <w:rsid w:val="00DC2830"/>
    <w:rPr>
      <w:rFonts w:cs="Times New Roman"/>
      <w:sz w:val="22"/>
      <w:szCs w:val="22"/>
      <w:lang w:eastAsia="en-US"/>
    </w:rPr>
  </w:style>
  <w:style w:type="paragraph" w:styleId="BalloonText">
    <w:name w:val="Balloon Text"/>
    <w:basedOn w:val="Normal"/>
    <w:link w:val="BalloonTextChar"/>
    <w:uiPriority w:val="99"/>
    <w:semiHidden/>
    <w:unhideWhenUsed/>
    <w:rsid w:val="007E4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48C1"/>
    <w:rPr>
      <w:rFonts w:ascii="Tahoma" w:hAnsi="Tahoma" w:cs="Tahoma"/>
      <w:sz w:val="16"/>
      <w:szCs w:val="16"/>
      <w:lang w:eastAsia="en-US"/>
    </w:rPr>
  </w:style>
  <w:style w:type="paragraph" w:customStyle="1" w:styleId="Billname">
    <w:name w:val="Billname"/>
    <w:basedOn w:val="Normal"/>
    <w:rsid w:val="00005844"/>
    <w:pPr>
      <w:tabs>
        <w:tab w:val="left" w:pos="2400"/>
        <w:tab w:val="left" w:pos="2880"/>
      </w:tabs>
      <w:spacing w:before="1220" w:after="100" w:line="240" w:lineRule="auto"/>
    </w:pPr>
    <w:rPr>
      <w:rFonts w:ascii="Arial" w:hAnsi="Arial"/>
      <w:b/>
      <w:sz w:val="40"/>
      <w:szCs w:val="20"/>
    </w:rPr>
  </w:style>
  <w:style w:type="character" w:customStyle="1" w:styleId="ListParagraphChar">
    <w:name w:val="List Paragraph Char"/>
    <w:basedOn w:val="DefaultParagraphFont"/>
    <w:link w:val="ListParagraph"/>
    <w:uiPriority w:val="34"/>
    <w:locked/>
    <w:rsid w:val="009E5708"/>
    <w:rPr>
      <w:rFonts w:asciiTheme="minorHAnsi" w:hAnsiTheme="minorHAnsi" w:cs="Calibri-Bold"/>
      <w:bCs/>
      <w:sz w:val="24"/>
      <w:szCs w:val="24"/>
    </w:rPr>
  </w:style>
  <w:style w:type="paragraph" w:customStyle="1" w:styleId="Default">
    <w:name w:val="Default"/>
    <w:rsid w:val="006C0F5C"/>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94144B"/>
    <w:rPr>
      <w:sz w:val="16"/>
      <w:szCs w:val="16"/>
    </w:rPr>
  </w:style>
  <w:style w:type="paragraph" w:styleId="CommentText">
    <w:name w:val="annotation text"/>
    <w:basedOn w:val="Normal"/>
    <w:link w:val="CommentTextChar"/>
    <w:uiPriority w:val="99"/>
    <w:unhideWhenUsed/>
    <w:rsid w:val="0094144B"/>
    <w:pPr>
      <w:spacing w:line="240" w:lineRule="auto"/>
    </w:pPr>
    <w:rPr>
      <w:sz w:val="20"/>
      <w:szCs w:val="20"/>
    </w:rPr>
  </w:style>
  <w:style w:type="character" w:customStyle="1" w:styleId="CommentTextChar">
    <w:name w:val="Comment Text Char"/>
    <w:basedOn w:val="DefaultParagraphFont"/>
    <w:link w:val="CommentText"/>
    <w:uiPriority w:val="99"/>
    <w:rsid w:val="0094144B"/>
    <w:rPr>
      <w:lang w:eastAsia="en-US"/>
    </w:rPr>
  </w:style>
  <w:style w:type="paragraph" w:styleId="CommentSubject">
    <w:name w:val="annotation subject"/>
    <w:basedOn w:val="CommentText"/>
    <w:next w:val="CommentText"/>
    <w:link w:val="CommentSubjectChar"/>
    <w:uiPriority w:val="99"/>
    <w:semiHidden/>
    <w:unhideWhenUsed/>
    <w:rsid w:val="0094144B"/>
    <w:rPr>
      <w:b/>
      <w:bCs w:val="0"/>
    </w:rPr>
  </w:style>
  <w:style w:type="character" w:customStyle="1" w:styleId="CommentSubjectChar">
    <w:name w:val="Comment Subject Char"/>
    <w:basedOn w:val="CommentTextChar"/>
    <w:link w:val="CommentSubject"/>
    <w:uiPriority w:val="99"/>
    <w:semiHidden/>
    <w:rsid w:val="0094144B"/>
    <w:rPr>
      <w:b/>
      <w:bCs/>
      <w:lang w:eastAsia="en-US"/>
    </w:rPr>
  </w:style>
  <w:style w:type="character" w:styleId="FollowedHyperlink">
    <w:name w:val="FollowedHyperlink"/>
    <w:basedOn w:val="DefaultParagraphFont"/>
    <w:uiPriority w:val="99"/>
    <w:semiHidden/>
    <w:unhideWhenUsed/>
    <w:rsid w:val="00E461D0"/>
    <w:rPr>
      <w:color w:val="800080" w:themeColor="followedHyperlink"/>
      <w:u w:val="single"/>
    </w:rPr>
  </w:style>
  <w:style w:type="table" w:styleId="TableGrid">
    <w:name w:val="Table Grid"/>
    <w:basedOn w:val="TableNormal"/>
    <w:uiPriority w:val="39"/>
    <w:rsid w:val="000B4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3B73B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aption">
    <w:name w:val="caption"/>
    <w:basedOn w:val="Normal"/>
    <w:next w:val="Normal"/>
    <w:uiPriority w:val="35"/>
    <w:unhideWhenUsed/>
    <w:qFormat/>
    <w:rsid w:val="004B2265"/>
    <w:pPr>
      <w:spacing w:after="0" w:line="240" w:lineRule="auto"/>
    </w:pPr>
    <w:rPr>
      <w:b/>
      <w:bCs w:val="0"/>
      <w:color w:val="4F81BD" w:themeColor="accent1"/>
      <w:szCs w:val="18"/>
    </w:rPr>
  </w:style>
  <w:style w:type="character" w:customStyle="1" w:styleId="Heading1Char">
    <w:name w:val="Heading 1 Char"/>
    <w:basedOn w:val="DefaultParagraphFont"/>
    <w:link w:val="Heading1"/>
    <w:uiPriority w:val="9"/>
    <w:rsid w:val="00EE6AA1"/>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EE6AA1"/>
    <w:rPr>
      <w:rFonts w:asciiTheme="majorHAnsi" w:eastAsiaTheme="majorEastAsia" w:hAnsiTheme="majorHAnsi" w:cstheme="majorBidi"/>
      <w:b/>
      <w:bCs/>
      <w:color w:val="4F81BD" w:themeColor="accent1"/>
      <w:sz w:val="26"/>
      <w:szCs w:val="26"/>
      <w:lang w:eastAsia="en-US"/>
    </w:rPr>
  </w:style>
  <w:style w:type="paragraph" w:styleId="TOCHeading">
    <w:name w:val="TOC Heading"/>
    <w:basedOn w:val="Heading1"/>
    <w:next w:val="Normal"/>
    <w:uiPriority w:val="39"/>
    <w:unhideWhenUsed/>
    <w:qFormat/>
    <w:rsid w:val="00C3417F"/>
    <w:pPr>
      <w:outlineLvl w:val="9"/>
    </w:pPr>
    <w:rPr>
      <w:lang w:val="en-US"/>
    </w:rPr>
  </w:style>
  <w:style w:type="paragraph" w:styleId="TOC1">
    <w:name w:val="toc 1"/>
    <w:basedOn w:val="Normal"/>
    <w:next w:val="Normal"/>
    <w:autoRedefine/>
    <w:uiPriority w:val="39"/>
    <w:unhideWhenUsed/>
    <w:rsid w:val="004D5C3A"/>
    <w:pPr>
      <w:tabs>
        <w:tab w:val="left" w:pos="709"/>
        <w:tab w:val="right" w:leader="dot" w:pos="9016"/>
      </w:tabs>
      <w:spacing w:after="100"/>
    </w:pPr>
  </w:style>
  <w:style w:type="paragraph" w:styleId="TOC2">
    <w:name w:val="toc 2"/>
    <w:basedOn w:val="Normal"/>
    <w:next w:val="Normal"/>
    <w:autoRedefine/>
    <w:uiPriority w:val="39"/>
    <w:unhideWhenUsed/>
    <w:rsid w:val="00357583"/>
    <w:pPr>
      <w:tabs>
        <w:tab w:val="left" w:pos="709"/>
        <w:tab w:val="right" w:leader="dot" w:pos="9016"/>
      </w:tabs>
      <w:spacing w:after="0" w:line="240" w:lineRule="auto"/>
      <w:ind w:left="1418" w:hanging="709"/>
    </w:pPr>
  </w:style>
  <w:style w:type="character" w:customStyle="1" w:styleId="Heading3Char">
    <w:name w:val="Heading 3 Char"/>
    <w:basedOn w:val="DefaultParagraphFont"/>
    <w:link w:val="Heading3"/>
    <w:uiPriority w:val="9"/>
    <w:rsid w:val="005C0890"/>
    <w:rPr>
      <w:rFonts w:asciiTheme="majorHAnsi" w:eastAsiaTheme="majorEastAsia" w:hAnsiTheme="majorHAnsi" w:cstheme="majorBidi"/>
      <w:b/>
      <w:bCs/>
      <w:color w:val="4F81BD" w:themeColor="accent1"/>
      <w:sz w:val="22"/>
      <w:szCs w:val="22"/>
      <w:lang w:eastAsia="en-US"/>
    </w:rPr>
  </w:style>
  <w:style w:type="table" w:styleId="MediumShading1-Accent1">
    <w:name w:val="Medium Shading 1 Accent 1"/>
    <w:basedOn w:val="TableNormal"/>
    <w:uiPriority w:val="63"/>
    <w:rsid w:val="0004523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5566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B21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ableofFigures">
    <w:name w:val="table of figures"/>
    <w:basedOn w:val="Normal"/>
    <w:next w:val="Normal"/>
    <w:uiPriority w:val="99"/>
    <w:unhideWhenUsed/>
    <w:rsid w:val="00CE3595"/>
    <w:pPr>
      <w:spacing w:after="0"/>
    </w:pPr>
  </w:style>
  <w:style w:type="character" w:customStyle="1" w:styleId="Italic">
    <w:name w:val="Italic"/>
    <w:basedOn w:val="DefaultParagraphFont"/>
    <w:qFormat/>
    <w:rsid w:val="00581B8D"/>
    <w:rPr>
      <w:i/>
    </w:rPr>
  </w:style>
  <w:style w:type="paragraph" w:customStyle="1" w:styleId="Imprintinformation">
    <w:name w:val="Imprint information"/>
    <w:basedOn w:val="Normal"/>
    <w:qFormat/>
    <w:rsid w:val="00581B8D"/>
    <w:rPr>
      <w:rFonts w:eastAsia="Calibri"/>
      <w:sz w:val="16"/>
      <w:szCs w:val="32"/>
    </w:rPr>
  </w:style>
  <w:style w:type="paragraph" w:styleId="Revision">
    <w:name w:val="Revision"/>
    <w:hidden/>
    <w:uiPriority w:val="99"/>
    <w:semiHidden/>
    <w:rsid w:val="00E62108"/>
    <w:rPr>
      <w:rFonts w:asciiTheme="minorHAnsi" w:hAnsiTheme="minorHAnsi" w:cs="Calibri-Bold"/>
      <w:bCs/>
      <w:sz w:val="24"/>
      <w:szCs w:val="24"/>
    </w:rPr>
  </w:style>
  <w:style w:type="character" w:customStyle="1" w:styleId="Calibri12">
    <w:name w:val="Calibri 12"/>
    <w:basedOn w:val="DefaultParagraphFont"/>
    <w:uiPriority w:val="1"/>
    <w:qFormat/>
    <w:rsid w:val="00555B11"/>
    <w:rPr>
      <w:rFonts w:ascii="Calibri" w:hAnsi="Calibri"/>
      <w:sz w:val="24"/>
    </w:rPr>
  </w:style>
  <w:style w:type="paragraph" w:customStyle="1" w:styleId="Brieftext">
    <w:name w:val="Brief_text"/>
    <w:basedOn w:val="ListParagraph"/>
    <w:qFormat/>
    <w:rsid w:val="00555B11"/>
    <w:pPr>
      <w:widowControl w:val="0"/>
      <w:numPr>
        <w:numId w:val="0"/>
      </w:numPr>
      <w:tabs>
        <w:tab w:val="num" w:pos="567"/>
      </w:tabs>
      <w:autoSpaceDE/>
      <w:autoSpaceDN/>
      <w:adjustRightInd/>
      <w:spacing w:line="240" w:lineRule="auto"/>
      <w:ind w:right="-51"/>
    </w:pPr>
    <w:rPr>
      <w:rFonts w:ascii="Calibri" w:hAnsi="Calibri" w:cs="Times New Roman"/>
      <w:bCs w:val="0"/>
      <w:lang w:eastAsia="en-US"/>
    </w:rPr>
  </w:style>
  <w:style w:type="paragraph" w:styleId="NoSpacing">
    <w:name w:val="No Spacing"/>
    <w:uiPriority w:val="1"/>
    <w:qFormat/>
    <w:rsid w:val="003924FD"/>
    <w:rPr>
      <w:rFonts w:asciiTheme="minorHAnsi" w:eastAsiaTheme="minorHAnsi" w:hAnsiTheme="minorHAnsi" w:cstheme="minorBidi"/>
      <w:sz w:val="22"/>
      <w:szCs w:val="22"/>
      <w:lang w:eastAsia="en-US"/>
    </w:rPr>
  </w:style>
  <w:style w:type="table" w:styleId="GridTable4-Accent5">
    <w:name w:val="Grid Table 4 Accent 5"/>
    <w:basedOn w:val="TableNormal"/>
    <w:uiPriority w:val="49"/>
    <w:rsid w:val="000B253D"/>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1">
    <w:name w:val="Grid Table 4 - Accent 51"/>
    <w:basedOn w:val="TableNormal"/>
    <w:next w:val="GridTable4-Accent5"/>
    <w:uiPriority w:val="49"/>
    <w:rsid w:val="00594494"/>
    <w:rPr>
      <w:rFonts w:eastAsia="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
    <w:name w:val="Grid Table 4 - Accent 52"/>
    <w:basedOn w:val="TableNormal"/>
    <w:next w:val="GridTable4-Accent5"/>
    <w:uiPriority w:val="49"/>
    <w:rsid w:val="00656911"/>
    <w:rPr>
      <w:rFonts w:eastAsia="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3E4F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F5C"/>
    <w:rPr>
      <w:rFonts w:asciiTheme="minorHAnsi" w:hAnsiTheme="minorHAnsi" w:cs="Calibri-Bold"/>
      <w:bCs/>
    </w:rPr>
  </w:style>
  <w:style w:type="character" w:styleId="EndnoteReference">
    <w:name w:val="endnote reference"/>
    <w:basedOn w:val="DefaultParagraphFont"/>
    <w:uiPriority w:val="99"/>
    <w:semiHidden/>
    <w:unhideWhenUsed/>
    <w:rsid w:val="003E4F5C"/>
    <w:rPr>
      <w:vertAlign w:val="superscript"/>
    </w:rPr>
  </w:style>
  <w:style w:type="character" w:customStyle="1" w:styleId="UnresolvedMention1">
    <w:name w:val="Unresolved Mention1"/>
    <w:basedOn w:val="DefaultParagraphFont"/>
    <w:uiPriority w:val="99"/>
    <w:semiHidden/>
    <w:unhideWhenUsed/>
    <w:rsid w:val="00EA2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4359">
      <w:bodyDiv w:val="1"/>
      <w:marLeft w:val="0"/>
      <w:marRight w:val="0"/>
      <w:marTop w:val="0"/>
      <w:marBottom w:val="0"/>
      <w:divBdr>
        <w:top w:val="none" w:sz="0" w:space="0" w:color="auto"/>
        <w:left w:val="none" w:sz="0" w:space="0" w:color="auto"/>
        <w:bottom w:val="none" w:sz="0" w:space="0" w:color="auto"/>
        <w:right w:val="none" w:sz="0" w:space="0" w:color="auto"/>
      </w:divBdr>
    </w:div>
    <w:div w:id="295722691">
      <w:bodyDiv w:val="1"/>
      <w:marLeft w:val="0"/>
      <w:marRight w:val="0"/>
      <w:marTop w:val="0"/>
      <w:marBottom w:val="0"/>
      <w:divBdr>
        <w:top w:val="none" w:sz="0" w:space="0" w:color="auto"/>
        <w:left w:val="none" w:sz="0" w:space="0" w:color="auto"/>
        <w:bottom w:val="none" w:sz="0" w:space="0" w:color="auto"/>
        <w:right w:val="none" w:sz="0" w:space="0" w:color="auto"/>
      </w:divBdr>
    </w:div>
    <w:div w:id="347952464">
      <w:bodyDiv w:val="1"/>
      <w:marLeft w:val="0"/>
      <w:marRight w:val="0"/>
      <w:marTop w:val="0"/>
      <w:marBottom w:val="0"/>
      <w:divBdr>
        <w:top w:val="none" w:sz="0" w:space="0" w:color="auto"/>
        <w:left w:val="none" w:sz="0" w:space="0" w:color="auto"/>
        <w:bottom w:val="none" w:sz="0" w:space="0" w:color="auto"/>
        <w:right w:val="none" w:sz="0" w:space="0" w:color="auto"/>
      </w:divBdr>
    </w:div>
    <w:div w:id="704867579">
      <w:marLeft w:val="0"/>
      <w:marRight w:val="0"/>
      <w:marTop w:val="0"/>
      <w:marBottom w:val="0"/>
      <w:divBdr>
        <w:top w:val="none" w:sz="0" w:space="0" w:color="auto"/>
        <w:left w:val="none" w:sz="0" w:space="0" w:color="auto"/>
        <w:bottom w:val="none" w:sz="0" w:space="0" w:color="auto"/>
        <w:right w:val="none" w:sz="0" w:space="0" w:color="auto"/>
      </w:divBdr>
      <w:divsChild>
        <w:div w:id="704867585">
          <w:marLeft w:val="0"/>
          <w:marRight w:val="0"/>
          <w:marTop w:val="0"/>
          <w:marBottom w:val="0"/>
          <w:divBdr>
            <w:top w:val="none" w:sz="0" w:space="0" w:color="auto"/>
            <w:left w:val="none" w:sz="0" w:space="0" w:color="auto"/>
            <w:bottom w:val="none" w:sz="0" w:space="0" w:color="auto"/>
            <w:right w:val="none" w:sz="0" w:space="0" w:color="auto"/>
          </w:divBdr>
          <w:divsChild>
            <w:div w:id="704867583">
              <w:marLeft w:val="0"/>
              <w:marRight w:val="0"/>
              <w:marTop w:val="0"/>
              <w:marBottom w:val="0"/>
              <w:divBdr>
                <w:top w:val="none" w:sz="0" w:space="0" w:color="auto"/>
                <w:left w:val="none" w:sz="0" w:space="0" w:color="auto"/>
                <w:bottom w:val="none" w:sz="0" w:space="0" w:color="auto"/>
                <w:right w:val="none" w:sz="0" w:space="0" w:color="auto"/>
              </w:divBdr>
              <w:divsChild>
                <w:div w:id="704867586">
                  <w:marLeft w:val="0"/>
                  <w:marRight w:val="0"/>
                  <w:marTop w:val="0"/>
                  <w:marBottom w:val="121"/>
                  <w:divBdr>
                    <w:top w:val="single" w:sz="4" w:space="4" w:color="143351"/>
                    <w:left w:val="single" w:sz="4" w:space="9" w:color="143351"/>
                    <w:bottom w:val="single" w:sz="4" w:space="4" w:color="143351"/>
                    <w:right w:val="single" w:sz="4" w:space="9" w:color="143351"/>
                  </w:divBdr>
                </w:div>
              </w:divsChild>
            </w:div>
          </w:divsChild>
        </w:div>
      </w:divsChild>
    </w:div>
    <w:div w:id="704867580">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sChild>
            <w:div w:id="704867581">
              <w:marLeft w:val="0"/>
              <w:marRight w:val="0"/>
              <w:marTop w:val="0"/>
              <w:marBottom w:val="0"/>
              <w:divBdr>
                <w:top w:val="none" w:sz="0" w:space="0" w:color="auto"/>
                <w:left w:val="none" w:sz="0" w:space="0" w:color="auto"/>
                <w:bottom w:val="none" w:sz="0" w:space="0" w:color="auto"/>
                <w:right w:val="none" w:sz="0" w:space="0" w:color="auto"/>
              </w:divBdr>
              <w:divsChild>
                <w:div w:id="704867584">
                  <w:marLeft w:val="0"/>
                  <w:marRight w:val="0"/>
                  <w:marTop w:val="0"/>
                  <w:marBottom w:val="121"/>
                  <w:divBdr>
                    <w:top w:val="single" w:sz="4" w:space="4" w:color="143351"/>
                    <w:left w:val="single" w:sz="4" w:space="9" w:color="143351"/>
                    <w:bottom w:val="single" w:sz="4" w:space="4" w:color="143351"/>
                    <w:right w:val="single" w:sz="4" w:space="9" w:color="143351"/>
                  </w:divBdr>
                </w:div>
              </w:divsChild>
            </w:div>
          </w:divsChild>
        </w:div>
      </w:divsChild>
    </w:div>
    <w:div w:id="1177039303">
      <w:bodyDiv w:val="1"/>
      <w:marLeft w:val="0"/>
      <w:marRight w:val="0"/>
      <w:marTop w:val="0"/>
      <w:marBottom w:val="0"/>
      <w:divBdr>
        <w:top w:val="none" w:sz="0" w:space="0" w:color="auto"/>
        <w:left w:val="none" w:sz="0" w:space="0" w:color="auto"/>
        <w:bottom w:val="none" w:sz="0" w:space="0" w:color="auto"/>
        <w:right w:val="none" w:sz="0" w:space="0" w:color="auto"/>
      </w:divBdr>
    </w:div>
    <w:div w:id="1283534247">
      <w:bodyDiv w:val="1"/>
      <w:marLeft w:val="0"/>
      <w:marRight w:val="0"/>
      <w:marTop w:val="0"/>
      <w:marBottom w:val="0"/>
      <w:divBdr>
        <w:top w:val="none" w:sz="0" w:space="0" w:color="auto"/>
        <w:left w:val="none" w:sz="0" w:space="0" w:color="auto"/>
        <w:bottom w:val="none" w:sz="0" w:space="0" w:color="auto"/>
        <w:right w:val="none" w:sz="0" w:space="0" w:color="auto"/>
      </w:divBdr>
    </w:div>
    <w:div w:id="1354301615">
      <w:bodyDiv w:val="1"/>
      <w:marLeft w:val="0"/>
      <w:marRight w:val="0"/>
      <w:marTop w:val="0"/>
      <w:marBottom w:val="0"/>
      <w:divBdr>
        <w:top w:val="none" w:sz="0" w:space="0" w:color="auto"/>
        <w:left w:val="none" w:sz="0" w:space="0" w:color="auto"/>
        <w:bottom w:val="none" w:sz="0" w:space="0" w:color="auto"/>
        <w:right w:val="none" w:sz="0" w:space="0" w:color="auto"/>
      </w:divBdr>
    </w:div>
    <w:div w:id="1825663031">
      <w:bodyDiv w:val="1"/>
      <w:marLeft w:val="0"/>
      <w:marRight w:val="0"/>
      <w:marTop w:val="0"/>
      <w:marBottom w:val="0"/>
      <w:divBdr>
        <w:top w:val="none" w:sz="0" w:space="0" w:color="auto"/>
        <w:left w:val="none" w:sz="0" w:space="0" w:color="auto"/>
        <w:bottom w:val="none" w:sz="0" w:space="0" w:color="auto"/>
        <w:right w:val="none" w:sz="0" w:space="0" w:color="auto"/>
      </w:divBdr>
    </w:div>
    <w:div w:id="1960798090">
      <w:bodyDiv w:val="1"/>
      <w:marLeft w:val="0"/>
      <w:marRight w:val="0"/>
      <w:marTop w:val="0"/>
      <w:marBottom w:val="0"/>
      <w:divBdr>
        <w:top w:val="none" w:sz="0" w:space="0" w:color="auto"/>
        <w:left w:val="none" w:sz="0" w:space="0" w:color="auto"/>
        <w:bottom w:val="none" w:sz="0" w:space="0" w:color="auto"/>
        <w:right w:val="none" w:sz="0" w:space="0" w:color="auto"/>
      </w:divBdr>
    </w:div>
    <w:div w:id="210426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vironment.act.gov.au/energy/smarter-use-of-energy/energy_efficiency_improvement_scheme_eeis/publication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acoss.org.au/images/uploads/ACOSS_ENERGY_EFFICIENCY_PAPER_FINAL.pdf" TargetMode="External"/><Relationship Id="rId13" Type="http://schemas.openxmlformats.org/officeDocument/2006/relationships/hyperlink" Target="http://apps.treasury.act.gov.au/budget/budget-2016-2017/fact-sheets/concessions" TargetMode="External"/><Relationship Id="rId18" Type="http://schemas.openxmlformats.org/officeDocument/2006/relationships/hyperlink" Target="https://www.actcoss.org.au/sites/default/files/public/publications/2018-factsheet-poverty-and-inequality-in-the-act.pdf" TargetMode="External"/><Relationship Id="rId3" Type="http://schemas.openxmlformats.org/officeDocument/2006/relationships/hyperlink" Target="https://www.environment.act.gov.au/energy/smarter-use-of-energy/energy_efficiency_improvement_scheme/publications" TargetMode="External"/><Relationship Id="rId7" Type="http://schemas.openxmlformats.org/officeDocument/2006/relationships/hyperlink" Target="http://www.abs.gov.au/ausstats/abs@.nsf/Lookup/4670.0main+features100032012" TargetMode="External"/><Relationship Id="rId12" Type="http://schemas.openxmlformats.org/officeDocument/2006/relationships/hyperlink" Target="https://www.aer.gov.au/system/files/State%20of%20the%20Energy%20Market%202018%20-%20Full%20report%20A4_2.pdf" TargetMode="External"/><Relationship Id="rId17" Type="http://schemas.openxmlformats.org/officeDocument/2006/relationships/hyperlink" Target="http://quickstats.censusdata.abs.gov.au/census_services/getproduct/census/2016/quickstat/8ACTE?opendocument" TargetMode="External"/><Relationship Id="rId2" Type="http://schemas.openxmlformats.org/officeDocument/2006/relationships/hyperlink" Target="http://www.legislation.act.gov.au/sl/2017-41/default.asp" TargetMode="External"/><Relationship Id="rId16" Type="http://schemas.openxmlformats.org/officeDocument/2006/relationships/hyperlink" Target="https://www.actsmart.act.gov.au/what-can-i-do/homes/Actsmart-household-solar-for-low-income" TargetMode="External"/><Relationship Id="rId1" Type="http://schemas.openxmlformats.org/officeDocument/2006/relationships/hyperlink" Target="http://www.legislation.act.gov.au/a/2012-17/default.asp" TargetMode="External"/><Relationship Id="rId6" Type="http://schemas.openxmlformats.org/officeDocument/2006/relationships/hyperlink" Target="https://www.actcoss.org.au/publications/advocacy-publications/act-cost-living-report-2018" TargetMode="External"/><Relationship Id="rId11" Type="http://schemas.openxmlformats.org/officeDocument/2006/relationships/hyperlink" Target="https://www.actcoss.org.au/sites/default/files/public/publications/2018-report-act-cost-of-living-may2018.pdf" TargetMode="External"/><Relationship Id="rId5" Type="http://schemas.openxmlformats.org/officeDocument/2006/relationships/hyperlink" Target="http://www.abs.gov.au/ausstats/abs@.nsf/Lookup/by%20Subject/6523.0~2015-16~Main%20Features~Household%20Income%20and%20Wealth%20Distribution~6" TargetMode="External"/><Relationship Id="rId15" Type="http://schemas.openxmlformats.org/officeDocument/2006/relationships/hyperlink" Target="http://nils.com.au/?gclid=CjwKEAiArbrFBRDL4Oiz97GP2nISJAAmJMFa3MbPIsjmV8YkIDFL6o7vxMq8COyJwvjSW9vRgMyCDBoCxIvw_wcB" TargetMode="External"/><Relationship Id="rId10" Type="http://schemas.openxmlformats.org/officeDocument/2006/relationships/hyperlink" Target="http://www.aemo.com.au/-/media/Files/Gas/National_Planning_and_Forecasting/NGFR/2016/NGFR-Gas-Price-Review-Final-Report-October-2016.pdf" TargetMode="External"/><Relationship Id="rId4" Type="http://schemas.openxmlformats.org/officeDocument/2006/relationships/hyperlink" Target="http://www.environment.act.gov.au/__data/assets/pdf_file/0006/735990/Attachment-C-Regulatory-Impact-Satement-EEIS-Parameters-to-2020-FINAL.pdf" TargetMode="External"/><Relationship Id="rId9" Type="http://schemas.openxmlformats.org/officeDocument/2006/relationships/hyperlink" Target="https://www.aemc.gov.au/markets-reviews-advice/2017-residential-electricity-price-trends" TargetMode="External"/><Relationship Id="rId14" Type="http://schemas.openxmlformats.org/officeDocument/2006/relationships/hyperlink" Target="http://www.actsmart.act.gov.au/what-can-i-do/homes/Actsmart-household-energy-efficienc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2C646-7907-4F04-B510-02663F36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5998</Words>
  <Characters>32341</Characters>
  <Application>Microsoft Office Word</Application>
  <DocSecurity>0</DocSecurity>
  <Lines>688</Lines>
  <Paragraphs>300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5</cp:revision>
  <cp:lastPrinted>2019-02-25T05:18:00Z</cp:lastPrinted>
  <dcterms:created xsi:type="dcterms:W3CDTF">2019-06-02T23:57:00Z</dcterms:created>
  <dcterms:modified xsi:type="dcterms:W3CDTF">2019-06-02T23:57:00Z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A18971330</vt:lpwstr>
  </property>
  <property fmtid="{D5CDD505-2E9C-101B-9397-08002B2CF9AE}" pid="3" name="Objective-Title">
    <vt:lpwstr>Attachment C - Regulatory Impact Statement - Priority Household Target</vt:lpwstr>
  </property>
  <property fmtid="{D5CDD505-2E9C-101B-9397-08002B2CF9AE}" pid="4" name="Objective-Comment">
    <vt:lpwstr/>
  </property>
  <property fmtid="{D5CDD505-2E9C-101B-9397-08002B2CF9AE}" pid="5" name="Objective-CreationStamp">
    <vt:filetime>2019-02-26T06:15:04Z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2019-05-08T01:55:43Z</vt:filetime>
  </property>
  <property fmtid="{D5CDD505-2E9C-101B-9397-08002B2CF9AE}" pid="9" name="Objective-ModificationStamp">
    <vt:filetime>2019-05-08T01:55:43Z</vt:filetime>
  </property>
  <property fmtid="{D5CDD505-2E9C-101B-9397-08002B2CF9AE}" pid="10" name="Objective-Owner">
    <vt:lpwstr>Esther Duffy</vt:lpwstr>
  </property>
  <property fmtid="{D5CDD505-2E9C-101B-9397-08002B2CF9AE}" pid="11" name="Objective-Path">
    <vt:lpwstr>Whole of ACT Government:EPSDD - Environment Planning and Sustainable Development Directorate:07. Ministerial, Cabinet and Government Relations:06. Ministerials:2019 -  Ministerial and Chief Ministerial Briefs / Correspondence:Climate Change &amp; Sustainabili</vt:lpwstr>
  </property>
  <property fmtid="{D5CDD505-2E9C-101B-9397-08002B2CF9AE}" pid="12" name="Objective-Parent">
    <vt:lpwstr>19/10458 - Ministerial Information Brief - Setting 2020 Priority Household Target</vt:lpwstr>
  </property>
  <property fmtid="{D5CDD505-2E9C-101B-9397-08002B2CF9AE}" pid="13" name="Objective-State">
    <vt:lpwstr>Published</vt:lpwstr>
  </property>
  <property fmtid="{D5CDD505-2E9C-101B-9397-08002B2CF9AE}" pid="14" name="Objective-Version">
    <vt:lpwstr>27.0</vt:lpwstr>
  </property>
  <property fmtid="{D5CDD505-2E9C-101B-9397-08002B2CF9AE}" pid="15" name="Objective-VersionNumber">
    <vt:r8>29</vt:r8>
  </property>
  <property fmtid="{D5CDD505-2E9C-101B-9397-08002B2CF9AE}" pid="16" name="Objective-VersionComment">
    <vt:lpwstr/>
  </property>
  <property fmtid="{D5CDD505-2E9C-101B-9397-08002B2CF9AE}" pid="17" name="Objective-FileNumber">
    <vt:lpwstr>1-2019/10458</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