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82272" w14:textId="408DE35D" w:rsidR="008107D6" w:rsidRDefault="008107D6" w:rsidP="008107D6">
      <w:pPr>
        <w:pStyle w:val="Title"/>
        <w:rPr>
          <w:iCs/>
        </w:rPr>
      </w:pPr>
      <w:bookmarkStart w:id="0" w:name="_GoBack"/>
      <w:bookmarkEnd w:id="0"/>
      <w:r w:rsidRPr="00043FB5">
        <w:rPr>
          <w:iCs/>
        </w:rPr>
        <w:t>Environment Protection (Automotive Trades) Code of Practice 2019</w:t>
      </w:r>
    </w:p>
    <w:p w14:paraId="21EB1740" w14:textId="5381CF5B" w:rsidR="008107D6" w:rsidRPr="003001A9" w:rsidRDefault="009B6F23" w:rsidP="009B6F23">
      <w:pPr>
        <w:ind w:left="142"/>
      </w:pPr>
      <w:r>
        <w:t>DI2019-267</w:t>
      </w:r>
    </w:p>
    <w:p w14:paraId="58057CE0" w14:textId="7428D666" w:rsidR="00FA6770" w:rsidRPr="005F4D0B" w:rsidRDefault="00FA6770" w:rsidP="00C152E7">
      <w:pPr>
        <w:pStyle w:val="Title"/>
        <w:rPr>
          <w:sz w:val="48"/>
          <w:szCs w:val="48"/>
        </w:rPr>
      </w:pPr>
      <w:r w:rsidRPr="005F4D0B">
        <w:rPr>
          <w:sz w:val="48"/>
          <w:szCs w:val="48"/>
        </w:rPr>
        <w:t>Regulatory Impact Statement</w:t>
      </w:r>
    </w:p>
    <w:sdt>
      <w:sdtPr>
        <w:rPr>
          <w:rFonts w:asciiTheme="minorHAnsi" w:eastAsiaTheme="minorHAnsi" w:hAnsiTheme="minorHAnsi" w:cstheme="minorBidi"/>
          <w:color w:val="auto"/>
          <w:sz w:val="22"/>
          <w:szCs w:val="22"/>
          <w:lang w:bidi="en-US"/>
        </w:rPr>
        <w:id w:val="1342358157"/>
        <w:docPartObj>
          <w:docPartGallery w:val="Table of Contents"/>
          <w:docPartUnique/>
        </w:docPartObj>
      </w:sdtPr>
      <w:sdtEndPr>
        <w:rPr>
          <w:b/>
          <w:bCs/>
          <w:noProof/>
        </w:rPr>
      </w:sdtEndPr>
      <w:sdtContent>
        <w:p w14:paraId="0BF6EC49" w14:textId="2F107BCD" w:rsidR="00C152E7" w:rsidRDefault="00C152E7">
          <w:pPr>
            <w:pStyle w:val="TOCHeading"/>
          </w:pPr>
          <w:r>
            <w:t>Contents</w:t>
          </w:r>
        </w:p>
        <w:p w14:paraId="38577E24" w14:textId="4B1921A7" w:rsidR="0025218A" w:rsidRDefault="00C152E7">
          <w:pPr>
            <w:pStyle w:val="TOC1"/>
            <w:tabs>
              <w:tab w:val="right" w:leader="dot" w:pos="9016"/>
            </w:tabs>
            <w:rPr>
              <w:rFonts w:eastAsiaTheme="minorEastAsia"/>
              <w:noProof/>
              <w:lang w:val="en-AU" w:eastAsia="en-AU" w:bidi="ar-SA"/>
            </w:rPr>
          </w:pPr>
          <w:r>
            <w:fldChar w:fldCharType="begin"/>
          </w:r>
          <w:r>
            <w:instrText xml:space="preserve"> TOC \o "1-3" \h \z \u </w:instrText>
          </w:r>
          <w:r>
            <w:fldChar w:fldCharType="separate"/>
          </w:r>
          <w:hyperlink w:anchor="_Toc27144973" w:history="1">
            <w:r w:rsidR="0025218A" w:rsidRPr="00095EAF">
              <w:rPr>
                <w:rStyle w:val="Hyperlink"/>
                <w:noProof/>
              </w:rPr>
              <w:t>Introduction</w:t>
            </w:r>
            <w:r w:rsidR="0025218A">
              <w:rPr>
                <w:noProof/>
                <w:webHidden/>
              </w:rPr>
              <w:tab/>
            </w:r>
            <w:r w:rsidR="0025218A">
              <w:rPr>
                <w:noProof/>
                <w:webHidden/>
              </w:rPr>
              <w:fldChar w:fldCharType="begin"/>
            </w:r>
            <w:r w:rsidR="0025218A">
              <w:rPr>
                <w:noProof/>
                <w:webHidden/>
              </w:rPr>
              <w:instrText xml:space="preserve"> PAGEREF _Toc27144973 \h </w:instrText>
            </w:r>
            <w:r w:rsidR="0025218A">
              <w:rPr>
                <w:noProof/>
                <w:webHidden/>
              </w:rPr>
            </w:r>
            <w:r w:rsidR="0025218A">
              <w:rPr>
                <w:noProof/>
                <w:webHidden/>
              </w:rPr>
              <w:fldChar w:fldCharType="separate"/>
            </w:r>
            <w:r w:rsidR="0025218A">
              <w:rPr>
                <w:noProof/>
                <w:webHidden/>
              </w:rPr>
              <w:t>1</w:t>
            </w:r>
            <w:r w:rsidR="0025218A">
              <w:rPr>
                <w:noProof/>
                <w:webHidden/>
              </w:rPr>
              <w:fldChar w:fldCharType="end"/>
            </w:r>
          </w:hyperlink>
        </w:p>
        <w:p w14:paraId="0F8F03B9" w14:textId="286B32C6" w:rsidR="0025218A" w:rsidRDefault="005677FE">
          <w:pPr>
            <w:pStyle w:val="TOC1"/>
            <w:tabs>
              <w:tab w:val="right" w:leader="dot" w:pos="9016"/>
            </w:tabs>
            <w:rPr>
              <w:rFonts w:eastAsiaTheme="minorEastAsia"/>
              <w:noProof/>
              <w:lang w:val="en-AU" w:eastAsia="en-AU" w:bidi="ar-SA"/>
            </w:rPr>
          </w:pPr>
          <w:hyperlink w:anchor="_Toc27144974" w:history="1">
            <w:r w:rsidR="0025218A" w:rsidRPr="00095EAF">
              <w:rPr>
                <w:rStyle w:val="Hyperlink"/>
                <w:noProof/>
              </w:rPr>
              <w:t>The authorising law</w:t>
            </w:r>
            <w:r w:rsidR="0025218A">
              <w:rPr>
                <w:noProof/>
                <w:webHidden/>
              </w:rPr>
              <w:tab/>
            </w:r>
            <w:r w:rsidR="0025218A">
              <w:rPr>
                <w:noProof/>
                <w:webHidden/>
              </w:rPr>
              <w:fldChar w:fldCharType="begin"/>
            </w:r>
            <w:r w:rsidR="0025218A">
              <w:rPr>
                <w:noProof/>
                <w:webHidden/>
              </w:rPr>
              <w:instrText xml:space="preserve"> PAGEREF _Toc27144974 \h </w:instrText>
            </w:r>
            <w:r w:rsidR="0025218A">
              <w:rPr>
                <w:noProof/>
                <w:webHidden/>
              </w:rPr>
            </w:r>
            <w:r w:rsidR="0025218A">
              <w:rPr>
                <w:noProof/>
                <w:webHidden/>
              </w:rPr>
              <w:fldChar w:fldCharType="separate"/>
            </w:r>
            <w:r w:rsidR="0025218A">
              <w:rPr>
                <w:noProof/>
                <w:webHidden/>
              </w:rPr>
              <w:t>1</w:t>
            </w:r>
            <w:r w:rsidR="0025218A">
              <w:rPr>
                <w:noProof/>
                <w:webHidden/>
              </w:rPr>
              <w:fldChar w:fldCharType="end"/>
            </w:r>
          </w:hyperlink>
        </w:p>
        <w:p w14:paraId="7C8E7F1C" w14:textId="1B32C3CC" w:rsidR="0025218A" w:rsidRDefault="005677FE">
          <w:pPr>
            <w:pStyle w:val="TOC1"/>
            <w:tabs>
              <w:tab w:val="right" w:leader="dot" w:pos="9016"/>
            </w:tabs>
            <w:rPr>
              <w:rFonts w:eastAsiaTheme="minorEastAsia"/>
              <w:noProof/>
              <w:lang w:val="en-AU" w:eastAsia="en-AU" w:bidi="ar-SA"/>
            </w:rPr>
          </w:pPr>
          <w:hyperlink w:anchor="_Toc27144975" w:history="1">
            <w:r w:rsidR="0025218A" w:rsidRPr="00095EAF">
              <w:rPr>
                <w:rStyle w:val="Hyperlink"/>
                <w:noProof/>
              </w:rPr>
              <w:t>Policy objectives</w:t>
            </w:r>
            <w:r w:rsidR="0025218A">
              <w:rPr>
                <w:noProof/>
                <w:webHidden/>
              </w:rPr>
              <w:tab/>
            </w:r>
            <w:r w:rsidR="0025218A">
              <w:rPr>
                <w:noProof/>
                <w:webHidden/>
              </w:rPr>
              <w:fldChar w:fldCharType="begin"/>
            </w:r>
            <w:r w:rsidR="0025218A">
              <w:rPr>
                <w:noProof/>
                <w:webHidden/>
              </w:rPr>
              <w:instrText xml:space="preserve"> PAGEREF _Toc27144975 \h </w:instrText>
            </w:r>
            <w:r w:rsidR="0025218A">
              <w:rPr>
                <w:noProof/>
                <w:webHidden/>
              </w:rPr>
            </w:r>
            <w:r w:rsidR="0025218A">
              <w:rPr>
                <w:noProof/>
                <w:webHidden/>
              </w:rPr>
              <w:fldChar w:fldCharType="separate"/>
            </w:r>
            <w:r w:rsidR="0025218A">
              <w:rPr>
                <w:noProof/>
                <w:webHidden/>
              </w:rPr>
              <w:t>2</w:t>
            </w:r>
            <w:r w:rsidR="0025218A">
              <w:rPr>
                <w:noProof/>
                <w:webHidden/>
              </w:rPr>
              <w:fldChar w:fldCharType="end"/>
            </w:r>
          </w:hyperlink>
        </w:p>
        <w:p w14:paraId="01AF4A24" w14:textId="21D691BB" w:rsidR="0025218A" w:rsidRDefault="005677FE">
          <w:pPr>
            <w:pStyle w:val="TOC1"/>
            <w:tabs>
              <w:tab w:val="right" w:leader="dot" w:pos="9016"/>
            </w:tabs>
            <w:rPr>
              <w:rFonts w:eastAsiaTheme="minorEastAsia"/>
              <w:noProof/>
              <w:lang w:val="en-AU" w:eastAsia="en-AU" w:bidi="ar-SA"/>
            </w:rPr>
          </w:pPr>
          <w:hyperlink w:anchor="_Toc27144976" w:history="1">
            <w:r w:rsidR="0025218A" w:rsidRPr="00095EAF">
              <w:rPr>
                <w:rStyle w:val="Hyperlink"/>
                <w:noProof/>
              </w:rPr>
              <w:t>Alternative ways of achieving the policy objective</w:t>
            </w:r>
            <w:r w:rsidR="0025218A">
              <w:rPr>
                <w:noProof/>
                <w:webHidden/>
              </w:rPr>
              <w:tab/>
            </w:r>
            <w:r w:rsidR="0025218A">
              <w:rPr>
                <w:noProof/>
                <w:webHidden/>
              </w:rPr>
              <w:fldChar w:fldCharType="begin"/>
            </w:r>
            <w:r w:rsidR="0025218A">
              <w:rPr>
                <w:noProof/>
                <w:webHidden/>
              </w:rPr>
              <w:instrText xml:space="preserve"> PAGEREF _Toc27144976 \h </w:instrText>
            </w:r>
            <w:r w:rsidR="0025218A">
              <w:rPr>
                <w:noProof/>
                <w:webHidden/>
              </w:rPr>
            </w:r>
            <w:r w:rsidR="0025218A">
              <w:rPr>
                <w:noProof/>
                <w:webHidden/>
              </w:rPr>
              <w:fldChar w:fldCharType="separate"/>
            </w:r>
            <w:r w:rsidR="0025218A">
              <w:rPr>
                <w:noProof/>
                <w:webHidden/>
              </w:rPr>
              <w:t>2</w:t>
            </w:r>
            <w:r w:rsidR="0025218A">
              <w:rPr>
                <w:noProof/>
                <w:webHidden/>
              </w:rPr>
              <w:fldChar w:fldCharType="end"/>
            </w:r>
          </w:hyperlink>
        </w:p>
        <w:p w14:paraId="3CBBE905" w14:textId="72DFB384" w:rsidR="0025218A" w:rsidRDefault="005677FE">
          <w:pPr>
            <w:pStyle w:val="TOC2"/>
            <w:tabs>
              <w:tab w:val="right" w:leader="dot" w:pos="9016"/>
            </w:tabs>
            <w:rPr>
              <w:rFonts w:eastAsiaTheme="minorEastAsia"/>
              <w:noProof/>
              <w:lang w:val="en-AU" w:eastAsia="en-AU" w:bidi="ar-SA"/>
            </w:rPr>
          </w:pPr>
          <w:hyperlink w:anchor="_Toc27144977" w:history="1">
            <w:r w:rsidR="0025218A" w:rsidRPr="00095EAF">
              <w:rPr>
                <w:rStyle w:val="Hyperlink"/>
                <w:noProof/>
              </w:rPr>
              <w:t>Option 1: Do nothing</w:t>
            </w:r>
            <w:r w:rsidR="0025218A">
              <w:rPr>
                <w:noProof/>
                <w:webHidden/>
              </w:rPr>
              <w:tab/>
            </w:r>
            <w:r w:rsidR="0025218A">
              <w:rPr>
                <w:noProof/>
                <w:webHidden/>
              </w:rPr>
              <w:fldChar w:fldCharType="begin"/>
            </w:r>
            <w:r w:rsidR="0025218A">
              <w:rPr>
                <w:noProof/>
                <w:webHidden/>
              </w:rPr>
              <w:instrText xml:space="preserve"> PAGEREF _Toc27144977 \h </w:instrText>
            </w:r>
            <w:r w:rsidR="0025218A">
              <w:rPr>
                <w:noProof/>
                <w:webHidden/>
              </w:rPr>
            </w:r>
            <w:r w:rsidR="0025218A">
              <w:rPr>
                <w:noProof/>
                <w:webHidden/>
              </w:rPr>
              <w:fldChar w:fldCharType="separate"/>
            </w:r>
            <w:r w:rsidR="0025218A">
              <w:rPr>
                <w:noProof/>
                <w:webHidden/>
              </w:rPr>
              <w:t>2</w:t>
            </w:r>
            <w:r w:rsidR="0025218A">
              <w:rPr>
                <w:noProof/>
                <w:webHidden/>
              </w:rPr>
              <w:fldChar w:fldCharType="end"/>
            </w:r>
          </w:hyperlink>
        </w:p>
        <w:p w14:paraId="0FE74987" w14:textId="73DA86BE" w:rsidR="0025218A" w:rsidRDefault="005677FE">
          <w:pPr>
            <w:pStyle w:val="TOC2"/>
            <w:tabs>
              <w:tab w:val="right" w:leader="dot" w:pos="9016"/>
            </w:tabs>
            <w:rPr>
              <w:rFonts w:eastAsiaTheme="minorEastAsia"/>
              <w:noProof/>
              <w:lang w:val="en-AU" w:eastAsia="en-AU" w:bidi="ar-SA"/>
            </w:rPr>
          </w:pPr>
          <w:hyperlink w:anchor="_Toc27144978" w:history="1">
            <w:r w:rsidR="0025218A" w:rsidRPr="00095EAF">
              <w:rPr>
                <w:rStyle w:val="Hyperlink"/>
                <w:noProof/>
              </w:rPr>
              <w:t>Option 2: Guidelines</w:t>
            </w:r>
            <w:r w:rsidR="0025218A">
              <w:rPr>
                <w:noProof/>
                <w:webHidden/>
              </w:rPr>
              <w:tab/>
            </w:r>
            <w:r w:rsidR="0025218A">
              <w:rPr>
                <w:noProof/>
                <w:webHidden/>
              </w:rPr>
              <w:fldChar w:fldCharType="begin"/>
            </w:r>
            <w:r w:rsidR="0025218A">
              <w:rPr>
                <w:noProof/>
                <w:webHidden/>
              </w:rPr>
              <w:instrText xml:space="preserve"> PAGEREF _Toc27144978 \h </w:instrText>
            </w:r>
            <w:r w:rsidR="0025218A">
              <w:rPr>
                <w:noProof/>
                <w:webHidden/>
              </w:rPr>
            </w:r>
            <w:r w:rsidR="0025218A">
              <w:rPr>
                <w:noProof/>
                <w:webHidden/>
              </w:rPr>
              <w:fldChar w:fldCharType="separate"/>
            </w:r>
            <w:r w:rsidR="0025218A">
              <w:rPr>
                <w:noProof/>
                <w:webHidden/>
              </w:rPr>
              <w:t>3</w:t>
            </w:r>
            <w:r w:rsidR="0025218A">
              <w:rPr>
                <w:noProof/>
                <w:webHidden/>
              </w:rPr>
              <w:fldChar w:fldCharType="end"/>
            </w:r>
          </w:hyperlink>
        </w:p>
        <w:p w14:paraId="36FC68F4" w14:textId="67F2702B" w:rsidR="0025218A" w:rsidRDefault="005677FE">
          <w:pPr>
            <w:pStyle w:val="TOC1"/>
            <w:tabs>
              <w:tab w:val="right" w:leader="dot" w:pos="9016"/>
            </w:tabs>
            <w:rPr>
              <w:rFonts w:eastAsiaTheme="minorEastAsia"/>
              <w:noProof/>
              <w:lang w:val="en-AU" w:eastAsia="en-AU" w:bidi="ar-SA"/>
            </w:rPr>
          </w:pPr>
          <w:hyperlink w:anchor="_Toc27144979" w:history="1">
            <w:r w:rsidR="0025218A" w:rsidRPr="00095EAF">
              <w:rPr>
                <w:rStyle w:val="Hyperlink"/>
                <w:noProof/>
              </w:rPr>
              <w:t>How the policy objective will be achieved</w:t>
            </w:r>
            <w:r w:rsidR="0025218A">
              <w:rPr>
                <w:noProof/>
                <w:webHidden/>
              </w:rPr>
              <w:tab/>
            </w:r>
            <w:r w:rsidR="0025218A">
              <w:rPr>
                <w:noProof/>
                <w:webHidden/>
              </w:rPr>
              <w:fldChar w:fldCharType="begin"/>
            </w:r>
            <w:r w:rsidR="0025218A">
              <w:rPr>
                <w:noProof/>
                <w:webHidden/>
              </w:rPr>
              <w:instrText xml:space="preserve"> PAGEREF _Toc27144979 \h </w:instrText>
            </w:r>
            <w:r w:rsidR="0025218A">
              <w:rPr>
                <w:noProof/>
                <w:webHidden/>
              </w:rPr>
            </w:r>
            <w:r w:rsidR="0025218A">
              <w:rPr>
                <w:noProof/>
                <w:webHidden/>
              </w:rPr>
              <w:fldChar w:fldCharType="separate"/>
            </w:r>
            <w:r w:rsidR="0025218A">
              <w:rPr>
                <w:noProof/>
                <w:webHidden/>
              </w:rPr>
              <w:t>3</w:t>
            </w:r>
            <w:r w:rsidR="0025218A">
              <w:rPr>
                <w:noProof/>
                <w:webHidden/>
              </w:rPr>
              <w:fldChar w:fldCharType="end"/>
            </w:r>
          </w:hyperlink>
        </w:p>
        <w:p w14:paraId="0C53393A" w14:textId="27E93178" w:rsidR="0025218A" w:rsidRDefault="005677FE">
          <w:pPr>
            <w:pStyle w:val="TOC2"/>
            <w:tabs>
              <w:tab w:val="right" w:leader="dot" w:pos="9016"/>
            </w:tabs>
            <w:rPr>
              <w:rFonts w:eastAsiaTheme="minorEastAsia"/>
              <w:noProof/>
              <w:lang w:val="en-AU" w:eastAsia="en-AU" w:bidi="ar-SA"/>
            </w:rPr>
          </w:pPr>
          <w:hyperlink w:anchor="_Toc27144980" w:history="1">
            <w:r w:rsidR="0025218A" w:rsidRPr="00095EAF">
              <w:rPr>
                <w:rStyle w:val="Hyperlink"/>
                <w:noProof/>
              </w:rPr>
              <w:t>Option 3: Code of Practice</w:t>
            </w:r>
            <w:r w:rsidR="0025218A">
              <w:rPr>
                <w:noProof/>
                <w:webHidden/>
              </w:rPr>
              <w:tab/>
            </w:r>
            <w:r w:rsidR="0025218A">
              <w:rPr>
                <w:noProof/>
                <w:webHidden/>
              </w:rPr>
              <w:fldChar w:fldCharType="begin"/>
            </w:r>
            <w:r w:rsidR="0025218A">
              <w:rPr>
                <w:noProof/>
                <w:webHidden/>
              </w:rPr>
              <w:instrText xml:space="preserve"> PAGEREF _Toc27144980 \h </w:instrText>
            </w:r>
            <w:r w:rsidR="0025218A">
              <w:rPr>
                <w:noProof/>
                <w:webHidden/>
              </w:rPr>
            </w:r>
            <w:r w:rsidR="0025218A">
              <w:rPr>
                <w:noProof/>
                <w:webHidden/>
              </w:rPr>
              <w:fldChar w:fldCharType="separate"/>
            </w:r>
            <w:r w:rsidR="0025218A">
              <w:rPr>
                <w:noProof/>
                <w:webHidden/>
              </w:rPr>
              <w:t>3</w:t>
            </w:r>
            <w:r w:rsidR="0025218A">
              <w:rPr>
                <w:noProof/>
                <w:webHidden/>
              </w:rPr>
              <w:fldChar w:fldCharType="end"/>
            </w:r>
          </w:hyperlink>
        </w:p>
        <w:p w14:paraId="6FC71EB7" w14:textId="0FAF879D" w:rsidR="0025218A" w:rsidRDefault="005677FE">
          <w:pPr>
            <w:pStyle w:val="TOC2"/>
            <w:tabs>
              <w:tab w:val="right" w:leader="dot" w:pos="9016"/>
            </w:tabs>
            <w:rPr>
              <w:rFonts w:eastAsiaTheme="minorEastAsia"/>
              <w:noProof/>
              <w:lang w:val="en-AU" w:eastAsia="en-AU" w:bidi="ar-SA"/>
            </w:rPr>
          </w:pPr>
          <w:hyperlink w:anchor="_Toc27144981" w:history="1">
            <w:r w:rsidR="0025218A" w:rsidRPr="00095EAF">
              <w:rPr>
                <w:rStyle w:val="Hyperlink"/>
                <w:noProof/>
              </w:rPr>
              <w:t>Costs and Benefits associated with Option 3: Code of Practice</w:t>
            </w:r>
            <w:r w:rsidR="0025218A">
              <w:rPr>
                <w:noProof/>
                <w:webHidden/>
              </w:rPr>
              <w:tab/>
            </w:r>
            <w:r w:rsidR="0025218A">
              <w:rPr>
                <w:noProof/>
                <w:webHidden/>
              </w:rPr>
              <w:fldChar w:fldCharType="begin"/>
            </w:r>
            <w:r w:rsidR="0025218A">
              <w:rPr>
                <w:noProof/>
                <w:webHidden/>
              </w:rPr>
              <w:instrText xml:space="preserve"> PAGEREF _Toc27144981 \h </w:instrText>
            </w:r>
            <w:r w:rsidR="0025218A">
              <w:rPr>
                <w:noProof/>
                <w:webHidden/>
              </w:rPr>
            </w:r>
            <w:r w:rsidR="0025218A">
              <w:rPr>
                <w:noProof/>
                <w:webHidden/>
              </w:rPr>
              <w:fldChar w:fldCharType="separate"/>
            </w:r>
            <w:r w:rsidR="0025218A">
              <w:rPr>
                <w:noProof/>
                <w:webHidden/>
              </w:rPr>
              <w:t>4</w:t>
            </w:r>
            <w:r w:rsidR="0025218A">
              <w:rPr>
                <w:noProof/>
                <w:webHidden/>
              </w:rPr>
              <w:fldChar w:fldCharType="end"/>
            </w:r>
          </w:hyperlink>
        </w:p>
        <w:p w14:paraId="44F2389C" w14:textId="03BE1E20" w:rsidR="0025218A" w:rsidRDefault="005677FE">
          <w:pPr>
            <w:pStyle w:val="TOC1"/>
            <w:tabs>
              <w:tab w:val="right" w:leader="dot" w:pos="9016"/>
            </w:tabs>
            <w:rPr>
              <w:rFonts w:eastAsiaTheme="minorEastAsia"/>
              <w:noProof/>
              <w:lang w:val="en-AU" w:eastAsia="en-AU" w:bidi="ar-SA"/>
            </w:rPr>
          </w:pPr>
          <w:hyperlink w:anchor="_Toc27144982" w:history="1">
            <w:r w:rsidR="0025218A" w:rsidRPr="00095EAF">
              <w:rPr>
                <w:rStyle w:val="Hyperlink"/>
                <w:noProof/>
              </w:rPr>
              <w:t>Consultation</w:t>
            </w:r>
            <w:r w:rsidR="0025218A">
              <w:rPr>
                <w:noProof/>
                <w:webHidden/>
              </w:rPr>
              <w:tab/>
            </w:r>
            <w:r w:rsidR="0025218A">
              <w:rPr>
                <w:noProof/>
                <w:webHidden/>
              </w:rPr>
              <w:fldChar w:fldCharType="begin"/>
            </w:r>
            <w:r w:rsidR="0025218A">
              <w:rPr>
                <w:noProof/>
                <w:webHidden/>
              </w:rPr>
              <w:instrText xml:space="preserve"> PAGEREF _Toc27144982 \h </w:instrText>
            </w:r>
            <w:r w:rsidR="0025218A">
              <w:rPr>
                <w:noProof/>
                <w:webHidden/>
              </w:rPr>
            </w:r>
            <w:r w:rsidR="0025218A">
              <w:rPr>
                <w:noProof/>
                <w:webHidden/>
              </w:rPr>
              <w:fldChar w:fldCharType="separate"/>
            </w:r>
            <w:r w:rsidR="0025218A">
              <w:rPr>
                <w:noProof/>
                <w:webHidden/>
              </w:rPr>
              <w:t>5</w:t>
            </w:r>
            <w:r w:rsidR="0025218A">
              <w:rPr>
                <w:noProof/>
                <w:webHidden/>
              </w:rPr>
              <w:fldChar w:fldCharType="end"/>
            </w:r>
          </w:hyperlink>
        </w:p>
        <w:p w14:paraId="1B728254" w14:textId="3BADB461" w:rsidR="0025218A" w:rsidRDefault="005677FE">
          <w:pPr>
            <w:pStyle w:val="TOC1"/>
            <w:tabs>
              <w:tab w:val="right" w:leader="dot" w:pos="9016"/>
            </w:tabs>
            <w:rPr>
              <w:rFonts w:eastAsiaTheme="minorEastAsia"/>
              <w:noProof/>
              <w:lang w:val="en-AU" w:eastAsia="en-AU" w:bidi="ar-SA"/>
            </w:rPr>
          </w:pPr>
          <w:hyperlink w:anchor="_Toc27144983" w:history="1">
            <w:r w:rsidR="0025218A" w:rsidRPr="00095EAF">
              <w:rPr>
                <w:rStyle w:val="Hyperlink"/>
                <w:noProof/>
              </w:rPr>
              <w:t>Conclusion</w:t>
            </w:r>
            <w:r w:rsidR="0025218A">
              <w:rPr>
                <w:noProof/>
                <w:webHidden/>
              </w:rPr>
              <w:tab/>
            </w:r>
            <w:r w:rsidR="0025218A">
              <w:rPr>
                <w:noProof/>
                <w:webHidden/>
              </w:rPr>
              <w:fldChar w:fldCharType="begin"/>
            </w:r>
            <w:r w:rsidR="0025218A">
              <w:rPr>
                <w:noProof/>
                <w:webHidden/>
              </w:rPr>
              <w:instrText xml:space="preserve"> PAGEREF _Toc27144983 \h </w:instrText>
            </w:r>
            <w:r w:rsidR="0025218A">
              <w:rPr>
                <w:noProof/>
                <w:webHidden/>
              </w:rPr>
            </w:r>
            <w:r w:rsidR="0025218A">
              <w:rPr>
                <w:noProof/>
                <w:webHidden/>
              </w:rPr>
              <w:fldChar w:fldCharType="separate"/>
            </w:r>
            <w:r w:rsidR="0025218A">
              <w:rPr>
                <w:noProof/>
                <w:webHidden/>
              </w:rPr>
              <w:t>5</w:t>
            </w:r>
            <w:r w:rsidR="0025218A">
              <w:rPr>
                <w:noProof/>
                <w:webHidden/>
              </w:rPr>
              <w:fldChar w:fldCharType="end"/>
            </w:r>
          </w:hyperlink>
        </w:p>
        <w:p w14:paraId="12FE9933" w14:textId="6901FA34" w:rsidR="0025218A" w:rsidRDefault="005677FE">
          <w:pPr>
            <w:pStyle w:val="TOC1"/>
            <w:tabs>
              <w:tab w:val="right" w:leader="dot" w:pos="9016"/>
            </w:tabs>
            <w:rPr>
              <w:rFonts w:eastAsiaTheme="minorEastAsia"/>
              <w:noProof/>
              <w:lang w:val="en-AU" w:eastAsia="en-AU" w:bidi="ar-SA"/>
            </w:rPr>
          </w:pPr>
          <w:hyperlink w:anchor="_Toc27144984" w:history="1">
            <w:r w:rsidR="0025218A" w:rsidRPr="00095EAF">
              <w:rPr>
                <w:rStyle w:val="Hyperlink"/>
                <w:noProof/>
              </w:rPr>
              <w:t>Implementation and enforcement</w:t>
            </w:r>
            <w:r w:rsidR="0025218A">
              <w:rPr>
                <w:noProof/>
                <w:webHidden/>
              </w:rPr>
              <w:tab/>
            </w:r>
            <w:r w:rsidR="0025218A">
              <w:rPr>
                <w:noProof/>
                <w:webHidden/>
              </w:rPr>
              <w:fldChar w:fldCharType="begin"/>
            </w:r>
            <w:r w:rsidR="0025218A">
              <w:rPr>
                <w:noProof/>
                <w:webHidden/>
              </w:rPr>
              <w:instrText xml:space="preserve"> PAGEREF _Toc27144984 \h </w:instrText>
            </w:r>
            <w:r w:rsidR="0025218A">
              <w:rPr>
                <w:noProof/>
                <w:webHidden/>
              </w:rPr>
            </w:r>
            <w:r w:rsidR="0025218A">
              <w:rPr>
                <w:noProof/>
                <w:webHidden/>
              </w:rPr>
              <w:fldChar w:fldCharType="separate"/>
            </w:r>
            <w:r w:rsidR="0025218A">
              <w:rPr>
                <w:noProof/>
                <w:webHidden/>
              </w:rPr>
              <w:t>5</w:t>
            </w:r>
            <w:r w:rsidR="0025218A">
              <w:rPr>
                <w:noProof/>
                <w:webHidden/>
              </w:rPr>
              <w:fldChar w:fldCharType="end"/>
            </w:r>
          </w:hyperlink>
        </w:p>
        <w:p w14:paraId="4C47F458" w14:textId="49818D24" w:rsidR="0025218A" w:rsidRDefault="005677FE">
          <w:pPr>
            <w:pStyle w:val="TOC1"/>
            <w:tabs>
              <w:tab w:val="right" w:leader="dot" w:pos="9016"/>
            </w:tabs>
            <w:rPr>
              <w:rFonts w:eastAsiaTheme="minorEastAsia"/>
              <w:noProof/>
              <w:lang w:val="en-AU" w:eastAsia="en-AU" w:bidi="ar-SA"/>
            </w:rPr>
          </w:pPr>
          <w:hyperlink w:anchor="_Toc27144985" w:history="1">
            <w:r w:rsidR="0025218A" w:rsidRPr="00095EAF">
              <w:rPr>
                <w:rStyle w:val="Hyperlink"/>
                <w:noProof/>
              </w:rPr>
              <w:t>Consistency with Scrutiny of Bills Committee’s principles</w:t>
            </w:r>
            <w:r w:rsidR="0025218A">
              <w:rPr>
                <w:noProof/>
                <w:webHidden/>
              </w:rPr>
              <w:tab/>
            </w:r>
            <w:r w:rsidR="0025218A">
              <w:rPr>
                <w:noProof/>
                <w:webHidden/>
              </w:rPr>
              <w:fldChar w:fldCharType="begin"/>
            </w:r>
            <w:r w:rsidR="0025218A">
              <w:rPr>
                <w:noProof/>
                <w:webHidden/>
              </w:rPr>
              <w:instrText xml:space="preserve"> PAGEREF _Toc27144985 \h </w:instrText>
            </w:r>
            <w:r w:rsidR="0025218A">
              <w:rPr>
                <w:noProof/>
                <w:webHidden/>
              </w:rPr>
            </w:r>
            <w:r w:rsidR="0025218A">
              <w:rPr>
                <w:noProof/>
                <w:webHidden/>
              </w:rPr>
              <w:fldChar w:fldCharType="separate"/>
            </w:r>
            <w:r w:rsidR="0025218A">
              <w:rPr>
                <w:noProof/>
                <w:webHidden/>
              </w:rPr>
              <w:t>6</w:t>
            </w:r>
            <w:r w:rsidR="0025218A">
              <w:rPr>
                <w:noProof/>
                <w:webHidden/>
              </w:rPr>
              <w:fldChar w:fldCharType="end"/>
            </w:r>
          </w:hyperlink>
        </w:p>
        <w:p w14:paraId="1AD354E9" w14:textId="1D2F3D83" w:rsidR="00C152E7" w:rsidRDefault="00C152E7">
          <w:r>
            <w:rPr>
              <w:b/>
              <w:bCs/>
              <w:noProof/>
            </w:rPr>
            <w:fldChar w:fldCharType="end"/>
          </w:r>
        </w:p>
      </w:sdtContent>
    </w:sdt>
    <w:p w14:paraId="3070F39C" w14:textId="70BEA6E9" w:rsidR="00564C70" w:rsidRDefault="00564C70" w:rsidP="00C152E7">
      <w:pPr>
        <w:pStyle w:val="Heading1"/>
      </w:pPr>
      <w:bookmarkStart w:id="1" w:name="_Toc27144973"/>
      <w:r w:rsidRPr="00564C70">
        <w:t>Introduction</w:t>
      </w:r>
      <w:bookmarkEnd w:id="1"/>
    </w:p>
    <w:p w14:paraId="783E725F" w14:textId="382569CC" w:rsidR="00564C70" w:rsidRDefault="00FA6770">
      <w:r>
        <w:t>This regulatory impact statement</w:t>
      </w:r>
      <w:r w:rsidR="007D5A17">
        <w:t xml:space="preserve"> </w:t>
      </w:r>
      <w:r w:rsidR="004451F3">
        <w:t xml:space="preserve">(RIS) </w:t>
      </w:r>
      <w:r>
        <w:t xml:space="preserve">provides an analysis of the regulatory impact </w:t>
      </w:r>
      <w:r w:rsidR="00CF0858">
        <w:t>of</w:t>
      </w:r>
      <w:r>
        <w:t xml:space="preserve"> the </w:t>
      </w:r>
      <w:bookmarkStart w:id="2" w:name="OLE_LINK1"/>
      <w:bookmarkStart w:id="3" w:name="OLE_LINK2"/>
      <w:r w:rsidRPr="005F4D0B">
        <w:rPr>
          <w:iCs/>
        </w:rPr>
        <w:t xml:space="preserve">Environment Protection (Automotive Trades) Code of Practice 2019 </w:t>
      </w:r>
      <w:r w:rsidRPr="003001A9">
        <w:rPr>
          <w:iCs/>
        </w:rPr>
        <w:t>(</w:t>
      </w:r>
      <w:r>
        <w:t xml:space="preserve">the </w:t>
      </w:r>
      <w:r w:rsidR="008A2EEA">
        <w:t>c</w:t>
      </w:r>
      <w:r>
        <w:t>ode)</w:t>
      </w:r>
      <w:bookmarkEnd w:id="2"/>
      <w:bookmarkEnd w:id="3"/>
      <w:r>
        <w:t xml:space="preserve">, made </w:t>
      </w:r>
      <w:r w:rsidR="00CF0858">
        <w:t xml:space="preserve">and accredited by the Minister for the Environment and Heritage </w:t>
      </w:r>
      <w:r>
        <w:t xml:space="preserve">under Part 5 of the </w:t>
      </w:r>
      <w:r>
        <w:rPr>
          <w:i/>
        </w:rPr>
        <w:t xml:space="preserve">Environment Protection Act 1997 </w:t>
      </w:r>
      <w:r>
        <w:t>(</w:t>
      </w:r>
      <w:r w:rsidR="006D6BB3">
        <w:t>t</w:t>
      </w:r>
      <w:r>
        <w:t>he Act).</w:t>
      </w:r>
      <w:r w:rsidR="007D5A17">
        <w:t xml:space="preserve"> </w:t>
      </w:r>
    </w:p>
    <w:p w14:paraId="7CF0EB9A" w14:textId="0E58972C" w:rsidR="000C37CD" w:rsidRPr="00FA6770" w:rsidRDefault="00BD7D5A">
      <w:r>
        <w:t xml:space="preserve">The </w:t>
      </w:r>
      <w:r w:rsidR="008107D6">
        <w:t>c</w:t>
      </w:r>
      <w:r>
        <w:t xml:space="preserve">ode </w:t>
      </w:r>
      <w:r w:rsidR="000C37CD">
        <w:t xml:space="preserve">is designed specifically for </w:t>
      </w:r>
      <w:r>
        <w:t>automotive trade industry operators (including mobile services</w:t>
      </w:r>
      <w:r w:rsidR="000C37CD">
        <w:t>) and</w:t>
      </w:r>
      <w:r w:rsidR="007D5A17">
        <w:t xml:space="preserve"> establishes best management practices to support compliance with the</w:t>
      </w:r>
      <w:r w:rsidR="007961AC">
        <w:t xml:space="preserve"> general environmental duty under the</w:t>
      </w:r>
      <w:r w:rsidR="007D5A17">
        <w:t xml:space="preserve"> Act.</w:t>
      </w:r>
      <w:r>
        <w:t xml:space="preserve"> It sets out the minimum requirements for environment protection through the development </w:t>
      </w:r>
      <w:r w:rsidR="007961AC">
        <w:t xml:space="preserve">and implementation </w:t>
      </w:r>
      <w:r>
        <w:t xml:space="preserve">of an </w:t>
      </w:r>
      <w:r w:rsidR="000B3B06">
        <w:t>e</w:t>
      </w:r>
      <w:r>
        <w:t xml:space="preserve">nvironmental </w:t>
      </w:r>
      <w:r w:rsidR="000B3B06">
        <w:t>m</w:t>
      </w:r>
      <w:r>
        <w:t xml:space="preserve">anagement </w:t>
      </w:r>
      <w:r w:rsidR="000B3B06">
        <w:t>p</w:t>
      </w:r>
      <w:r>
        <w:t>lan.</w:t>
      </w:r>
    </w:p>
    <w:p w14:paraId="0EB6AA64" w14:textId="2FDB1D0B" w:rsidR="00564C70" w:rsidRDefault="00564C70" w:rsidP="00C152E7">
      <w:pPr>
        <w:pStyle w:val="Heading1"/>
      </w:pPr>
      <w:bookmarkStart w:id="4" w:name="_Toc27144974"/>
      <w:r w:rsidRPr="00564C70">
        <w:t xml:space="preserve">The </w:t>
      </w:r>
      <w:r w:rsidR="006663FE">
        <w:t>authorising law</w:t>
      </w:r>
      <w:bookmarkEnd w:id="4"/>
    </w:p>
    <w:p w14:paraId="2A22C53F" w14:textId="16AFEB34" w:rsidR="00FA6770" w:rsidRPr="00FA6770" w:rsidRDefault="00536F0C">
      <w:r>
        <w:t xml:space="preserve">The </w:t>
      </w:r>
      <w:r w:rsidR="007961AC">
        <w:t xml:space="preserve">objects of the </w:t>
      </w:r>
      <w:r>
        <w:t xml:space="preserve">Act </w:t>
      </w:r>
      <w:r w:rsidR="006D6BB3">
        <w:t>are</w:t>
      </w:r>
      <w:r>
        <w:t xml:space="preserve"> to protect and enhance the quality of the environment and prevent environmental degradation and risk of harm to human health </w:t>
      </w:r>
      <w:r w:rsidR="00F81C3F">
        <w:t xml:space="preserve">and the environment </w:t>
      </w:r>
      <w:r>
        <w:t>(s</w:t>
      </w:r>
      <w:r w:rsidR="00CF0858">
        <w:t>ection</w:t>
      </w:r>
      <w:r>
        <w:t xml:space="preserve"> 3C). </w:t>
      </w:r>
      <w:r w:rsidR="00FA6770">
        <w:t xml:space="preserve">There are environmental risks associated with motor vehicle </w:t>
      </w:r>
      <w:r w:rsidR="007961AC">
        <w:t xml:space="preserve">trade activities. </w:t>
      </w:r>
      <w:r w:rsidR="00FA6770">
        <w:t xml:space="preserve"> Airborne contaminants and odours released from fuel, dust, paint, solvents, and other chemicals can impact human health</w:t>
      </w:r>
      <w:r w:rsidR="00F81C3F">
        <w:t xml:space="preserve"> and the environment</w:t>
      </w:r>
      <w:r w:rsidR="00FA6770">
        <w:t xml:space="preserve">. Contaminated runoff can </w:t>
      </w:r>
      <w:r w:rsidR="00F81C3F">
        <w:t>pollute</w:t>
      </w:r>
      <w:r w:rsidR="00FA6770">
        <w:t xml:space="preserve"> waterways and </w:t>
      </w:r>
      <w:r w:rsidR="00F81C3F">
        <w:t xml:space="preserve">contaminate the land. </w:t>
      </w:r>
      <w:r w:rsidR="00FA6770">
        <w:t xml:space="preserve">Noise </w:t>
      </w:r>
      <w:r w:rsidR="00FA6770">
        <w:lastRenderedPageBreak/>
        <w:t xml:space="preserve">pollution can case nuisance to nearby sensitive </w:t>
      </w:r>
      <w:r w:rsidR="00F81C3F">
        <w:t>receptors</w:t>
      </w:r>
      <w:r w:rsidR="00FA6770">
        <w:t xml:space="preserve">. Inappropriate waste disposal can </w:t>
      </w:r>
      <w:r w:rsidR="007961AC">
        <w:t xml:space="preserve">be inappropriately disposed or </w:t>
      </w:r>
      <w:r w:rsidR="00FA6770">
        <w:t>become litter and contaminate the environment.</w:t>
      </w:r>
    </w:p>
    <w:p w14:paraId="41D77ED7" w14:textId="77AC2136" w:rsidR="00FD1EF9" w:rsidRPr="0082734E" w:rsidRDefault="00FD1EF9" w:rsidP="0082734E">
      <w:r>
        <w:t>Under the Act, the automotive industry has a general environmental duty to take practical and reasonable steps to prevent of minimise environmental harm or nuisance</w:t>
      </w:r>
      <w:r w:rsidR="00F81C3F">
        <w:t xml:space="preserve"> </w:t>
      </w:r>
      <w:r w:rsidR="00F81C3F" w:rsidRPr="009F1683">
        <w:t>(s</w:t>
      </w:r>
      <w:r w:rsidR="009F1683">
        <w:t>ection</w:t>
      </w:r>
      <w:r w:rsidR="00F81C3F" w:rsidRPr="009F1683">
        <w:t xml:space="preserve"> </w:t>
      </w:r>
      <w:r w:rsidR="009F1683" w:rsidRPr="009F1683">
        <w:t>22</w:t>
      </w:r>
      <w:r w:rsidR="00F81C3F" w:rsidRPr="009F1683">
        <w:t>)</w:t>
      </w:r>
      <w:r w:rsidRPr="009F1683">
        <w:t>.</w:t>
      </w:r>
      <w:r>
        <w:t xml:space="preserve"> The Act provides for offences and penalties related to knowingly or negligently causing environmental harm. </w:t>
      </w:r>
      <w:r w:rsidR="00536F0C">
        <w:t xml:space="preserve">The </w:t>
      </w:r>
      <w:r w:rsidR="008A2EEA">
        <w:t>c</w:t>
      </w:r>
      <w:r w:rsidR="00536F0C">
        <w:t>ode fills a gap where no industry-specific control measures are required to be met by an operator in meeting their general environmental duty.</w:t>
      </w:r>
    </w:p>
    <w:p w14:paraId="0329C7B0" w14:textId="75DEF1E5" w:rsidR="00564C70" w:rsidRDefault="006663FE" w:rsidP="00C152E7">
      <w:pPr>
        <w:pStyle w:val="Heading1"/>
      </w:pPr>
      <w:bookmarkStart w:id="5" w:name="_Toc27144975"/>
      <w:r>
        <w:t>Policy o</w:t>
      </w:r>
      <w:r w:rsidR="00C207B2">
        <w:t>bjectives</w:t>
      </w:r>
      <w:bookmarkEnd w:id="5"/>
    </w:p>
    <w:p w14:paraId="3944E759" w14:textId="21831798" w:rsidR="003D5253" w:rsidRDefault="003D5253" w:rsidP="003D5253">
      <w:r>
        <w:t xml:space="preserve">The objective of the </w:t>
      </w:r>
      <w:r w:rsidR="008A2EEA">
        <w:t>c</w:t>
      </w:r>
      <w:r w:rsidR="00CF0858" w:rsidRPr="00CF0858">
        <w:t>ode</w:t>
      </w:r>
      <w:r>
        <w:t xml:space="preserve"> is to minimise the risk of environmental harm and </w:t>
      </w:r>
      <w:r w:rsidR="00F81C3F">
        <w:t xml:space="preserve">to assist operators in meeting their general environmental duty under the Act. </w:t>
      </w:r>
    </w:p>
    <w:p w14:paraId="64BD1A8B" w14:textId="7CF6404B" w:rsidR="003D5253" w:rsidRPr="003D5253" w:rsidRDefault="00536F0C">
      <w:pPr>
        <w:rPr>
          <w:b/>
        </w:rPr>
      </w:pPr>
      <w:r>
        <w:t>Assisting</w:t>
      </w:r>
      <w:r w:rsidR="003D5253">
        <w:t xml:space="preserve"> operators within the automotive trades industry to improve standards and progress towards best management practices</w:t>
      </w:r>
      <w:r>
        <w:t xml:space="preserve"> can be achieved through improved policy</w:t>
      </w:r>
      <w:r w:rsidR="007961AC">
        <w:t xml:space="preserve"> guidance</w:t>
      </w:r>
      <w:r w:rsidR="003D5253">
        <w:t xml:space="preserve">. </w:t>
      </w:r>
      <w:r>
        <w:t>Provision of the</w:t>
      </w:r>
      <w:r w:rsidR="003D5253">
        <w:t xml:space="preserve"> </w:t>
      </w:r>
      <w:r>
        <w:t xml:space="preserve">clear and explicit </w:t>
      </w:r>
      <w:r w:rsidR="003D5253">
        <w:t xml:space="preserve">minimum requirements to protect the environment can help businesses demonstrate that they have taken reasonable care to avoid causing environment harm and meeting their </w:t>
      </w:r>
      <w:r w:rsidR="00F81C3F">
        <w:t xml:space="preserve">general </w:t>
      </w:r>
      <w:r w:rsidR="003D5253">
        <w:t>environmental duty.</w:t>
      </w:r>
    </w:p>
    <w:p w14:paraId="17BEC25E" w14:textId="789D4922" w:rsidR="00FD1EF9" w:rsidRPr="003D5253" w:rsidRDefault="00536F0C" w:rsidP="003D5253">
      <w:r>
        <w:t>The Act</w:t>
      </w:r>
      <w:r w:rsidR="00066EAD">
        <w:t xml:space="preserve"> and its relevant environment protection policies </w:t>
      </w:r>
      <w:r>
        <w:t xml:space="preserve">set </w:t>
      </w:r>
      <w:r w:rsidR="00066EAD">
        <w:t xml:space="preserve">out the </w:t>
      </w:r>
      <w:r w:rsidR="00F81C3F">
        <w:t>measures</w:t>
      </w:r>
      <w:r>
        <w:t xml:space="preserve"> that industry </w:t>
      </w:r>
      <w:r w:rsidR="007961AC">
        <w:t xml:space="preserve">should </w:t>
      </w:r>
      <w:r>
        <w:t>comply with to avoid</w:t>
      </w:r>
      <w:r w:rsidR="00066EAD">
        <w:t xml:space="preserve"> offences </w:t>
      </w:r>
      <w:r w:rsidR="00A06067">
        <w:t>related to</w:t>
      </w:r>
      <w:r>
        <w:t xml:space="preserve"> environmental</w:t>
      </w:r>
      <w:r w:rsidR="00066EAD">
        <w:t xml:space="preserve"> harm and</w:t>
      </w:r>
      <w:r>
        <w:t xml:space="preserve"> pollution.</w:t>
      </w:r>
      <w:r w:rsidR="00066EAD">
        <w:t xml:space="preserve"> Th</w:t>
      </w:r>
      <w:r w:rsidR="007961AC">
        <w:t>e Act</w:t>
      </w:r>
      <w:r w:rsidR="00066EAD">
        <w:t xml:space="preserve"> is administered and regulated by the Environment Protection Authority (EPA). </w:t>
      </w:r>
      <w:r>
        <w:t>No industry-specific performance outcomes or control measures</w:t>
      </w:r>
      <w:r w:rsidR="003D5253">
        <w:t xml:space="preserve"> </w:t>
      </w:r>
      <w:r>
        <w:t>are currently</w:t>
      </w:r>
      <w:r w:rsidR="003D5253">
        <w:t xml:space="preserve"> in place to regulate the activities within the automotive trades industry that might cause environmental harm.</w:t>
      </w:r>
    </w:p>
    <w:p w14:paraId="0C3347AC" w14:textId="450B8487" w:rsidR="00564C70" w:rsidRPr="00C152E7" w:rsidRDefault="006663FE" w:rsidP="00C152E7">
      <w:pPr>
        <w:pStyle w:val="Heading1"/>
        <w:rPr>
          <w:rStyle w:val="Heading1Char"/>
        </w:rPr>
      </w:pPr>
      <w:bookmarkStart w:id="6" w:name="_Toc27144976"/>
      <w:r>
        <w:t>Alternative ways of achieving the policy objective</w:t>
      </w:r>
      <w:bookmarkEnd w:id="6"/>
    </w:p>
    <w:p w14:paraId="09317F53" w14:textId="6AF45380" w:rsidR="00C152E7" w:rsidRDefault="00C152E7">
      <w:r>
        <w:t xml:space="preserve">Three options were identified </w:t>
      </w:r>
      <w:r w:rsidR="003D5253">
        <w:t xml:space="preserve">in considering how the desired </w:t>
      </w:r>
      <w:r w:rsidR="00F81C3F">
        <w:t xml:space="preserve">outcome </w:t>
      </w:r>
      <w:r w:rsidR="003D5253">
        <w:t>might be achieved</w:t>
      </w:r>
      <w:r>
        <w:t>:</w:t>
      </w:r>
    </w:p>
    <w:p w14:paraId="69416544" w14:textId="523F37FD" w:rsidR="00C152E7" w:rsidRDefault="00C152E7" w:rsidP="00C152E7">
      <w:pPr>
        <w:pStyle w:val="ListParagraph"/>
        <w:numPr>
          <w:ilvl w:val="0"/>
          <w:numId w:val="5"/>
        </w:numPr>
      </w:pPr>
      <w:r>
        <w:t>Option 1: Do nothing</w:t>
      </w:r>
    </w:p>
    <w:p w14:paraId="5FE54D59" w14:textId="55B192AA" w:rsidR="00C152E7" w:rsidRDefault="00C152E7" w:rsidP="00C152E7">
      <w:pPr>
        <w:pStyle w:val="ListParagraph"/>
        <w:numPr>
          <w:ilvl w:val="0"/>
          <w:numId w:val="5"/>
        </w:numPr>
      </w:pPr>
      <w:r>
        <w:t xml:space="preserve">Option 2: </w:t>
      </w:r>
      <w:r w:rsidR="00891117">
        <w:t>Non-statutory g</w:t>
      </w:r>
      <w:r>
        <w:t>uidelines</w:t>
      </w:r>
    </w:p>
    <w:p w14:paraId="4F872960" w14:textId="71ACE2E1" w:rsidR="00C152E7" w:rsidRPr="00C152E7" w:rsidRDefault="00C152E7" w:rsidP="00C152E7">
      <w:pPr>
        <w:pStyle w:val="ListParagraph"/>
        <w:numPr>
          <w:ilvl w:val="0"/>
          <w:numId w:val="5"/>
        </w:numPr>
      </w:pPr>
      <w:r>
        <w:t>Option 3: Code of Practice</w:t>
      </w:r>
      <w:r w:rsidR="00891117">
        <w:t xml:space="preserve"> (statutory).</w:t>
      </w:r>
    </w:p>
    <w:p w14:paraId="1067A44D" w14:textId="4A19E9F9" w:rsidR="00C152E7" w:rsidRPr="00C152E7" w:rsidRDefault="00C152E7" w:rsidP="00C152E7">
      <w:pPr>
        <w:pStyle w:val="Heading2"/>
      </w:pPr>
      <w:bookmarkStart w:id="7" w:name="_Toc27144977"/>
      <w:r>
        <w:t>Option 1: Do nothing</w:t>
      </w:r>
      <w:bookmarkEnd w:id="7"/>
    </w:p>
    <w:p w14:paraId="4F9301BF" w14:textId="476C1B48" w:rsidR="00C152E7" w:rsidRDefault="00C152E7">
      <w:r>
        <w:t xml:space="preserve">This </w:t>
      </w:r>
      <w:r w:rsidR="003D5253">
        <w:t xml:space="preserve">is a </w:t>
      </w:r>
      <w:r w:rsidR="00891117">
        <w:t xml:space="preserve">non-regulatory </w:t>
      </w:r>
      <w:r>
        <w:t>option</w:t>
      </w:r>
      <w:r w:rsidR="003D5253">
        <w:t xml:space="preserve"> that</w:t>
      </w:r>
      <w:r>
        <w:t xml:space="preserve"> </w:t>
      </w:r>
      <w:r w:rsidR="00891117">
        <w:t>would see no implement</w:t>
      </w:r>
      <w:r w:rsidR="003D5253">
        <w:t>ation of</w:t>
      </w:r>
      <w:r w:rsidR="00891117">
        <w:t xml:space="preserve"> specific </w:t>
      </w:r>
      <w:r w:rsidR="000350D5">
        <w:t xml:space="preserve">requirements </w:t>
      </w:r>
      <w:r w:rsidR="00891117">
        <w:t>to</w:t>
      </w:r>
      <w:r w:rsidR="000350D5">
        <w:t xml:space="preserve"> be met by operators within</w:t>
      </w:r>
      <w:r w:rsidR="00891117">
        <w:t xml:space="preserve"> the automotive trades industry</w:t>
      </w:r>
      <w:r w:rsidR="00AE1B5C">
        <w:t xml:space="preserve"> </w:t>
      </w:r>
      <w:r w:rsidR="007961AC">
        <w:t xml:space="preserve">to demonstrate compliance with </w:t>
      </w:r>
      <w:r w:rsidR="00AE1B5C">
        <w:t>their general environmental duty</w:t>
      </w:r>
      <w:r w:rsidR="00891117">
        <w:t>.</w:t>
      </w:r>
    </w:p>
    <w:p w14:paraId="307EC276" w14:textId="740567D6" w:rsidR="00C152E7" w:rsidRDefault="00D95F9F">
      <w:r>
        <w:t xml:space="preserve">In </w:t>
      </w:r>
      <w:r w:rsidR="000350D5">
        <w:t xml:space="preserve">the </w:t>
      </w:r>
      <w:r>
        <w:t xml:space="preserve">absence of </w:t>
      </w:r>
      <w:r w:rsidR="00AE1B5C">
        <w:t>industry-</w:t>
      </w:r>
      <w:r w:rsidR="000350D5">
        <w:t>specific conditions</w:t>
      </w:r>
      <w:r>
        <w:t xml:space="preserve">, regulators rely on the broader environment protection policy and legislative </w:t>
      </w:r>
      <w:r w:rsidR="00066EAD">
        <w:t>framework but</w:t>
      </w:r>
      <w:r w:rsidR="00AE1B5C">
        <w:t xml:space="preserve"> have no mechanism to </w:t>
      </w:r>
      <w:r w:rsidR="00F81C3F">
        <w:t xml:space="preserve">formally educate and </w:t>
      </w:r>
      <w:r w:rsidR="00AE1B5C">
        <w:t>regulate automotive trade activities.</w:t>
      </w:r>
    </w:p>
    <w:p w14:paraId="49EADFC3" w14:textId="1E5A542B" w:rsidR="000350D5" w:rsidRDefault="000350D5">
      <w:r>
        <w:t>Option 1 is not supported because it weakens the capacity for environment protection office</w:t>
      </w:r>
      <w:r w:rsidR="00CF0858">
        <w:t>r</w:t>
      </w:r>
      <w:r>
        <w:t xml:space="preserve">s to determine whether a person has taken all reasonable care to avoid environmental harm and meet their environmental duty. </w:t>
      </w:r>
      <w:r w:rsidR="00F81C3F">
        <w:t xml:space="preserve">It also does not support the industry in </w:t>
      </w:r>
      <w:r w:rsidR="002B2AFA">
        <w:t>demonstrating</w:t>
      </w:r>
      <w:r w:rsidR="00F81C3F">
        <w:t xml:space="preserve"> how it can achieve this objective. </w:t>
      </w:r>
      <w:r>
        <w:t>It is therefore not conducive to the effective administration of the Act in its enforcement and compliance, and in meeting the objects of the Act</w:t>
      </w:r>
      <w:r w:rsidR="00F81C3F">
        <w:t xml:space="preserve"> which seeks to educate and work with </w:t>
      </w:r>
      <w:r w:rsidR="002B2AFA">
        <w:t>activity managers to minimise impacts on the environment.</w:t>
      </w:r>
    </w:p>
    <w:p w14:paraId="032BAC2A" w14:textId="77777777" w:rsidR="00CC23E3" w:rsidRDefault="00CC23E3">
      <w:pPr>
        <w:rPr>
          <w:rFonts w:asciiTheme="majorHAnsi" w:eastAsiaTheme="majorEastAsia" w:hAnsiTheme="majorHAnsi" w:cstheme="majorBidi"/>
          <w:color w:val="2F5496" w:themeColor="accent1" w:themeShade="BF"/>
          <w:sz w:val="26"/>
          <w:szCs w:val="26"/>
        </w:rPr>
      </w:pPr>
      <w:r>
        <w:br w:type="page"/>
      </w:r>
    </w:p>
    <w:p w14:paraId="151353FE" w14:textId="137B7B08" w:rsidR="00C152E7" w:rsidRDefault="00C152E7" w:rsidP="00C152E7">
      <w:pPr>
        <w:pStyle w:val="Heading2"/>
      </w:pPr>
      <w:bookmarkStart w:id="8" w:name="_Toc27144978"/>
      <w:r>
        <w:lastRenderedPageBreak/>
        <w:t>Option 2: Guidelines</w:t>
      </w:r>
      <w:bookmarkEnd w:id="8"/>
    </w:p>
    <w:p w14:paraId="75F92540" w14:textId="50A4D61F" w:rsidR="006663FE" w:rsidRDefault="00C152E7" w:rsidP="006663FE">
      <w:r>
        <w:t>This</w:t>
      </w:r>
      <w:r w:rsidR="003D5253">
        <w:t xml:space="preserve"> is a </w:t>
      </w:r>
      <w:r w:rsidR="00891117">
        <w:t xml:space="preserve">non-regulatory </w:t>
      </w:r>
      <w:r>
        <w:t>option</w:t>
      </w:r>
      <w:r w:rsidR="00AE1B5C">
        <w:t xml:space="preserve"> that</w:t>
      </w:r>
      <w:r>
        <w:t xml:space="preserve"> involves </w:t>
      </w:r>
      <w:r w:rsidR="00AE1B5C">
        <w:t xml:space="preserve">the provision of </w:t>
      </w:r>
      <w:r>
        <w:t>non-statutory guidance</w:t>
      </w:r>
      <w:r w:rsidR="00066EAD">
        <w:t xml:space="preserve"> (through the form of written guidelines)</w:t>
      </w:r>
      <w:r>
        <w:t xml:space="preserve"> for the development of an environmental management plan, implementation of control measures, and the achievement of performance outcomes. Industry-specific standards and best management practices</w:t>
      </w:r>
      <w:r w:rsidR="000F6074">
        <w:t xml:space="preserve"> relating to releases to </w:t>
      </w:r>
      <w:r w:rsidR="000B3B06">
        <w:t xml:space="preserve">air, </w:t>
      </w:r>
      <w:r w:rsidR="000F6074">
        <w:t>land and water, waste</w:t>
      </w:r>
      <w:r w:rsidR="000B3B06">
        <w:t xml:space="preserve"> management</w:t>
      </w:r>
      <w:r w:rsidR="000F6074">
        <w:t xml:space="preserve">, and noise </w:t>
      </w:r>
      <w:r w:rsidR="000B3B06">
        <w:t xml:space="preserve">pollution </w:t>
      </w:r>
      <w:r>
        <w:t xml:space="preserve">are not </w:t>
      </w:r>
      <w:r w:rsidR="000F6074">
        <w:t xml:space="preserve">a </w:t>
      </w:r>
      <w:r w:rsidR="002B2AFA">
        <w:t xml:space="preserve">specific </w:t>
      </w:r>
      <w:r w:rsidR="000F6074">
        <w:t>requirement</w:t>
      </w:r>
      <w:r>
        <w:t xml:space="preserve"> under the Act</w:t>
      </w:r>
      <w:r w:rsidR="000F6074">
        <w:t>. Implementation of control measures would be voluntary</w:t>
      </w:r>
      <w:r w:rsidR="00066EAD">
        <w:t xml:space="preserve"> and standards across the industry may vary. T</w:t>
      </w:r>
      <w:r w:rsidR="000F6074">
        <w:t>he absence of</w:t>
      </w:r>
      <w:r w:rsidR="00066EAD">
        <w:t xml:space="preserve"> a statutory authority</w:t>
      </w:r>
      <w:r w:rsidR="000B3B06">
        <w:t>, such as licensing of the activities under the Act,</w:t>
      </w:r>
      <w:r w:rsidR="000F6074">
        <w:t xml:space="preserve"> </w:t>
      </w:r>
      <w:r w:rsidR="00066EAD">
        <w:t>means that guidelines provide</w:t>
      </w:r>
      <w:r w:rsidR="000F6074">
        <w:t xml:space="preserve"> </w:t>
      </w:r>
      <w:r w:rsidR="00066EAD">
        <w:t>little</w:t>
      </w:r>
      <w:r w:rsidR="000F6074" w:rsidRPr="00066EAD">
        <w:t xml:space="preserve"> punitive mechanism to regulate non-compliance.</w:t>
      </w:r>
      <w:r w:rsidR="00066EAD">
        <w:t xml:space="preserve"> This option is therefore not preferred.</w:t>
      </w:r>
    </w:p>
    <w:p w14:paraId="21A7C743" w14:textId="4EF4A73F" w:rsidR="006663FE" w:rsidRPr="00C152E7" w:rsidRDefault="006663FE" w:rsidP="00FC45D2">
      <w:pPr>
        <w:pStyle w:val="Heading1"/>
      </w:pPr>
      <w:bookmarkStart w:id="9" w:name="_Toc27144979"/>
      <w:r>
        <w:t>How the policy objective will be achieved</w:t>
      </w:r>
      <w:bookmarkEnd w:id="9"/>
    </w:p>
    <w:p w14:paraId="1723E929" w14:textId="27EF53FF" w:rsidR="000F6074" w:rsidRDefault="000F6074" w:rsidP="000F6074">
      <w:pPr>
        <w:pStyle w:val="Heading2"/>
      </w:pPr>
      <w:bookmarkStart w:id="10" w:name="_Toc27144980"/>
      <w:r>
        <w:t>Option 3: Code of Practice</w:t>
      </w:r>
      <w:bookmarkEnd w:id="10"/>
    </w:p>
    <w:p w14:paraId="237634C8" w14:textId="74ADFEFD" w:rsidR="000F6074" w:rsidRPr="000F6074" w:rsidRDefault="003D5253" w:rsidP="000F6074">
      <w:r>
        <w:t xml:space="preserve">A </w:t>
      </w:r>
      <w:r w:rsidR="008107D6">
        <w:t>c</w:t>
      </w:r>
      <w:r>
        <w:t xml:space="preserve">ode of </w:t>
      </w:r>
      <w:r w:rsidR="008107D6">
        <w:t>p</w:t>
      </w:r>
      <w:r>
        <w:t>ractice</w:t>
      </w:r>
      <w:r w:rsidR="00066EAD">
        <w:t xml:space="preserve"> (</w:t>
      </w:r>
      <w:r w:rsidR="008A2EEA">
        <w:t>code)</w:t>
      </w:r>
      <w:r>
        <w:t xml:space="preserve"> is </w:t>
      </w:r>
      <w:r w:rsidR="008A2EEA">
        <w:t xml:space="preserve">a </w:t>
      </w:r>
      <w:r>
        <w:t>regulatory</w:t>
      </w:r>
      <w:r w:rsidR="000F6074">
        <w:t xml:space="preserve"> option</w:t>
      </w:r>
      <w:r w:rsidR="00066EAD">
        <w:t xml:space="preserve"> provided for under Part 5 of the Act. A </w:t>
      </w:r>
      <w:r w:rsidR="008A2EEA">
        <w:t xml:space="preserve">code </w:t>
      </w:r>
      <w:r>
        <w:t xml:space="preserve">provides specific actions to evidence that a person has taken all reasonable care to avoid causing environmental harm and in meeting their </w:t>
      </w:r>
      <w:r w:rsidR="002B2AFA">
        <w:t xml:space="preserve">general </w:t>
      </w:r>
      <w:r>
        <w:t>environmental duty.</w:t>
      </w:r>
      <w:r w:rsidR="000F6074">
        <w:t xml:space="preserve"> </w:t>
      </w:r>
      <w:r w:rsidR="00066EAD">
        <w:t xml:space="preserve">A </w:t>
      </w:r>
      <w:r w:rsidR="00290398">
        <w:t xml:space="preserve">code </w:t>
      </w:r>
      <w:r w:rsidR="00066EAD">
        <w:t>would set out</w:t>
      </w:r>
      <w:r w:rsidR="000F6074">
        <w:t xml:space="preserve"> method</w:t>
      </w:r>
      <w:r>
        <w:t>s</w:t>
      </w:r>
      <w:r w:rsidR="000F6074">
        <w:t xml:space="preserve"> for achieving compliance </w:t>
      </w:r>
      <w:r>
        <w:t>specific to the automotive trade industry</w:t>
      </w:r>
      <w:r w:rsidR="000F6074">
        <w:t>.</w:t>
      </w:r>
      <w:r w:rsidR="00595A8C">
        <w:t xml:space="preserve"> A person is considered to have complied with their environmental general duty in conducting an activity if the person has substantially complied with the </w:t>
      </w:r>
      <w:r w:rsidR="00290398">
        <w:t>code</w:t>
      </w:r>
      <w:r w:rsidR="00595A8C">
        <w:t xml:space="preserve">. </w:t>
      </w:r>
    </w:p>
    <w:p w14:paraId="19221847" w14:textId="2C0B6342" w:rsidR="00564C70" w:rsidRDefault="00595A8C" w:rsidP="00FC45D2">
      <w:r>
        <w:t>Option 3 is determined as the most appropriate regulatory model.</w:t>
      </w:r>
      <w:r w:rsidR="001B3625">
        <w:t xml:space="preserve"> A </w:t>
      </w:r>
      <w:r w:rsidR="00290398">
        <w:t xml:space="preserve">code </w:t>
      </w:r>
      <w:r w:rsidR="001B3625">
        <w:t>was requested from within the industry itself.</w:t>
      </w:r>
      <w:r>
        <w:t xml:space="preserve"> </w:t>
      </w:r>
      <w:r w:rsidR="007D48DB">
        <w:t xml:space="preserve">Self-regulation through implementation of </w:t>
      </w:r>
      <w:r w:rsidR="00446B9C">
        <w:t xml:space="preserve">a </w:t>
      </w:r>
      <w:r w:rsidR="00290398">
        <w:t xml:space="preserve">code </w:t>
      </w:r>
      <w:r w:rsidR="007D48DB">
        <w:t xml:space="preserve">at the operator level has dual benefit of reducing the likelihood of committing an offence and receiving a penalty and minimising the risk of environmental harm (which is the </w:t>
      </w:r>
      <w:r w:rsidR="00446B9C">
        <w:t>overall</w:t>
      </w:r>
      <w:r w:rsidR="007D48DB">
        <w:t xml:space="preserve"> objective).</w:t>
      </w:r>
      <w:r w:rsidR="00E87B29">
        <w:t xml:space="preserve"> This option also holds the same benefits that Option 2 in the provision industry-specific information and guidance for operators.</w:t>
      </w:r>
      <w:r w:rsidR="008D5CEA">
        <w:t xml:space="preserve"> </w:t>
      </w:r>
      <w:r w:rsidR="00564C70" w:rsidRPr="00564C70">
        <w:t>Impact analysis</w:t>
      </w:r>
      <w:r w:rsidR="00BB0538">
        <w:t>; consistency with the authorising law and other territory laws</w:t>
      </w:r>
    </w:p>
    <w:p w14:paraId="4C0A2945" w14:textId="6FEBEF3D" w:rsidR="00835981" w:rsidRDefault="00FA6770">
      <w:r>
        <w:t xml:space="preserve">The overall impact of </w:t>
      </w:r>
      <w:r w:rsidR="00446B9C">
        <w:t xml:space="preserve">a </w:t>
      </w:r>
      <w:r w:rsidR="00290398">
        <w:t xml:space="preserve">code </w:t>
      </w:r>
      <w:r>
        <w:t>is expected to be positive</w:t>
      </w:r>
      <w:r w:rsidR="00EC2AC5">
        <w:t>.</w:t>
      </w:r>
      <w:r w:rsidR="008D2D90">
        <w:t xml:space="preserve"> </w:t>
      </w:r>
      <w:r w:rsidR="00446B9C">
        <w:t xml:space="preserve">A </w:t>
      </w:r>
      <w:r w:rsidR="00290398">
        <w:t xml:space="preserve">code </w:t>
      </w:r>
      <w:r w:rsidR="007D48DB">
        <w:t>supports the objects of the Act in seeking to protect and enhance the quality of the environment, prevent environmental degradation and risk of harm to human health</w:t>
      </w:r>
      <w:r w:rsidR="000B3B06">
        <w:t xml:space="preserve"> and the environment</w:t>
      </w:r>
      <w:r w:rsidR="007D48DB">
        <w:t>, and require people engaging in polluting activities to make progressive environmental improvements.</w:t>
      </w:r>
    </w:p>
    <w:p w14:paraId="3CDE1A5D" w14:textId="4945DA37" w:rsidR="007D48DB" w:rsidRDefault="007D48DB">
      <w:r>
        <w:t xml:space="preserve">It does not </w:t>
      </w:r>
      <w:r w:rsidR="0043205C">
        <w:t>impact on existing</w:t>
      </w:r>
      <w:r>
        <w:t xml:space="preserve"> environment protection legislation</w:t>
      </w:r>
      <w:r w:rsidR="00446B9C">
        <w:t xml:space="preserve">, and implementation of a </w:t>
      </w:r>
      <w:r w:rsidR="008107D6">
        <w:t xml:space="preserve">code </w:t>
      </w:r>
      <w:r w:rsidR="00446B9C">
        <w:t xml:space="preserve">would not affect the penalties and fees associated with committing an offence under the Act. </w:t>
      </w:r>
    </w:p>
    <w:p w14:paraId="3FD8891B" w14:textId="5F4B0A7D" w:rsidR="00D95727" w:rsidRDefault="00446B9C">
      <w:r>
        <w:t xml:space="preserve">Conditions set out under a </w:t>
      </w:r>
      <w:r w:rsidR="008107D6">
        <w:t xml:space="preserve">code </w:t>
      </w:r>
      <w:r>
        <w:t>are unlikely to</w:t>
      </w:r>
      <w:r w:rsidR="00D35EB3">
        <w:t xml:space="preserve"> significantly divert from standard automotive workshop practices that are required by operators to meet their </w:t>
      </w:r>
      <w:r w:rsidR="000B3B06">
        <w:t xml:space="preserve">environment protection obligations.  </w:t>
      </w:r>
      <w:r>
        <w:t>A</w:t>
      </w:r>
      <w:r w:rsidR="00D95727">
        <w:t xml:space="preserve">dditional costs to industry </w:t>
      </w:r>
      <w:r>
        <w:t xml:space="preserve">are not expected, </w:t>
      </w:r>
      <w:r w:rsidR="00D95727">
        <w:t xml:space="preserve">as the requirements </w:t>
      </w:r>
      <w:r>
        <w:t xml:space="preserve">of a </w:t>
      </w:r>
      <w:r w:rsidR="008107D6">
        <w:t xml:space="preserve">code </w:t>
      </w:r>
      <w:r>
        <w:t>should</w:t>
      </w:r>
      <w:r w:rsidR="00D95727">
        <w:t xml:space="preserve"> already </w:t>
      </w:r>
      <w:r w:rsidR="00CF0858">
        <w:t xml:space="preserve">be </w:t>
      </w:r>
      <w:r w:rsidR="00D95727">
        <w:t xml:space="preserve">incorporated as part of usual business practices </w:t>
      </w:r>
      <w:r w:rsidR="00CF0858">
        <w:t>by</w:t>
      </w:r>
      <w:r w:rsidR="00D95727">
        <w:t xml:space="preserve"> responsible automotive operators. </w:t>
      </w:r>
      <w:r w:rsidR="00CF0858">
        <w:t>Therefore,</w:t>
      </w:r>
      <w:r w:rsidR="00D95727">
        <w:t xml:space="preserve"> additional costs </w:t>
      </w:r>
      <w:r w:rsidR="00CF0858">
        <w:t>may</w:t>
      </w:r>
      <w:r w:rsidR="00D95727">
        <w:t xml:space="preserve"> be greater </w:t>
      </w:r>
      <w:r w:rsidR="00D35EB3">
        <w:t>for</w:t>
      </w:r>
      <w:r w:rsidR="00D95727">
        <w:t xml:space="preserve"> </w:t>
      </w:r>
      <w:r w:rsidR="00CF0858">
        <w:t>those</w:t>
      </w:r>
      <w:r w:rsidR="00D95727">
        <w:t xml:space="preserve"> operators that</w:t>
      </w:r>
      <w:r>
        <w:t xml:space="preserve"> need to improve </w:t>
      </w:r>
      <w:r w:rsidR="00CF0858">
        <w:t xml:space="preserve">their </w:t>
      </w:r>
      <w:r>
        <w:t>standards because they</w:t>
      </w:r>
      <w:r w:rsidR="00D95727">
        <w:t xml:space="preserve"> do not a</w:t>
      </w:r>
      <w:r w:rsidR="00B211A6">
        <w:t xml:space="preserve">dequately meet </w:t>
      </w:r>
      <w:r>
        <w:t xml:space="preserve">their </w:t>
      </w:r>
      <w:r w:rsidR="00B211A6">
        <w:t xml:space="preserve">obligations under the Act. </w:t>
      </w:r>
    </w:p>
    <w:p w14:paraId="2FA63F4C" w14:textId="494FC52D" w:rsidR="007D48DB" w:rsidRDefault="007D48DB">
      <w:r>
        <w:t xml:space="preserve">Benefits likely to accrue from environmental management plans developed and administered at the operator level included </w:t>
      </w:r>
      <w:r w:rsidR="007221F3">
        <w:t xml:space="preserve">reduced events of environmental harm and </w:t>
      </w:r>
      <w:r w:rsidR="002B2AFA">
        <w:t>increased compliance</w:t>
      </w:r>
      <w:r w:rsidR="007221F3">
        <w:t xml:space="preserve"> within the automotive trade industry under the Act.</w:t>
      </w:r>
    </w:p>
    <w:p w14:paraId="728C829B" w14:textId="77777777" w:rsidR="00CC23E3" w:rsidRDefault="00CC23E3">
      <w:pPr>
        <w:rPr>
          <w:rFonts w:asciiTheme="majorHAnsi" w:eastAsiaTheme="majorEastAsia" w:hAnsiTheme="majorHAnsi" w:cstheme="majorBidi"/>
          <w:color w:val="2F5496" w:themeColor="accent1" w:themeShade="BF"/>
          <w:sz w:val="26"/>
          <w:szCs w:val="26"/>
        </w:rPr>
      </w:pPr>
      <w:r>
        <w:br w:type="page"/>
      </w:r>
    </w:p>
    <w:p w14:paraId="72669E84" w14:textId="12200C82" w:rsidR="00103099" w:rsidRDefault="00103099" w:rsidP="006E6B6C">
      <w:pPr>
        <w:pStyle w:val="Heading2"/>
      </w:pPr>
      <w:bookmarkStart w:id="11" w:name="_Toc27144981"/>
      <w:r>
        <w:lastRenderedPageBreak/>
        <w:t>Costs</w:t>
      </w:r>
      <w:r w:rsidR="009146DA">
        <w:t xml:space="preserve"> </w:t>
      </w:r>
      <w:r w:rsidR="006E6B6C">
        <w:t xml:space="preserve">and Benefits </w:t>
      </w:r>
      <w:r w:rsidR="009146DA">
        <w:t xml:space="preserve">associated with </w:t>
      </w:r>
      <w:r w:rsidR="006E6B6C">
        <w:t>Option 3: Code of Practice</w:t>
      </w:r>
      <w:bookmarkEnd w:id="11"/>
    </w:p>
    <w:p w14:paraId="6D009045" w14:textId="56394A0E" w:rsidR="00577091" w:rsidRPr="00577091" w:rsidRDefault="00C85305" w:rsidP="00577091">
      <w:r>
        <w:t>An analysis of the costs</w:t>
      </w:r>
      <w:r w:rsidR="00DD745D">
        <w:t>, benefits and impacts to the relevant stakeholder groups related to the implement</w:t>
      </w:r>
      <w:r w:rsidR="002B2AFA">
        <w:t>at</w:t>
      </w:r>
      <w:r w:rsidR="00DD745D">
        <w:t xml:space="preserve">ion a </w:t>
      </w:r>
      <w:r w:rsidR="008107D6">
        <w:t xml:space="preserve">code </w:t>
      </w:r>
      <w:r w:rsidR="00DD745D">
        <w:t>demonstrates that costs and detrimental impacts are low relative to the anticipated benefits. The relevant stakeholders are identified as automotive trade operators (the target industry), the EPA (</w:t>
      </w:r>
      <w:r w:rsidR="00446B9C">
        <w:t xml:space="preserve">the </w:t>
      </w:r>
      <w:r w:rsidR="00DD745D">
        <w:t>regulator), the community (in their right to wellbeing/clean environment</w:t>
      </w:r>
      <w:r w:rsidR="000B3B06">
        <w:t>)</w:t>
      </w:r>
      <w:r w:rsidR="00DD745D">
        <w:t xml:space="preserve"> and taxpayers </w:t>
      </w:r>
      <w:r w:rsidR="000B3B06">
        <w:t>(</w:t>
      </w:r>
      <w:r w:rsidR="00DD745D">
        <w:t>that have an expectation of adequate industry regulation).</w:t>
      </w:r>
    </w:p>
    <w:p w14:paraId="3BB49DE1" w14:textId="516D6A33" w:rsidR="006E6B6C" w:rsidRDefault="00732C33" w:rsidP="006E6B6C">
      <w:r>
        <w:fldChar w:fldCharType="begin"/>
      </w:r>
      <w:r>
        <w:instrText xml:space="preserve"> REF _Ref18051463 \h </w:instrText>
      </w:r>
      <w:r>
        <w:fldChar w:fldCharType="separate"/>
      </w:r>
      <w:r>
        <w:t xml:space="preserve">Table </w:t>
      </w:r>
      <w:r>
        <w:rPr>
          <w:noProof/>
        </w:rPr>
        <w:t>1</w:t>
      </w:r>
      <w:r>
        <w:fldChar w:fldCharType="end"/>
      </w:r>
      <w:r>
        <w:t xml:space="preserve"> </w:t>
      </w:r>
      <w:r w:rsidR="006E6B6C">
        <w:t xml:space="preserve">summarises the key identified costs and benefits associated with </w:t>
      </w:r>
      <w:r w:rsidR="00ED12B7">
        <w:t>affected parties.</w:t>
      </w:r>
    </w:p>
    <w:p w14:paraId="5BC4A5FD" w14:textId="5F0CF867" w:rsidR="00DD745D" w:rsidRDefault="00DD745D" w:rsidP="00DD745D">
      <w:pPr>
        <w:pStyle w:val="Caption"/>
        <w:keepNext/>
      </w:pPr>
      <w:bookmarkStart w:id="12" w:name="_Ref18051463"/>
      <w:r>
        <w:t xml:space="preserve">Table </w:t>
      </w:r>
      <w:r w:rsidR="005677FE">
        <w:fldChar w:fldCharType="begin"/>
      </w:r>
      <w:r w:rsidR="005677FE">
        <w:instrText xml:space="preserve"> SEQ Table \* ARABIC </w:instrText>
      </w:r>
      <w:r w:rsidR="005677FE">
        <w:fldChar w:fldCharType="separate"/>
      </w:r>
      <w:r>
        <w:rPr>
          <w:noProof/>
        </w:rPr>
        <w:t>1</w:t>
      </w:r>
      <w:r w:rsidR="005677FE">
        <w:rPr>
          <w:noProof/>
        </w:rPr>
        <w:fldChar w:fldCharType="end"/>
      </w:r>
      <w:bookmarkEnd w:id="12"/>
      <w:r>
        <w:t xml:space="preserve"> Summary of costs and benefits associated with the relevant stakeholders affected by the</w:t>
      </w:r>
      <w:r w:rsidR="00732C33">
        <w:t xml:space="preserve"> implementation </w:t>
      </w:r>
      <w:r w:rsidR="008107D6">
        <w:t>of the c</w:t>
      </w:r>
      <w:r>
        <w:t>ode.</w:t>
      </w:r>
    </w:p>
    <w:tbl>
      <w:tblPr>
        <w:tblStyle w:val="TableGrid"/>
        <w:tblW w:w="0" w:type="auto"/>
        <w:tblLook w:val="04A0" w:firstRow="1" w:lastRow="0" w:firstColumn="1" w:lastColumn="0" w:noHBand="0" w:noVBand="1"/>
      </w:tblPr>
      <w:tblGrid>
        <w:gridCol w:w="1980"/>
        <w:gridCol w:w="3118"/>
        <w:gridCol w:w="3918"/>
      </w:tblGrid>
      <w:tr w:rsidR="00ED12B7" w14:paraId="18418F40" w14:textId="77777777" w:rsidTr="007D61D8">
        <w:trPr>
          <w:tblHeader/>
        </w:trPr>
        <w:tc>
          <w:tcPr>
            <w:tcW w:w="1980" w:type="dxa"/>
          </w:tcPr>
          <w:p w14:paraId="06EA81E3" w14:textId="555C0E6B" w:rsidR="00ED12B7" w:rsidRPr="00ED12B7" w:rsidRDefault="00F40B56" w:rsidP="006E6B6C">
            <w:pPr>
              <w:rPr>
                <w:b/>
              </w:rPr>
            </w:pPr>
            <w:r>
              <w:rPr>
                <w:b/>
              </w:rPr>
              <w:t>SECTOR</w:t>
            </w:r>
          </w:p>
        </w:tc>
        <w:tc>
          <w:tcPr>
            <w:tcW w:w="3118" w:type="dxa"/>
          </w:tcPr>
          <w:p w14:paraId="6D859384" w14:textId="4F7C51FD" w:rsidR="00ED12B7" w:rsidRPr="00ED12B7" w:rsidRDefault="00F40B56" w:rsidP="006E6B6C">
            <w:pPr>
              <w:rPr>
                <w:b/>
              </w:rPr>
            </w:pPr>
            <w:r>
              <w:rPr>
                <w:b/>
              </w:rPr>
              <w:t>COSTS</w:t>
            </w:r>
          </w:p>
        </w:tc>
        <w:tc>
          <w:tcPr>
            <w:tcW w:w="3918" w:type="dxa"/>
          </w:tcPr>
          <w:p w14:paraId="387915AE" w14:textId="38EBD1C1" w:rsidR="00ED12B7" w:rsidRPr="00ED12B7" w:rsidRDefault="00F40B56" w:rsidP="006E6B6C">
            <w:pPr>
              <w:rPr>
                <w:b/>
              </w:rPr>
            </w:pPr>
            <w:r>
              <w:rPr>
                <w:b/>
              </w:rPr>
              <w:t>BENEFITS</w:t>
            </w:r>
          </w:p>
        </w:tc>
      </w:tr>
      <w:tr w:rsidR="00ED12B7" w14:paraId="382DF837" w14:textId="77777777" w:rsidTr="007D61D8">
        <w:tc>
          <w:tcPr>
            <w:tcW w:w="1980" w:type="dxa"/>
          </w:tcPr>
          <w:p w14:paraId="26215854" w14:textId="7D0F184A" w:rsidR="00ED12B7" w:rsidRPr="00F40B56" w:rsidRDefault="00F40B56" w:rsidP="006E6B6C">
            <w:r>
              <w:t>Business</w:t>
            </w:r>
            <w:r w:rsidR="00CF0858">
              <w:t xml:space="preserve"> (automotive trade operators and businesses)</w:t>
            </w:r>
          </w:p>
        </w:tc>
        <w:tc>
          <w:tcPr>
            <w:tcW w:w="3118" w:type="dxa"/>
          </w:tcPr>
          <w:p w14:paraId="4A01D53E" w14:textId="5CCE97E9" w:rsidR="00CF38D3" w:rsidRDefault="00CF38D3" w:rsidP="00ED12B7">
            <w:pPr>
              <w:pStyle w:val="ListParagraph"/>
              <w:numPr>
                <w:ilvl w:val="0"/>
                <w:numId w:val="6"/>
              </w:numPr>
            </w:pPr>
            <w:r>
              <w:t xml:space="preserve">Administration: development of an </w:t>
            </w:r>
            <w:r w:rsidR="000B3B06">
              <w:t>e</w:t>
            </w:r>
            <w:r>
              <w:t xml:space="preserve">nvironmental </w:t>
            </w:r>
            <w:r w:rsidR="000B3B06">
              <w:t>m</w:t>
            </w:r>
            <w:r>
              <w:t xml:space="preserve">anagement </w:t>
            </w:r>
            <w:r w:rsidR="000B3B06">
              <w:t>p</w:t>
            </w:r>
            <w:r>
              <w:t>lan, ongoing record keeping, and incident reporting.</w:t>
            </w:r>
          </w:p>
          <w:p w14:paraId="23201F28" w14:textId="0FA26BC0" w:rsidR="00CF38D3" w:rsidRDefault="00CF38D3" w:rsidP="00ED12B7">
            <w:pPr>
              <w:pStyle w:val="ListParagraph"/>
              <w:numPr>
                <w:ilvl w:val="0"/>
                <w:numId w:val="6"/>
              </w:numPr>
            </w:pPr>
            <w:r>
              <w:t xml:space="preserve">Workshop assessment to determine gaps in meeting conditions of the </w:t>
            </w:r>
            <w:r w:rsidR="008107D6">
              <w:t>c</w:t>
            </w:r>
            <w:r>
              <w:t>ode and any existing sources of pollution or contamination. May include contractors.</w:t>
            </w:r>
          </w:p>
          <w:p w14:paraId="5EF7E709" w14:textId="52E325CE" w:rsidR="00ED12B7" w:rsidRDefault="00732C33" w:rsidP="00ED12B7">
            <w:pPr>
              <w:pStyle w:val="ListParagraph"/>
              <w:numPr>
                <w:ilvl w:val="0"/>
                <w:numId w:val="6"/>
              </w:numPr>
            </w:pPr>
            <w:r>
              <w:t>Costs</w:t>
            </w:r>
            <w:r w:rsidR="007D61D8">
              <w:t xml:space="preserve"> related to the</w:t>
            </w:r>
            <w:r w:rsidR="0046310A">
              <w:t xml:space="preserve"> </w:t>
            </w:r>
            <w:r w:rsidR="00CF38D3">
              <w:t xml:space="preserve">one-off </w:t>
            </w:r>
            <w:r w:rsidR="0046310A">
              <w:t>installation of</w:t>
            </w:r>
            <w:r w:rsidR="00CF38D3">
              <w:t xml:space="preserve"> </w:t>
            </w:r>
            <w:r w:rsidR="0046310A">
              <w:t xml:space="preserve">infrastructure/equipment to </w:t>
            </w:r>
            <w:r>
              <w:t>implement</w:t>
            </w:r>
            <w:r w:rsidR="0046310A">
              <w:t xml:space="preserve"> control measures</w:t>
            </w:r>
            <w:r w:rsidR="00CF38D3">
              <w:t>.</w:t>
            </w:r>
          </w:p>
          <w:p w14:paraId="68464C54" w14:textId="650C608A" w:rsidR="00732C33" w:rsidRDefault="00CF38D3" w:rsidP="00CF38D3">
            <w:pPr>
              <w:pStyle w:val="ListParagraph"/>
              <w:numPr>
                <w:ilvl w:val="0"/>
                <w:numId w:val="6"/>
              </w:numPr>
            </w:pPr>
            <w:r>
              <w:t xml:space="preserve">Ongoing costs related to maintaining equipment and infrastructure required to meet the conditions of the </w:t>
            </w:r>
            <w:r w:rsidR="008107D6">
              <w:t>c</w:t>
            </w:r>
            <w:r>
              <w:t>ode.</w:t>
            </w:r>
          </w:p>
        </w:tc>
        <w:tc>
          <w:tcPr>
            <w:tcW w:w="3918" w:type="dxa"/>
          </w:tcPr>
          <w:p w14:paraId="27AA98CD" w14:textId="6933C4B6" w:rsidR="00B470D1" w:rsidRDefault="00B470D1" w:rsidP="0046310A">
            <w:pPr>
              <w:pStyle w:val="ListParagraph"/>
              <w:numPr>
                <w:ilvl w:val="0"/>
                <w:numId w:val="6"/>
              </w:numPr>
            </w:pPr>
            <w:r>
              <w:t>Improved ability to meet</w:t>
            </w:r>
            <w:r w:rsidR="007D61D8">
              <w:t xml:space="preserve"> environmental</w:t>
            </w:r>
            <w:r>
              <w:t xml:space="preserve"> obligations and </w:t>
            </w:r>
            <w:r w:rsidR="007D61D8">
              <w:t>self-regulat</w:t>
            </w:r>
            <w:r w:rsidR="00D35EB3">
              <w:t>e through increased clarity around expectations and standards.</w:t>
            </w:r>
          </w:p>
          <w:p w14:paraId="020E590E" w14:textId="26E08C64" w:rsidR="00EE6EFF" w:rsidRDefault="00EE6EFF" w:rsidP="0046310A">
            <w:pPr>
              <w:pStyle w:val="ListParagraph"/>
              <w:numPr>
                <w:ilvl w:val="0"/>
                <w:numId w:val="6"/>
              </w:numPr>
            </w:pPr>
            <w:r>
              <w:t xml:space="preserve">Ongoing maintenance of standards provided by the </w:t>
            </w:r>
            <w:r w:rsidR="008107D6">
              <w:t>c</w:t>
            </w:r>
            <w:r>
              <w:t>ode.</w:t>
            </w:r>
          </w:p>
          <w:p w14:paraId="4DF2182A" w14:textId="731DD577" w:rsidR="00ED12B7" w:rsidRDefault="0046310A" w:rsidP="0046310A">
            <w:pPr>
              <w:pStyle w:val="ListParagraph"/>
              <w:numPr>
                <w:ilvl w:val="0"/>
                <w:numId w:val="6"/>
              </w:numPr>
            </w:pPr>
            <w:r>
              <w:t>Reduced cleanup costs</w:t>
            </w:r>
            <w:r w:rsidR="00EE6EFF">
              <w:t xml:space="preserve"> and incidences of environmental harm</w:t>
            </w:r>
            <w:r w:rsidR="00732C33">
              <w:t>.</w:t>
            </w:r>
          </w:p>
          <w:p w14:paraId="351C91F6" w14:textId="0F69F430" w:rsidR="00CF38D3" w:rsidRDefault="00CF38D3" w:rsidP="0046310A">
            <w:pPr>
              <w:pStyle w:val="ListParagraph"/>
              <w:numPr>
                <w:ilvl w:val="0"/>
                <w:numId w:val="6"/>
              </w:numPr>
            </w:pPr>
            <w:r>
              <w:t>Reduced unsafe or ethical behavior.</w:t>
            </w:r>
          </w:p>
          <w:p w14:paraId="552DBDCC" w14:textId="77777777" w:rsidR="00B470D1" w:rsidRDefault="00B470D1" w:rsidP="0046310A">
            <w:pPr>
              <w:pStyle w:val="ListParagraph"/>
              <w:numPr>
                <w:ilvl w:val="0"/>
                <w:numId w:val="6"/>
              </w:numPr>
            </w:pPr>
            <w:r>
              <w:t>Improved health and wellbeing of staff due to reduced exposure to noise, wastes, odors, dust, etc.</w:t>
            </w:r>
          </w:p>
          <w:p w14:paraId="7A483FB0" w14:textId="77777777" w:rsidR="00B470D1" w:rsidRDefault="00B470D1" w:rsidP="0046310A">
            <w:pPr>
              <w:pStyle w:val="ListParagraph"/>
              <w:numPr>
                <w:ilvl w:val="0"/>
                <w:numId w:val="6"/>
              </w:numPr>
            </w:pPr>
            <w:r>
              <w:t>Improved levels of service from the EPA.</w:t>
            </w:r>
          </w:p>
          <w:p w14:paraId="6D182BE5" w14:textId="4725447C" w:rsidR="00B470D1" w:rsidRDefault="00B470D1" w:rsidP="0046310A">
            <w:pPr>
              <w:pStyle w:val="ListParagraph"/>
              <w:numPr>
                <w:ilvl w:val="0"/>
                <w:numId w:val="6"/>
              </w:numPr>
            </w:pPr>
            <w:r>
              <w:t>Increased</w:t>
            </w:r>
            <w:r w:rsidR="00EE6EFF">
              <w:t xml:space="preserve"> operator protection afforded by increased</w:t>
            </w:r>
            <w:r>
              <w:t xml:space="preserve"> transparency </w:t>
            </w:r>
            <w:r w:rsidR="00EE6EFF">
              <w:t xml:space="preserve">and record keeping </w:t>
            </w:r>
            <w:r w:rsidR="000B3B06">
              <w:t>demonstrating</w:t>
            </w:r>
            <w:r>
              <w:t xml:space="preserve"> compliance</w:t>
            </w:r>
            <w:r w:rsidR="00732C33">
              <w:t>.</w:t>
            </w:r>
          </w:p>
          <w:p w14:paraId="261B4093" w14:textId="40238F38" w:rsidR="00B470D1" w:rsidRDefault="00B470D1" w:rsidP="0046310A">
            <w:pPr>
              <w:pStyle w:val="ListParagraph"/>
              <w:numPr>
                <w:ilvl w:val="0"/>
                <w:numId w:val="6"/>
              </w:numPr>
            </w:pPr>
            <w:r>
              <w:t xml:space="preserve">Reduced likelihood of </w:t>
            </w:r>
            <w:r w:rsidR="00732C33">
              <w:t>fines and penalties.</w:t>
            </w:r>
          </w:p>
          <w:p w14:paraId="6BEB2D19" w14:textId="593BAA92" w:rsidR="00B470D1" w:rsidRDefault="00B470D1" w:rsidP="0046310A">
            <w:pPr>
              <w:pStyle w:val="ListParagraph"/>
              <w:numPr>
                <w:ilvl w:val="0"/>
                <w:numId w:val="6"/>
              </w:numPr>
            </w:pPr>
            <w:r>
              <w:t>Improved reputation for demonstrating environmental care</w:t>
            </w:r>
            <w:r w:rsidR="00732C33">
              <w:t>.</w:t>
            </w:r>
          </w:p>
        </w:tc>
      </w:tr>
      <w:tr w:rsidR="00F40B56" w14:paraId="09E5DF74" w14:textId="77777777" w:rsidTr="007D61D8">
        <w:tc>
          <w:tcPr>
            <w:tcW w:w="1980" w:type="dxa"/>
          </w:tcPr>
          <w:p w14:paraId="191C7A73" w14:textId="0A640E35" w:rsidR="00F40B56" w:rsidRDefault="00F40B56" w:rsidP="00F40B56">
            <w:r w:rsidRPr="00F40B56">
              <w:t>EPA and ACT Government</w:t>
            </w:r>
          </w:p>
        </w:tc>
        <w:tc>
          <w:tcPr>
            <w:tcW w:w="3118" w:type="dxa"/>
          </w:tcPr>
          <w:p w14:paraId="3B81C153" w14:textId="77777777" w:rsidR="00F40B56" w:rsidRDefault="00F40B56" w:rsidP="00F40B56">
            <w:pPr>
              <w:pStyle w:val="ListParagraph"/>
              <w:numPr>
                <w:ilvl w:val="0"/>
                <w:numId w:val="8"/>
              </w:numPr>
            </w:pPr>
            <w:r>
              <w:t>Changes to administration and resource allocation related to inspection, compliance, enforcement and prosecution.</w:t>
            </w:r>
          </w:p>
          <w:p w14:paraId="74925362" w14:textId="0F768E48" w:rsidR="00F40B56" w:rsidRDefault="00F40B56" w:rsidP="00F40B56">
            <w:pPr>
              <w:pStyle w:val="ListParagraph"/>
              <w:numPr>
                <w:ilvl w:val="0"/>
                <w:numId w:val="6"/>
              </w:numPr>
            </w:pPr>
            <w:r>
              <w:t xml:space="preserve">Review of the </w:t>
            </w:r>
            <w:r w:rsidR="008107D6">
              <w:t>c</w:t>
            </w:r>
            <w:r>
              <w:t>ode in the future.</w:t>
            </w:r>
          </w:p>
        </w:tc>
        <w:tc>
          <w:tcPr>
            <w:tcW w:w="3918" w:type="dxa"/>
          </w:tcPr>
          <w:p w14:paraId="36459F14" w14:textId="2476ABC5" w:rsidR="00F40B56" w:rsidRDefault="00F40B56" w:rsidP="00F40B56">
            <w:pPr>
              <w:pStyle w:val="ListParagraph"/>
              <w:numPr>
                <w:ilvl w:val="0"/>
                <w:numId w:val="8"/>
              </w:numPr>
            </w:pPr>
            <w:r>
              <w:t xml:space="preserve">Improved capacity </w:t>
            </w:r>
            <w:r w:rsidR="00CF38D3">
              <w:t>to assess compliance</w:t>
            </w:r>
            <w:r>
              <w:t xml:space="preserve"> through increased clarity of standards and expectations.</w:t>
            </w:r>
          </w:p>
          <w:p w14:paraId="27F48B2C" w14:textId="77777777" w:rsidR="00F40B56" w:rsidRDefault="00F40B56" w:rsidP="00F40B56">
            <w:pPr>
              <w:pStyle w:val="ListParagraph"/>
              <w:numPr>
                <w:ilvl w:val="0"/>
                <w:numId w:val="8"/>
              </w:numPr>
            </w:pPr>
            <w:r>
              <w:t>Increased transparency in decision-making.</w:t>
            </w:r>
          </w:p>
          <w:p w14:paraId="2C95CCFD" w14:textId="6B8BE6B5" w:rsidR="00F40B56" w:rsidRDefault="00F40B56" w:rsidP="00F40B56">
            <w:pPr>
              <w:pStyle w:val="ListParagraph"/>
              <w:numPr>
                <w:ilvl w:val="0"/>
                <w:numId w:val="6"/>
              </w:numPr>
            </w:pPr>
            <w:r>
              <w:t>Increased efficiency in government processes as supported by compliance transparency.</w:t>
            </w:r>
          </w:p>
        </w:tc>
      </w:tr>
      <w:tr w:rsidR="00ED12B7" w14:paraId="7DBFBF91" w14:textId="77777777" w:rsidTr="007D61D8">
        <w:tc>
          <w:tcPr>
            <w:tcW w:w="1980" w:type="dxa"/>
          </w:tcPr>
          <w:p w14:paraId="5698319E" w14:textId="6AF69B70" w:rsidR="00ED12B7" w:rsidRPr="00F40B56" w:rsidRDefault="00ED12B7" w:rsidP="006E6B6C">
            <w:r w:rsidRPr="00F40B56">
              <w:t>Community</w:t>
            </w:r>
          </w:p>
        </w:tc>
        <w:tc>
          <w:tcPr>
            <w:tcW w:w="3118" w:type="dxa"/>
          </w:tcPr>
          <w:p w14:paraId="27B459DC" w14:textId="51A178D9" w:rsidR="00ED12B7" w:rsidRDefault="00EE6EFF" w:rsidP="00B470D1">
            <w:pPr>
              <w:pStyle w:val="ListParagraph"/>
              <w:numPr>
                <w:ilvl w:val="0"/>
                <w:numId w:val="7"/>
              </w:numPr>
            </w:pPr>
            <w:r>
              <w:t>Higher prices for goods a</w:t>
            </w:r>
            <w:r w:rsidR="00CF0858">
              <w:t>nd services (highly unlikely).</w:t>
            </w:r>
          </w:p>
        </w:tc>
        <w:tc>
          <w:tcPr>
            <w:tcW w:w="3918" w:type="dxa"/>
          </w:tcPr>
          <w:p w14:paraId="417BFF58" w14:textId="47591498" w:rsidR="00ED12B7" w:rsidRDefault="00EE6EFF" w:rsidP="00B470D1">
            <w:pPr>
              <w:pStyle w:val="ListParagraph"/>
              <w:numPr>
                <w:ilvl w:val="0"/>
                <w:numId w:val="7"/>
              </w:numPr>
            </w:pPr>
            <w:r>
              <w:t>Protection of public health and environmental values.</w:t>
            </w:r>
          </w:p>
          <w:p w14:paraId="4CE81022" w14:textId="375147BE" w:rsidR="00B470D1" w:rsidRDefault="00B470D1" w:rsidP="00B470D1">
            <w:pPr>
              <w:pStyle w:val="ListParagraph"/>
              <w:numPr>
                <w:ilvl w:val="0"/>
                <w:numId w:val="7"/>
              </w:numPr>
            </w:pPr>
            <w:r>
              <w:t xml:space="preserve">Improved health and wellbeing outcomes associated with reduced </w:t>
            </w:r>
            <w:r w:rsidR="00732C33">
              <w:t>likelihood</w:t>
            </w:r>
            <w:r>
              <w:t xml:space="preserve"> of pollution</w:t>
            </w:r>
            <w:r w:rsidR="00732C33">
              <w:t>.</w:t>
            </w:r>
          </w:p>
        </w:tc>
      </w:tr>
    </w:tbl>
    <w:p w14:paraId="17D71476" w14:textId="07C68908" w:rsidR="00564C70" w:rsidRDefault="00564C70" w:rsidP="009C4EF8">
      <w:pPr>
        <w:pStyle w:val="Heading1"/>
      </w:pPr>
      <w:bookmarkStart w:id="13" w:name="_Toc27144982"/>
      <w:r>
        <w:lastRenderedPageBreak/>
        <w:t>Consultation</w:t>
      </w:r>
      <w:bookmarkEnd w:id="13"/>
    </w:p>
    <w:p w14:paraId="3138C224" w14:textId="523D0B3D" w:rsidR="00564C70" w:rsidRDefault="00564C70">
      <w:r>
        <w:t xml:space="preserve">A </w:t>
      </w:r>
      <w:r w:rsidR="008107D6">
        <w:rPr>
          <w:iCs/>
        </w:rPr>
        <w:t>draft</w:t>
      </w:r>
      <w:r w:rsidR="008107D6">
        <w:rPr>
          <w:i/>
        </w:rPr>
        <w:t xml:space="preserve"> </w:t>
      </w:r>
      <w:r w:rsidRPr="005F4D0B">
        <w:rPr>
          <w:iCs/>
        </w:rPr>
        <w:t>ACT Environment Protection (Automotive Industry) Code of Practice</w:t>
      </w:r>
      <w:r>
        <w:rPr>
          <w:i/>
        </w:rPr>
        <w:t xml:space="preserve"> </w:t>
      </w:r>
      <w:r>
        <w:t>was released for public consultation</w:t>
      </w:r>
      <w:r>
        <w:rPr>
          <w:i/>
        </w:rPr>
        <w:t xml:space="preserve"> </w:t>
      </w:r>
      <w:r>
        <w:t xml:space="preserve">in </w:t>
      </w:r>
      <w:r w:rsidR="00446B9C">
        <w:t>June </w:t>
      </w:r>
      <w:r>
        <w:t xml:space="preserve">2019. </w:t>
      </w:r>
      <w:r w:rsidR="001E469C">
        <w:t xml:space="preserve">This meets the requirement under section 31 of </w:t>
      </w:r>
      <w:r w:rsidR="000B3B06">
        <w:t>the Act</w:t>
      </w:r>
      <w:r w:rsidR="00801EF6">
        <w:t>,</w:t>
      </w:r>
      <w:r w:rsidR="000B3B06">
        <w:t xml:space="preserve"> </w:t>
      </w:r>
      <w:r w:rsidR="001E469C">
        <w:t xml:space="preserve">which provides that </w:t>
      </w:r>
      <w:r w:rsidR="00446B9C">
        <w:t xml:space="preserve">a </w:t>
      </w:r>
      <w:r w:rsidR="00801EF6">
        <w:t xml:space="preserve">code of practice </w:t>
      </w:r>
      <w:r w:rsidR="001E469C">
        <w:t>must be prepared in consultation with those affected</w:t>
      </w:r>
      <w:r w:rsidR="00446B9C">
        <w:t>,</w:t>
      </w:r>
      <w:r w:rsidR="001E469C">
        <w:t xml:space="preserve"> as well as the public.</w:t>
      </w:r>
    </w:p>
    <w:p w14:paraId="697CBFA9" w14:textId="27B0D489" w:rsidR="001E469C" w:rsidRDefault="00446B9C" w:rsidP="00EA75F3">
      <w:pPr>
        <w:keepNext/>
      </w:pPr>
      <w:r>
        <w:t xml:space="preserve">The draft </w:t>
      </w:r>
      <w:r w:rsidR="008107D6">
        <w:t>c</w:t>
      </w:r>
      <w:r>
        <w:t xml:space="preserve">ode </w:t>
      </w:r>
      <w:r w:rsidR="001E469C">
        <w:t>was prepared in consultation with the ACT Motor Trades Association as the key stakeholder group</w:t>
      </w:r>
      <w:r w:rsidR="000B3B06">
        <w:t xml:space="preserve"> and the Environment Protection Authority which administers and regulates the Act</w:t>
      </w:r>
      <w:r w:rsidR="001E469C">
        <w:t>. External communication methods included:</w:t>
      </w:r>
    </w:p>
    <w:p w14:paraId="71D19567" w14:textId="45D661A3" w:rsidR="001E469C" w:rsidRDefault="000154D1" w:rsidP="001E469C">
      <w:pPr>
        <w:pStyle w:val="ListParagraph"/>
        <w:numPr>
          <w:ilvl w:val="0"/>
          <w:numId w:val="1"/>
        </w:numPr>
      </w:pPr>
      <w:r>
        <w:t>e</w:t>
      </w:r>
      <w:r w:rsidR="008074C3">
        <w:t xml:space="preserve">mails and letters </w:t>
      </w:r>
      <w:r>
        <w:t xml:space="preserve">to targeted stakeholders (e.g. mechanics) inviting them to comment on the draft </w:t>
      </w:r>
      <w:r w:rsidR="008107D6">
        <w:t>c</w:t>
      </w:r>
      <w:r>
        <w:t>ode</w:t>
      </w:r>
    </w:p>
    <w:p w14:paraId="105D768C" w14:textId="4C6C8A33" w:rsidR="000154D1" w:rsidRDefault="000154D1" w:rsidP="001E469C">
      <w:pPr>
        <w:pStyle w:val="ListParagraph"/>
        <w:numPr>
          <w:ilvl w:val="0"/>
          <w:numId w:val="1"/>
        </w:numPr>
      </w:pPr>
      <w:r>
        <w:t xml:space="preserve">provision of the draft </w:t>
      </w:r>
      <w:r w:rsidR="008107D6">
        <w:t>c</w:t>
      </w:r>
      <w:r>
        <w:t>ode and information on the Environment, Planning and Sustainable Development Directorate website</w:t>
      </w:r>
    </w:p>
    <w:p w14:paraId="6C99A283" w14:textId="77777777" w:rsidR="000154D1" w:rsidRDefault="000154D1" w:rsidP="001E469C">
      <w:pPr>
        <w:pStyle w:val="ListParagraph"/>
        <w:numPr>
          <w:ilvl w:val="0"/>
          <w:numId w:val="1"/>
        </w:numPr>
      </w:pPr>
      <w:r>
        <w:t>advertisement as a latest news item on the EPSDD website</w:t>
      </w:r>
    </w:p>
    <w:p w14:paraId="5A93AA2F" w14:textId="57D2C809" w:rsidR="000154D1" w:rsidRPr="001E469C" w:rsidRDefault="000154D1" w:rsidP="000154D1">
      <w:pPr>
        <w:pStyle w:val="ListParagraph"/>
        <w:numPr>
          <w:ilvl w:val="0"/>
          <w:numId w:val="1"/>
        </w:numPr>
      </w:pPr>
      <w:r>
        <w:t xml:space="preserve">talking points to Access Canberra. </w:t>
      </w:r>
    </w:p>
    <w:p w14:paraId="404FF35F" w14:textId="7AFE9426" w:rsidR="00446B9C" w:rsidRDefault="00577091" w:rsidP="00446B9C">
      <w:r>
        <w:t xml:space="preserve">One comment was received and is incorporated in the final version of the </w:t>
      </w:r>
      <w:r w:rsidR="008107D6">
        <w:t>c</w:t>
      </w:r>
      <w:r>
        <w:t>ode.</w:t>
      </w:r>
    </w:p>
    <w:p w14:paraId="6DF4A50A" w14:textId="1A8A223B" w:rsidR="00564C70" w:rsidRDefault="00564C70" w:rsidP="009C4EF8">
      <w:pPr>
        <w:pStyle w:val="Heading1"/>
      </w:pPr>
      <w:bookmarkStart w:id="14" w:name="_Toc27144983"/>
      <w:r w:rsidRPr="00564C70">
        <w:t>Conclusion</w:t>
      </w:r>
      <w:bookmarkEnd w:id="14"/>
    </w:p>
    <w:p w14:paraId="4B6EA746" w14:textId="13867CE7" w:rsidR="00A71E3F" w:rsidRDefault="00A71E3F" w:rsidP="00A71E3F">
      <w:r>
        <w:t xml:space="preserve">The regulatory option to develop and implement the </w:t>
      </w:r>
      <w:r w:rsidR="008107D6">
        <w:t>c</w:t>
      </w:r>
      <w:r>
        <w:t>ode is the preferred option</w:t>
      </w:r>
      <w:r w:rsidR="00934C5F">
        <w:t xml:space="preserve"> that yields the greatest net benefit (i.e. improved health/environmental outcomes resulting from improved standards and compliance)</w:t>
      </w:r>
      <w:r>
        <w:t>. Not only was this option requested directly from industry, it provides the following key benefits</w:t>
      </w:r>
      <w:r w:rsidR="00934C5F">
        <w:t>, all of which lead to improved health and environmental outcomes</w:t>
      </w:r>
      <w:r>
        <w:t>:</w:t>
      </w:r>
    </w:p>
    <w:p w14:paraId="52853617" w14:textId="61CF6B50" w:rsidR="00A71E3F" w:rsidRDefault="00934C5F" w:rsidP="00934C5F">
      <w:pPr>
        <w:pStyle w:val="ListParagraph"/>
        <w:numPr>
          <w:ilvl w:val="0"/>
          <w:numId w:val="9"/>
        </w:numPr>
      </w:pPr>
      <w:r>
        <w:t>increased clarity with industry operators around obligations, expectations and standards</w:t>
      </w:r>
    </w:p>
    <w:p w14:paraId="3B1D129D" w14:textId="68289840" w:rsidR="00934C5F" w:rsidRDefault="00934C5F" w:rsidP="00934C5F">
      <w:pPr>
        <w:pStyle w:val="ListParagraph"/>
        <w:numPr>
          <w:ilvl w:val="0"/>
          <w:numId w:val="9"/>
        </w:numPr>
      </w:pPr>
      <w:r>
        <w:t>improved transparency through record keeping, monitoring and reporting</w:t>
      </w:r>
    </w:p>
    <w:p w14:paraId="45480C1C" w14:textId="34723EBD" w:rsidR="00D333DA" w:rsidRDefault="00934C5F" w:rsidP="00D333DA">
      <w:pPr>
        <w:pStyle w:val="ListParagraph"/>
        <w:numPr>
          <w:ilvl w:val="0"/>
          <w:numId w:val="9"/>
        </w:numPr>
      </w:pPr>
      <w:r>
        <w:t>increased transparency of regulator decision-making.</w:t>
      </w:r>
    </w:p>
    <w:p w14:paraId="1DDDAE75" w14:textId="26559C42" w:rsidR="00D333DA" w:rsidRPr="00D333DA" w:rsidRDefault="00D333DA" w:rsidP="00D333DA">
      <w:r>
        <w:t xml:space="preserve">The absence of this </w:t>
      </w:r>
      <w:r w:rsidR="008107D6">
        <w:t>c</w:t>
      </w:r>
      <w:r>
        <w:t xml:space="preserve">ode, or the publication of non-statutory guidelines, means that </w:t>
      </w:r>
      <w:r w:rsidR="00EA75F3">
        <w:t>uptake</w:t>
      </w:r>
      <w:r>
        <w:t xml:space="preserve"> of best practices and standards is voluntary. Under the </w:t>
      </w:r>
      <w:r w:rsidR="008107D6">
        <w:t>c</w:t>
      </w:r>
      <w:r>
        <w:t xml:space="preserve">ode, operators do have the option to meet the stated </w:t>
      </w:r>
      <w:r w:rsidR="002B2AFA">
        <w:t>requirements</w:t>
      </w:r>
      <w:r>
        <w:t xml:space="preserve"> by alternative means if necessary, providing flexibility.</w:t>
      </w:r>
    </w:p>
    <w:p w14:paraId="4A717AC5" w14:textId="723D8F9D" w:rsidR="00B65B48" w:rsidRPr="00A71E3F" w:rsidRDefault="00934C5F" w:rsidP="00934C5F">
      <w:r>
        <w:t xml:space="preserve">Since the automotive industry is already required to meet their obligation of general environmental duty, this RIS assumes that most operators in the automotive industry already take necessary action to mitigate pollution. Since the </w:t>
      </w:r>
      <w:r w:rsidR="008107D6">
        <w:t>c</w:t>
      </w:r>
      <w:r>
        <w:t xml:space="preserve">ode does not introduce any new offences or increased obligations, it is not expected that the costs to the industry will be significant if they are already attempting to meet their environmental protection obligations. If an operator identifies a gap in their operations in meeting the standards of the </w:t>
      </w:r>
      <w:r w:rsidR="008107D6">
        <w:t>c</w:t>
      </w:r>
      <w:r>
        <w:t xml:space="preserve">ode, it is likely to be a one-off cost and reflects the value of the </w:t>
      </w:r>
      <w:r w:rsidR="008107D6">
        <w:t>c</w:t>
      </w:r>
      <w:r>
        <w:t>ode in its ability to assist operators comply with legislation.</w:t>
      </w:r>
    </w:p>
    <w:p w14:paraId="0A3DADE7" w14:textId="3436D6DF" w:rsidR="00934C5F" w:rsidRDefault="00934C5F" w:rsidP="00934C5F">
      <w:pPr>
        <w:pStyle w:val="Heading1"/>
      </w:pPr>
      <w:bookmarkStart w:id="15" w:name="_Toc27144984"/>
      <w:r>
        <w:t>Implementation</w:t>
      </w:r>
      <w:r w:rsidR="00843F0F">
        <w:t xml:space="preserve"> and enforcement</w:t>
      </w:r>
      <w:bookmarkEnd w:id="15"/>
    </w:p>
    <w:p w14:paraId="79FB8696" w14:textId="7C0B9A16" w:rsidR="00843F0F" w:rsidRPr="00843F0F" w:rsidRDefault="00843F0F" w:rsidP="00843F0F">
      <w:r>
        <w:t xml:space="preserve">The </w:t>
      </w:r>
      <w:r w:rsidR="008107D6">
        <w:t>c</w:t>
      </w:r>
      <w:r>
        <w:t>ode will be implemented by t</w:t>
      </w:r>
      <w:r w:rsidR="00346EB7">
        <w:t xml:space="preserve">he </w:t>
      </w:r>
      <w:r>
        <w:t xml:space="preserve">EPA, who are already responsible for administering environment protection </w:t>
      </w:r>
      <w:r w:rsidR="002B2AFA">
        <w:t>legislation</w:t>
      </w:r>
      <w:r w:rsidR="00346EB7">
        <w:t xml:space="preserve"> in the ACT, including within the automotive trade industry</w:t>
      </w:r>
      <w:r>
        <w:t xml:space="preserve">. </w:t>
      </w:r>
      <w:r w:rsidR="00346EB7">
        <w:t xml:space="preserve">No additional activities </w:t>
      </w:r>
      <w:r w:rsidR="002B2AFA">
        <w:t xml:space="preserve">are </w:t>
      </w:r>
      <w:r w:rsidR="00346EB7">
        <w:t xml:space="preserve">expected following the publication of the </w:t>
      </w:r>
      <w:r w:rsidR="008107D6">
        <w:t>c</w:t>
      </w:r>
      <w:r w:rsidR="00346EB7">
        <w:t xml:space="preserve">ode. Rather, improved efficiencies are anticipated related to the ability to compare actions of industry operators with the </w:t>
      </w:r>
      <w:r w:rsidR="002B2AFA">
        <w:t>requirements</w:t>
      </w:r>
      <w:r w:rsidR="00346EB7">
        <w:t xml:space="preserve"> set out by the </w:t>
      </w:r>
      <w:r w:rsidR="008107D6">
        <w:t>c</w:t>
      </w:r>
      <w:r w:rsidR="00346EB7">
        <w:t>ode.</w:t>
      </w:r>
    </w:p>
    <w:p w14:paraId="75B27FC7" w14:textId="64233859" w:rsidR="00127610" w:rsidRDefault="00346EB7" w:rsidP="00843F0F">
      <w:r>
        <w:t xml:space="preserve">The </w:t>
      </w:r>
      <w:r w:rsidR="008107D6">
        <w:t>c</w:t>
      </w:r>
      <w:r>
        <w:t xml:space="preserve">ode </w:t>
      </w:r>
      <w:r w:rsidR="00127610">
        <w:t>is an accessibility-designed document that is</w:t>
      </w:r>
      <w:r>
        <w:t xml:space="preserve"> clear and easy-to-understand</w:t>
      </w:r>
      <w:r w:rsidR="00127610">
        <w:t>.</w:t>
      </w:r>
    </w:p>
    <w:p w14:paraId="4F99C4C7" w14:textId="1291929E" w:rsidR="00127610" w:rsidRDefault="00127610" w:rsidP="00843F0F">
      <w:r>
        <w:t>It is</w:t>
      </w:r>
      <w:r w:rsidR="00346EB7">
        <w:t xml:space="preserve"> consistent with existing environmental protection regulatory policy.</w:t>
      </w:r>
    </w:p>
    <w:p w14:paraId="34A26798" w14:textId="4247E888" w:rsidR="00346EB7" w:rsidRPr="00346EB7" w:rsidRDefault="00346EB7" w:rsidP="00843F0F">
      <w:r>
        <w:lastRenderedPageBreak/>
        <w:t xml:space="preserve">The </w:t>
      </w:r>
      <w:r w:rsidR="008107D6">
        <w:t>c</w:t>
      </w:r>
      <w:r>
        <w:t>ode will be made available on the Access Canberra webpage (consistent with other environment protection documents).</w:t>
      </w:r>
      <w:r w:rsidR="00127610">
        <w:t xml:space="preserve"> I</w:t>
      </w:r>
      <w:r>
        <w:t xml:space="preserve">n addition to email correspondence to stakeholders </w:t>
      </w:r>
      <w:r w:rsidR="00127610">
        <w:t>providing</w:t>
      </w:r>
      <w:r>
        <w:t xml:space="preserve"> a link to the digital copy</w:t>
      </w:r>
      <w:r w:rsidR="00127610">
        <w:t xml:space="preserve">, a </w:t>
      </w:r>
      <w:r>
        <w:t>hard-copy</w:t>
      </w:r>
      <w:r w:rsidR="00127610">
        <w:t xml:space="preserve"> version</w:t>
      </w:r>
      <w:r>
        <w:t xml:space="preserve"> of the </w:t>
      </w:r>
      <w:r w:rsidR="008107D6">
        <w:t>c</w:t>
      </w:r>
      <w:r>
        <w:t xml:space="preserve">ode will be </w:t>
      </w:r>
      <w:r w:rsidR="002B2AFA">
        <w:t xml:space="preserve">made available on request. </w:t>
      </w:r>
    </w:p>
    <w:p w14:paraId="16D75DEA" w14:textId="05DA71FE" w:rsidR="00127610" w:rsidRPr="00127610" w:rsidRDefault="00577091" w:rsidP="00843F0F">
      <w:r>
        <w:t xml:space="preserve">If a business assesses themselves </w:t>
      </w:r>
      <w:r w:rsidR="00FC45D2">
        <w:t>a</w:t>
      </w:r>
      <w:r>
        <w:t xml:space="preserve">s not meeting the </w:t>
      </w:r>
      <w:r w:rsidR="002B2AFA">
        <w:t>requirements</w:t>
      </w:r>
      <w:r>
        <w:t xml:space="preserve"> set out in the </w:t>
      </w:r>
      <w:r w:rsidR="008107D6">
        <w:t>c</w:t>
      </w:r>
      <w:r>
        <w:t xml:space="preserve">ode, there may be some </w:t>
      </w:r>
      <w:r w:rsidR="00CF0858">
        <w:t xml:space="preserve">costs and </w:t>
      </w:r>
      <w:r>
        <w:t>impacts associated with changes to practices or installation of</w:t>
      </w:r>
      <w:r w:rsidR="007C5071">
        <w:t xml:space="preserve"> </w:t>
      </w:r>
      <w:r>
        <w:t xml:space="preserve">equipment/infrastructure. Once established, the maintenance of an environmental management plan and </w:t>
      </w:r>
      <w:r w:rsidR="009F1683">
        <w:t>requirements</w:t>
      </w:r>
      <w:r>
        <w:t xml:space="preserve"> of the </w:t>
      </w:r>
      <w:r w:rsidR="008107D6">
        <w:t>c</w:t>
      </w:r>
      <w:r>
        <w:t xml:space="preserve">ode </w:t>
      </w:r>
      <w:r w:rsidR="008107D6">
        <w:t xml:space="preserve">are </w:t>
      </w:r>
      <w:r>
        <w:t xml:space="preserve">not expected to </w:t>
      </w:r>
      <w:r w:rsidR="00CF0858">
        <w:t>place</w:t>
      </w:r>
      <w:r>
        <w:t xml:space="preserve"> significant additional burden on business</w:t>
      </w:r>
      <w:r w:rsidR="00CF0858">
        <w:t>es</w:t>
      </w:r>
      <w:r>
        <w:t xml:space="preserve">. In the instance of an inspection or audit, the </w:t>
      </w:r>
      <w:r w:rsidR="008107D6">
        <w:t>c</w:t>
      </w:r>
      <w:r>
        <w:t>ode should ease compliance and paper burden through improved clarity of expectations and resources for record keeping and checklists.</w:t>
      </w:r>
    </w:p>
    <w:p w14:paraId="74D577A9" w14:textId="4107F157" w:rsidR="00127610" w:rsidRDefault="00127610" w:rsidP="00843F0F">
      <w:r>
        <w:t xml:space="preserve">There is no provision under the Act or within the </w:t>
      </w:r>
      <w:r w:rsidR="008107D6">
        <w:t>c</w:t>
      </w:r>
      <w:r>
        <w:t xml:space="preserve">ode requiring review or revocation. While environment protection regulatory policy remains relatively consistent, the </w:t>
      </w:r>
      <w:r w:rsidR="008107D6">
        <w:t>c</w:t>
      </w:r>
      <w:r>
        <w:t xml:space="preserve">ode will be updated as needed as best practice management standards and expectations improve over time. If new legislative requirements affect the </w:t>
      </w:r>
      <w:r w:rsidR="008107D6">
        <w:t>c</w:t>
      </w:r>
      <w:r>
        <w:t xml:space="preserve">ode, or if the inherent intention of the </w:t>
      </w:r>
      <w:r w:rsidR="008107D6">
        <w:t>c</w:t>
      </w:r>
      <w:r>
        <w:t>ode is not being achieved, it will be reviewed as needed.</w:t>
      </w:r>
    </w:p>
    <w:p w14:paraId="3FEC286E" w14:textId="679AF55C" w:rsidR="00001221" w:rsidRDefault="00001221" w:rsidP="00001221">
      <w:pPr>
        <w:pStyle w:val="Heading1"/>
      </w:pPr>
      <w:bookmarkStart w:id="16" w:name="_Toc27144985"/>
      <w:r>
        <w:t>Consistency with Scrutiny of Bills Committee’s principles</w:t>
      </w:r>
      <w:bookmarkEnd w:id="16"/>
    </w:p>
    <w:p w14:paraId="69B68F23" w14:textId="148C7424" w:rsidR="00A91D50" w:rsidRPr="00FC45D2" w:rsidRDefault="00A06067" w:rsidP="00FE3340">
      <w:r w:rsidRPr="00FC45D2">
        <w:t xml:space="preserve">The </w:t>
      </w:r>
      <w:r w:rsidR="008107D6">
        <w:t>c</w:t>
      </w:r>
      <w:r w:rsidRPr="00FC45D2">
        <w:t>ode</w:t>
      </w:r>
      <w:r w:rsidR="00001221" w:rsidRPr="00FC45D2">
        <w:t xml:space="preserve"> </w:t>
      </w:r>
      <w:r w:rsidR="00FE3340" w:rsidRPr="00FC45D2">
        <w:t>is consistent with the Scrutiny of Bills Committee’s terms of reference</w:t>
      </w:r>
      <w:r w:rsidR="002475E0" w:rsidRPr="00FC45D2">
        <w:t xml:space="preserve">. </w:t>
      </w:r>
      <w:r w:rsidR="00171BF2" w:rsidRPr="00FC45D2">
        <w:t xml:space="preserve">The </w:t>
      </w:r>
      <w:r w:rsidR="008107D6">
        <w:t>c</w:t>
      </w:r>
      <w:r w:rsidRPr="00FC45D2">
        <w:t>ode</w:t>
      </w:r>
      <w:r w:rsidR="00171BF2" w:rsidRPr="00FC45D2">
        <w:t xml:space="preserve"> provides guidance on best management practices for businesses to meet their general environmental duty under the</w:t>
      </w:r>
      <w:r w:rsidR="00F945E7" w:rsidRPr="00FC45D2">
        <w:t xml:space="preserve"> </w:t>
      </w:r>
      <w:r w:rsidR="00171BF2" w:rsidRPr="00FC45D2">
        <w:t>Act.</w:t>
      </w:r>
      <w:r w:rsidR="003001A9">
        <w:t xml:space="preserve"> I</w:t>
      </w:r>
      <w:r w:rsidR="00F65FAE" w:rsidRPr="00FC45D2">
        <w:t xml:space="preserve">t </w:t>
      </w:r>
      <w:r w:rsidR="000B106A" w:rsidRPr="00FC45D2">
        <w:t>does not impact personal rights. Nor does it make rights, liberties, or obligations unduly dependent upon insufficiently defined administrative powers or non-reviewable decisions</w:t>
      </w:r>
      <w:r w:rsidR="00351ABF" w:rsidRPr="00FC45D2">
        <w:t xml:space="preserve">. </w:t>
      </w:r>
      <w:r w:rsidRPr="00FC45D2">
        <w:t xml:space="preserve">The </w:t>
      </w:r>
      <w:r w:rsidR="008107D6">
        <w:t>c</w:t>
      </w:r>
      <w:r w:rsidRPr="00FC45D2">
        <w:t>ode</w:t>
      </w:r>
      <w:r w:rsidR="00F945E7" w:rsidRPr="00FC45D2">
        <w:t xml:space="preserve"> does not affect the </w:t>
      </w:r>
      <w:r w:rsidR="00F81BD9" w:rsidRPr="00FC45D2">
        <w:t>measures provided for by</w:t>
      </w:r>
      <w:r w:rsidR="00F945E7" w:rsidRPr="00FC45D2">
        <w:t xml:space="preserve"> the Act to require compliance with the general environmental duty</w:t>
      </w:r>
      <w:r w:rsidR="00F81BD9" w:rsidRPr="00FC45D2">
        <w:t>,</w:t>
      </w:r>
      <w:r w:rsidR="00F945E7" w:rsidRPr="00FC45D2">
        <w:t xml:space="preserve"> through actions such as </w:t>
      </w:r>
      <w:r w:rsidR="00F81BD9" w:rsidRPr="00FC45D2">
        <w:t xml:space="preserve">issuing </w:t>
      </w:r>
      <w:r w:rsidR="00F945E7" w:rsidRPr="00FC45D2">
        <w:t xml:space="preserve">environment protection orders. Serving an environment protection order is a reviewable decision under </w:t>
      </w:r>
      <w:r w:rsidRPr="00FC45D2">
        <w:t>s</w:t>
      </w:r>
      <w:r w:rsidR="00F945E7" w:rsidRPr="00FC45D2">
        <w:t xml:space="preserve">chedule 3 of the Act. </w:t>
      </w:r>
      <w:r w:rsidR="00351ABF" w:rsidRPr="00FC45D2">
        <w:t xml:space="preserve">The </w:t>
      </w:r>
      <w:r w:rsidR="008107D6">
        <w:t>c</w:t>
      </w:r>
      <w:r w:rsidRPr="00FC45D2">
        <w:t>ode</w:t>
      </w:r>
      <w:r w:rsidR="00356E42" w:rsidRPr="00FC45D2">
        <w:t xml:space="preserve"> does not delegate any function</w:t>
      </w:r>
      <w:r w:rsidR="00047C87" w:rsidRPr="00FC45D2">
        <w:t xml:space="preserve"> and</w:t>
      </w:r>
      <w:r w:rsidR="000B106A" w:rsidRPr="00FC45D2">
        <w:t>,</w:t>
      </w:r>
      <w:r w:rsidR="00047C87" w:rsidRPr="00FC45D2">
        <w:t xml:space="preserve"> a</w:t>
      </w:r>
      <w:r w:rsidR="002475E0" w:rsidRPr="00FC45D2">
        <w:t xml:space="preserve">s a disallowable instrument, </w:t>
      </w:r>
      <w:r w:rsidR="00047C87" w:rsidRPr="00FC45D2">
        <w:t xml:space="preserve">it </w:t>
      </w:r>
      <w:r w:rsidR="002475E0" w:rsidRPr="00FC45D2">
        <w:t>is subject to scrutiny in the Legislative Assembly.</w:t>
      </w:r>
    </w:p>
    <w:p w14:paraId="7C225D2B" w14:textId="77777777" w:rsidR="00171BF2" w:rsidRDefault="00171BF2" w:rsidP="00FE3340">
      <w:pPr>
        <w:rPr>
          <w:u w:val="single"/>
        </w:rPr>
      </w:pPr>
    </w:p>
    <w:p w14:paraId="0CFCBE86" w14:textId="77777777" w:rsidR="00171BF2" w:rsidRDefault="00171BF2" w:rsidP="00FE3340">
      <w:pPr>
        <w:rPr>
          <w:u w:val="single"/>
        </w:rPr>
      </w:pPr>
    </w:p>
    <w:p w14:paraId="0409D7E6" w14:textId="3BD0063F" w:rsidR="00001221" w:rsidRPr="00FC45D2" w:rsidRDefault="00001221" w:rsidP="00171BF2">
      <w:pPr>
        <w:rPr>
          <w:u w:val="single"/>
        </w:rPr>
      </w:pPr>
    </w:p>
    <w:sectPr w:rsidR="00001221" w:rsidRPr="00FC45D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FB4E5" w14:textId="77777777" w:rsidR="00E43586" w:rsidRDefault="00E43586" w:rsidP="00CF0858">
      <w:pPr>
        <w:spacing w:after="0" w:line="240" w:lineRule="auto"/>
      </w:pPr>
      <w:r>
        <w:separator/>
      </w:r>
    </w:p>
  </w:endnote>
  <w:endnote w:type="continuationSeparator" w:id="0">
    <w:p w14:paraId="099F6165" w14:textId="77777777" w:rsidR="00E43586" w:rsidRDefault="00E43586" w:rsidP="00CF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55EB" w14:textId="77777777" w:rsidR="005677FE" w:rsidRDefault="00567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AF76" w14:textId="34C3AE6C" w:rsidR="00FC45D2" w:rsidRDefault="00FC45D2" w:rsidP="00FC45D2">
    <w:pPr>
      <w:pStyle w:val="Footer"/>
      <w:jc w:val="center"/>
      <w:rPr>
        <w:noProof/>
      </w:rPr>
    </w:pPr>
    <w:r>
      <w:fldChar w:fldCharType="begin"/>
    </w:r>
    <w:r>
      <w:instrText xml:space="preserve"> PAGE   \* MERGEFORMAT </w:instrText>
    </w:r>
    <w:r>
      <w:fldChar w:fldCharType="separate"/>
    </w:r>
    <w:r>
      <w:rPr>
        <w:noProof/>
      </w:rPr>
      <w:t>1</w:t>
    </w:r>
    <w:r>
      <w:fldChar w:fldCharType="end"/>
    </w:r>
    <w:r>
      <w:t xml:space="preserve"> of </w:t>
    </w:r>
    <w:r w:rsidR="005677FE">
      <w:fldChar w:fldCharType="begin"/>
    </w:r>
    <w:r w:rsidR="005677FE">
      <w:instrText xml:space="preserve"> NUMPAGES   \* MERGEFORMAT </w:instrText>
    </w:r>
    <w:r w:rsidR="005677FE">
      <w:fldChar w:fldCharType="separate"/>
    </w:r>
    <w:r>
      <w:rPr>
        <w:noProof/>
      </w:rPr>
      <w:t>6</w:t>
    </w:r>
    <w:r w:rsidR="005677FE">
      <w:rPr>
        <w:noProof/>
      </w:rPr>
      <w:fldChar w:fldCharType="end"/>
    </w:r>
  </w:p>
  <w:p w14:paraId="52072572" w14:textId="4BEBEDB0" w:rsidR="00E4368C" w:rsidRPr="005677FE" w:rsidRDefault="005677FE" w:rsidP="005677FE">
    <w:pPr>
      <w:pStyle w:val="Footer"/>
      <w:jc w:val="center"/>
      <w:rPr>
        <w:rFonts w:ascii="Arial" w:hAnsi="Arial" w:cs="Arial"/>
        <w:sz w:val="14"/>
      </w:rPr>
    </w:pPr>
    <w:r w:rsidRPr="005677F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5AD09" w14:textId="77777777" w:rsidR="005677FE" w:rsidRDefault="00567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C4B5B" w14:textId="77777777" w:rsidR="00E43586" w:rsidRDefault="00E43586" w:rsidP="00CF0858">
      <w:pPr>
        <w:spacing w:after="0" w:line="240" w:lineRule="auto"/>
      </w:pPr>
      <w:r>
        <w:separator/>
      </w:r>
    </w:p>
  </w:footnote>
  <w:footnote w:type="continuationSeparator" w:id="0">
    <w:p w14:paraId="10B3B579" w14:textId="77777777" w:rsidR="00E43586" w:rsidRDefault="00E43586" w:rsidP="00CF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9EF77" w14:textId="77777777" w:rsidR="005677FE" w:rsidRDefault="00567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892A5" w14:textId="77777777" w:rsidR="005677FE" w:rsidRDefault="00567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C4C74" w14:textId="77777777" w:rsidR="005677FE" w:rsidRDefault="00567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36A6F"/>
    <w:multiLevelType w:val="hybridMultilevel"/>
    <w:tmpl w:val="569C1B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07A2B11"/>
    <w:multiLevelType w:val="hybridMultilevel"/>
    <w:tmpl w:val="DF880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570383"/>
    <w:multiLevelType w:val="hybridMultilevel"/>
    <w:tmpl w:val="E16EF286"/>
    <w:lvl w:ilvl="0" w:tplc="9A0C52B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532CE6"/>
    <w:multiLevelType w:val="hybridMultilevel"/>
    <w:tmpl w:val="78549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717B85"/>
    <w:multiLevelType w:val="hybridMultilevel"/>
    <w:tmpl w:val="E020A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0222E0"/>
    <w:multiLevelType w:val="hybridMultilevel"/>
    <w:tmpl w:val="678E2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B940F9"/>
    <w:multiLevelType w:val="hybridMultilevel"/>
    <w:tmpl w:val="E6B09E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5416C69"/>
    <w:multiLevelType w:val="hybridMultilevel"/>
    <w:tmpl w:val="952C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041F7E"/>
    <w:multiLevelType w:val="hybridMultilevel"/>
    <w:tmpl w:val="DCFE9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D270B9"/>
    <w:multiLevelType w:val="hybridMultilevel"/>
    <w:tmpl w:val="90069818"/>
    <w:lvl w:ilvl="0" w:tplc="FCB42AE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3658F3"/>
    <w:multiLevelType w:val="hybridMultilevel"/>
    <w:tmpl w:val="AA8AE5FA"/>
    <w:lvl w:ilvl="0" w:tplc="D3B69B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7F24144"/>
    <w:multiLevelType w:val="hybridMultilevel"/>
    <w:tmpl w:val="F1F020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3"/>
  </w:num>
  <w:num w:numId="4">
    <w:abstractNumId w:val="8"/>
  </w:num>
  <w:num w:numId="5">
    <w:abstractNumId w:val="7"/>
  </w:num>
  <w:num w:numId="6">
    <w:abstractNumId w:val="11"/>
  </w:num>
  <w:num w:numId="7">
    <w:abstractNumId w:val="6"/>
  </w:num>
  <w:num w:numId="8">
    <w:abstractNumId w:val="0"/>
  </w:num>
  <w:num w:numId="9">
    <w:abstractNumId w:val="4"/>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70"/>
    <w:rsid w:val="00001221"/>
    <w:rsid w:val="000154D1"/>
    <w:rsid w:val="000350D5"/>
    <w:rsid w:val="00047C87"/>
    <w:rsid w:val="00066EAD"/>
    <w:rsid w:val="000B106A"/>
    <w:rsid w:val="000B3B06"/>
    <w:rsid w:val="000C37CD"/>
    <w:rsid w:val="000D5DD3"/>
    <w:rsid w:val="000F6074"/>
    <w:rsid w:val="00103099"/>
    <w:rsid w:val="00127610"/>
    <w:rsid w:val="001370C7"/>
    <w:rsid w:val="001611B5"/>
    <w:rsid w:val="00171BF2"/>
    <w:rsid w:val="001805C2"/>
    <w:rsid w:val="001B3625"/>
    <w:rsid w:val="001E469C"/>
    <w:rsid w:val="00241E9E"/>
    <w:rsid w:val="002475E0"/>
    <w:rsid w:val="0025218A"/>
    <w:rsid w:val="00263A4A"/>
    <w:rsid w:val="00290398"/>
    <w:rsid w:val="002B2AFA"/>
    <w:rsid w:val="002E0762"/>
    <w:rsid w:val="003001A9"/>
    <w:rsid w:val="00346EB7"/>
    <w:rsid w:val="00351ABF"/>
    <w:rsid w:val="00356E42"/>
    <w:rsid w:val="00391F20"/>
    <w:rsid w:val="003D5253"/>
    <w:rsid w:val="0043205C"/>
    <w:rsid w:val="004451F3"/>
    <w:rsid w:val="00446B9C"/>
    <w:rsid w:val="00453D47"/>
    <w:rsid w:val="0046310A"/>
    <w:rsid w:val="004672AE"/>
    <w:rsid w:val="004813DA"/>
    <w:rsid w:val="004933FE"/>
    <w:rsid w:val="00536F0C"/>
    <w:rsid w:val="00564C70"/>
    <w:rsid w:val="005677FE"/>
    <w:rsid w:val="0057432F"/>
    <w:rsid w:val="00577091"/>
    <w:rsid w:val="00595A8C"/>
    <w:rsid w:val="005A1AED"/>
    <w:rsid w:val="005F4D0B"/>
    <w:rsid w:val="006663FE"/>
    <w:rsid w:val="006D6BB3"/>
    <w:rsid w:val="006E6B6C"/>
    <w:rsid w:val="00716629"/>
    <w:rsid w:val="007221F3"/>
    <w:rsid w:val="00732C33"/>
    <w:rsid w:val="00780FE9"/>
    <w:rsid w:val="007961AC"/>
    <w:rsid w:val="007C5071"/>
    <w:rsid w:val="007D48DB"/>
    <w:rsid w:val="007D5A17"/>
    <w:rsid w:val="007D61D8"/>
    <w:rsid w:val="007F291F"/>
    <w:rsid w:val="00801EF6"/>
    <w:rsid w:val="008074C3"/>
    <w:rsid w:val="008107D6"/>
    <w:rsid w:val="0082734E"/>
    <w:rsid w:val="00835981"/>
    <w:rsid w:val="00843F0F"/>
    <w:rsid w:val="00891117"/>
    <w:rsid w:val="008A2EEA"/>
    <w:rsid w:val="008D2D90"/>
    <w:rsid w:val="008D5CEA"/>
    <w:rsid w:val="009146DA"/>
    <w:rsid w:val="0092515C"/>
    <w:rsid w:val="009261E4"/>
    <w:rsid w:val="00934C5F"/>
    <w:rsid w:val="00977084"/>
    <w:rsid w:val="0097790A"/>
    <w:rsid w:val="009B6F23"/>
    <w:rsid w:val="009C4EF8"/>
    <w:rsid w:val="009F1683"/>
    <w:rsid w:val="00A06067"/>
    <w:rsid w:val="00A107F6"/>
    <w:rsid w:val="00A10EF6"/>
    <w:rsid w:val="00A71E3F"/>
    <w:rsid w:val="00A7751F"/>
    <w:rsid w:val="00A91D50"/>
    <w:rsid w:val="00A9689F"/>
    <w:rsid w:val="00AA1474"/>
    <w:rsid w:val="00AE1B5C"/>
    <w:rsid w:val="00B211A6"/>
    <w:rsid w:val="00B470D1"/>
    <w:rsid w:val="00B65B48"/>
    <w:rsid w:val="00B726AA"/>
    <w:rsid w:val="00BB0538"/>
    <w:rsid w:val="00BC53C1"/>
    <w:rsid w:val="00BD7952"/>
    <w:rsid w:val="00BD7D5A"/>
    <w:rsid w:val="00BE0BCB"/>
    <w:rsid w:val="00BE4FE9"/>
    <w:rsid w:val="00C152E7"/>
    <w:rsid w:val="00C207B2"/>
    <w:rsid w:val="00C85305"/>
    <w:rsid w:val="00C94D41"/>
    <w:rsid w:val="00C96615"/>
    <w:rsid w:val="00CC23E3"/>
    <w:rsid w:val="00CF0858"/>
    <w:rsid w:val="00CF38D3"/>
    <w:rsid w:val="00D06F3F"/>
    <w:rsid w:val="00D24B01"/>
    <w:rsid w:val="00D333DA"/>
    <w:rsid w:val="00D35EB3"/>
    <w:rsid w:val="00D8794C"/>
    <w:rsid w:val="00D95727"/>
    <w:rsid w:val="00D95F9F"/>
    <w:rsid w:val="00DC6B84"/>
    <w:rsid w:val="00DD745D"/>
    <w:rsid w:val="00E154BA"/>
    <w:rsid w:val="00E43586"/>
    <w:rsid w:val="00E4368C"/>
    <w:rsid w:val="00E8348C"/>
    <w:rsid w:val="00E87B29"/>
    <w:rsid w:val="00EA75F3"/>
    <w:rsid w:val="00EC2AC5"/>
    <w:rsid w:val="00ED12B7"/>
    <w:rsid w:val="00EE08E2"/>
    <w:rsid w:val="00EE6EFF"/>
    <w:rsid w:val="00F134DE"/>
    <w:rsid w:val="00F2634D"/>
    <w:rsid w:val="00F26BEA"/>
    <w:rsid w:val="00F40B56"/>
    <w:rsid w:val="00F5787E"/>
    <w:rsid w:val="00F65FAE"/>
    <w:rsid w:val="00F730C3"/>
    <w:rsid w:val="00F81BD9"/>
    <w:rsid w:val="00F81C3F"/>
    <w:rsid w:val="00F945E7"/>
    <w:rsid w:val="00FA6770"/>
    <w:rsid w:val="00FB295B"/>
    <w:rsid w:val="00FC45D2"/>
    <w:rsid w:val="00FD1EF9"/>
    <w:rsid w:val="00FE3340"/>
    <w:rsid w:val="00FE3B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176800"/>
  <w15:chartTrackingRefBased/>
  <w15:docId w15:val="{BF61F697-6AA8-425F-93B4-7007E75B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2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52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0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69C"/>
    <w:pPr>
      <w:ind w:left="720"/>
      <w:contextualSpacing/>
    </w:pPr>
  </w:style>
  <w:style w:type="table" w:styleId="TableGrid">
    <w:name w:val="Table Grid"/>
    <w:basedOn w:val="TableNormal"/>
    <w:uiPriority w:val="39"/>
    <w:rsid w:val="00835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48DB"/>
    <w:rPr>
      <w:sz w:val="16"/>
      <w:szCs w:val="16"/>
    </w:rPr>
  </w:style>
  <w:style w:type="paragraph" w:styleId="CommentText">
    <w:name w:val="annotation text"/>
    <w:basedOn w:val="Normal"/>
    <w:link w:val="CommentTextChar"/>
    <w:uiPriority w:val="99"/>
    <w:semiHidden/>
    <w:unhideWhenUsed/>
    <w:rsid w:val="007D48DB"/>
    <w:pPr>
      <w:spacing w:line="240" w:lineRule="auto"/>
    </w:pPr>
    <w:rPr>
      <w:sz w:val="20"/>
      <w:szCs w:val="20"/>
    </w:rPr>
  </w:style>
  <w:style w:type="character" w:customStyle="1" w:styleId="CommentTextChar">
    <w:name w:val="Comment Text Char"/>
    <w:basedOn w:val="DefaultParagraphFont"/>
    <w:link w:val="CommentText"/>
    <w:uiPriority w:val="99"/>
    <w:semiHidden/>
    <w:rsid w:val="007D48DB"/>
    <w:rPr>
      <w:sz w:val="20"/>
      <w:szCs w:val="20"/>
    </w:rPr>
  </w:style>
  <w:style w:type="paragraph" w:styleId="CommentSubject">
    <w:name w:val="annotation subject"/>
    <w:basedOn w:val="CommentText"/>
    <w:next w:val="CommentText"/>
    <w:link w:val="CommentSubjectChar"/>
    <w:uiPriority w:val="99"/>
    <w:semiHidden/>
    <w:unhideWhenUsed/>
    <w:rsid w:val="007D48DB"/>
    <w:rPr>
      <w:b/>
      <w:bCs/>
    </w:rPr>
  </w:style>
  <w:style w:type="character" w:customStyle="1" w:styleId="CommentSubjectChar">
    <w:name w:val="Comment Subject Char"/>
    <w:basedOn w:val="CommentTextChar"/>
    <w:link w:val="CommentSubject"/>
    <w:uiPriority w:val="99"/>
    <w:semiHidden/>
    <w:rsid w:val="007D48DB"/>
    <w:rPr>
      <w:b/>
      <w:bCs/>
      <w:sz w:val="20"/>
      <w:szCs w:val="20"/>
    </w:rPr>
  </w:style>
  <w:style w:type="paragraph" w:styleId="BalloonText">
    <w:name w:val="Balloon Text"/>
    <w:basedOn w:val="Normal"/>
    <w:link w:val="BalloonTextChar"/>
    <w:uiPriority w:val="99"/>
    <w:semiHidden/>
    <w:unhideWhenUsed/>
    <w:rsid w:val="007D48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8DB"/>
    <w:rPr>
      <w:rFonts w:ascii="Segoe UI" w:hAnsi="Segoe UI" w:cs="Segoe UI"/>
      <w:sz w:val="18"/>
      <w:szCs w:val="18"/>
    </w:rPr>
  </w:style>
  <w:style w:type="character" w:customStyle="1" w:styleId="Heading1Char">
    <w:name w:val="Heading 1 Char"/>
    <w:basedOn w:val="DefaultParagraphFont"/>
    <w:link w:val="Heading1"/>
    <w:uiPriority w:val="9"/>
    <w:rsid w:val="00C152E7"/>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C152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52E7"/>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C152E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C152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2E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C152E7"/>
    <w:pPr>
      <w:outlineLvl w:val="9"/>
    </w:pPr>
    <w:rPr>
      <w:lang w:bidi="ar-SA"/>
    </w:rPr>
  </w:style>
  <w:style w:type="paragraph" w:styleId="TOC1">
    <w:name w:val="toc 1"/>
    <w:basedOn w:val="Normal"/>
    <w:next w:val="Normal"/>
    <w:autoRedefine/>
    <w:uiPriority w:val="39"/>
    <w:unhideWhenUsed/>
    <w:rsid w:val="00C152E7"/>
    <w:pPr>
      <w:spacing w:after="100"/>
    </w:pPr>
  </w:style>
  <w:style w:type="character" w:styleId="Hyperlink">
    <w:name w:val="Hyperlink"/>
    <w:basedOn w:val="DefaultParagraphFont"/>
    <w:uiPriority w:val="99"/>
    <w:unhideWhenUsed/>
    <w:rsid w:val="00C152E7"/>
    <w:rPr>
      <w:color w:val="0563C1" w:themeColor="hyperlink"/>
      <w:u w:val="single"/>
    </w:rPr>
  </w:style>
  <w:style w:type="character" w:customStyle="1" w:styleId="Heading3Char">
    <w:name w:val="Heading 3 Char"/>
    <w:basedOn w:val="DefaultParagraphFont"/>
    <w:link w:val="Heading3"/>
    <w:uiPriority w:val="9"/>
    <w:rsid w:val="000F607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9C4EF8"/>
    <w:pPr>
      <w:spacing w:after="100"/>
      <w:ind w:left="220"/>
    </w:pPr>
  </w:style>
  <w:style w:type="paragraph" w:customStyle="1" w:styleId="Default">
    <w:name w:val="Default"/>
    <w:rsid w:val="006E6B6C"/>
    <w:pPr>
      <w:autoSpaceDE w:val="0"/>
      <w:autoSpaceDN w:val="0"/>
      <w:adjustRightInd w:val="0"/>
      <w:spacing w:after="0" w:line="240" w:lineRule="auto"/>
    </w:pPr>
    <w:rPr>
      <w:rFonts w:ascii="Calibri" w:hAnsi="Calibri" w:cs="Calibri"/>
      <w:color w:val="000000"/>
      <w:sz w:val="24"/>
      <w:szCs w:val="24"/>
      <w:lang w:val="en-AU" w:bidi="ar-SA"/>
    </w:rPr>
  </w:style>
  <w:style w:type="paragraph" w:styleId="Caption">
    <w:name w:val="caption"/>
    <w:basedOn w:val="Normal"/>
    <w:next w:val="Normal"/>
    <w:uiPriority w:val="35"/>
    <w:unhideWhenUsed/>
    <w:qFormat/>
    <w:rsid w:val="00DD745D"/>
    <w:pPr>
      <w:spacing w:after="200" w:line="240" w:lineRule="auto"/>
    </w:pPr>
    <w:rPr>
      <w:i/>
      <w:iCs/>
      <w:color w:val="44546A" w:themeColor="text2"/>
      <w:sz w:val="18"/>
      <w:szCs w:val="18"/>
    </w:rPr>
  </w:style>
  <w:style w:type="paragraph" w:styleId="TOC3">
    <w:name w:val="toc 3"/>
    <w:basedOn w:val="Normal"/>
    <w:next w:val="Normal"/>
    <w:autoRedefine/>
    <w:uiPriority w:val="39"/>
    <w:unhideWhenUsed/>
    <w:rsid w:val="00EE6EFF"/>
    <w:pPr>
      <w:spacing w:after="100"/>
      <w:ind w:left="440"/>
    </w:pPr>
  </w:style>
  <w:style w:type="paragraph" w:styleId="Header">
    <w:name w:val="header"/>
    <w:basedOn w:val="Normal"/>
    <w:link w:val="HeaderChar"/>
    <w:uiPriority w:val="99"/>
    <w:unhideWhenUsed/>
    <w:rsid w:val="00CF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858"/>
  </w:style>
  <w:style w:type="paragraph" w:styleId="Footer">
    <w:name w:val="footer"/>
    <w:basedOn w:val="Normal"/>
    <w:link w:val="FooterChar"/>
    <w:uiPriority w:val="99"/>
    <w:unhideWhenUsed/>
    <w:rsid w:val="00CF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4A81F-702C-4DD8-8033-F0DB8A44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2270</Words>
  <Characters>13328</Characters>
  <Application>Microsoft Office Word</Application>
  <DocSecurity>0</DocSecurity>
  <Lines>263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2019-12-13T05:05:00Z</dcterms:created>
  <dcterms:modified xsi:type="dcterms:W3CDTF">2019-12-13T05:05:00Z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A21207716</vt:lpwstr>
  </property>
  <property fmtid="{D5CDD505-2E9C-101B-9397-08002B2CF9AE}" pid="4" name="Objective-Title">
    <vt:lpwstr>06. ATTACHMENT D - Regulatory Impact Statement - Environment Protection (Automotive Trades) Code of Practice</vt:lpwstr>
  </property>
  <property fmtid="{D5CDD505-2E9C-101B-9397-08002B2CF9AE}" pid="5" name="Objective-Comment">
    <vt:lpwstr/>
  </property>
  <property fmtid="{D5CDD505-2E9C-101B-9397-08002B2CF9AE}" pid="6" name="Objective-CreationStamp">
    <vt:filetime>2019-08-30T02:15:09Z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2019-10-23T01:01:24Z</vt:filetime>
  </property>
  <property fmtid="{D5CDD505-2E9C-101B-9397-08002B2CF9AE}" pid="10" name="Objective-ModificationStamp">
    <vt:filetime>2019-10-23T01:01:24Z</vt:filetime>
  </property>
  <property fmtid="{D5CDD505-2E9C-101B-9397-08002B2CF9AE}" pid="11" name="Objective-Owner">
    <vt:lpwstr>Kelly Dobson</vt:lpwstr>
  </property>
  <property fmtid="{D5CDD505-2E9C-101B-9397-08002B2CF9AE}" pid="12" name="Objective-Path">
    <vt:lpwstr>Whole of ACT Government:EPSDD - Environment Planning and Sustainable Development Directorate:07. Ministerial, Cabinet and Government Relations:06. Ministerials:2019 -  Ministerial and Chief Ministerial Briefs / Correspondence:Environment:19/28001 - 19/290</vt:lpwstr>
  </property>
  <property fmtid="{D5CDD505-2E9C-101B-9397-08002B2CF9AE}" pid="13" name="Objective-Parent">
    <vt:lpwstr>19/28194 - Ministerial Brief - Environment Protection (Automotive Trades) Code of Practice</vt:lpwstr>
  </property>
  <property fmtid="{D5CDD505-2E9C-101B-9397-08002B2CF9AE}" pid="14" name="Objective-State">
    <vt:lpwstr>Published</vt:lpwstr>
  </property>
  <property fmtid="{D5CDD505-2E9C-101B-9397-08002B2CF9AE}" pid="15" name="Objective-Version">
    <vt:lpwstr>13.0</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1-2019/28194</vt:lpwstr>
  </property>
  <property fmtid="{D5CDD505-2E9C-101B-9397-08002B2CF9AE}" pid="19" name="Objective-Classification">
    <vt:lpwstr>[Inherited - Unclassified (beige file cover)]</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