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8383" w14:textId="7ACF14E4" w:rsidR="009E5708" w:rsidRPr="009E5708" w:rsidRDefault="003C2F5C" w:rsidP="0083455A">
      <w:pPr>
        <w:jc w:val="center"/>
        <w:rPr>
          <w:b/>
          <w:sz w:val="32"/>
        </w:rPr>
      </w:pPr>
      <w:bookmarkStart w:id="0" w:name="_GoBack"/>
      <w:bookmarkEnd w:id="0"/>
      <w:r>
        <w:rPr>
          <w:b/>
          <w:sz w:val="32"/>
        </w:rPr>
        <w:t xml:space="preserve"> </w:t>
      </w:r>
      <w:r w:rsidR="0083455A" w:rsidRPr="006362B6">
        <w:rPr>
          <w:b/>
          <w:noProof/>
        </w:rPr>
        <w:drawing>
          <wp:inline distT="0" distB="0" distL="0" distR="0" wp14:anchorId="580EF343" wp14:editId="5097470D">
            <wp:extent cx="2028825" cy="752475"/>
            <wp:effectExtent l="0" t="0" r="9525" b="9525"/>
            <wp:docPr id="2" name="Picture 2"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54C3F6DB" w14:textId="77777777" w:rsidR="0083455A" w:rsidRDefault="0083455A" w:rsidP="0083455A">
      <w:pPr>
        <w:jc w:val="center"/>
        <w:rPr>
          <w:b/>
          <w:sz w:val="32"/>
        </w:rPr>
      </w:pPr>
    </w:p>
    <w:p w14:paraId="1676D826" w14:textId="17E6E4AA" w:rsidR="00B14A51" w:rsidRPr="00012B96" w:rsidRDefault="00B14A51" w:rsidP="00012B96">
      <w:pPr>
        <w:rPr>
          <w:bCs w:val="0"/>
          <w:sz w:val="32"/>
        </w:rPr>
      </w:pPr>
    </w:p>
    <w:p w14:paraId="7CE20739" w14:textId="6072A96C" w:rsidR="0083455A" w:rsidRDefault="0083455A" w:rsidP="0083455A">
      <w:pPr>
        <w:jc w:val="center"/>
        <w:rPr>
          <w:b/>
          <w:sz w:val="32"/>
        </w:rPr>
      </w:pPr>
      <w:r>
        <w:rPr>
          <w:b/>
          <w:sz w:val="32"/>
        </w:rPr>
        <w:t>Energy Efficiency Improvement Scheme</w:t>
      </w:r>
    </w:p>
    <w:p w14:paraId="063C037B" w14:textId="35CF56FF" w:rsidR="002C3A14" w:rsidRDefault="00BD7E99" w:rsidP="0083455A">
      <w:pPr>
        <w:jc w:val="center"/>
        <w:rPr>
          <w:b/>
          <w:sz w:val="32"/>
        </w:rPr>
      </w:pPr>
      <w:r>
        <w:rPr>
          <w:b/>
          <w:sz w:val="32"/>
        </w:rPr>
        <w:t xml:space="preserve">Setting Key Scheme Parameters </w:t>
      </w:r>
      <w:r w:rsidR="00F06A56">
        <w:rPr>
          <w:b/>
          <w:sz w:val="32"/>
        </w:rPr>
        <w:t>for 2021</w:t>
      </w:r>
      <w:r w:rsidR="00E752BC">
        <w:rPr>
          <w:b/>
          <w:sz w:val="32"/>
        </w:rPr>
        <w:t xml:space="preserve"> by Disallowable Instruments:</w:t>
      </w:r>
    </w:p>
    <w:p w14:paraId="3120164C" w14:textId="79AF3584" w:rsidR="00E752BC" w:rsidRPr="009C6255" w:rsidRDefault="00B54AD3" w:rsidP="00B54AD3">
      <w:pPr>
        <w:rPr>
          <w:bCs w:val="0"/>
          <w:sz w:val="32"/>
        </w:rPr>
      </w:pPr>
      <w:r w:rsidRPr="00012B96">
        <w:rPr>
          <w:bCs w:val="0"/>
          <w:i/>
          <w:iCs/>
          <w:sz w:val="32"/>
        </w:rPr>
        <w:t>Energy Efficiency (Cost of Living) Improvement (Energy Savings Target) Determination 2020</w:t>
      </w:r>
      <w:r>
        <w:rPr>
          <w:bCs w:val="0"/>
          <w:i/>
          <w:iCs/>
          <w:sz w:val="32"/>
        </w:rPr>
        <w:t xml:space="preserve"> (No 1)</w:t>
      </w:r>
      <w:r w:rsidR="00223090" w:rsidRPr="009C6255">
        <w:rPr>
          <w:bCs w:val="0"/>
          <w:sz w:val="32"/>
        </w:rPr>
        <w:t xml:space="preserve"> DI2020-219</w:t>
      </w:r>
    </w:p>
    <w:p w14:paraId="1D07B0A3" w14:textId="5C997381" w:rsidR="00B54AD3" w:rsidRPr="009C6255" w:rsidRDefault="00B54AD3" w:rsidP="00B54AD3">
      <w:pPr>
        <w:rPr>
          <w:bCs w:val="0"/>
          <w:sz w:val="32"/>
        </w:rPr>
      </w:pPr>
      <w:r w:rsidRPr="00012B96">
        <w:rPr>
          <w:bCs w:val="0"/>
          <w:i/>
          <w:iCs/>
          <w:sz w:val="32"/>
        </w:rPr>
        <w:t>Energy Efficiency (Cost of Living) Improvement (Energy Savings Contribution) Determination 2020</w:t>
      </w:r>
      <w:r>
        <w:rPr>
          <w:bCs w:val="0"/>
          <w:i/>
          <w:iCs/>
          <w:sz w:val="32"/>
        </w:rPr>
        <w:t xml:space="preserve"> (No 1)</w:t>
      </w:r>
      <w:r w:rsidR="00223090" w:rsidRPr="009C6255">
        <w:rPr>
          <w:bCs w:val="0"/>
          <w:sz w:val="32"/>
        </w:rPr>
        <w:t xml:space="preserve"> DI2020-220</w:t>
      </w:r>
    </w:p>
    <w:p w14:paraId="15B322EF" w14:textId="5A581E05" w:rsidR="0026275A" w:rsidRPr="009C6255" w:rsidRDefault="0026275A" w:rsidP="00012B96">
      <w:pPr>
        <w:rPr>
          <w:bCs w:val="0"/>
          <w:sz w:val="32"/>
        </w:rPr>
      </w:pPr>
      <w:r>
        <w:rPr>
          <w:bCs w:val="0"/>
          <w:i/>
          <w:iCs/>
          <w:sz w:val="32"/>
        </w:rPr>
        <w:t>Energy Efficiency (Cost of Living) Improvement (Penalties for Noncompliance) Determination 2020 (No 1)</w:t>
      </w:r>
      <w:r w:rsidR="00223090" w:rsidRPr="009C6255">
        <w:rPr>
          <w:bCs w:val="0"/>
          <w:sz w:val="32"/>
        </w:rPr>
        <w:t xml:space="preserve"> DI2020-221</w:t>
      </w:r>
    </w:p>
    <w:p w14:paraId="744D3A9B" w14:textId="77777777" w:rsidR="00012B96" w:rsidRDefault="00012B96" w:rsidP="00012B96">
      <w:pPr>
        <w:rPr>
          <w:b/>
          <w:sz w:val="32"/>
        </w:rPr>
      </w:pPr>
      <w:r w:rsidRPr="009E5708">
        <w:rPr>
          <w:b/>
          <w:sz w:val="32"/>
        </w:rPr>
        <w:t>Regulatory Impact Statement</w:t>
      </w:r>
    </w:p>
    <w:p w14:paraId="07257598" w14:textId="36E14975" w:rsidR="009E5708" w:rsidRPr="00012B96" w:rsidRDefault="0083455A" w:rsidP="00012B96">
      <w:pPr>
        <w:rPr>
          <w:b/>
        </w:rPr>
      </w:pPr>
      <w:r w:rsidRPr="00012B96">
        <w:rPr>
          <w:b/>
        </w:rPr>
        <w:t xml:space="preserve">Prepared in accordance with Chapter 5 of the </w:t>
      </w:r>
      <w:r w:rsidRPr="00012B96">
        <w:rPr>
          <w:b/>
          <w:i/>
        </w:rPr>
        <w:t>Legislation Act 2001</w:t>
      </w:r>
    </w:p>
    <w:p w14:paraId="431CFE9E" w14:textId="43465605" w:rsidR="00012B96" w:rsidRPr="00012B96" w:rsidRDefault="001B4D28" w:rsidP="00012B96">
      <w:pPr>
        <w:rPr>
          <w:b/>
          <w:bCs w:val="0"/>
        </w:rPr>
      </w:pPr>
      <w:r w:rsidRPr="00012B96">
        <w:rPr>
          <w:b/>
          <w:bCs w:val="0"/>
        </w:rPr>
        <w:t>June</w:t>
      </w:r>
      <w:r w:rsidR="002C3A14" w:rsidRPr="00012B96">
        <w:rPr>
          <w:b/>
          <w:bCs w:val="0"/>
        </w:rPr>
        <w:t xml:space="preserve"> 20</w:t>
      </w:r>
      <w:r w:rsidR="0067098D" w:rsidRPr="00012B96">
        <w:rPr>
          <w:b/>
          <w:bCs w:val="0"/>
        </w:rPr>
        <w:t>20</w:t>
      </w:r>
    </w:p>
    <w:p w14:paraId="418F2A40" w14:textId="3C71A8C8" w:rsidR="00012B96" w:rsidRDefault="00012B96">
      <w:pPr>
        <w:autoSpaceDE/>
        <w:autoSpaceDN/>
        <w:adjustRightInd/>
        <w:spacing w:after="0" w:line="240" w:lineRule="auto"/>
      </w:pPr>
      <w:r>
        <w:br w:type="page"/>
      </w:r>
    </w:p>
    <w:p w14:paraId="3A1755D0" w14:textId="77777777" w:rsidR="00A7342D" w:rsidRDefault="00A7342D" w:rsidP="0083455A">
      <w:pPr>
        <w:jc w:val="center"/>
      </w:pPr>
    </w:p>
    <w:bookmarkStart w:id="1" w:name="_Toc41558428" w:displacedByCustomXml="next"/>
    <w:bookmarkStart w:id="2" w:name="_Toc41575582" w:displacedByCustomXml="next"/>
    <w:sdt>
      <w:sdtPr>
        <w:rPr>
          <w:rFonts w:ascii="Calibri" w:eastAsia="Times New Roman" w:hAnsi="Calibri" w:cs="Times New Roman"/>
          <w:b w:val="0"/>
          <w:bCs/>
          <w:color w:val="auto"/>
          <w:sz w:val="22"/>
          <w:szCs w:val="22"/>
        </w:rPr>
        <w:id w:val="3211125"/>
        <w:docPartObj>
          <w:docPartGallery w:val="Table of Contents"/>
          <w:docPartUnique/>
        </w:docPartObj>
      </w:sdtPr>
      <w:sdtEndPr>
        <w:rPr>
          <w:rFonts w:asciiTheme="minorHAnsi" w:hAnsiTheme="minorHAnsi" w:cs="Calibri-Bold"/>
          <w:sz w:val="24"/>
          <w:szCs w:val="24"/>
        </w:rPr>
      </w:sdtEndPr>
      <w:sdtContent>
        <w:p w14:paraId="4A60C84B" w14:textId="77777777" w:rsidR="00C3417F" w:rsidRPr="00BA3F99" w:rsidRDefault="00C3417F" w:rsidP="00621CB9">
          <w:pPr>
            <w:pStyle w:val="Heading1"/>
            <w:numPr>
              <w:ilvl w:val="0"/>
              <w:numId w:val="0"/>
            </w:numPr>
            <w:ind w:left="284"/>
          </w:pPr>
          <w:r w:rsidRPr="00BA3F99">
            <w:t>Contents</w:t>
          </w:r>
          <w:bookmarkEnd w:id="2"/>
          <w:bookmarkEnd w:id="1"/>
        </w:p>
        <w:p w14:paraId="3056810D" w14:textId="2F42D23D" w:rsidR="002873AB" w:rsidRDefault="00B707E3">
          <w:pPr>
            <w:pStyle w:val="TOC1"/>
            <w:rPr>
              <w:rFonts w:eastAsiaTheme="minorEastAsia" w:cstheme="minorBidi"/>
              <w:bCs w:val="0"/>
              <w:noProof/>
              <w:sz w:val="22"/>
              <w:szCs w:val="22"/>
            </w:rPr>
          </w:pPr>
          <w:r>
            <w:fldChar w:fldCharType="begin"/>
          </w:r>
          <w:r w:rsidR="00C3417F">
            <w:instrText xml:space="preserve"> TOC \o "1-3" \h \z \u </w:instrText>
          </w:r>
          <w:r>
            <w:fldChar w:fldCharType="separate"/>
          </w:r>
        </w:p>
        <w:p w14:paraId="01A19ACE" w14:textId="322D5924" w:rsidR="002873AB" w:rsidRDefault="0067454F">
          <w:pPr>
            <w:pStyle w:val="TOC1"/>
            <w:rPr>
              <w:rFonts w:eastAsiaTheme="minorEastAsia" w:cstheme="minorBidi"/>
              <w:bCs w:val="0"/>
              <w:noProof/>
              <w:sz w:val="22"/>
              <w:szCs w:val="22"/>
            </w:rPr>
          </w:pPr>
          <w:hyperlink w:anchor="_Toc41575583" w:history="1">
            <w:r w:rsidR="002873AB" w:rsidRPr="009C66D7">
              <w:rPr>
                <w:rStyle w:val="Hyperlink"/>
                <w:noProof/>
              </w:rPr>
              <w:t>1.</w:t>
            </w:r>
            <w:r w:rsidR="002873AB">
              <w:rPr>
                <w:rFonts w:eastAsiaTheme="minorEastAsia" w:cstheme="minorBidi"/>
                <w:bCs w:val="0"/>
                <w:noProof/>
                <w:sz w:val="22"/>
                <w:szCs w:val="22"/>
              </w:rPr>
              <w:tab/>
            </w:r>
            <w:r w:rsidR="002873AB" w:rsidRPr="009C66D7">
              <w:rPr>
                <w:rStyle w:val="Hyperlink"/>
                <w:noProof/>
              </w:rPr>
              <w:t>Executive Summary</w:t>
            </w:r>
            <w:r w:rsidR="002873AB">
              <w:rPr>
                <w:noProof/>
                <w:webHidden/>
              </w:rPr>
              <w:tab/>
            </w:r>
            <w:r w:rsidR="002873AB">
              <w:rPr>
                <w:noProof/>
                <w:webHidden/>
              </w:rPr>
              <w:fldChar w:fldCharType="begin"/>
            </w:r>
            <w:r w:rsidR="002873AB">
              <w:rPr>
                <w:noProof/>
                <w:webHidden/>
              </w:rPr>
              <w:instrText xml:space="preserve"> PAGEREF _Toc41575583 \h </w:instrText>
            </w:r>
            <w:r w:rsidR="002873AB">
              <w:rPr>
                <w:noProof/>
                <w:webHidden/>
              </w:rPr>
            </w:r>
            <w:r w:rsidR="002873AB">
              <w:rPr>
                <w:noProof/>
                <w:webHidden/>
              </w:rPr>
              <w:fldChar w:fldCharType="separate"/>
            </w:r>
            <w:r w:rsidR="004104E7">
              <w:rPr>
                <w:noProof/>
                <w:webHidden/>
              </w:rPr>
              <w:t>3</w:t>
            </w:r>
            <w:r w:rsidR="002873AB">
              <w:rPr>
                <w:noProof/>
                <w:webHidden/>
              </w:rPr>
              <w:fldChar w:fldCharType="end"/>
            </w:r>
          </w:hyperlink>
        </w:p>
        <w:p w14:paraId="2FBC8476" w14:textId="0C7BEF60" w:rsidR="002873AB" w:rsidRDefault="0067454F">
          <w:pPr>
            <w:pStyle w:val="TOC1"/>
            <w:rPr>
              <w:rFonts w:eastAsiaTheme="minorEastAsia" w:cstheme="minorBidi"/>
              <w:bCs w:val="0"/>
              <w:noProof/>
              <w:sz w:val="22"/>
              <w:szCs w:val="22"/>
            </w:rPr>
          </w:pPr>
          <w:hyperlink w:anchor="_Toc41575584" w:history="1">
            <w:r w:rsidR="002873AB" w:rsidRPr="009C66D7">
              <w:rPr>
                <w:rStyle w:val="Hyperlink"/>
                <w:noProof/>
              </w:rPr>
              <w:t>1.1</w:t>
            </w:r>
            <w:r w:rsidR="002873AB">
              <w:rPr>
                <w:rFonts w:eastAsiaTheme="minorEastAsia" w:cstheme="minorBidi"/>
                <w:bCs w:val="0"/>
                <w:noProof/>
                <w:sz w:val="22"/>
                <w:szCs w:val="22"/>
              </w:rPr>
              <w:tab/>
            </w:r>
            <w:r w:rsidR="002873AB" w:rsidRPr="009C66D7">
              <w:rPr>
                <w:rStyle w:val="Hyperlink"/>
                <w:noProof/>
              </w:rPr>
              <w:t>Setting the Energy Saving Target</w:t>
            </w:r>
            <w:r w:rsidR="002873AB">
              <w:rPr>
                <w:noProof/>
                <w:webHidden/>
              </w:rPr>
              <w:tab/>
            </w:r>
            <w:r w:rsidR="002873AB">
              <w:rPr>
                <w:noProof/>
                <w:webHidden/>
              </w:rPr>
              <w:fldChar w:fldCharType="begin"/>
            </w:r>
            <w:r w:rsidR="002873AB">
              <w:rPr>
                <w:noProof/>
                <w:webHidden/>
              </w:rPr>
              <w:instrText xml:space="preserve"> PAGEREF _Toc41575584 \h </w:instrText>
            </w:r>
            <w:r w:rsidR="002873AB">
              <w:rPr>
                <w:noProof/>
                <w:webHidden/>
              </w:rPr>
            </w:r>
            <w:r w:rsidR="002873AB">
              <w:rPr>
                <w:noProof/>
                <w:webHidden/>
              </w:rPr>
              <w:fldChar w:fldCharType="separate"/>
            </w:r>
            <w:r w:rsidR="004104E7">
              <w:rPr>
                <w:noProof/>
                <w:webHidden/>
              </w:rPr>
              <w:t>4</w:t>
            </w:r>
            <w:r w:rsidR="002873AB">
              <w:rPr>
                <w:noProof/>
                <w:webHidden/>
              </w:rPr>
              <w:fldChar w:fldCharType="end"/>
            </w:r>
          </w:hyperlink>
        </w:p>
        <w:p w14:paraId="6E328279" w14:textId="4BE4D96B" w:rsidR="002873AB" w:rsidRDefault="0067454F">
          <w:pPr>
            <w:pStyle w:val="TOC1"/>
            <w:rPr>
              <w:rFonts w:eastAsiaTheme="minorEastAsia" w:cstheme="minorBidi"/>
              <w:bCs w:val="0"/>
              <w:noProof/>
              <w:sz w:val="22"/>
              <w:szCs w:val="22"/>
            </w:rPr>
          </w:pPr>
          <w:hyperlink w:anchor="_Toc41575585" w:history="1">
            <w:r w:rsidR="002873AB" w:rsidRPr="009C66D7">
              <w:rPr>
                <w:rStyle w:val="Hyperlink"/>
                <w:noProof/>
              </w:rPr>
              <w:t>2.</w:t>
            </w:r>
            <w:r w:rsidR="002873AB">
              <w:rPr>
                <w:rFonts w:eastAsiaTheme="minorEastAsia" w:cstheme="minorBidi"/>
                <w:bCs w:val="0"/>
                <w:noProof/>
                <w:sz w:val="22"/>
                <w:szCs w:val="22"/>
              </w:rPr>
              <w:tab/>
            </w:r>
            <w:r w:rsidR="002873AB" w:rsidRPr="009C66D7">
              <w:rPr>
                <w:rStyle w:val="Hyperlink"/>
                <w:noProof/>
              </w:rPr>
              <w:t>Background to the Energy Efficiency Improvement Scheme</w:t>
            </w:r>
            <w:r w:rsidR="002873AB">
              <w:rPr>
                <w:noProof/>
                <w:webHidden/>
              </w:rPr>
              <w:tab/>
            </w:r>
            <w:r w:rsidR="002873AB">
              <w:rPr>
                <w:noProof/>
                <w:webHidden/>
              </w:rPr>
              <w:fldChar w:fldCharType="begin"/>
            </w:r>
            <w:r w:rsidR="002873AB">
              <w:rPr>
                <w:noProof/>
                <w:webHidden/>
              </w:rPr>
              <w:instrText xml:space="preserve"> PAGEREF _Toc41575585 \h </w:instrText>
            </w:r>
            <w:r w:rsidR="002873AB">
              <w:rPr>
                <w:noProof/>
                <w:webHidden/>
              </w:rPr>
            </w:r>
            <w:r w:rsidR="002873AB">
              <w:rPr>
                <w:noProof/>
                <w:webHidden/>
              </w:rPr>
              <w:fldChar w:fldCharType="separate"/>
            </w:r>
            <w:r w:rsidR="004104E7">
              <w:rPr>
                <w:noProof/>
                <w:webHidden/>
              </w:rPr>
              <w:t>4</w:t>
            </w:r>
            <w:r w:rsidR="002873AB">
              <w:rPr>
                <w:noProof/>
                <w:webHidden/>
              </w:rPr>
              <w:fldChar w:fldCharType="end"/>
            </w:r>
          </w:hyperlink>
        </w:p>
        <w:p w14:paraId="22C45EF9" w14:textId="6A3F7218" w:rsidR="002873AB" w:rsidRDefault="0067454F">
          <w:pPr>
            <w:pStyle w:val="TOC1"/>
            <w:rPr>
              <w:rFonts w:eastAsiaTheme="minorEastAsia" w:cstheme="minorBidi"/>
              <w:bCs w:val="0"/>
              <w:noProof/>
              <w:sz w:val="22"/>
              <w:szCs w:val="22"/>
            </w:rPr>
          </w:pPr>
          <w:hyperlink w:anchor="_Toc41575586" w:history="1">
            <w:r w:rsidR="002873AB" w:rsidRPr="009C66D7">
              <w:rPr>
                <w:rStyle w:val="Hyperlink"/>
                <w:noProof/>
              </w:rPr>
              <w:t>3.</w:t>
            </w:r>
            <w:r w:rsidR="002873AB">
              <w:rPr>
                <w:rFonts w:eastAsiaTheme="minorEastAsia" w:cstheme="minorBidi"/>
                <w:bCs w:val="0"/>
                <w:noProof/>
                <w:sz w:val="22"/>
                <w:szCs w:val="22"/>
              </w:rPr>
              <w:tab/>
            </w:r>
            <w:r w:rsidR="002873AB" w:rsidRPr="009C66D7">
              <w:rPr>
                <w:rStyle w:val="Hyperlink"/>
                <w:noProof/>
              </w:rPr>
              <w:t>EEIS Review</w:t>
            </w:r>
            <w:r w:rsidR="002873AB">
              <w:rPr>
                <w:noProof/>
                <w:webHidden/>
              </w:rPr>
              <w:tab/>
            </w:r>
            <w:r w:rsidR="002873AB">
              <w:rPr>
                <w:noProof/>
                <w:webHidden/>
              </w:rPr>
              <w:fldChar w:fldCharType="begin"/>
            </w:r>
            <w:r w:rsidR="002873AB">
              <w:rPr>
                <w:noProof/>
                <w:webHidden/>
              </w:rPr>
              <w:instrText xml:space="preserve"> PAGEREF _Toc41575586 \h </w:instrText>
            </w:r>
            <w:r w:rsidR="002873AB">
              <w:rPr>
                <w:noProof/>
                <w:webHidden/>
              </w:rPr>
            </w:r>
            <w:r w:rsidR="002873AB">
              <w:rPr>
                <w:noProof/>
                <w:webHidden/>
              </w:rPr>
              <w:fldChar w:fldCharType="separate"/>
            </w:r>
            <w:r w:rsidR="004104E7">
              <w:rPr>
                <w:noProof/>
                <w:webHidden/>
              </w:rPr>
              <w:t>6</w:t>
            </w:r>
            <w:r w:rsidR="002873AB">
              <w:rPr>
                <w:noProof/>
                <w:webHidden/>
              </w:rPr>
              <w:fldChar w:fldCharType="end"/>
            </w:r>
          </w:hyperlink>
        </w:p>
        <w:p w14:paraId="627C2DD4" w14:textId="1F312DC5" w:rsidR="002873AB" w:rsidRDefault="0067454F">
          <w:pPr>
            <w:pStyle w:val="TOC1"/>
            <w:rPr>
              <w:rFonts w:eastAsiaTheme="minorEastAsia" w:cstheme="minorBidi"/>
              <w:bCs w:val="0"/>
              <w:noProof/>
              <w:sz w:val="22"/>
              <w:szCs w:val="22"/>
            </w:rPr>
          </w:pPr>
          <w:hyperlink w:anchor="_Toc41575587" w:history="1">
            <w:r w:rsidR="002873AB" w:rsidRPr="009C66D7">
              <w:rPr>
                <w:rStyle w:val="Hyperlink"/>
                <w:noProof/>
              </w:rPr>
              <w:t>4.</w:t>
            </w:r>
            <w:r w:rsidR="002873AB">
              <w:rPr>
                <w:rFonts w:eastAsiaTheme="minorEastAsia" w:cstheme="minorBidi"/>
                <w:bCs w:val="0"/>
                <w:noProof/>
                <w:sz w:val="22"/>
                <w:szCs w:val="22"/>
              </w:rPr>
              <w:tab/>
            </w:r>
            <w:r w:rsidR="002873AB" w:rsidRPr="009C66D7">
              <w:rPr>
                <w:rStyle w:val="Hyperlink"/>
                <w:noProof/>
              </w:rPr>
              <w:t>Extending and enhancing the EEIS</w:t>
            </w:r>
            <w:r w:rsidR="002873AB">
              <w:rPr>
                <w:noProof/>
                <w:webHidden/>
              </w:rPr>
              <w:tab/>
            </w:r>
            <w:r w:rsidR="002873AB">
              <w:rPr>
                <w:noProof/>
                <w:webHidden/>
              </w:rPr>
              <w:fldChar w:fldCharType="begin"/>
            </w:r>
            <w:r w:rsidR="002873AB">
              <w:rPr>
                <w:noProof/>
                <w:webHidden/>
              </w:rPr>
              <w:instrText xml:space="preserve"> PAGEREF _Toc41575587 \h </w:instrText>
            </w:r>
            <w:r w:rsidR="002873AB">
              <w:rPr>
                <w:noProof/>
                <w:webHidden/>
              </w:rPr>
            </w:r>
            <w:r w:rsidR="002873AB">
              <w:rPr>
                <w:noProof/>
                <w:webHidden/>
              </w:rPr>
              <w:fldChar w:fldCharType="separate"/>
            </w:r>
            <w:r w:rsidR="004104E7">
              <w:rPr>
                <w:noProof/>
                <w:webHidden/>
              </w:rPr>
              <w:t>8</w:t>
            </w:r>
            <w:r w:rsidR="002873AB">
              <w:rPr>
                <w:noProof/>
                <w:webHidden/>
              </w:rPr>
              <w:fldChar w:fldCharType="end"/>
            </w:r>
          </w:hyperlink>
        </w:p>
        <w:p w14:paraId="50F700C5" w14:textId="580AB96E" w:rsidR="002873AB" w:rsidRDefault="0067454F">
          <w:pPr>
            <w:pStyle w:val="TOC1"/>
            <w:rPr>
              <w:rFonts w:eastAsiaTheme="minorEastAsia" w:cstheme="minorBidi"/>
              <w:bCs w:val="0"/>
              <w:noProof/>
              <w:sz w:val="22"/>
              <w:szCs w:val="22"/>
            </w:rPr>
          </w:pPr>
          <w:hyperlink w:anchor="_Toc41575588" w:history="1">
            <w:r w:rsidR="002873AB" w:rsidRPr="009C66D7">
              <w:rPr>
                <w:rStyle w:val="Hyperlink"/>
                <w:noProof/>
              </w:rPr>
              <w:t>5.</w:t>
            </w:r>
            <w:r w:rsidR="002873AB">
              <w:rPr>
                <w:rFonts w:eastAsiaTheme="minorEastAsia" w:cstheme="minorBidi"/>
                <w:bCs w:val="0"/>
                <w:noProof/>
                <w:sz w:val="22"/>
                <w:szCs w:val="22"/>
              </w:rPr>
              <w:tab/>
            </w:r>
            <w:r w:rsidR="002873AB" w:rsidRPr="009C66D7">
              <w:rPr>
                <w:rStyle w:val="Hyperlink"/>
                <w:noProof/>
              </w:rPr>
              <w:t>Considering a level of ambition</w:t>
            </w:r>
            <w:r w:rsidR="002873AB">
              <w:rPr>
                <w:noProof/>
                <w:webHidden/>
              </w:rPr>
              <w:tab/>
            </w:r>
            <w:r w:rsidR="002873AB">
              <w:rPr>
                <w:noProof/>
                <w:webHidden/>
              </w:rPr>
              <w:fldChar w:fldCharType="begin"/>
            </w:r>
            <w:r w:rsidR="002873AB">
              <w:rPr>
                <w:noProof/>
                <w:webHidden/>
              </w:rPr>
              <w:instrText xml:space="preserve"> PAGEREF _Toc41575588 \h </w:instrText>
            </w:r>
            <w:r w:rsidR="002873AB">
              <w:rPr>
                <w:noProof/>
                <w:webHidden/>
              </w:rPr>
            </w:r>
            <w:r w:rsidR="002873AB">
              <w:rPr>
                <w:noProof/>
                <w:webHidden/>
              </w:rPr>
              <w:fldChar w:fldCharType="separate"/>
            </w:r>
            <w:r w:rsidR="004104E7">
              <w:rPr>
                <w:noProof/>
                <w:webHidden/>
              </w:rPr>
              <w:t>10</w:t>
            </w:r>
            <w:r w:rsidR="002873AB">
              <w:rPr>
                <w:noProof/>
                <w:webHidden/>
              </w:rPr>
              <w:fldChar w:fldCharType="end"/>
            </w:r>
          </w:hyperlink>
        </w:p>
        <w:p w14:paraId="2EE56ED8" w14:textId="3D347A66" w:rsidR="002873AB" w:rsidRDefault="0067454F">
          <w:pPr>
            <w:pStyle w:val="TOC1"/>
            <w:rPr>
              <w:rFonts w:eastAsiaTheme="minorEastAsia" w:cstheme="minorBidi"/>
              <w:bCs w:val="0"/>
              <w:noProof/>
              <w:sz w:val="22"/>
              <w:szCs w:val="22"/>
            </w:rPr>
          </w:pPr>
          <w:hyperlink w:anchor="_Toc41575589" w:history="1">
            <w:r w:rsidR="002873AB" w:rsidRPr="009C66D7">
              <w:rPr>
                <w:rStyle w:val="Hyperlink"/>
                <w:noProof/>
              </w:rPr>
              <w:t>5.1</w:t>
            </w:r>
            <w:r w:rsidR="002873AB">
              <w:rPr>
                <w:rFonts w:eastAsiaTheme="minorEastAsia" w:cstheme="minorBidi"/>
                <w:bCs w:val="0"/>
                <w:noProof/>
                <w:sz w:val="22"/>
                <w:szCs w:val="22"/>
              </w:rPr>
              <w:tab/>
            </w:r>
            <w:r w:rsidR="002873AB" w:rsidRPr="009C66D7">
              <w:rPr>
                <w:rStyle w:val="Hyperlink"/>
                <w:noProof/>
              </w:rPr>
              <w:t>Setting the Energy Saving Target</w:t>
            </w:r>
            <w:r w:rsidR="002873AB">
              <w:rPr>
                <w:noProof/>
                <w:webHidden/>
              </w:rPr>
              <w:tab/>
            </w:r>
            <w:r w:rsidR="002873AB">
              <w:rPr>
                <w:noProof/>
                <w:webHidden/>
              </w:rPr>
              <w:fldChar w:fldCharType="begin"/>
            </w:r>
            <w:r w:rsidR="002873AB">
              <w:rPr>
                <w:noProof/>
                <w:webHidden/>
              </w:rPr>
              <w:instrText xml:space="preserve"> PAGEREF _Toc41575589 \h </w:instrText>
            </w:r>
            <w:r w:rsidR="002873AB">
              <w:rPr>
                <w:noProof/>
                <w:webHidden/>
              </w:rPr>
            </w:r>
            <w:r w:rsidR="002873AB">
              <w:rPr>
                <w:noProof/>
                <w:webHidden/>
              </w:rPr>
              <w:fldChar w:fldCharType="separate"/>
            </w:r>
            <w:r w:rsidR="004104E7">
              <w:rPr>
                <w:noProof/>
                <w:webHidden/>
              </w:rPr>
              <w:t>10</w:t>
            </w:r>
            <w:r w:rsidR="002873AB">
              <w:rPr>
                <w:noProof/>
                <w:webHidden/>
              </w:rPr>
              <w:fldChar w:fldCharType="end"/>
            </w:r>
          </w:hyperlink>
        </w:p>
        <w:p w14:paraId="32DA0FD0" w14:textId="21F38071" w:rsidR="002873AB" w:rsidRDefault="0067454F">
          <w:pPr>
            <w:pStyle w:val="TOC1"/>
            <w:rPr>
              <w:rFonts w:eastAsiaTheme="minorEastAsia" w:cstheme="minorBidi"/>
              <w:bCs w:val="0"/>
              <w:noProof/>
              <w:sz w:val="22"/>
              <w:szCs w:val="22"/>
            </w:rPr>
          </w:pPr>
          <w:hyperlink w:anchor="_Toc41575590" w:history="1">
            <w:r w:rsidR="002873AB" w:rsidRPr="009C66D7">
              <w:rPr>
                <w:rStyle w:val="Hyperlink"/>
                <w:noProof/>
              </w:rPr>
              <w:t>5.2</w:t>
            </w:r>
            <w:r w:rsidR="002873AB">
              <w:rPr>
                <w:rFonts w:eastAsiaTheme="minorEastAsia" w:cstheme="minorBidi"/>
                <w:bCs w:val="0"/>
                <w:noProof/>
                <w:sz w:val="22"/>
                <w:szCs w:val="22"/>
              </w:rPr>
              <w:tab/>
            </w:r>
            <w:r w:rsidR="002873AB" w:rsidRPr="009C66D7">
              <w:rPr>
                <w:rStyle w:val="Hyperlink"/>
                <w:noProof/>
              </w:rPr>
              <w:t>Pass through costs</w:t>
            </w:r>
            <w:r w:rsidR="002873AB">
              <w:rPr>
                <w:noProof/>
                <w:webHidden/>
              </w:rPr>
              <w:tab/>
            </w:r>
            <w:r w:rsidR="002873AB">
              <w:rPr>
                <w:noProof/>
                <w:webHidden/>
              </w:rPr>
              <w:fldChar w:fldCharType="begin"/>
            </w:r>
            <w:r w:rsidR="002873AB">
              <w:rPr>
                <w:noProof/>
                <w:webHidden/>
              </w:rPr>
              <w:instrText xml:space="preserve"> PAGEREF _Toc41575590 \h </w:instrText>
            </w:r>
            <w:r w:rsidR="002873AB">
              <w:rPr>
                <w:noProof/>
                <w:webHidden/>
              </w:rPr>
            </w:r>
            <w:r w:rsidR="002873AB">
              <w:rPr>
                <w:noProof/>
                <w:webHidden/>
              </w:rPr>
              <w:fldChar w:fldCharType="separate"/>
            </w:r>
            <w:r w:rsidR="004104E7">
              <w:rPr>
                <w:noProof/>
                <w:webHidden/>
              </w:rPr>
              <w:t>12</w:t>
            </w:r>
            <w:r w:rsidR="002873AB">
              <w:rPr>
                <w:noProof/>
                <w:webHidden/>
              </w:rPr>
              <w:fldChar w:fldCharType="end"/>
            </w:r>
          </w:hyperlink>
        </w:p>
        <w:p w14:paraId="729D7301" w14:textId="5DAF5871" w:rsidR="002873AB" w:rsidRDefault="0067454F">
          <w:pPr>
            <w:pStyle w:val="TOC1"/>
            <w:rPr>
              <w:rFonts w:eastAsiaTheme="minorEastAsia" w:cstheme="minorBidi"/>
              <w:bCs w:val="0"/>
              <w:noProof/>
              <w:sz w:val="22"/>
              <w:szCs w:val="22"/>
            </w:rPr>
          </w:pPr>
          <w:hyperlink w:anchor="_Toc41575591" w:history="1">
            <w:r w:rsidR="002873AB" w:rsidRPr="009C66D7">
              <w:rPr>
                <w:rStyle w:val="Hyperlink"/>
                <w:noProof/>
              </w:rPr>
              <w:t>5.3</w:t>
            </w:r>
            <w:r w:rsidR="002873AB">
              <w:rPr>
                <w:rFonts w:eastAsiaTheme="minorEastAsia" w:cstheme="minorBidi"/>
                <w:bCs w:val="0"/>
                <w:noProof/>
                <w:sz w:val="22"/>
                <w:szCs w:val="22"/>
              </w:rPr>
              <w:tab/>
            </w:r>
            <w:r w:rsidR="002873AB" w:rsidRPr="009C66D7">
              <w:rPr>
                <w:rStyle w:val="Hyperlink"/>
                <w:noProof/>
              </w:rPr>
              <w:t>Setting the Energy Saving Contribution</w:t>
            </w:r>
            <w:r w:rsidR="002873AB">
              <w:rPr>
                <w:noProof/>
                <w:webHidden/>
              </w:rPr>
              <w:tab/>
            </w:r>
            <w:r w:rsidR="002873AB">
              <w:rPr>
                <w:noProof/>
                <w:webHidden/>
              </w:rPr>
              <w:fldChar w:fldCharType="begin"/>
            </w:r>
            <w:r w:rsidR="002873AB">
              <w:rPr>
                <w:noProof/>
                <w:webHidden/>
              </w:rPr>
              <w:instrText xml:space="preserve"> PAGEREF _Toc41575591 \h </w:instrText>
            </w:r>
            <w:r w:rsidR="002873AB">
              <w:rPr>
                <w:noProof/>
                <w:webHidden/>
              </w:rPr>
            </w:r>
            <w:r w:rsidR="002873AB">
              <w:rPr>
                <w:noProof/>
                <w:webHidden/>
              </w:rPr>
              <w:fldChar w:fldCharType="separate"/>
            </w:r>
            <w:r w:rsidR="004104E7">
              <w:rPr>
                <w:noProof/>
                <w:webHidden/>
              </w:rPr>
              <w:t>14</w:t>
            </w:r>
            <w:r w:rsidR="002873AB">
              <w:rPr>
                <w:noProof/>
                <w:webHidden/>
              </w:rPr>
              <w:fldChar w:fldCharType="end"/>
            </w:r>
          </w:hyperlink>
        </w:p>
        <w:p w14:paraId="1D51E267" w14:textId="441CBDAC" w:rsidR="002873AB" w:rsidRDefault="0067454F">
          <w:pPr>
            <w:pStyle w:val="TOC1"/>
            <w:rPr>
              <w:rFonts w:eastAsiaTheme="minorEastAsia" w:cstheme="minorBidi"/>
              <w:bCs w:val="0"/>
              <w:noProof/>
              <w:sz w:val="22"/>
              <w:szCs w:val="22"/>
            </w:rPr>
          </w:pPr>
          <w:hyperlink w:anchor="_Toc41575592" w:history="1">
            <w:r w:rsidR="002873AB" w:rsidRPr="009C66D7">
              <w:rPr>
                <w:rStyle w:val="Hyperlink"/>
                <w:noProof/>
              </w:rPr>
              <w:t>5.4</w:t>
            </w:r>
            <w:r w:rsidR="002873AB">
              <w:rPr>
                <w:rFonts w:eastAsiaTheme="minorEastAsia" w:cstheme="minorBidi"/>
                <w:bCs w:val="0"/>
                <w:noProof/>
                <w:sz w:val="22"/>
                <w:szCs w:val="22"/>
              </w:rPr>
              <w:tab/>
            </w:r>
            <w:r w:rsidR="002873AB" w:rsidRPr="009C66D7">
              <w:rPr>
                <w:rStyle w:val="Hyperlink"/>
                <w:noProof/>
              </w:rPr>
              <w:t>Setting Penalties for Noncompliance</w:t>
            </w:r>
            <w:r w:rsidR="002873AB">
              <w:rPr>
                <w:noProof/>
                <w:webHidden/>
              </w:rPr>
              <w:tab/>
            </w:r>
            <w:r w:rsidR="002873AB">
              <w:rPr>
                <w:noProof/>
                <w:webHidden/>
              </w:rPr>
              <w:fldChar w:fldCharType="begin"/>
            </w:r>
            <w:r w:rsidR="002873AB">
              <w:rPr>
                <w:noProof/>
                <w:webHidden/>
              </w:rPr>
              <w:instrText xml:space="preserve"> PAGEREF _Toc41575592 \h </w:instrText>
            </w:r>
            <w:r w:rsidR="002873AB">
              <w:rPr>
                <w:noProof/>
                <w:webHidden/>
              </w:rPr>
            </w:r>
            <w:r w:rsidR="002873AB">
              <w:rPr>
                <w:noProof/>
                <w:webHidden/>
              </w:rPr>
              <w:fldChar w:fldCharType="separate"/>
            </w:r>
            <w:r w:rsidR="004104E7">
              <w:rPr>
                <w:noProof/>
                <w:webHidden/>
              </w:rPr>
              <w:t>15</w:t>
            </w:r>
            <w:r w:rsidR="002873AB">
              <w:rPr>
                <w:noProof/>
                <w:webHidden/>
              </w:rPr>
              <w:fldChar w:fldCharType="end"/>
            </w:r>
          </w:hyperlink>
        </w:p>
        <w:p w14:paraId="696758C4" w14:textId="543739D2" w:rsidR="002873AB" w:rsidRDefault="0067454F">
          <w:pPr>
            <w:pStyle w:val="TOC1"/>
            <w:rPr>
              <w:rFonts w:eastAsiaTheme="minorEastAsia" w:cstheme="minorBidi"/>
              <w:bCs w:val="0"/>
              <w:noProof/>
              <w:sz w:val="22"/>
              <w:szCs w:val="22"/>
            </w:rPr>
          </w:pPr>
          <w:hyperlink w:anchor="_Toc41575593" w:history="1">
            <w:r w:rsidR="002873AB" w:rsidRPr="009C66D7">
              <w:rPr>
                <w:rStyle w:val="Hyperlink"/>
                <w:noProof/>
              </w:rPr>
              <w:t>6.</w:t>
            </w:r>
            <w:r w:rsidR="002873AB">
              <w:rPr>
                <w:rFonts w:eastAsiaTheme="minorEastAsia" w:cstheme="minorBidi"/>
                <w:bCs w:val="0"/>
                <w:noProof/>
                <w:sz w:val="22"/>
                <w:szCs w:val="22"/>
              </w:rPr>
              <w:tab/>
            </w:r>
            <w:r w:rsidR="002873AB" w:rsidRPr="009C66D7">
              <w:rPr>
                <w:rStyle w:val="Hyperlink"/>
                <w:noProof/>
              </w:rPr>
              <w:t>Summary of proposed key scheme parameters</w:t>
            </w:r>
            <w:r w:rsidR="002873AB">
              <w:rPr>
                <w:noProof/>
                <w:webHidden/>
              </w:rPr>
              <w:tab/>
            </w:r>
            <w:r w:rsidR="002873AB">
              <w:rPr>
                <w:noProof/>
                <w:webHidden/>
              </w:rPr>
              <w:fldChar w:fldCharType="begin"/>
            </w:r>
            <w:r w:rsidR="002873AB">
              <w:rPr>
                <w:noProof/>
                <w:webHidden/>
              </w:rPr>
              <w:instrText xml:space="preserve"> PAGEREF _Toc41575593 \h </w:instrText>
            </w:r>
            <w:r w:rsidR="002873AB">
              <w:rPr>
                <w:noProof/>
                <w:webHidden/>
              </w:rPr>
            </w:r>
            <w:r w:rsidR="002873AB">
              <w:rPr>
                <w:noProof/>
                <w:webHidden/>
              </w:rPr>
              <w:fldChar w:fldCharType="separate"/>
            </w:r>
            <w:r w:rsidR="004104E7">
              <w:rPr>
                <w:noProof/>
                <w:webHidden/>
              </w:rPr>
              <w:t>15</w:t>
            </w:r>
            <w:r w:rsidR="002873AB">
              <w:rPr>
                <w:noProof/>
                <w:webHidden/>
              </w:rPr>
              <w:fldChar w:fldCharType="end"/>
            </w:r>
          </w:hyperlink>
        </w:p>
        <w:p w14:paraId="3CC53EC1" w14:textId="2B7050A9" w:rsidR="002873AB" w:rsidRDefault="0067454F">
          <w:pPr>
            <w:pStyle w:val="TOC1"/>
            <w:rPr>
              <w:rFonts w:eastAsiaTheme="minorEastAsia" w:cstheme="minorBidi"/>
              <w:bCs w:val="0"/>
              <w:noProof/>
              <w:sz w:val="22"/>
              <w:szCs w:val="22"/>
            </w:rPr>
          </w:pPr>
          <w:hyperlink w:anchor="_Toc41575594" w:history="1">
            <w:r w:rsidR="002873AB" w:rsidRPr="009C66D7">
              <w:rPr>
                <w:rStyle w:val="Hyperlink"/>
                <w:noProof/>
              </w:rPr>
              <w:t>7.</w:t>
            </w:r>
            <w:r w:rsidR="002873AB">
              <w:rPr>
                <w:rFonts w:eastAsiaTheme="minorEastAsia" w:cstheme="minorBidi"/>
                <w:bCs w:val="0"/>
                <w:noProof/>
                <w:sz w:val="22"/>
                <w:szCs w:val="22"/>
              </w:rPr>
              <w:tab/>
            </w:r>
            <w:r w:rsidR="002873AB" w:rsidRPr="009C66D7">
              <w:rPr>
                <w:rStyle w:val="Hyperlink"/>
                <w:noProof/>
              </w:rPr>
              <w:t>Strategy for further implementation, review and consultation</w:t>
            </w:r>
            <w:r w:rsidR="002873AB">
              <w:rPr>
                <w:noProof/>
                <w:webHidden/>
              </w:rPr>
              <w:tab/>
            </w:r>
            <w:r w:rsidR="002873AB">
              <w:rPr>
                <w:noProof/>
                <w:webHidden/>
              </w:rPr>
              <w:fldChar w:fldCharType="begin"/>
            </w:r>
            <w:r w:rsidR="002873AB">
              <w:rPr>
                <w:noProof/>
                <w:webHidden/>
              </w:rPr>
              <w:instrText xml:space="preserve"> PAGEREF _Toc41575594 \h </w:instrText>
            </w:r>
            <w:r w:rsidR="002873AB">
              <w:rPr>
                <w:noProof/>
                <w:webHidden/>
              </w:rPr>
            </w:r>
            <w:r w:rsidR="002873AB">
              <w:rPr>
                <w:noProof/>
                <w:webHidden/>
              </w:rPr>
              <w:fldChar w:fldCharType="separate"/>
            </w:r>
            <w:r w:rsidR="004104E7">
              <w:rPr>
                <w:noProof/>
                <w:webHidden/>
              </w:rPr>
              <w:t>16</w:t>
            </w:r>
            <w:r w:rsidR="002873AB">
              <w:rPr>
                <w:noProof/>
                <w:webHidden/>
              </w:rPr>
              <w:fldChar w:fldCharType="end"/>
            </w:r>
          </w:hyperlink>
        </w:p>
        <w:p w14:paraId="76054D00" w14:textId="4470B538" w:rsidR="002873AB" w:rsidRDefault="0067454F">
          <w:pPr>
            <w:pStyle w:val="TOC1"/>
            <w:rPr>
              <w:rFonts w:eastAsiaTheme="minorEastAsia" w:cstheme="minorBidi"/>
              <w:bCs w:val="0"/>
              <w:noProof/>
              <w:sz w:val="22"/>
              <w:szCs w:val="22"/>
            </w:rPr>
          </w:pPr>
          <w:hyperlink w:anchor="_Toc41575595" w:history="1">
            <w:r w:rsidR="002873AB" w:rsidRPr="009C66D7">
              <w:rPr>
                <w:rStyle w:val="Hyperlink"/>
                <w:noProof/>
              </w:rPr>
              <w:t>8.</w:t>
            </w:r>
            <w:r w:rsidR="002873AB">
              <w:rPr>
                <w:rFonts w:eastAsiaTheme="minorEastAsia" w:cstheme="minorBidi"/>
                <w:bCs w:val="0"/>
                <w:noProof/>
                <w:sz w:val="22"/>
                <w:szCs w:val="22"/>
              </w:rPr>
              <w:tab/>
            </w:r>
            <w:r w:rsidR="002873AB" w:rsidRPr="009C66D7">
              <w:rPr>
                <w:rStyle w:val="Hyperlink"/>
                <w:noProof/>
              </w:rPr>
              <w:t>Complementarity</w:t>
            </w:r>
            <w:r w:rsidR="002873AB">
              <w:rPr>
                <w:noProof/>
                <w:webHidden/>
              </w:rPr>
              <w:tab/>
            </w:r>
            <w:r w:rsidR="002873AB">
              <w:rPr>
                <w:noProof/>
                <w:webHidden/>
              </w:rPr>
              <w:fldChar w:fldCharType="begin"/>
            </w:r>
            <w:r w:rsidR="002873AB">
              <w:rPr>
                <w:noProof/>
                <w:webHidden/>
              </w:rPr>
              <w:instrText xml:space="preserve"> PAGEREF _Toc41575595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4467DF81" w14:textId="7FAB87FA" w:rsidR="002873AB" w:rsidRDefault="0067454F">
          <w:pPr>
            <w:pStyle w:val="TOC1"/>
            <w:rPr>
              <w:rFonts w:eastAsiaTheme="minorEastAsia" w:cstheme="minorBidi"/>
              <w:bCs w:val="0"/>
              <w:noProof/>
              <w:sz w:val="22"/>
              <w:szCs w:val="22"/>
            </w:rPr>
          </w:pPr>
          <w:hyperlink w:anchor="_Toc41575596" w:history="1">
            <w:r w:rsidR="002873AB" w:rsidRPr="009C66D7">
              <w:rPr>
                <w:rStyle w:val="Hyperlink"/>
                <w:noProof/>
              </w:rPr>
              <w:t>9.</w:t>
            </w:r>
            <w:r w:rsidR="002873AB">
              <w:rPr>
                <w:rFonts w:eastAsiaTheme="minorEastAsia" w:cstheme="minorBidi"/>
                <w:bCs w:val="0"/>
                <w:noProof/>
                <w:sz w:val="22"/>
                <w:szCs w:val="22"/>
              </w:rPr>
              <w:tab/>
            </w:r>
            <w:r w:rsidR="002873AB" w:rsidRPr="009C66D7">
              <w:rPr>
                <w:rStyle w:val="Hyperlink"/>
                <w:noProof/>
              </w:rPr>
              <w:t>Human Rights</w:t>
            </w:r>
            <w:r w:rsidR="002873AB">
              <w:rPr>
                <w:noProof/>
                <w:webHidden/>
              </w:rPr>
              <w:tab/>
            </w:r>
            <w:r w:rsidR="002873AB">
              <w:rPr>
                <w:noProof/>
                <w:webHidden/>
              </w:rPr>
              <w:fldChar w:fldCharType="begin"/>
            </w:r>
            <w:r w:rsidR="002873AB">
              <w:rPr>
                <w:noProof/>
                <w:webHidden/>
              </w:rPr>
              <w:instrText xml:space="preserve"> PAGEREF _Toc41575596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5FF61DEB" w14:textId="04E37182" w:rsidR="002873AB" w:rsidRDefault="0067454F">
          <w:pPr>
            <w:pStyle w:val="TOC1"/>
            <w:rPr>
              <w:rFonts w:eastAsiaTheme="minorEastAsia" w:cstheme="minorBidi"/>
              <w:bCs w:val="0"/>
              <w:noProof/>
              <w:sz w:val="22"/>
              <w:szCs w:val="22"/>
            </w:rPr>
          </w:pPr>
          <w:hyperlink w:anchor="_Toc41575597" w:history="1">
            <w:r w:rsidR="002873AB" w:rsidRPr="009C66D7">
              <w:rPr>
                <w:rStyle w:val="Hyperlink"/>
                <w:noProof/>
              </w:rPr>
              <w:t>10.</w:t>
            </w:r>
            <w:r w:rsidR="002873AB">
              <w:rPr>
                <w:rFonts w:eastAsiaTheme="minorEastAsia" w:cstheme="minorBidi"/>
                <w:bCs w:val="0"/>
                <w:noProof/>
                <w:sz w:val="22"/>
                <w:szCs w:val="22"/>
              </w:rPr>
              <w:tab/>
            </w:r>
            <w:r w:rsidR="002873AB" w:rsidRPr="009C66D7">
              <w:rPr>
                <w:rStyle w:val="Hyperlink"/>
                <w:noProof/>
              </w:rPr>
              <w:t>Assessment of the consistency of the proposed law with Scrutiny of Bills Committee principles</w:t>
            </w:r>
            <w:r w:rsidR="002873AB">
              <w:rPr>
                <w:noProof/>
                <w:webHidden/>
              </w:rPr>
              <w:tab/>
            </w:r>
            <w:r w:rsidR="002873AB">
              <w:rPr>
                <w:noProof/>
                <w:webHidden/>
              </w:rPr>
              <w:fldChar w:fldCharType="begin"/>
            </w:r>
            <w:r w:rsidR="002873AB">
              <w:rPr>
                <w:noProof/>
                <w:webHidden/>
              </w:rPr>
              <w:instrText xml:space="preserve"> PAGEREF _Toc41575597 \h </w:instrText>
            </w:r>
            <w:r w:rsidR="002873AB">
              <w:rPr>
                <w:noProof/>
                <w:webHidden/>
              </w:rPr>
            </w:r>
            <w:r w:rsidR="002873AB">
              <w:rPr>
                <w:noProof/>
                <w:webHidden/>
              </w:rPr>
              <w:fldChar w:fldCharType="separate"/>
            </w:r>
            <w:r w:rsidR="004104E7">
              <w:rPr>
                <w:noProof/>
                <w:webHidden/>
              </w:rPr>
              <w:t>17</w:t>
            </w:r>
            <w:r w:rsidR="002873AB">
              <w:rPr>
                <w:noProof/>
                <w:webHidden/>
              </w:rPr>
              <w:fldChar w:fldCharType="end"/>
            </w:r>
          </w:hyperlink>
        </w:p>
        <w:p w14:paraId="7FE6BA33" w14:textId="24DEA3D7" w:rsidR="002873AB" w:rsidRDefault="0067454F">
          <w:pPr>
            <w:pStyle w:val="TOC1"/>
            <w:rPr>
              <w:rFonts w:eastAsiaTheme="minorEastAsia" w:cstheme="minorBidi"/>
              <w:bCs w:val="0"/>
              <w:noProof/>
              <w:sz w:val="22"/>
              <w:szCs w:val="22"/>
            </w:rPr>
          </w:pPr>
          <w:hyperlink w:anchor="_Toc41575598" w:history="1">
            <w:r w:rsidR="002873AB" w:rsidRPr="009C66D7">
              <w:rPr>
                <w:rStyle w:val="Hyperlink"/>
                <w:noProof/>
              </w:rPr>
              <w:t>11.</w:t>
            </w:r>
            <w:r w:rsidR="002873AB">
              <w:rPr>
                <w:rFonts w:eastAsiaTheme="minorEastAsia" w:cstheme="minorBidi"/>
                <w:bCs w:val="0"/>
                <w:noProof/>
                <w:sz w:val="22"/>
                <w:szCs w:val="22"/>
              </w:rPr>
              <w:tab/>
            </w:r>
            <w:r w:rsidR="002873AB" w:rsidRPr="009C66D7">
              <w:rPr>
                <w:rStyle w:val="Hyperlink"/>
                <w:noProof/>
              </w:rPr>
              <w:t>Conclusion</w:t>
            </w:r>
            <w:r w:rsidR="002873AB">
              <w:rPr>
                <w:noProof/>
                <w:webHidden/>
              </w:rPr>
              <w:tab/>
            </w:r>
            <w:r w:rsidR="002873AB">
              <w:rPr>
                <w:noProof/>
                <w:webHidden/>
              </w:rPr>
              <w:fldChar w:fldCharType="begin"/>
            </w:r>
            <w:r w:rsidR="002873AB">
              <w:rPr>
                <w:noProof/>
                <w:webHidden/>
              </w:rPr>
              <w:instrText xml:space="preserve"> PAGEREF _Toc41575598 \h </w:instrText>
            </w:r>
            <w:r w:rsidR="002873AB">
              <w:rPr>
                <w:noProof/>
                <w:webHidden/>
              </w:rPr>
            </w:r>
            <w:r w:rsidR="002873AB">
              <w:rPr>
                <w:noProof/>
                <w:webHidden/>
              </w:rPr>
              <w:fldChar w:fldCharType="separate"/>
            </w:r>
            <w:r w:rsidR="004104E7">
              <w:rPr>
                <w:noProof/>
                <w:webHidden/>
              </w:rPr>
              <w:t>18</w:t>
            </w:r>
            <w:r w:rsidR="002873AB">
              <w:rPr>
                <w:noProof/>
                <w:webHidden/>
              </w:rPr>
              <w:fldChar w:fldCharType="end"/>
            </w:r>
          </w:hyperlink>
        </w:p>
        <w:p w14:paraId="02509A87" w14:textId="51824411" w:rsidR="00C3417F" w:rsidRPr="00280670" w:rsidRDefault="00B707E3" w:rsidP="0048136F">
          <w:pPr>
            <w:pStyle w:val="TOC1"/>
            <w:spacing w:after="0" w:line="240" w:lineRule="auto"/>
            <w:rPr>
              <w:rFonts w:eastAsiaTheme="minorEastAsia" w:cstheme="minorBidi"/>
              <w:noProof/>
              <w:sz w:val="22"/>
              <w:szCs w:val="22"/>
            </w:rPr>
          </w:pPr>
          <w:r>
            <w:fldChar w:fldCharType="end"/>
          </w:r>
        </w:p>
      </w:sdtContent>
    </w:sdt>
    <w:p w14:paraId="0FB15F29" w14:textId="77777777" w:rsidR="00CE3595" w:rsidRPr="009E5708" w:rsidRDefault="00CE3595"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List of tables</w:t>
      </w:r>
    </w:p>
    <w:p w14:paraId="6307A6E2" w14:textId="40B04EAD" w:rsidR="00BA3F99" w:rsidRDefault="00B707E3">
      <w:pPr>
        <w:pStyle w:val="TableofFigures"/>
        <w:tabs>
          <w:tab w:val="right" w:leader="dot" w:pos="9016"/>
        </w:tabs>
        <w:rPr>
          <w:rFonts w:eastAsiaTheme="minorEastAsia" w:cstheme="minorBidi"/>
          <w:bCs w:val="0"/>
          <w:noProof/>
          <w:sz w:val="22"/>
          <w:szCs w:val="22"/>
        </w:rPr>
      </w:pPr>
      <w:r>
        <w:fldChar w:fldCharType="begin"/>
      </w:r>
      <w:r w:rsidR="00CE3595">
        <w:instrText xml:space="preserve"> TOC \h \z \c "Table" </w:instrText>
      </w:r>
      <w:r>
        <w:fldChar w:fldCharType="separate"/>
      </w:r>
      <w:hyperlink w:anchor="_Toc12970220" w:history="1">
        <w:r w:rsidR="00BA3F99" w:rsidRPr="00EE68E6">
          <w:rPr>
            <w:rStyle w:val="Hyperlink"/>
            <w:noProof/>
          </w:rPr>
          <w:t>Table 1</w:t>
        </w:r>
        <w:r w:rsidR="00247DD5">
          <w:rPr>
            <w:rStyle w:val="Hyperlink"/>
            <w:noProof/>
          </w:rPr>
          <w:t xml:space="preserve"> Pass through costs</w:t>
        </w:r>
        <w:r w:rsidR="00BA3F99">
          <w:rPr>
            <w:noProof/>
            <w:webHidden/>
          </w:rPr>
          <w:tab/>
        </w:r>
        <w:r w:rsidR="00247DD5">
          <w:rPr>
            <w:noProof/>
            <w:webHidden/>
          </w:rPr>
          <w:t>13</w:t>
        </w:r>
      </w:hyperlink>
    </w:p>
    <w:p w14:paraId="379A1F1E" w14:textId="62363DEA" w:rsidR="00BA3F99" w:rsidRDefault="0067454F">
      <w:pPr>
        <w:pStyle w:val="TableofFigures"/>
        <w:tabs>
          <w:tab w:val="right" w:leader="dot" w:pos="9016"/>
        </w:tabs>
        <w:rPr>
          <w:rFonts w:eastAsiaTheme="minorEastAsia" w:cstheme="minorBidi"/>
          <w:bCs w:val="0"/>
          <w:noProof/>
          <w:sz w:val="22"/>
          <w:szCs w:val="22"/>
        </w:rPr>
      </w:pPr>
      <w:hyperlink w:anchor="_Toc12970221" w:history="1">
        <w:r w:rsidR="00BA3F99" w:rsidRPr="00EE68E6">
          <w:rPr>
            <w:rStyle w:val="Hyperlink"/>
            <w:noProof/>
          </w:rPr>
          <w:t xml:space="preserve">Table 2 </w:t>
        </w:r>
        <w:r w:rsidR="00247DD5" w:rsidRPr="00247DD5">
          <w:rPr>
            <w:rStyle w:val="Hyperlink"/>
            <w:noProof/>
          </w:rPr>
          <w:t>Proposed EEIS metrics, savings and costs</w:t>
        </w:r>
        <w:r w:rsidR="00247DD5" w:rsidRPr="00247DD5" w:rsidDel="00247DD5">
          <w:rPr>
            <w:rStyle w:val="Hyperlink"/>
            <w:noProof/>
          </w:rPr>
          <w:t xml:space="preserve"> </w:t>
        </w:r>
        <w:r w:rsidR="00BA3F99">
          <w:rPr>
            <w:noProof/>
            <w:webHidden/>
          </w:rPr>
          <w:tab/>
        </w:r>
        <w:r w:rsidR="00247DD5">
          <w:rPr>
            <w:noProof/>
            <w:webHidden/>
          </w:rPr>
          <w:t>15</w:t>
        </w:r>
      </w:hyperlink>
    </w:p>
    <w:p w14:paraId="66277DA0" w14:textId="77777777" w:rsidR="00E04C86" w:rsidRDefault="00B707E3" w:rsidP="009E5708">
      <w:pPr>
        <w:pStyle w:val="TableofFigures"/>
      </w:pPr>
      <w:r>
        <w:fldChar w:fldCharType="end"/>
      </w:r>
    </w:p>
    <w:p w14:paraId="140B5ACA" w14:textId="77777777" w:rsidR="00B115BD" w:rsidRPr="009E5708" w:rsidRDefault="00B115BD"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 xml:space="preserve"> List of Figures</w:t>
      </w:r>
    </w:p>
    <w:p w14:paraId="1E40BDE4" w14:textId="383AAEE2" w:rsidR="001D5C73" w:rsidRDefault="00B707E3">
      <w:pPr>
        <w:pStyle w:val="TableofFigures"/>
        <w:tabs>
          <w:tab w:val="right" w:leader="dot" w:pos="8721"/>
        </w:tabs>
        <w:rPr>
          <w:noProof/>
        </w:rPr>
      </w:pPr>
      <w:r>
        <w:fldChar w:fldCharType="begin"/>
      </w:r>
      <w:r w:rsidR="00B115BD">
        <w:instrText xml:space="preserve"> TOC \h \z \c "Figure" </w:instrText>
      </w:r>
      <w:r>
        <w:fldChar w:fldCharType="separate"/>
      </w:r>
      <w:hyperlink w:anchor="_Toc41558475" w:history="1">
        <w:r w:rsidR="001D5C73" w:rsidRPr="0077281F">
          <w:rPr>
            <w:rStyle w:val="Hyperlink"/>
            <w:noProof/>
          </w:rPr>
          <w:t xml:space="preserve">Figure 1 Lifetime energy bill savings versus costs of </w:t>
        </w:r>
        <w:r w:rsidR="00E43F4F">
          <w:rPr>
            <w:rStyle w:val="Hyperlink"/>
            <w:noProof/>
          </w:rPr>
          <w:t>the EEIS</w:t>
        </w:r>
        <w:r w:rsidR="001D5C73">
          <w:rPr>
            <w:noProof/>
            <w:webHidden/>
          </w:rPr>
          <w:tab/>
        </w:r>
        <w:r w:rsidR="001D5C73">
          <w:rPr>
            <w:noProof/>
            <w:webHidden/>
          </w:rPr>
          <w:fldChar w:fldCharType="begin"/>
        </w:r>
        <w:r w:rsidR="001D5C73">
          <w:rPr>
            <w:noProof/>
            <w:webHidden/>
          </w:rPr>
          <w:instrText xml:space="preserve"> PAGEREF _Toc41558475 \h </w:instrText>
        </w:r>
        <w:r w:rsidR="001D5C73">
          <w:rPr>
            <w:noProof/>
            <w:webHidden/>
          </w:rPr>
        </w:r>
        <w:r w:rsidR="001D5C73">
          <w:rPr>
            <w:noProof/>
            <w:webHidden/>
          </w:rPr>
          <w:fldChar w:fldCharType="separate"/>
        </w:r>
        <w:r w:rsidR="001D5C73">
          <w:rPr>
            <w:noProof/>
            <w:webHidden/>
          </w:rPr>
          <w:t>7</w:t>
        </w:r>
        <w:r w:rsidR="001D5C73">
          <w:rPr>
            <w:noProof/>
            <w:webHidden/>
          </w:rPr>
          <w:fldChar w:fldCharType="end"/>
        </w:r>
      </w:hyperlink>
    </w:p>
    <w:p w14:paraId="03AD16C6" w14:textId="78D04EB9" w:rsidR="00247DD5" w:rsidRPr="002873AB" w:rsidRDefault="00247DD5" w:rsidP="00247DD5">
      <w:pPr>
        <w:pStyle w:val="TableofFigures"/>
        <w:tabs>
          <w:tab w:val="right" w:leader="dot" w:pos="8721"/>
        </w:tabs>
        <w:rPr>
          <w:rStyle w:val="Hyperlink"/>
          <w:noProof/>
          <w:color w:val="auto"/>
          <w:u w:val="none"/>
        </w:rPr>
      </w:pPr>
      <w:r w:rsidRPr="002873AB">
        <w:rPr>
          <w:rStyle w:val="Hyperlink"/>
          <w:noProof/>
          <w:color w:val="auto"/>
          <w:u w:val="none"/>
        </w:rPr>
        <w:t>Figure 2 Net present value projections for an EEIS extension…………………………………………11</w:t>
      </w:r>
    </w:p>
    <w:p w14:paraId="10890A24" w14:textId="77777777" w:rsidR="001D5C73" w:rsidRDefault="00B707E3" w:rsidP="001D5C73">
      <w:pPr>
        <w:pStyle w:val="Heading1"/>
        <w:numPr>
          <w:ilvl w:val="0"/>
          <w:numId w:val="0"/>
        </w:numPr>
        <w:ind w:left="360"/>
        <w:rPr>
          <w:highlight w:val="lightGray"/>
        </w:rPr>
      </w:pPr>
      <w:r>
        <w:fldChar w:fldCharType="end"/>
      </w:r>
      <w:bookmarkStart w:id="3" w:name="_Toc41494253"/>
      <w:bookmarkEnd w:id="3"/>
    </w:p>
    <w:p w14:paraId="40229588" w14:textId="77777777" w:rsidR="001D5C73" w:rsidRDefault="001D5C73">
      <w:pPr>
        <w:autoSpaceDE/>
        <w:autoSpaceDN/>
        <w:adjustRightInd/>
        <w:spacing w:after="0" w:line="240" w:lineRule="auto"/>
        <w:rPr>
          <w:rFonts w:asciiTheme="majorHAnsi" w:eastAsiaTheme="majorEastAsia" w:hAnsiTheme="majorHAnsi" w:cstheme="majorBidi"/>
          <w:b/>
          <w:bCs w:val="0"/>
          <w:color w:val="365F91" w:themeColor="accent1" w:themeShade="BF"/>
          <w:sz w:val="28"/>
          <w:szCs w:val="28"/>
          <w:highlight w:val="lightGray"/>
        </w:rPr>
      </w:pPr>
      <w:r>
        <w:rPr>
          <w:highlight w:val="lightGray"/>
        </w:rPr>
        <w:br w:type="page"/>
      </w:r>
    </w:p>
    <w:p w14:paraId="6266CE82" w14:textId="26DF7B3B" w:rsidR="00780F66" w:rsidRDefault="00A7342D" w:rsidP="001D5C73">
      <w:pPr>
        <w:pStyle w:val="Heading1"/>
        <w:numPr>
          <w:ilvl w:val="0"/>
          <w:numId w:val="56"/>
        </w:numPr>
      </w:pPr>
      <w:bookmarkStart w:id="4" w:name="_Toc41575583"/>
      <w:r w:rsidRPr="00621CB9">
        <w:lastRenderedPageBreak/>
        <w:t>Executive</w:t>
      </w:r>
      <w:r>
        <w:t xml:space="preserve"> </w:t>
      </w:r>
      <w:r w:rsidRPr="00621CB9">
        <w:t>Summary</w:t>
      </w:r>
      <w:bookmarkEnd w:id="4"/>
    </w:p>
    <w:p w14:paraId="1D0D49B7" w14:textId="380DB7B9" w:rsidR="007A1A2E" w:rsidRDefault="002717C7" w:rsidP="00834D6C">
      <w:pPr>
        <w:spacing w:after="0"/>
      </w:pPr>
      <w:r w:rsidRPr="00005844">
        <w:t xml:space="preserve">This Regulatory Impact Statement </w:t>
      </w:r>
      <w:r>
        <w:t>(RIS) was</w:t>
      </w:r>
      <w:r w:rsidRPr="00005844">
        <w:t xml:space="preserve"> prepared in accordance with </w:t>
      </w:r>
      <w:r>
        <w:t>Part</w:t>
      </w:r>
      <w:r w:rsidRPr="00005844">
        <w:t xml:space="preserve"> 5</w:t>
      </w:r>
      <w:r>
        <w:t>.2</w:t>
      </w:r>
      <w:r w:rsidRPr="00005844">
        <w:t xml:space="preserve"> of the </w:t>
      </w:r>
      <w:r w:rsidRPr="00B94C4E">
        <w:rPr>
          <w:i/>
        </w:rPr>
        <w:t>Legislation Act 2001</w:t>
      </w:r>
      <w:r>
        <w:t xml:space="preserve">, for the purposes of extending and enhancing the </w:t>
      </w:r>
      <w:r w:rsidR="007A1A2E">
        <w:t>Australian Capital Territory</w:t>
      </w:r>
      <w:r>
        <w:t>’s</w:t>
      </w:r>
      <w:r w:rsidR="007A1A2E">
        <w:t xml:space="preserve"> (ACT</w:t>
      </w:r>
      <w:r>
        <w:t>’s</w:t>
      </w:r>
      <w:r w:rsidR="007A1A2E">
        <w:t>) Energy Efficiency Improvement Scheme (EEIS). It details the financial and other impacts of</w:t>
      </w:r>
      <w:r w:rsidR="00140538">
        <w:t xml:space="preserve"> alternative options and of</w:t>
      </w:r>
      <w:r w:rsidR="007A1A2E">
        <w:t xml:space="preserve"> the specific proposal </w:t>
      </w:r>
      <w:r>
        <w:t>for a ten</w:t>
      </w:r>
      <w:r w:rsidR="00384A5A">
        <w:t>-</w:t>
      </w:r>
      <w:r>
        <w:t xml:space="preserve">year extension, </w:t>
      </w:r>
      <w:r w:rsidR="007A1A2E">
        <w:t xml:space="preserve">recommended as a result of a detailed regulatory reform process involving: </w:t>
      </w:r>
    </w:p>
    <w:p w14:paraId="21D1A7F5" w14:textId="1C359B89" w:rsidR="007A1A2E" w:rsidRDefault="00570BE4" w:rsidP="00E248C3">
      <w:pPr>
        <w:pStyle w:val="ListParagraph"/>
        <w:numPr>
          <w:ilvl w:val="0"/>
          <w:numId w:val="7"/>
        </w:numPr>
      </w:pPr>
      <w:r>
        <w:t>An independent review</w:t>
      </w:r>
      <w:r w:rsidR="00475B38">
        <w:rPr>
          <w:rStyle w:val="FootnoteReference"/>
        </w:rPr>
        <w:footnoteReference w:id="1"/>
      </w:r>
      <w:r>
        <w:t xml:space="preserve">, </w:t>
      </w:r>
    </w:p>
    <w:p w14:paraId="03251782" w14:textId="77777777" w:rsidR="00570BE4" w:rsidRDefault="00570BE4" w:rsidP="00E248C3">
      <w:pPr>
        <w:pStyle w:val="ListParagraph"/>
        <w:numPr>
          <w:ilvl w:val="0"/>
          <w:numId w:val="7"/>
        </w:numPr>
      </w:pPr>
      <w:r>
        <w:t>Consultation on recommendations from the review</w:t>
      </w:r>
      <w:r w:rsidR="00EB2CD0">
        <w:rPr>
          <w:rStyle w:val="FootnoteReference"/>
        </w:rPr>
        <w:footnoteReference w:id="2"/>
      </w:r>
      <w:r>
        <w:t xml:space="preserve">, </w:t>
      </w:r>
    </w:p>
    <w:p w14:paraId="41037DDD" w14:textId="0120380B" w:rsidR="00570BE4" w:rsidRPr="00935BF5" w:rsidRDefault="00570BE4" w:rsidP="00E248C3">
      <w:pPr>
        <w:pStyle w:val="ListParagraph"/>
        <w:numPr>
          <w:ilvl w:val="0"/>
          <w:numId w:val="7"/>
        </w:numPr>
      </w:pPr>
      <w:r>
        <w:t xml:space="preserve">Evaluation of </w:t>
      </w:r>
      <w:r w:rsidR="00A23AEC">
        <w:t>stakeholder views expressed during</w:t>
      </w:r>
      <w:r>
        <w:t xml:space="preserve"> consultatio</w:t>
      </w:r>
      <w:r w:rsidRPr="00935BF5">
        <w:t>n</w:t>
      </w:r>
      <w:r w:rsidR="00475B38" w:rsidRPr="00935BF5">
        <w:rPr>
          <w:rStyle w:val="FootnoteReference"/>
        </w:rPr>
        <w:footnoteReference w:id="3"/>
      </w:r>
      <w:r w:rsidRPr="00935BF5">
        <w:t>, and</w:t>
      </w:r>
    </w:p>
    <w:p w14:paraId="3E006480" w14:textId="65458D29" w:rsidR="00570BE4" w:rsidRPr="00935BF5" w:rsidRDefault="00A23AEC" w:rsidP="00E248C3">
      <w:pPr>
        <w:pStyle w:val="ListParagraph"/>
        <w:numPr>
          <w:ilvl w:val="0"/>
          <w:numId w:val="7"/>
        </w:numPr>
      </w:pPr>
      <w:r w:rsidRPr="00935BF5">
        <w:t>Modelling</w:t>
      </w:r>
      <w:r w:rsidR="00570BE4" w:rsidRPr="00935BF5">
        <w:t xml:space="preserve"> of a proposed EEIS extension</w:t>
      </w:r>
      <w:bookmarkStart w:id="5" w:name="_Hlk34739431"/>
      <w:r w:rsidR="00475B38" w:rsidRPr="00935BF5">
        <w:rPr>
          <w:rStyle w:val="FootnoteReference"/>
        </w:rPr>
        <w:footnoteReference w:id="4"/>
      </w:r>
      <w:bookmarkEnd w:id="5"/>
      <w:r w:rsidR="00570BE4" w:rsidRPr="00935BF5">
        <w:t>.</w:t>
      </w:r>
    </w:p>
    <w:p w14:paraId="301C4B7B" w14:textId="77777777" w:rsidR="007A1A2E" w:rsidRDefault="007A1A2E" w:rsidP="00834D6C">
      <w:pPr>
        <w:spacing w:after="0"/>
      </w:pPr>
    </w:p>
    <w:p w14:paraId="48888460" w14:textId="7BBE4605" w:rsidR="00834D6C" w:rsidRDefault="00384A5A" w:rsidP="00C5614F">
      <w:pPr>
        <w:spacing w:after="0"/>
      </w:pPr>
      <w:r>
        <w:rPr>
          <w:iCs/>
        </w:rPr>
        <w:t xml:space="preserve">The </w:t>
      </w:r>
      <w:r w:rsidR="004E00E7" w:rsidRPr="00190923">
        <w:rPr>
          <w:i/>
        </w:rPr>
        <w:t>Energy Efficiency (Cost of Living) Improvement</w:t>
      </w:r>
      <w:r w:rsidR="004E00E7">
        <w:rPr>
          <w:i/>
        </w:rPr>
        <w:t xml:space="preserve"> Amendment</w:t>
      </w:r>
      <w:r w:rsidR="004E00E7" w:rsidRPr="00190923">
        <w:rPr>
          <w:i/>
        </w:rPr>
        <w:t xml:space="preserve"> </w:t>
      </w:r>
      <w:r w:rsidR="001B4D28">
        <w:rPr>
          <w:i/>
        </w:rPr>
        <w:t>Act</w:t>
      </w:r>
      <w:r w:rsidR="001B4D28" w:rsidRPr="00190923">
        <w:rPr>
          <w:i/>
        </w:rPr>
        <w:t xml:space="preserve"> </w:t>
      </w:r>
      <w:r w:rsidR="004E00E7" w:rsidRPr="00190923">
        <w:rPr>
          <w:i/>
        </w:rPr>
        <w:t>2019</w:t>
      </w:r>
      <w:r w:rsidR="001B4D28">
        <w:rPr>
          <w:iCs/>
        </w:rPr>
        <w:t xml:space="preserve"> (the Amendment Act)</w:t>
      </w:r>
      <w:r>
        <w:rPr>
          <w:iCs/>
        </w:rPr>
        <w:t xml:space="preserve"> makes the following changes</w:t>
      </w:r>
      <w:r w:rsidR="00834D6C">
        <w:t xml:space="preserve">:  </w:t>
      </w:r>
    </w:p>
    <w:p w14:paraId="384B36C9" w14:textId="450AD20D"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w:t>
      </w:r>
      <w:r w:rsidR="00834D6C" w:rsidRPr="00CA7B0A">
        <w:rPr>
          <w:rFonts w:ascii="Calibri" w:hAnsi="Calibri"/>
        </w:rPr>
        <w:t xml:space="preserve">xtend EEIS until the end of 2030, </w:t>
      </w:r>
    </w:p>
    <w:p w14:paraId="388183AD" w14:textId="004DFB44"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A</w:t>
      </w:r>
      <w:r w:rsidR="00834D6C" w:rsidRPr="00CA7B0A">
        <w:rPr>
          <w:rFonts w:ascii="Calibri" w:hAnsi="Calibri"/>
        </w:rPr>
        <w:t>dopt an energy metric</w:t>
      </w:r>
      <w:r w:rsidR="00C5614F" w:rsidRPr="00CA7B0A">
        <w:rPr>
          <w:rFonts w:ascii="Calibri" w:hAnsi="Calibri"/>
        </w:rPr>
        <w:t xml:space="preserve"> in place of the current greenhouse gas emissions metric</w:t>
      </w:r>
      <w:r w:rsidR="00834D6C" w:rsidRPr="00CA7B0A">
        <w:rPr>
          <w:rFonts w:ascii="Calibri" w:hAnsi="Calibri"/>
        </w:rPr>
        <w:t xml:space="preserve">, </w:t>
      </w:r>
    </w:p>
    <w:p w14:paraId="5BA568B3" w14:textId="6EA2C7EA"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E</w:t>
      </w:r>
      <w:r w:rsidR="00834D6C" w:rsidRPr="00CA7B0A">
        <w:rPr>
          <w:rFonts w:ascii="Calibri" w:hAnsi="Calibri"/>
        </w:rPr>
        <w:t xml:space="preserve">nable classes of priority households to be determined by disallowable instrument, </w:t>
      </w:r>
    </w:p>
    <w:p w14:paraId="73AE8798" w14:textId="1F187468"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R</w:t>
      </w:r>
      <w:r w:rsidR="00834D6C" w:rsidRPr="00CA7B0A">
        <w:rPr>
          <w:rFonts w:ascii="Calibri" w:hAnsi="Calibri"/>
        </w:rPr>
        <w:t xml:space="preserve">emove the term ‘stationary’ from the objectives of the Act, to allow EEIS to consider transport activities in the future, and </w:t>
      </w:r>
    </w:p>
    <w:p w14:paraId="0994D9FE" w14:textId="5E43F5A0" w:rsidR="00834D6C" w:rsidRPr="00CA7B0A" w:rsidRDefault="00A23AEC" w:rsidP="00E248C3">
      <w:pPr>
        <w:pStyle w:val="ListParagraph"/>
        <w:widowControl w:val="0"/>
        <w:numPr>
          <w:ilvl w:val="0"/>
          <w:numId w:val="6"/>
        </w:numPr>
        <w:autoSpaceDE/>
        <w:autoSpaceDN/>
        <w:adjustRightInd/>
        <w:spacing w:line="240" w:lineRule="auto"/>
        <w:ind w:right="-45"/>
        <w:contextualSpacing w:val="0"/>
        <w:rPr>
          <w:rFonts w:ascii="Calibri" w:hAnsi="Calibri"/>
        </w:rPr>
      </w:pPr>
      <w:r w:rsidRPr="00CA7B0A">
        <w:rPr>
          <w:rFonts w:ascii="Calibri" w:hAnsi="Calibri"/>
        </w:rPr>
        <w:t>S</w:t>
      </w:r>
      <w:r w:rsidR="00834D6C" w:rsidRPr="00CA7B0A">
        <w:rPr>
          <w:rFonts w:ascii="Calibri" w:hAnsi="Calibri"/>
        </w:rPr>
        <w:t>treamline EEIS administration</w:t>
      </w:r>
      <w:r w:rsidR="00CA7B0A" w:rsidRPr="00CA7B0A">
        <w:rPr>
          <w:rFonts w:ascii="Calibri" w:hAnsi="Calibri"/>
        </w:rPr>
        <w:t xml:space="preserve"> and improve data sharing</w:t>
      </w:r>
      <w:r w:rsidR="00834D6C" w:rsidRPr="00CA7B0A">
        <w:rPr>
          <w:rFonts w:ascii="Calibri" w:hAnsi="Calibri"/>
        </w:rPr>
        <w:t>.</w:t>
      </w:r>
    </w:p>
    <w:p w14:paraId="17539AFB" w14:textId="3002875C" w:rsidR="004E00E7" w:rsidRDefault="004E00E7" w:rsidP="00834D6C"/>
    <w:p w14:paraId="6C0F9C21" w14:textId="7DE8F849" w:rsidR="004E00E7" w:rsidRDefault="004E00E7" w:rsidP="00834D6C">
      <w:r>
        <w:t xml:space="preserve">The specific proposal </w:t>
      </w:r>
      <w:r w:rsidR="007D47AA">
        <w:t xml:space="preserve">considered in this document </w:t>
      </w:r>
      <w:r>
        <w:t>is for the following scheme parameters to be set by the Minister for Climate Change and Sustainability in disallowable instrument</w:t>
      </w:r>
      <w:r w:rsidR="0026275A">
        <w:t>s</w:t>
      </w:r>
      <w:r>
        <w:t xml:space="preserve"> for </w:t>
      </w:r>
      <w:r w:rsidR="009C637D">
        <w:t xml:space="preserve">the </w:t>
      </w:r>
      <w:r w:rsidRPr="001E2EDA">
        <w:t>2021</w:t>
      </w:r>
      <w:r w:rsidR="009C637D">
        <w:t xml:space="preserve"> compliance period</w:t>
      </w:r>
      <w:r w:rsidRPr="001E2EDA">
        <w:t>:</w:t>
      </w:r>
    </w:p>
    <w:p w14:paraId="2D684983" w14:textId="56ED828E" w:rsidR="004E00E7" w:rsidRDefault="004E00E7" w:rsidP="004E00E7">
      <w:pPr>
        <w:pStyle w:val="ListParagraph"/>
        <w:numPr>
          <w:ilvl w:val="0"/>
          <w:numId w:val="50"/>
        </w:numPr>
      </w:pPr>
      <w:r>
        <w:t xml:space="preserve">Energy Saving Target at 8.6% </w:t>
      </w:r>
    </w:p>
    <w:p w14:paraId="70B668AF" w14:textId="45BF96BD" w:rsidR="004E00E7" w:rsidRDefault="004E00E7" w:rsidP="004E00E7">
      <w:pPr>
        <w:pStyle w:val="ListParagraph"/>
        <w:numPr>
          <w:ilvl w:val="0"/>
          <w:numId w:val="50"/>
        </w:numPr>
      </w:pPr>
      <w:r>
        <w:t>Energy Savings Contribution at $46.50/MWh</w:t>
      </w:r>
    </w:p>
    <w:p w14:paraId="620698F7" w14:textId="343E5603" w:rsidR="004E00E7" w:rsidRDefault="004E00E7" w:rsidP="004E00E7">
      <w:pPr>
        <w:pStyle w:val="ListParagraph"/>
        <w:numPr>
          <w:ilvl w:val="0"/>
          <w:numId w:val="50"/>
        </w:numPr>
      </w:pPr>
      <w:r>
        <w:t>Shortfall Penalty at $120/MWh</w:t>
      </w:r>
      <w:r w:rsidR="0026275A">
        <w:t>.</w:t>
      </w:r>
    </w:p>
    <w:p w14:paraId="69331A80" w14:textId="56767CB1" w:rsidR="0026275A" w:rsidRDefault="0026275A" w:rsidP="0026275A"/>
    <w:p w14:paraId="1A9A76B5" w14:textId="53B10BE1" w:rsidR="0026275A" w:rsidRDefault="0026275A" w:rsidP="00012B96">
      <w:pPr>
        <w:keepNext/>
      </w:pPr>
      <w:r>
        <w:lastRenderedPageBreak/>
        <w:t>These parameters are set by the following disallowable instruments:</w:t>
      </w:r>
    </w:p>
    <w:p w14:paraId="4A21A448" w14:textId="36E6A4A1" w:rsidR="0026275A" w:rsidRPr="00012B96" w:rsidRDefault="0026275A" w:rsidP="00012B96">
      <w:pPr>
        <w:pStyle w:val="ListParagraph"/>
        <w:keepNext/>
        <w:numPr>
          <w:ilvl w:val="0"/>
          <w:numId w:val="57"/>
        </w:numPr>
        <w:rPr>
          <w:i/>
          <w:iCs/>
        </w:rPr>
      </w:pPr>
      <w:r w:rsidRPr="00012B96">
        <w:rPr>
          <w:i/>
          <w:iCs/>
        </w:rPr>
        <w:t>Energy Efficiency (Cost of Living) Improvement (Energy Savings Target) Determination 2020 (No 1)</w:t>
      </w:r>
    </w:p>
    <w:p w14:paraId="4946778D" w14:textId="1BCE293A" w:rsidR="0026275A" w:rsidRPr="00012B96" w:rsidRDefault="0026275A" w:rsidP="00012B96">
      <w:pPr>
        <w:pStyle w:val="ListParagraph"/>
        <w:keepNext/>
        <w:numPr>
          <w:ilvl w:val="0"/>
          <w:numId w:val="57"/>
        </w:numPr>
        <w:rPr>
          <w:i/>
          <w:iCs/>
        </w:rPr>
      </w:pPr>
      <w:r w:rsidRPr="00012B96">
        <w:rPr>
          <w:i/>
          <w:iCs/>
        </w:rPr>
        <w:t>Energy Efficiency (Cost of Living) Improvement (Energy Savings Contribution) Determination 2020 (No 1)</w:t>
      </w:r>
    </w:p>
    <w:p w14:paraId="4F105502" w14:textId="48E721E4" w:rsidR="0026275A" w:rsidRPr="00012B96" w:rsidRDefault="0026275A" w:rsidP="00012B96">
      <w:pPr>
        <w:pStyle w:val="ListParagraph"/>
        <w:keepNext/>
        <w:numPr>
          <w:ilvl w:val="0"/>
          <w:numId w:val="57"/>
        </w:numPr>
        <w:rPr>
          <w:i/>
          <w:iCs/>
        </w:rPr>
      </w:pPr>
      <w:r w:rsidRPr="00012B96">
        <w:rPr>
          <w:i/>
          <w:iCs/>
        </w:rPr>
        <w:t>Energy Efficiency (Cost of Living) Improvement (Penalties for Noncompliance) Determination 2020 (No 1)</w:t>
      </w:r>
    </w:p>
    <w:p w14:paraId="14D900CE" w14:textId="77777777" w:rsidR="004E00E7" w:rsidRDefault="004E00E7" w:rsidP="004E00E7">
      <w:pPr>
        <w:pStyle w:val="Heading1"/>
        <w:numPr>
          <w:ilvl w:val="1"/>
          <w:numId w:val="4"/>
        </w:numPr>
      </w:pPr>
      <w:bookmarkStart w:id="6" w:name="_Toc41575584"/>
      <w:r>
        <w:t>Setting the Energy Saving Target</w:t>
      </w:r>
      <w:bookmarkEnd w:id="6"/>
    </w:p>
    <w:p w14:paraId="4C6C8DBF" w14:textId="29BE7317" w:rsidR="00006F64" w:rsidRDefault="00006F64" w:rsidP="00006F64">
      <w:r>
        <w:t xml:space="preserve">EEIS delivers energy, emissions and bill savings through a broad range of policy mechanisms. It establishes a Territory-wide Energy Savings Target (EST) defined as a proportion of a retailers’ total electricity sales in the ACT. Individual electricity retailers must deliver energy efficiency savings to households and small businesses in the ACT equivalent to the EST. </w:t>
      </w:r>
      <w:r w:rsidR="004E00E7">
        <w:t>The EST must be set by</w:t>
      </w:r>
      <w:r w:rsidR="007D47AA">
        <w:t xml:space="preserve"> the Minister for Climate Change and Sustainability no later than </w:t>
      </w:r>
      <w:r w:rsidR="00384A5A">
        <w:t>six</w:t>
      </w:r>
      <w:r w:rsidR="007D47AA">
        <w:t xml:space="preserve"> months before the commencement of the compliance period if the EST </w:t>
      </w:r>
      <w:r w:rsidR="009C637D">
        <w:t>increases</w:t>
      </w:r>
      <w:r w:rsidR="007D47AA">
        <w:t xml:space="preserve">; or no later than three months before the commencement of the compliance period if there </w:t>
      </w:r>
      <w:r w:rsidR="009C637D">
        <w:t>is no increase</w:t>
      </w:r>
      <w:r w:rsidR="007D47AA">
        <w:t xml:space="preserve"> to the EST</w:t>
      </w:r>
      <w:r w:rsidR="004E00E7">
        <w:t>.</w:t>
      </w:r>
      <w:r w:rsidR="000E7E01">
        <w:t xml:space="preserve"> </w:t>
      </w:r>
      <w:r w:rsidR="00326425">
        <w:t>The EST can be set for several years in advance, and then reviewed and adjusted if needed.</w:t>
      </w:r>
    </w:p>
    <w:p w14:paraId="5CF1B43C" w14:textId="6D4B3801" w:rsidR="004E00E7" w:rsidRDefault="00A07F93" w:rsidP="004E00E7">
      <w:r>
        <w:t xml:space="preserve">The EST was set at 8.6% for the previous five compliance periods from 1 January 2016 to 31 December 2020. </w:t>
      </w:r>
    </w:p>
    <w:p w14:paraId="206C8B54" w14:textId="79E58371" w:rsidR="00163CE7" w:rsidRDefault="00163CE7" w:rsidP="00A41FAE">
      <w:pPr>
        <w:pStyle w:val="Heading1"/>
        <w:spacing w:after="240"/>
      </w:pPr>
      <w:bookmarkStart w:id="7" w:name="_Toc41575585"/>
      <w:r>
        <w:t>Background to the Energy Efficiency Improvement Scheme</w:t>
      </w:r>
      <w:bookmarkEnd w:id="7"/>
    </w:p>
    <w:p w14:paraId="770F54AE" w14:textId="4FEA967C" w:rsidR="00724E8B" w:rsidRDefault="00693DFD" w:rsidP="00163CE7">
      <w:r>
        <w:t xml:space="preserve">The EEIS is </w:t>
      </w:r>
      <w:r w:rsidR="00384A5A">
        <w:t xml:space="preserve">the </w:t>
      </w:r>
      <w:r>
        <w:t xml:space="preserve">ACT’s market-based </w:t>
      </w:r>
      <w:r w:rsidR="00724E8B">
        <w:t xml:space="preserve">Energy Efficiency Obligation </w:t>
      </w:r>
      <w:r w:rsidR="00724E8B" w:rsidRPr="004C2DF7">
        <w:t>(</w:t>
      </w:r>
      <w:r w:rsidRPr="004C2DF7">
        <w:t>EEO</w:t>
      </w:r>
      <w:r w:rsidR="00724E8B" w:rsidRPr="004C2DF7">
        <w:t>)</w:t>
      </w:r>
      <w:r>
        <w:t xml:space="preserve"> scheme established under the </w:t>
      </w:r>
      <w:r w:rsidRPr="00911C78">
        <w:rPr>
          <w:i/>
        </w:rPr>
        <w:t>Energy Efficiency (Cost of Living) Improvement Act 2012</w:t>
      </w:r>
      <w:r w:rsidRPr="00911C78">
        <w:t xml:space="preserve"> </w:t>
      </w:r>
      <w:r>
        <w:t xml:space="preserve">(the Act). </w:t>
      </w:r>
      <w:r w:rsidR="00163CE7">
        <w:t xml:space="preserve">The Act was passed by the Legislative Assembly on 3 May 2012. It establishes a Territory-wide Energy Savings Target (EST) defined as a proportion of a retailers’ total electricity sales. Individual electricity retailers must deliver energy efficiency savings to their customers equivalent to the EST. </w:t>
      </w:r>
      <w:r w:rsidR="0067098D">
        <w:t xml:space="preserve">Energy efficiency means using less energy to provide the same service. Examples include replacing halogen or incandescent light globes with light emitting diodes (LEDs), or upgrading from an old, inefficient central ducted gas heater to an efficient reverse cycle air conditioner. Energy efficiency actions are generally considered to be cost effective when the savings associated with an upgrade are enough to repay an initial investment in a small amount of time, such as less than seven years for an item whose savings will continue for at least 15 years. Highly cost-effective actions can be repaid in under </w:t>
      </w:r>
      <w:r w:rsidR="00D50E8A">
        <w:t>three</w:t>
      </w:r>
      <w:r w:rsidR="0067098D">
        <w:t xml:space="preserve"> years and continue delivering savings for many years thereafter. </w:t>
      </w:r>
    </w:p>
    <w:p w14:paraId="28FD4954" w14:textId="77777777" w:rsidR="003A5921" w:rsidRDefault="003A5921">
      <w:pPr>
        <w:autoSpaceDE/>
        <w:autoSpaceDN/>
        <w:adjustRightInd/>
        <w:spacing w:after="0" w:line="240" w:lineRule="auto"/>
      </w:pPr>
      <w:r>
        <w:br w:type="page"/>
      </w:r>
    </w:p>
    <w:p w14:paraId="767DF7B0" w14:textId="5244805D" w:rsidR="003246C5" w:rsidRDefault="003246C5" w:rsidP="003246C5">
      <w:pPr>
        <w:spacing w:after="0"/>
      </w:pPr>
      <w:r>
        <w:lastRenderedPageBreak/>
        <w:t xml:space="preserve">Section 6 of the Act establishes EEIS objectives which are to: </w:t>
      </w:r>
    </w:p>
    <w:p w14:paraId="59940542" w14:textId="77777777" w:rsidR="003246C5" w:rsidRDefault="003246C5" w:rsidP="003246C5">
      <w:pPr>
        <w:spacing w:after="0" w:line="240" w:lineRule="auto"/>
        <w:ind w:left="709" w:hanging="698"/>
      </w:pPr>
      <w:r>
        <w:t xml:space="preserve">(a) </w:t>
      </w:r>
      <w:r>
        <w:tab/>
        <w:t>encourage the efficient use of energy; and</w:t>
      </w:r>
    </w:p>
    <w:p w14:paraId="1E9AAB97" w14:textId="6B626E15" w:rsidR="003246C5" w:rsidRDefault="003246C5" w:rsidP="003246C5">
      <w:pPr>
        <w:spacing w:after="0" w:line="240" w:lineRule="auto"/>
        <w:ind w:left="709" w:hanging="698"/>
      </w:pPr>
      <w:r>
        <w:t xml:space="preserve">(b) </w:t>
      </w:r>
      <w:r>
        <w:tab/>
        <w:t>reduce greenhouse gas emissions associated with stationary</w:t>
      </w:r>
      <w:r w:rsidR="001B4D28">
        <w:t>*</w:t>
      </w:r>
      <w:r>
        <w:t xml:space="preserve"> energy use in the Territory; and</w:t>
      </w:r>
    </w:p>
    <w:p w14:paraId="2EB587F0" w14:textId="77777777" w:rsidR="003246C5" w:rsidRDefault="003246C5" w:rsidP="003246C5">
      <w:pPr>
        <w:spacing w:after="0" w:line="240" w:lineRule="auto"/>
        <w:ind w:left="709" w:hanging="698"/>
      </w:pPr>
      <w:r>
        <w:t xml:space="preserve">(c) </w:t>
      </w:r>
      <w:r>
        <w:tab/>
        <w:t>reduce household and business energy use and costs; and</w:t>
      </w:r>
    </w:p>
    <w:p w14:paraId="3BE01E42" w14:textId="17DC0C06" w:rsidR="00724E8B" w:rsidRDefault="003246C5" w:rsidP="003246C5">
      <w:pPr>
        <w:spacing w:after="0" w:line="240" w:lineRule="auto"/>
        <w:ind w:left="709" w:hanging="698"/>
      </w:pPr>
      <w:r>
        <w:t xml:space="preserve">(d) </w:t>
      </w:r>
      <w:r>
        <w:tab/>
        <w:t>increase opportunities for priority households to reduce energy use and costs.</w:t>
      </w:r>
    </w:p>
    <w:p w14:paraId="6FC60490" w14:textId="5A028CCF" w:rsidR="003246C5" w:rsidRDefault="003246C5">
      <w:pPr>
        <w:spacing w:after="0" w:line="240" w:lineRule="auto"/>
        <w:ind w:left="709" w:hanging="698"/>
      </w:pPr>
    </w:p>
    <w:p w14:paraId="5987288B" w14:textId="77777777" w:rsidR="001B3B46" w:rsidRDefault="001B3B46" w:rsidP="00163CE7">
      <w:r>
        <w:t>*Section 5 of the Amendment Act omits the word ‘stationary’ from Section 6 (b).</w:t>
      </w:r>
    </w:p>
    <w:p w14:paraId="5C278C06" w14:textId="2215B0F5" w:rsidR="00D84C1B" w:rsidRDefault="00D84C1B" w:rsidP="00D84C1B">
      <w:r>
        <w:t xml:space="preserve">The ACT Government has developed the </w:t>
      </w:r>
      <w:r w:rsidRPr="00A41FAE">
        <w:rPr>
          <w:i/>
          <w:iCs/>
        </w:rPr>
        <w:t>ACT Climate Strategy 2019 - 2025</w:t>
      </w:r>
      <w:r>
        <w:rPr>
          <w:rStyle w:val="FootnoteReference"/>
        </w:rPr>
        <w:footnoteReference w:id="5"/>
      </w:r>
      <w:r>
        <w:t xml:space="preserve"> to deliver net zero greenhouse gas emissions from the </w:t>
      </w:r>
      <w:r w:rsidR="00D50E8A">
        <w:t>T</w:t>
      </w:r>
      <w:r>
        <w:t>erritory by 2045. EEIS is a key delivery mechanism and is one of the most cost-effective ways for the ACT to reduce emission</w:t>
      </w:r>
      <w:r w:rsidR="00D50E8A">
        <w:t>s</w:t>
      </w:r>
      <w:r>
        <w:t xml:space="preserve"> and energy bills. The EEIS also ensures that savings are delivered to low income, priority households through the Priority Household Target (PHT). </w:t>
      </w:r>
    </w:p>
    <w:p w14:paraId="31451267" w14:textId="566EBE58" w:rsidR="00163CE7" w:rsidRDefault="00163CE7" w:rsidP="00163CE7">
      <w:r>
        <w:t>An early review of the EEIS showed that it was cost effectively delivering energy efficiency outcomes</w:t>
      </w:r>
      <w:r>
        <w:rPr>
          <w:rStyle w:val="FootnoteReference"/>
        </w:rPr>
        <w:footnoteReference w:id="6"/>
      </w:r>
      <w:r>
        <w:t xml:space="preserve">, and the Act was extended </w:t>
      </w:r>
      <w:r w:rsidR="00693DFD">
        <w:t xml:space="preserve">until 31 December 2020 </w:t>
      </w:r>
      <w:r>
        <w:t xml:space="preserve">by way of the </w:t>
      </w:r>
      <w:r w:rsidRPr="00ED43B7">
        <w:rPr>
          <w:i/>
        </w:rPr>
        <w:t>Energy Efficiency (Cost</w:t>
      </w:r>
      <w:r>
        <w:rPr>
          <w:i/>
        </w:rPr>
        <w:t xml:space="preserve"> of Living) Improvement Act Amendment Act 2015</w:t>
      </w:r>
      <w:r>
        <w:rPr>
          <w:rStyle w:val="FootnoteReference"/>
          <w:i/>
        </w:rPr>
        <w:footnoteReference w:id="7"/>
      </w:r>
      <w:r>
        <w:t xml:space="preserve">. </w:t>
      </w:r>
    </w:p>
    <w:p w14:paraId="5041604C" w14:textId="7F6FB883" w:rsidR="001B3B46" w:rsidRDefault="00762DD1" w:rsidP="00D84C1B">
      <w:r>
        <w:t xml:space="preserve">In practice, ActewAGL has delivered EEIS activities primarily by offering </w:t>
      </w:r>
      <w:r w:rsidR="00EF521C">
        <w:t>rebates</w:t>
      </w:r>
      <w:r w:rsidR="003256A6">
        <w:t xml:space="preserve"> </w:t>
      </w:r>
      <w:r w:rsidR="002070A8">
        <w:t>to participants for the activity</w:t>
      </w:r>
      <w:r>
        <w:t xml:space="preserve">. From 2013 until 2016, low-cost items such as light globes, draught seals and standby power controllers were delivered and these items were delivered free to households, with the </w:t>
      </w:r>
      <w:r w:rsidR="00EF521C">
        <w:t>rebate</w:t>
      </w:r>
      <w:r>
        <w:t xml:space="preserve"> being equal to the value of the items. </w:t>
      </w:r>
    </w:p>
    <w:p w14:paraId="2BE20F25" w14:textId="148696AA" w:rsidR="001B3B46" w:rsidRDefault="00762DD1" w:rsidP="00D84C1B">
      <w:r>
        <w:t xml:space="preserve">From 2017, more costly activities such as reverse cycle air conditioners have been delivered and, in these cases participant co-contributions are required. Loans have been offered by ActewAGL and could also be applied through other initiatives such as </w:t>
      </w:r>
      <w:r w:rsidR="00247E31">
        <w:t xml:space="preserve">a </w:t>
      </w:r>
      <w:r>
        <w:t xml:space="preserve">No Interest Loans Scheme (NILS), to enable recipients to cover the co-contributions. ActewAGL is now moving to an on-bill finance option for co-contributions of larger items such as ducted electric reverse cycle air conditioners. </w:t>
      </w:r>
    </w:p>
    <w:p w14:paraId="5529EFF8" w14:textId="1A6BBB70" w:rsidR="00F10414" w:rsidRDefault="00762DD1" w:rsidP="00D84C1B">
      <w:r>
        <w:t xml:space="preserve">EEIS leverages off existing systems for energy ratings, disclosure and labelling by installing items with high star ratings. Installers are required to provide information on the use of installed items and to leave information about other opportunities with EEIS recipients. EEIS also exerts a minor fiscal impact on energy usage through average annual pass-through costs of $29 per year over the first five years.   </w:t>
      </w:r>
    </w:p>
    <w:p w14:paraId="71B2BF8D" w14:textId="17253437" w:rsidR="007606DC" w:rsidRDefault="0004151D" w:rsidP="00D84C1B">
      <w:r>
        <w:lastRenderedPageBreak/>
        <w:t xml:space="preserve">The outcomes from EEIS to date, and the likely impacts of its continuation have been thoroughly tested through </w:t>
      </w:r>
      <w:r w:rsidR="007606DC">
        <w:t>the 2018 independent</w:t>
      </w:r>
      <w:r w:rsidR="004C5DBE">
        <w:t xml:space="preserve"> review (the</w:t>
      </w:r>
      <w:r w:rsidR="007606DC">
        <w:t xml:space="preserve"> Revi</w:t>
      </w:r>
      <w:r w:rsidR="004C5DBE">
        <w:t>ew)</w:t>
      </w:r>
      <w:r>
        <w:t xml:space="preserve">, </w:t>
      </w:r>
      <w:r w:rsidR="000C4F4A">
        <w:t xml:space="preserve">initial modelling, </w:t>
      </w:r>
      <w:r w:rsidR="007606DC">
        <w:t xml:space="preserve">consultation </w:t>
      </w:r>
      <w:r>
        <w:t xml:space="preserve">and </w:t>
      </w:r>
      <w:r w:rsidR="000C4F4A">
        <w:t xml:space="preserve">detailed </w:t>
      </w:r>
      <w:r>
        <w:t xml:space="preserve">modelling of a potential extension. </w:t>
      </w:r>
    </w:p>
    <w:p w14:paraId="0206611A" w14:textId="759BF533" w:rsidR="00F10414" w:rsidRDefault="00F10414" w:rsidP="00D84C1B">
      <w:r>
        <w:t xml:space="preserve">An independent </w:t>
      </w:r>
      <w:r w:rsidR="00247E31">
        <w:t>r</w:t>
      </w:r>
      <w:r>
        <w:t>eview of EEIS was completed in 2018 by Point Advisory</w:t>
      </w:r>
      <w:r w:rsidRPr="00AB61A2">
        <w:rPr>
          <w:vertAlign w:val="superscript"/>
        </w:rPr>
        <w:footnoteReference w:id="8"/>
      </w:r>
      <w:r>
        <w:t xml:space="preserve"> (the Review). </w:t>
      </w:r>
      <w:r w:rsidRPr="00A21361">
        <w:t xml:space="preserve">The Review confirmed that EEIS has been effective in </w:t>
      </w:r>
      <w:r>
        <w:t>reaching</w:t>
      </w:r>
      <w:r w:rsidRPr="00A21361">
        <w:t xml:space="preserve"> a large proportion of ACT households and businesses and has been efficiently delivered, with a positive benefit cost ratio </w:t>
      </w:r>
      <w:r>
        <w:t>of 4:1 and a majority of participants reporting bill savings</w:t>
      </w:r>
      <w:r w:rsidRPr="00AB61A2">
        <w:rPr>
          <w:vertAlign w:val="superscript"/>
        </w:rPr>
        <w:footnoteReference w:id="9"/>
      </w:r>
      <w:r>
        <w:t xml:space="preserve">. EEIS has achieved these outcomes by delivering over 1.3 million energy efficient items, including over 1.2 million light globes delivered in both residential and business premises, plus efficient reverse cycle air conditioners, water heaters, draught seals, exhaust fan seals, and standby power controllers. Despite these efforts, and the contributions of other complementary energy efficiency programs, market failures and opportunities still exist. </w:t>
      </w:r>
    </w:p>
    <w:p w14:paraId="49C7E176" w14:textId="77777777" w:rsidR="00F10414" w:rsidRDefault="00F10414" w:rsidP="00D84C1B">
      <w:r>
        <w:t>The Review recommended that EEIS should continue beyond 2020, while shifting to an energy metric and adopting some other scheme enhancements</w:t>
      </w:r>
      <w:r w:rsidRPr="00AB61A2">
        <w:rPr>
          <w:vertAlign w:val="superscript"/>
        </w:rPr>
        <w:footnoteReference w:id="10"/>
      </w:r>
      <w:r>
        <w:t xml:space="preserve">. The ACT Government agreed to adopt an energy metric, adopt scheme settings to balance emission reductions, bill savings and benefits for low income households, and to consult on the other proposed changes. </w:t>
      </w:r>
    </w:p>
    <w:p w14:paraId="42F73128" w14:textId="0E27076F" w:rsidR="00F10414" w:rsidRDefault="00F10414" w:rsidP="00D84C1B">
      <w:r>
        <w:t xml:space="preserve">The results of this work are presented below to elaborate the case for continuing the EEIS. This background work has resulted in a robust proposal for an EEIS extension based on detailed empirical evaluation and well-informed modelling which is presented here in this RIS. </w:t>
      </w:r>
    </w:p>
    <w:p w14:paraId="7A640B8C" w14:textId="77C0C067" w:rsidR="005C1F0E" w:rsidRDefault="005C1F0E" w:rsidP="008731D1">
      <w:pPr>
        <w:pStyle w:val="Heading1"/>
      </w:pPr>
      <w:bookmarkStart w:id="8" w:name="_Toc41575586"/>
      <w:r>
        <w:t>EEIS Review</w:t>
      </w:r>
      <w:bookmarkEnd w:id="8"/>
    </w:p>
    <w:p w14:paraId="58D6E4E9" w14:textId="77777777" w:rsidR="006845C7" w:rsidRDefault="00552615" w:rsidP="00FC1210">
      <w:pPr>
        <w:spacing w:before="240"/>
      </w:pPr>
      <w:r>
        <w:t>An independent rev</w:t>
      </w:r>
      <w:r w:rsidR="003E3F1A">
        <w:t xml:space="preserve">iew completed in 2018 </w:t>
      </w:r>
      <w:r w:rsidR="00FC1210">
        <w:t>assessed whether EEIS remained appropriate, and ho</w:t>
      </w:r>
      <w:r w:rsidR="008F1E4B">
        <w:t>w effective and efficient it had</w:t>
      </w:r>
      <w:r w:rsidR="00FC1210">
        <w:t xml:space="preserve"> been in tackling the original policy problems and scheme objectives. </w:t>
      </w:r>
      <w:r w:rsidR="006845C7">
        <w:t xml:space="preserve">The Review is presented in seven parts, each with a different focus, including: </w:t>
      </w:r>
    </w:p>
    <w:p w14:paraId="63266E98" w14:textId="77777777" w:rsid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bCs w:val="0"/>
          <w:color w:val="000000"/>
          <w:sz w:val="19"/>
          <w:szCs w:val="19"/>
        </w:rPr>
      </w:pPr>
      <w:hyperlink r:id="rId9" w:history="1">
        <w:r w:rsidR="006845C7">
          <w:rPr>
            <w:rStyle w:val="Hyperlink"/>
            <w:rFonts w:ascii="Helvetica" w:hAnsi="Helvetica" w:cs="Helvetica"/>
            <w:color w:val="004899"/>
            <w:sz w:val="19"/>
            <w:szCs w:val="19"/>
            <w:bdr w:val="none" w:sz="0" w:space="0" w:color="auto" w:frame="1"/>
          </w:rPr>
          <w:t>Part 1 Executive Summary</w:t>
        </w:r>
      </w:hyperlink>
    </w:p>
    <w:p w14:paraId="546DB1E2" w14:textId="77777777" w:rsid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0" w:history="1">
        <w:r w:rsidR="006845C7">
          <w:rPr>
            <w:rStyle w:val="Hyperlink"/>
            <w:rFonts w:ascii="Helvetica" w:hAnsi="Helvetica" w:cs="Helvetica"/>
            <w:color w:val="004899"/>
            <w:sz w:val="19"/>
            <w:szCs w:val="19"/>
            <w:bdr w:val="none" w:sz="0" w:space="0" w:color="auto" w:frame="1"/>
          </w:rPr>
          <w:t>Part 2 Overview</w:t>
        </w:r>
      </w:hyperlink>
    </w:p>
    <w:p w14:paraId="0F4DFDD3" w14:textId="77777777" w:rsid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1" w:history="1">
        <w:r w:rsidR="006845C7">
          <w:rPr>
            <w:rStyle w:val="Hyperlink"/>
            <w:rFonts w:ascii="Helvetica" w:hAnsi="Helvetica" w:cs="Helvetica"/>
            <w:color w:val="004899"/>
            <w:sz w:val="19"/>
            <w:szCs w:val="19"/>
            <w:bdr w:val="none" w:sz="0" w:space="0" w:color="auto" w:frame="1"/>
          </w:rPr>
          <w:t>Part 3 Comparative Analysis</w:t>
        </w:r>
      </w:hyperlink>
    </w:p>
    <w:p w14:paraId="3E0F4F82" w14:textId="77777777" w:rsid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2" w:history="1">
        <w:r w:rsidR="006845C7">
          <w:rPr>
            <w:rStyle w:val="Hyperlink"/>
            <w:rFonts w:ascii="Helvetica" w:hAnsi="Helvetica" w:cs="Helvetica"/>
            <w:color w:val="004899"/>
            <w:sz w:val="19"/>
            <w:szCs w:val="19"/>
            <w:bdr w:val="none" w:sz="0" w:space="0" w:color="auto" w:frame="1"/>
          </w:rPr>
          <w:t>Part 4 Empirical Analysis</w:t>
        </w:r>
      </w:hyperlink>
    </w:p>
    <w:p w14:paraId="6C6A0F7B" w14:textId="16B05A0F" w:rsid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3" w:history="1">
        <w:r w:rsidR="006845C7">
          <w:rPr>
            <w:rStyle w:val="Hyperlink"/>
            <w:rFonts w:ascii="Helvetica" w:hAnsi="Helvetica" w:cs="Helvetica"/>
            <w:color w:val="004899"/>
            <w:sz w:val="19"/>
            <w:szCs w:val="19"/>
            <w:bdr w:val="none" w:sz="0" w:space="0" w:color="auto" w:frame="1"/>
          </w:rPr>
          <w:t>Part 5 Strengths, Weaknesses, Opportunities and Threats</w:t>
        </w:r>
      </w:hyperlink>
      <w:r w:rsidR="0068326E">
        <w:rPr>
          <w:rFonts w:ascii="Helvetica" w:hAnsi="Helvetica" w:cs="Helvetica"/>
          <w:color w:val="000000"/>
          <w:sz w:val="19"/>
          <w:szCs w:val="19"/>
        </w:rPr>
        <w:t xml:space="preserve"> (SWOT analysis)</w:t>
      </w:r>
    </w:p>
    <w:p w14:paraId="3BE0D90C" w14:textId="067BA754" w:rsid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4" w:history="1">
        <w:r w:rsidR="006845C7">
          <w:rPr>
            <w:rStyle w:val="Hyperlink"/>
            <w:rFonts w:ascii="Helvetica" w:hAnsi="Helvetica" w:cs="Helvetica"/>
            <w:color w:val="004899"/>
            <w:sz w:val="19"/>
            <w:szCs w:val="19"/>
            <w:bdr w:val="none" w:sz="0" w:space="0" w:color="auto" w:frame="1"/>
          </w:rPr>
          <w:t>Part 6 Cost: Benefit Analysis</w:t>
        </w:r>
      </w:hyperlink>
      <w:r w:rsidR="0068326E">
        <w:rPr>
          <w:rFonts w:ascii="Helvetica" w:hAnsi="Helvetica" w:cs="Helvetica"/>
          <w:color w:val="000000"/>
          <w:sz w:val="19"/>
          <w:szCs w:val="19"/>
        </w:rPr>
        <w:t xml:space="preserve"> (CBA)</w:t>
      </w:r>
    </w:p>
    <w:p w14:paraId="151784CD" w14:textId="18D1F46B" w:rsidR="006845C7" w:rsidRPr="006845C7" w:rsidRDefault="0067454F" w:rsidP="00E248C3">
      <w:pPr>
        <w:numPr>
          <w:ilvl w:val="0"/>
          <w:numId w:val="16"/>
        </w:numPr>
        <w:shd w:val="clear" w:color="auto" w:fill="FFFFFF"/>
        <w:autoSpaceDE/>
        <w:autoSpaceDN/>
        <w:adjustRightInd/>
        <w:spacing w:after="0" w:line="240" w:lineRule="auto"/>
        <w:ind w:right="225"/>
        <w:textAlignment w:val="baseline"/>
        <w:rPr>
          <w:rFonts w:ascii="Helvetica" w:hAnsi="Helvetica" w:cs="Helvetica"/>
          <w:color w:val="000000"/>
          <w:sz w:val="19"/>
          <w:szCs w:val="19"/>
        </w:rPr>
      </w:pPr>
      <w:hyperlink r:id="rId15" w:history="1">
        <w:r w:rsidR="006845C7">
          <w:rPr>
            <w:rStyle w:val="Hyperlink"/>
            <w:rFonts w:ascii="Helvetica" w:hAnsi="Helvetica" w:cs="Helvetica"/>
            <w:color w:val="004899"/>
            <w:sz w:val="19"/>
            <w:szCs w:val="19"/>
            <w:bdr w:val="none" w:sz="0" w:space="0" w:color="auto" w:frame="1"/>
          </w:rPr>
          <w:t>Part 7 Stakeholder Consultation Report</w:t>
        </w:r>
      </w:hyperlink>
    </w:p>
    <w:p w14:paraId="1A87FD82" w14:textId="4B1FB362" w:rsidR="00FC1210" w:rsidRDefault="00FC1210" w:rsidP="00BD62B6">
      <w:pPr>
        <w:spacing w:before="240" w:after="0"/>
      </w:pPr>
      <w:r>
        <w:lastRenderedPageBreak/>
        <w:t xml:space="preserve">The </w:t>
      </w:r>
      <w:r w:rsidR="00247E31">
        <w:t>R</w:t>
      </w:r>
      <w:r>
        <w:t>eview</w:t>
      </w:r>
      <w:r w:rsidR="008F1E4B">
        <w:t xml:space="preserve"> </w:t>
      </w:r>
      <w:r w:rsidR="00704C45">
        <w:t>confirmed EEIS effectiveness, efficiency and relevance</w:t>
      </w:r>
      <w:r w:rsidR="00247E31">
        <w:t xml:space="preserve">, </w:t>
      </w:r>
      <w:r w:rsidR="00704C45">
        <w:t>recommended that the</w:t>
      </w:r>
      <w:r>
        <w:t xml:space="preserve"> </w:t>
      </w:r>
      <w:r w:rsidR="00E43F4F">
        <w:t>S</w:t>
      </w:r>
      <w:r>
        <w:t xml:space="preserve">cheme should be extended </w:t>
      </w:r>
      <w:r w:rsidR="00704C45">
        <w:t>and made a series of recommendations for improving EEIS post 2020</w:t>
      </w:r>
      <w:r w:rsidR="006C6CC4">
        <w:rPr>
          <w:rStyle w:val="FootnoteReference"/>
        </w:rPr>
        <w:footnoteReference w:id="11"/>
      </w:r>
      <w:r w:rsidR="00704C45">
        <w:t xml:space="preserve">. </w:t>
      </w:r>
    </w:p>
    <w:p w14:paraId="28F3D1DF" w14:textId="77777777" w:rsidR="00BD62B6" w:rsidRDefault="00BD62B6" w:rsidP="00BD62B6">
      <w:pPr>
        <w:spacing w:after="0"/>
      </w:pPr>
    </w:p>
    <w:p w14:paraId="2A1F425D" w14:textId="7A037648" w:rsidR="005E5EB9" w:rsidRDefault="005E5EB9" w:rsidP="00BD62B6">
      <w:r>
        <w:t xml:space="preserve">At a high level, the </w:t>
      </w:r>
      <w:r w:rsidR="004C5DBE">
        <w:t>EEIS</w:t>
      </w:r>
      <w:r>
        <w:t xml:space="preserve"> was found to be effective in reaching a large proportion of ACT households and businesses over its years of operation through mass implementation of small energy efficiency measures. The program has been efficiently delivered, with an overall low administration budget and overall positive benefit</w:t>
      </w:r>
      <w:r w:rsidR="003E029B">
        <w:t>-</w:t>
      </w:r>
      <w:r>
        <w:t>cost</w:t>
      </w:r>
      <w:r w:rsidR="003E029B">
        <w:t xml:space="preserve"> </w:t>
      </w:r>
      <w:r>
        <w:t xml:space="preserve">ratio. The cost of the </w:t>
      </w:r>
      <w:r w:rsidR="00E43F4F">
        <w:t>S</w:t>
      </w:r>
      <w:r>
        <w:t>cheme was in line with predictions and ot</w:t>
      </w:r>
      <w:r w:rsidR="003E029B">
        <w:t>her international schemes. The b</w:t>
      </w:r>
      <w:r>
        <w:t>enefit</w:t>
      </w:r>
      <w:r w:rsidR="003E029B">
        <w:t>-c</w:t>
      </w:r>
      <w:r>
        <w:t xml:space="preserve">ost ratio (lifetime bills savings / cost of the </w:t>
      </w:r>
      <w:r w:rsidR="00E43F4F">
        <w:t>S</w:t>
      </w:r>
      <w:r>
        <w:t>cheme to date) calculated from 2013 to 2017 was close to 4</w:t>
      </w:r>
      <w:r w:rsidR="005578EE">
        <w:t xml:space="preserve">. </w:t>
      </w:r>
      <w:r w:rsidR="00521A38">
        <w:t xml:space="preserve">The same methodology applied to 2018 data confirms </w:t>
      </w:r>
      <w:r w:rsidR="005578EE">
        <w:t xml:space="preserve">that savings </w:t>
      </w:r>
      <w:r w:rsidR="00521A38">
        <w:t xml:space="preserve">have </w:t>
      </w:r>
      <w:r w:rsidR="005578EE">
        <w:t>continued to increase compared with costs in 2018</w:t>
      </w:r>
      <w:r w:rsidR="002421B2">
        <w:t>, as shown in Figure 1</w:t>
      </w:r>
      <w:r w:rsidR="005578EE">
        <w:t xml:space="preserve">. </w:t>
      </w:r>
    </w:p>
    <w:p w14:paraId="6F98DCA7" w14:textId="71DD994C" w:rsidR="005578EE" w:rsidRDefault="005578EE" w:rsidP="005578EE">
      <w:pPr>
        <w:pStyle w:val="Caption"/>
        <w:keepNext/>
      </w:pPr>
      <w:bookmarkStart w:id="9" w:name="_Toc41558475"/>
      <w:r>
        <w:t xml:space="preserve">Figure </w:t>
      </w:r>
      <w:r w:rsidR="007D572D">
        <w:rPr>
          <w:noProof/>
        </w:rPr>
        <w:fldChar w:fldCharType="begin"/>
      </w:r>
      <w:r w:rsidR="007D572D">
        <w:rPr>
          <w:noProof/>
        </w:rPr>
        <w:instrText xml:space="preserve"> SEQ Figure \* ARABIC </w:instrText>
      </w:r>
      <w:r w:rsidR="007D572D">
        <w:rPr>
          <w:noProof/>
        </w:rPr>
        <w:fldChar w:fldCharType="separate"/>
      </w:r>
      <w:r w:rsidR="00530E27">
        <w:rPr>
          <w:noProof/>
        </w:rPr>
        <w:t>1</w:t>
      </w:r>
      <w:r w:rsidR="007D572D">
        <w:rPr>
          <w:noProof/>
        </w:rPr>
        <w:fldChar w:fldCharType="end"/>
      </w:r>
      <w:r>
        <w:t xml:space="preserve"> </w:t>
      </w:r>
      <w:r w:rsidRPr="00587470">
        <w:t xml:space="preserve">Lifetime energy bill savings versus costs of </w:t>
      </w:r>
      <w:r w:rsidR="00E43F4F">
        <w:t>the EEIS</w:t>
      </w:r>
      <w:r w:rsidR="00C47314">
        <w:rPr>
          <w:rStyle w:val="FootnoteReference"/>
        </w:rPr>
        <w:footnoteReference w:id="12"/>
      </w:r>
      <w:bookmarkEnd w:id="9"/>
    </w:p>
    <w:p w14:paraId="392C7E70" w14:textId="77777777" w:rsidR="005578EE" w:rsidRDefault="005578EE" w:rsidP="00C47314">
      <w:pPr>
        <w:spacing w:before="240"/>
      </w:pPr>
      <w:r>
        <w:rPr>
          <w:noProof/>
        </w:rPr>
        <w:drawing>
          <wp:inline distT="0" distB="0" distL="0" distR="0" wp14:anchorId="3BDE43E4" wp14:editId="1C754655">
            <wp:extent cx="5731510" cy="3220085"/>
            <wp:effectExtent l="0" t="0" r="254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AE9154" w14:textId="26AF666A" w:rsidR="00521A38" w:rsidRDefault="00356B7A" w:rsidP="00D84C1B">
      <w:r>
        <w:t xml:space="preserve">Other key findings from the EEIS Review were </w:t>
      </w:r>
      <w:r w:rsidR="007018B5">
        <w:t>as follows, noting that these results were to the end of 2017, and that results from 2018 and 2019 have continued on from these trends and updates have been included in the text</w:t>
      </w:r>
      <w:r>
        <w:t xml:space="preserve">: </w:t>
      </w:r>
    </w:p>
    <w:p w14:paraId="7125A04C" w14:textId="77777777" w:rsidR="00D84C1B" w:rsidRDefault="00356B7A" w:rsidP="00D84C1B">
      <w:pPr>
        <w:pStyle w:val="ListParagraph"/>
        <w:numPr>
          <w:ilvl w:val="0"/>
          <w:numId w:val="55"/>
        </w:numPr>
        <w:rPr>
          <w:rStyle w:val="Calibri12"/>
        </w:rPr>
      </w:pPr>
      <w:r w:rsidRPr="00BE05BB">
        <w:rPr>
          <w:rStyle w:val="Calibri12"/>
        </w:rPr>
        <w:lastRenderedPageBreak/>
        <w:t>Overall, the EEIS ha</w:t>
      </w:r>
      <w:r w:rsidR="007018B5">
        <w:rPr>
          <w:rStyle w:val="Calibri12"/>
        </w:rPr>
        <w:t>d</w:t>
      </w:r>
      <w:r w:rsidRPr="00BE05BB">
        <w:rPr>
          <w:rStyle w:val="Calibri12"/>
        </w:rPr>
        <w:t xml:space="preserve"> been effective in reducing household and business emissions and energy costs and been cost-efficiently delivered, with a</w:t>
      </w:r>
      <w:r w:rsidR="003E029B">
        <w:rPr>
          <w:rStyle w:val="Calibri12"/>
        </w:rPr>
        <w:t xml:space="preserve">n overall positive benefit-cost </w:t>
      </w:r>
      <w:r w:rsidRPr="00BE05BB">
        <w:rPr>
          <w:rStyle w:val="Calibri12"/>
        </w:rPr>
        <w:t>ratio.</w:t>
      </w:r>
    </w:p>
    <w:p w14:paraId="68621578" w14:textId="77777777" w:rsidR="00D84C1B" w:rsidRDefault="00356B7A" w:rsidP="00D84C1B">
      <w:pPr>
        <w:pStyle w:val="ListParagraph"/>
        <w:numPr>
          <w:ilvl w:val="0"/>
          <w:numId w:val="55"/>
        </w:numPr>
        <w:rPr>
          <w:rStyle w:val="Calibri12"/>
        </w:rPr>
      </w:pPr>
      <w:r w:rsidRPr="00BE05BB">
        <w:rPr>
          <w:rStyle w:val="Calibri12"/>
        </w:rPr>
        <w:t>The EEIS ha</w:t>
      </w:r>
      <w:r w:rsidR="007018B5">
        <w:rPr>
          <w:rStyle w:val="Calibri12"/>
        </w:rPr>
        <w:t>d</w:t>
      </w:r>
      <w:r w:rsidRPr="00BE05BB">
        <w:rPr>
          <w:rStyle w:val="Calibri12"/>
        </w:rPr>
        <w:t xml:space="preserve"> fulfilled its four objectives: encouraging efficient use of energy, reducing emissions, reducing energy use and costs for households, businesses and priority households.</w:t>
      </w:r>
    </w:p>
    <w:p w14:paraId="57954DAA" w14:textId="77777777" w:rsidR="00D84C1B" w:rsidRDefault="00356B7A" w:rsidP="00D84C1B">
      <w:pPr>
        <w:pStyle w:val="ListParagraph"/>
        <w:numPr>
          <w:ilvl w:val="0"/>
          <w:numId w:val="55"/>
        </w:numPr>
        <w:rPr>
          <w:rStyle w:val="Calibri12"/>
        </w:rPr>
      </w:pPr>
      <w:r w:rsidRPr="00BE05BB">
        <w:rPr>
          <w:rStyle w:val="Calibri12"/>
        </w:rPr>
        <w:t xml:space="preserve">Lifetime energy savings exceeded 4.5 million GJ by the end of 2017. During 2017, EEIS saved enough energy to power over 21,000 Canberra households. </w:t>
      </w:r>
      <w:r w:rsidR="000F06D2">
        <w:rPr>
          <w:rStyle w:val="Calibri12"/>
        </w:rPr>
        <w:t xml:space="preserve">Lifetime energy savings had increased to 6 million GJ by the end of 2018. </w:t>
      </w:r>
    </w:p>
    <w:p w14:paraId="0DACCC5A" w14:textId="77777777" w:rsidR="00D84C1B" w:rsidRDefault="000F06D2" w:rsidP="00D84C1B">
      <w:pPr>
        <w:pStyle w:val="ListParagraph"/>
        <w:numPr>
          <w:ilvl w:val="0"/>
          <w:numId w:val="55"/>
        </w:numPr>
        <w:rPr>
          <w:rStyle w:val="Calibri12"/>
        </w:rPr>
      </w:pPr>
      <w:r>
        <w:rPr>
          <w:rStyle w:val="Calibri12"/>
        </w:rPr>
        <w:t>EEIS had</w:t>
      </w:r>
      <w:r w:rsidR="00356B7A" w:rsidRPr="00BE05BB">
        <w:rPr>
          <w:rStyle w:val="Calibri12"/>
        </w:rPr>
        <w:t xml:space="preserve"> delivered 390 ktCO</w:t>
      </w:r>
      <w:r w:rsidR="00356B7A" w:rsidRPr="00D84C1B">
        <w:rPr>
          <w:rStyle w:val="Calibri12"/>
          <w:vertAlign w:val="subscript"/>
        </w:rPr>
        <w:t>2</w:t>
      </w:r>
      <w:r w:rsidR="00356B7A" w:rsidRPr="00BE05BB">
        <w:rPr>
          <w:rStyle w:val="Calibri12"/>
        </w:rPr>
        <w:t>e of lifetime emission reductions</w:t>
      </w:r>
      <w:r>
        <w:rPr>
          <w:rStyle w:val="Calibri12"/>
        </w:rPr>
        <w:t>, increasing to 473</w:t>
      </w:r>
      <w:r w:rsidRPr="000F06D2">
        <w:rPr>
          <w:rStyle w:val="Calibri12"/>
        </w:rPr>
        <w:t xml:space="preserve"> </w:t>
      </w:r>
      <w:r w:rsidRPr="00BE05BB">
        <w:rPr>
          <w:rStyle w:val="Calibri12"/>
        </w:rPr>
        <w:t>ktCO</w:t>
      </w:r>
      <w:r w:rsidRPr="00D84C1B">
        <w:rPr>
          <w:rStyle w:val="Calibri12"/>
          <w:vertAlign w:val="subscript"/>
        </w:rPr>
        <w:t>2</w:t>
      </w:r>
      <w:r w:rsidRPr="00BE05BB">
        <w:rPr>
          <w:rStyle w:val="Calibri12"/>
        </w:rPr>
        <w:t>e</w:t>
      </w:r>
      <w:r>
        <w:rPr>
          <w:rStyle w:val="Calibri12"/>
        </w:rPr>
        <w:t xml:space="preserve"> by the end of 2018</w:t>
      </w:r>
      <w:r w:rsidR="00356B7A" w:rsidRPr="00BE05BB">
        <w:rPr>
          <w:rStyle w:val="Calibri12"/>
        </w:rPr>
        <w:t xml:space="preserve">. </w:t>
      </w:r>
    </w:p>
    <w:p w14:paraId="20AA96CB" w14:textId="79B06526" w:rsidR="00D84C1B" w:rsidRDefault="00356B7A" w:rsidP="00D84C1B">
      <w:pPr>
        <w:pStyle w:val="ListParagraph"/>
        <w:numPr>
          <w:ilvl w:val="0"/>
          <w:numId w:val="55"/>
        </w:numPr>
        <w:rPr>
          <w:rStyle w:val="Calibri12"/>
        </w:rPr>
      </w:pPr>
      <w:r w:rsidRPr="00BE05BB">
        <w:rPr>
          <w:rStyle w:val="Calibri12"/>
        </w:rPr>
        <w:t>Total lifetime bill savings of $240M including $180M to households and $60</w:t>
      </w:r>
      <w:r>
        <w:rPr>
          <w:rStyle w:val="Calibri12"/>
        </w:rPr>
        <w:t>M</w:t>
      </w:r>
      <w:r w:rsidRPr="00BE05BB">
        <w:rPr>
          <w:rStyle w:val="Calibri12"/>
        </w:rPr>
        <w:t xml:space="preserve"> to small and medium businesses</w:t>
      </w:r>
      <w:r w:rsidR="000F06D2">
        <w:rPr>
          <w:rStyle w:val="Calibri12"/>
        </w:rPr>
        <w:t xml:space="preserve"> had been delivered by the end of 2017</w:t>
      </w:r>
      <w:r w:rsidRPr="00BE05BB">
        <w:rPr>
          <w:rStyle w:val="Calibri12"/>
        </w:rPr>
        <w:t xml:space="preserve">. </w:t>
      </w:r>
      <w:r w:rsidR="00481134">
        <w:rPr>
          <w:rStyle w:val="Calibri12"/>
        </w:rPr>
        <w:t>By the end of 2018, total lifetime bill savings were $337, including $203M to households, $134</w:t>
      </w:r>
      <w:r w:rsidR="00247E31">
        <w:rPr>
          <w:rStyle w:val="Calibri12"/>
        </w:rPr>
        <w:t>M</w:t>
      </w:r>
      <w:r w:rsidR="00481134">
        <w:rPr>
          <w:rStyle w:val="Calibri12"/>
        </w:rPr>
        <w:t xml:space="preserve"> to businesses and $50M to priority households. </w:t>
      </w:r>
    </w:p>
    <w:p w14:paraId="136F5F9F" w14:textId="77777777" w:rsidR="00D84C1B" w:rsidRDefault="00356B7A" w:rsidP="00D84C1B">
      <w:pPr>
        <w:pStyle w:val="ListParagraph"/>
        <w:numPr>
          <w:ilvl w:val="0"/>
          <w:numId w:val="55"/>
        </w:numPr>
        <w:rPr>
          <w:rStyle w:val="Calibri12"/>
        </w:rPr>
      </w:pPr>
      <w:r w:rsidRPr="00BE05BB">
        <w:rPr>
          <w:rStyle w:val="Calibri12"/>
        </w:rPr>
        <w:t xml:space="preserve">Average weekly savings </w:t>
      </w:r>
      <w:r w:rsidR="00481134">
        <w:rPr>
          <w:rStyle w:val="Calibri12"/>
        </w:rPr>
        <w:t xml:space="preserve">to the end of 2018 </w:t>
      </w:r>
      <w:r w:rsidR="007018B5">
        <w:rPr>
          <w:rStyle w:val="Calibri12"/>
        </w:rPr>
        <w:t>were</w:t>
      </w:r>
      <w:r w:rsidRPr="00BE05BB">
        <w:rPr>
          <w:rStyle w:val="Calibri12"/>
        </w:rPr>
        <w:t xml:space="preserve"> $5.65 for participating households and $57 for participating businesses.</w:t>
      </w:r>
      <w:r w:rsidR="000F06D2">
        <w:rPr>
          <w:rStyle w:val="Calibri12"/>
        </w:rPr>
        <w:t xml:space="preserve"> </w:t>
      </w:r>
    </w:p>
    <w:p w14:paraId="5D882B1C" w14:textId="77777777" w:rsidR="00D84C1B" w:rsidRDefault="007018B5" w:rsidP="00D84C1B">
      <w:pPr>
        <w:pStyle w:val="ListParagraph"/>
        <w:numPr>
          <w:ilvl w:val="0"/>
          <w:numId w:val="55"/>
        </w:numPr>
        <w:rPr>
          <w:rStyle w:val="Calibri12"/>
        </w:rPr>
      </w:pPr>
      <w:r>
        <w:rPr>
          <w:rStyle w:val="Calibri12"/>
        </w:rPr>
        <w:t xml:space="preserve">Priority households had received 22% of total scheme residential savings, or just under $40 million. </w:t>
      </w:r>
    </w:p>
    <w:p w14:paraId="688B7515" w14:textId="6E4939DD" w:rsidR="00D84C1B" w:rsidRDefault="00356B7A" w:rsidP="00D84C1B">
      <w:pPr>
        <w:pStyle w:val="ListParagraph"/>
        <w:numPr>
          <w:ilvl w:val="0"/>
          <w:numId w:val="55"/>
        </w:numPr>
        <w:rPr>
          <w:rStyle w:val="Calibri12"/>
        </w:rPr>
      </w:pPr>
      <w:r>
        <w:rPr>
          <w:rStyle w:val="Calibri12"/>
        </w:rPr>
        <w:t>In the first five</w:t>
      </w:r>
      <w:r w:rsidRPr="00BE05BB">
        <w:rPr>
          <w:rStyle w:val="Calibri12"/>
        </w:rPr>
        <w:t xml:space="preserve"> years of the </w:t>
      </w:r>
      <w:r w:rsidR="00E43F4F">
        <w:rPr>
          <w:rStyle w:val="Calibri12"/>
        </w:rPr>
        <w:t>S</w:t>
      </w:r>
      <w:r w:rsidRPr="00BE05BB">
        <w:rPr>
          <w:rStyle w:val="Calibri12"/>
        </w:rPr>
        <w:t xml:space="preserve">cheme, the EEIS was able to achieve scale on simple-to-implement activities delivering benefit to over 70,000 households and businesses, including 17,900 low income priority households and 15,000 rental properties. </w:t>
      </w:r>
      <w:r w:rsidR="007A215C">
        <w:rPr>
          <w:rStyle w:val="Calibri12"/>
        </w:rPr>
        <w:t>By the end of 2018 EEIS activities had been deli</w:t>
      </w:r>
      <w:r w:rsidR="003E029B">
        <w:rPr>
          <w:rStyle w:val="Calibri12"/>
        </w:rPr>
        <w:t>vered to over 72,000 households.</w:t>
      </w:r>
      <w:r w:rsidR="007A215C">
        <w:rPr>
          <w:rStyle w:val="Calibri12"/>
        </w:rPr>
        <w:t xml:space="preserve"> </w:t>
      </w:r>
    </w:p>
    <w:p w14:paraId="139E4EA0" w14:textId="5D4EDD3D" w:rsidR="00356B7A" w:rsidRPr="00BE05BB" w:rsidRDefault="00356B7A" w:rsidP="00D84C1B">
      <w:pPr>
        <w:pStyle w:val="ListParagraph"/>
        <w:numPr>
          <w:ilvl w:val="0"/>
          <w:numId w:val="55"/>
        </w:numPr>
        <w:rPr>
          <w:rStyle w:val="Calibri12"/>
        </w:rPr>
      </w:pPr>
      <w:r w:rsidRPr="00BE05BB">
        <w:rPr>
          <w:rStyle w:val="Calibri12"/>
        </w:rPr>
        <w:t xml:space="preserve">In general, stakeholders were more focused on energy efficiency and energy affordability than the greenhouse gas reductions associated with the </w:t>
      </w:r>
      <w:r w:rsidR="00E43F4F">
        <w:rPr>
          <w:rStyle w:val="Calibri12"/>
        </w:rPr>
        <w:t>S</w:t>
      </w:r>
      <w:r w:rsidRPr="00BE05BB">
        <w:rPr>
          <w:rStyle w:val="Calibri12"/>
        </w:rPr>
        <w:t xml:space="preserve">cheme.  </w:t>
      </w:r>
    </w:p>
    <w:p w14:paraId="3B3B03D3" w14:textId="77777777" w:rsidR="00356B7A" w:rsidRPr="00BE05BB" w:rsidRDefault="00356B7A" w:rsidP="00D84C1B">
      <w:pPr>
        <w:rPr>
          <w:rStyle w:val="Calibri12"/>
        </w:rPr>
      </w:pPr>
      <w:r w:rsidRPr="00BE05BB">
        <w:rPr>
          <w:rStyle w:val="Calibri12"/>
        </w:rPr>
        <w:t xml:space="preserve">This review process indicates that the EEIS should continue beyond 2020, with amendments to best support the ACT Government’s priorities, including the next Climate Change Strategy.  </w:t>
      </w:r>
    </w:p>
    <w:p w14:paraId="7D0D6611" w14:textId="75FE64F4" w:rsidR="000974AD" w:rsidRDefault="00CD30EE" w:rsidP="00D84C1B">
      <w:pPr>
        <w:pStyle w:val="Heading1"/>
      </w:pPr>
      <w:bookmarkStart w:id="10" w:name="_Toc41575587"/>
      <w:r>
        <w:t>E</w:t>
      </w:r>
      <w:r w:rsidR="005432FA">
        <w:t>xtending and enhancing the</w:t>
      </w:r>
      <w:r>
        <w:t xml:space="preserve"> EEIS</w:t>
      </w:r>
      <w:bookmarkEnd w:id="10"/>
    </w:p>
    <w:p w14:paraId="7D48E336" w14:textId="7D6397B4" w:rsidR="00441CD9" w:rsidRDefault="00B60783" w:rsidP="00CD30EE">
      <w:pPr>
        <w:spacing w:before="240" w:after="0"/>
      </w:pPr>
      <w:r>
        <w:t>A modelling project undertaken by Energetics used qualitative and</w:t>
      </w:r>
      <w:r w:rsidR="00CD30EE">
        <w:t xml:space="preserve"> comparative analysis</w:t>
      </w:r>
      <w:r>
        <w:t xml:space="preserve"> to test the potential outcomes from the Review proposals for an EEIS </w:t>
      </w:r>
      <w:r w:rsidR="008731D1">
        <w:t>extension</w:t>
      </w:r>
      <w:r>
        <w:t>. Results of this work were tested with stakeholders to settle on a recommended set of scheme design options, which included:</w:t>
      </w:r>
    </w:p>
    <w:p w14:paraId="05C69395" w14:textId="77777777" w:rsidR="00CD30EE" w:rsidRDefault="00CD30EE" w:rsidP="00CD30EE">
      <w:pPr>
        <w:pStyle w:val="ListParagraph"/>
        <w:numPr>
          <w:ilvl w:val="0"/>
          <w:numId w:val="19"/>
        </w:numPr>
      </w:pPr>
      <w:r>
        <w:t xml:space="preserve">Confirmation that significant economic benefits are anticipated over the life of a ten-year EEIS extension, </w:t>
      </w:r>
    </w:p>
    <w:p w14:paraId="2E185DBF" w14:textId="77777777" w:rsidR="00CD30EE" w:rsidRDefault="00CD30EE" w:rsidP="00CD30EE">
      <w:pPr>
        <w:pStyle w:val="ListParagraph"/>
        <w:numPr>
          <w:ilvl w:val="0"/>
          <w:numId w:val="19"/>
        </w:numPr>
      </w:pPr>
      <w:r>
        <w:lastRenderedPageBreak/>
        <w:t xml:space="preserve">Acceptance that the optimal approach is to balance multiple objectives and thereby optimise the economic, social equity and climate change outcomes from EEIS, </w:t>
      </w:r>
    </w:p>
    <w:p w14:paraId="77D13F13" w14:textId="358A44E7" w:rsidR="00CD30EE" w:rsidRDefault="00CD30EE" w:rsidP="00CD30EE">
      <w:pPr>
        <w:pStyle w:val="ListParagraph"/>
        <w:numPr>
          <w:ilvl w:val="0"/>
          <w:numId w:val="19"/>
        </w:numPr>
      </w:pPr>
      <w:r>
        <w:t xml:space="preserve">Rejection of proposals to lower the Tier 1 threshold, expand the obligation to gas retailers or open the </w:t>
      </w:r>
      <w:r w:rsidR="00E43F4F">
        <w:t>S</w:t>
      </w:r>
      <w:r>
        <w:t xml:space="preserve">cheme to </w:t>
      </w:r>
      <w:r w:rsidR="00514E80">
        <w:t xml:space="preserve">National Greenhouse Energy Reporting scheme </w:t>
      </w:r>
      <w:r>
        <w:t xml:space="preserve">reporters, </w:t>
      </w:r>
    </w:p>
    <w:p w14:paraId="316DC22D" w14:textId="1482204C" w:rsidR="00CD30EE" w:rsidRDefault="00CD30EE" w:rsidP="00CD30EE">
      <w:pPr>
        <w:pStyle w:val="ListParagraph"/>
        <w:numPr>
          <w:ilvl w:val="0"/>
          <w:numId w:val="19"/>
        </w:numPr>
      </w:pPr>
      <w:r>
        <w:t xml:space="preserve">Verification that any new sub-targets, multipliers or restrictions would constrain the efficiency of the </w:t>
      </w:r>
      <w:r w:rsidR="00E43F4F">
        <w:t>S</w:t>
      </w:r>
      <w:r>
        <w:t xml:space="preserve">cheme’s market mechanism and are not recommended,  </w:t>
      </w:r>
    </w:p>
    <w:p w14:paraId="5A4304C0" w14:textId="67085134" w:rsidR="00724E8B" w:rsidRDefault="00CD30EE" w:rsidP="00CD30EE">
      <w:pPr>
        <w:pStyle w:val="ListParagraph"/>
        <w:numPr>
          <w:ilvl w:val="0"/>
          <w:numId w:val="19"/>
        </w:numPr>
      </w:pPr>
      <w:r>
        <w:t>Recognition that retaining the PHT remains economically viable and is strongly supported by stakeholders, and</w:t>
      </w:r>
    </w:p>
    <w:p w14:paraId="7E1582C5" w14:textId="7F234D40" w:rsidR="00724E8B" w:rsidRDefault="00CD30EE">
      <w:pPr>
        <w:pStyle w:val="ListParagraph"/>
        <w:numPr>
          <w:ilvl w:val="0"/>
          <w:numId w:val="19"/>
        </w:numPr>
      </w:pPr>
      <w:r>
        <w:t>Support for ongoing development of eligible activities including an expansion to transport activities</w:t>
      </w:r>
      <w:r w:rsidR="00724E8B">
        <w:t xml:space="preserve">.   </w:t>
      </w:r>
    </w:p>
    <w:p w14:paraId="7E3A1952" w14:textId="77777777" w:rsidR="00724E8B" w:rsidRDefault="00724E8B" w:rsidP="00A41FAE">
      <w:pPr>
        <w:pStyle w:val="ListParagraph"/>
        <w:numPr>
          <w:ilvl w:val="0"/>
          <w:numId w:val="0"/>
        </w:numPr>
        <w:ind w:left="720"/>
      </w:pPr>
    </w:p>
    <w:p w14:paraId="384DA1EF" w14:textId="225EC31D" w:rsidR="00780F1F" w:rsidRDefault="00724E8B">
      <w:r>
        <w:t>T</w:t>
      </w:r>
      <w:r w:rsidR="00837DBA">
        <w:t>he selected scenario is a ten-year EEIS extension</w:t>
      </w:r>
      <w:r w:rsidR="006D5EAC">
        <w:t xml:space="preserve"> with an energy </w:t>
      </w:r>
      <w:r w:rsidR="00514E80">
        <w:t xml:space="preserve">savings </w:t>
      </w:r>
      <w:r w:rsidR="006D5EAC">
        <w:t>metric and a balanced approach with</w:t>
      </w:r>
      <w:r w:rsidR="008C252A">
        <w:t xml:space="preserve"> </w:t>
      </w:r>
      <w:r w:rsidR="00837DBA">
        <w:t xml:space="preserve">additional benefits </w:t>
      </w:r>
      <w:r w:rsidR="008C252A">
        <w:t>for priority households, the capacity to expand to transport activities and s</w:t>
      </w:r>
      <w:r w:rsidR="006D5EAC">
        <w:t>ome administrative streamlining. Th</w:t>
      </w:r>
      <w:r w:rsidR="00780F1F">
        <w:t>ese</w:t>
      </w:r>
      <w:r w:rsidR="006D5EAC">
        <w:t xml:space="preserve"> amendments to the Act </w:t>
      </w:r>
      <w:r w:rsidR="00780F1F">
        <w:t>were passed</w:t>
      </w:r>
      <w:r w:rsidR="00190923">
        <w:t xml:space="preserve"> in the </w:t>
      </w:r>
      <w:r w:rsidR="00190923" w:rsidRPr="00724E8B">
        <w:rPr>
          <w:i/>
        </w:rPr>
        <w:t>Energy Efficiency (Cost of Living) Improvement</w:t>
      </w:r>
      <w:r w:rsidR="000272E7" w:rsidRPr="00724E8B">
        <w:rPr>
          <w:i/>
        </w:rPr>
        <w:t xml:space="preserve"> Amendment</w:t>
      </w:r>
      <w:r w:rsidR="00190923" w:rsidRPr="00724E8B">
        <w:rPr>
          <w:i/>
        </w:rPr>
        <w:t xml:space="preserve"> </w:t>
      </w:r>
      <w:r w:rsidR="00514E80">
        <w:rPr>
          <w:i/>
        </w:rPr>
        <w:t>Act</w:t>
      </w:r>
      <w:r w:rsidR="00514E80" w:rsidRPr="00724E8B">
        <w:rPr>
          <w:i/>
        </w:rPr>
        <w:t xml:space="preserve"> </w:t>
      </w:r>
      <w:r w:rsidR="00190923" w:rsidRPr="00724E8B">
        <w:rPr>
          <w:i/>
        </w:rPr>
        <w:t>2019</w:t>
      </w:r>
      <w:r w:rsidR="006D5EAC">
        <w:t xml:space="preserve">. </w:t>
      </w:r>
    </w:p>
    <w:p w14:paraId="28011455" w14:textId="0A3DC58E" w:rsidR="00780F1F" w:rsidRPr="002A04F1" w:rsidRDefault="002A04F1" w:rsidP="00780F1F">
      <w:pPr>
        <w:rPr>
          <w:rFonts w:eastAsiaTheme="majorEastAsia"/>
        </w:rPr>
      </w:pPr>
      <w:r>
        <w:rPr>
          <w:rFonts w:eastAsiaTheme="majorEastAsia"/>
        </w:rPr>
        <w:t xml:space="preserve">Swapping the current greenhouse gas emissions metric to an energy metric is needed because ACT’s 100% renewable electricity target would otherwise effectively exclude any electricity saving activities from being delivered by EEIS. </w:t>
      </w:r>
      <w:r w:rsidR="00F05014">
        <w:t>Amendments relating to the adoption of an energy metric will commence on 1 January 2021.</w:t>
      </w:r>
      <w:r w:rsidR="00136116">
        <w:t xml:space="preserve"> </w:t>
      </w:r>
      <w:r w:rsidR="00780F1F">
        <w:t xml:space="preserve">The changes remove the definition of an emissions multiplier from the dictionary and from all relevant equations and sections and replace it with the energy measure of Megawatt-hours (MWh). The use of the electricity metric of MWh is a convenience associated with scheme delivery by electricity retailers. Where the </w:t>
      </w:r>
      <w:r w:rsidR="00E43F4F">
        <w:t>S</w:t>
      </w:r>
      <w:r w:rsidR="00780F1F">
        <w:t xml:space="preserve">cheme delivers gas or other energy savings which are more commonly measured in Joules, these will be converted to MWh. </w:t>
      </w:r>
    </w:p>
    <w:p w14:paraId="4C75D1CD" w14:textId="77777777" w:rsidR="00780F1F" w:rsidRDefault="00780F1F" w:rsidP="00780F1F">
      <w:pPr>
        <w:spacing w:after="0" w:line="240" w:lineRule="auto"/>
        <w:rPr>
          <w:rFonts w:cs="Arial"/>
        </w:rPr>
      </w:pPr>
      <w:r>
        <w:t xml:space="preserve">As an example of the change, </w:t>
      </w:r>
      <w:r>
        <w:rPr>
          <w:rFonts w:cs="Arial"/>
        </w:rPr>
        <w:t xml:space="preserve">scheme extension modelling has calculated the energy savings obligation (s 13) in the following form, which has simply removed the current emissions multiplier factor: </w:t>
      </w:r>
    </w:p>
    <w:p w14:paraId="5EFE85E7" w14:textId="77777777" w:rsidR="00780F1F" w:rsidRPr="007B3A82" w:rsidRDefault="00780F1F" w:rsidP="00780F1F">
      <w:pPr>
        <w:autoSpaceDE/>
        <w:autoSpaceDN/>
        <w:adjustRightInd/>
        <w:spacing w:before="240" w:line="240" w:lineRule="auto"/>
        <w:ind w:left="7371" w:hanging="7371"/>
        <w:rPr>
          <w:rFonts w:cs="Arial"/>
          <w:i/>
        </w:rPr>
      </w:pPr>
      <w:r w:rsidRPr="007B3A82">
        <w:rPr>
          <w:rFonts w:cs="Arial"/>
          <w:i/>
        </w:rPr>
        <w:t>Energy Savings Obligation in MWh = Energy Savings Target (</w:t>
      </w:r>
      <w:r>
        <w:rPr>
          <w:rFonts w:cs="Arial"/>
          <w:i/>
        </w:rPr>
        <w:t>%</w:t>
      </w:r>
      <w:r w:rsidRPr="007B3A82">
        <w:rPr>
          <w:rFonts w:cs="Arial"/>
          <w:i/>
        </w:rPr>
        <w:t>) x Electricity Sales (in MWh).</w:t>
      </w:r>
    </w:p>
    <w:p w14:paraId="432989C5" w14:textId="5F1DB6EF" w:rsidR="003A5921" w:rsidRDefault="001A2057" w:rsidP="00780F1F">
      <w:pPr>
        <w:spacing w:before="240" w:after="0"/>
      </w:pPr>
      <w:r>
        <w:t xml:space="preserve">The </w:t>
      </w:r>
      <w:hyperlink r:id="rId17" w:history="1">
        <w:r w:rsidRPr="001A2057">
          <w:rPr>
            <w:rStyle w:val="Hyperlink"/>
          </w:rPr>
          <w:t>RIS for the Energy Efficiency Improvement Scheme Extension Until 2030</w:t>
        </w:r>
      </w:hyperlink>
      <w:r>
        <w:t xml:space="preserve"> provides further detail about the analysis that lead to the decision to extend the </w:t>
      </w:r>
      <w:r w:rsidR="00E43F4F">
        <w:t>S</w:t>
      </w:r>
      <w:r>
        <w:t>cheme.</w:t>
      </w:r>
    </w:p>
    <w:p w14:paraId="69396CD8" w14:textId="77777777" w:rsidR="003A5921" w:rsidRDefault="003A5921">
      <w:pPr>
        <w:autoSpaceDE/>
        <w:autoSpaceDN/>
        <w:adjustRightInd/>
        <w:spacing w:after="0" w:line="240" w:lineRule="auto"/>
      </w:pPr>
      <w:r>
        <w:br w:type="page"/>
      </w:r>
    </w:p>
    <w:p w14:paraId="5954D3EF" w14:textId="77777777" w:rsidR="001A2057" w:rsidRPr="00165F88" w:rsidRDefault="001A2057" w:rsidP="00780F1F">
      <w:pPr>
        <w:spacing w:before="240" w:after="0"/>
      </w:pPr>
    </w:p>
    <w:p w14:paraId="26AABEAF" w14:textId="731AAB09" w:rsidR="00B23C24" w:rsidRDefault="00413918" w:rsidP="00BD7E99">
      <w:pPr>
        <w:pStyle w:val="Heading1"/>
      </w:pPr>
      <w:bookmarkStart w:id="11" w:name="_Toc41575588"/>
      <w:r>
        <w:t>Considering a</w:t>
      </w:r>
      <w:r w:rsidR="00766B8E">
        <w:t xml:space="preserve"> level of ambition</w:t>
      </w:r>
      <w:bookmarkEnd w:id="11"/>
    </w:p>
    <w:p w14:paraId="654666CA" w14:textId="11FFD8ED" w:rsidR="00BD7E99" w:rsidRDefault="00BD7E99" w:rsidP="00BD7E99">
      <w:r>
        <w:t xml:space="preserve">The discussion above described the qualitative and comparative analysis and consultation outcomes which led to the proposal to balance the achievement of energy, emissions and bill savings in an EEIS extension. Settling on the balanced approach has allowed for detailed modelling of the settings for key metrics which determine the level of ambition for the </w:t>
      </w:r>
      <w:r w:rsidR="00E43F4F">
        <w:t>S</w:t>
      </w:r>
      <w:r>
        <w:t>cheme – or the quantum of savings it will target, and the economic, energy, emissions and bill savings that can be expected based on those settings.</w:t>
      </w:r>
    </w:p>
    <w:p w14:paraId="3AB808C3" w14:textId="400BA8B8" w:rsidR="00780F1F" w:rsidRPr="006A7FDA" w:rsidRDefault="00762DD1" w:rsidP="00780F1F">
      <w:r>
        <w:t xml:space="preserve">A </w:t>
      </w:r>
      <w:r w:rsidR="000902EB">
        <w:t xml:space="preserve">second </w:t>
      </w:r>
      <w:r>
        <w:t>modelling project was undertaken by Energetics</w:t>
      </w:r>
      <w:r w:rsidR="005A7609">
        <w:t xml:space="preserve"> </w:t>
      </w:r>
      <w:r>
        <w:t>to identify the optimal policy settings for the proposed EEIS extension</w:t>
      </w:r>
      <w:r w:rsidR="00A41FAE">
        <w:t xml:space="preserve">. </w:t>
      </w:r>
      <w:r>
        <w:t xml:space="preserve">This modelling first confirmed the cost effectiveness of a balanced approach to setting scheme metrics, and then identified optimal settings to commence the EEIS extension. </w:t>
      </w:r>
      <w:r w:rsidR="00780F1F">
        <w:t xml:space="preserve">This section outlines the key scheme metrics which have been identified through modelling as the ideal for maximising EEIS benefits. The key metrics presented here include a proposal to set the Energy Saving Target at 8.6%. </w:t>
      </w:r>
    </w:p>
    <w:p w14:paraId="25560A8E" w14:textId="09036BD3" w:rsidR="00903758" w:rsidRDefault="00B26447" w:rsidP="00BD7E99">
      <w:pPr>
        <w:pStyle w:val="Heading1"/>
        <w:numPr>
          <w:ilvl w:val="1"/>
          <w:numId w:val="4"/>
        </w:numPr>
      </w:pPr>
      <w:r>
        <w:t xml:space="preserve"> </w:t>
      </w:r>
      <w:bookmarkStart w:id="12" w:name="_Toc41575589"/>
      <w:r w:rsidR="00BD7E99">
        <w:t>Setting the Energy Saving Target</w:t>
      </w:r>
      <w:bookmarkEnd w:id="12"/>
    </w:p>
    <w:p w14:paraId="5175FA23" w14:textId="31829179" w:rsidR="00532F9E" w:rsidRDefault="006F24D6" w:rsidP="006F24D6">
      <w:r>
        <w:t xml:space="preserve">The EST </w:t>
      </w:r>
      <w:r w:rsidR="005A7609">
        <w:t>setting aims to optimise EEIS outcomes which are measured in greenhouse gas reductions</w:t>
      </w:r>
      <w:r w:rsidR="000E519A">
        <w:t xml:space="preserve">, bill savings and Net Present Value (NPV) to the ACT economy. </w:t>
      </w:r>
    </w:p>
    <w:p w14:paraId="181080B3" w14:textId="6F4B83B2" w:rsidR="006F24D6" w:rsidRDefault="00532F9E" w:rsidP="006F24D6">
      <w:r>
        <w:t>F</w:t>
      </w:r>
      <w:r w:rsidR="006F24D6">
        <w:t xml:space="preserve">or the purpose of this RIS, seven modelled targets </w:t>
      </w:r>
      <w:r w:rsidR="00A41FAE">
        <w:t>ranging between 8% and 13% were</w:t>
      </w:r>
      <w:r w:rsidR="006F24D6">
        <w:t xml:space="preserve"> considered for comparison. The modelling methodology buil</w:t>
      </w:r>
      <w:r w:rsidR="00427649">
        <w:t>t</w:t>
      </w:r>
      <w:r w:rsidR="006F24D6">
        <w:t xml:space="preserve"> on existing modelling used to establish the original scheme and the earlier RIS to set scheme parameters until 2020</w:t>
      </w:r>
      <w:r w:rsidR="006F24D6">
        <w:rPr>
          <w:rStyle w:val="FootnoteReference"/>
        </w:rPr>
        <w:footnoteReference w:id="13"/>
      </w:r>
      <w:r w:rsidR="006F24D6">
        <w:t xml:space="preserve">.  </w:t>
      </w:r>
    </w:p>
    <w:p w14:paraId="74C48C45" w14:textId="347A168F" w:rsidR="006F24D6" w:rsidRDefault="006F24D6" w:rsidP="00532F9E">
      <w:pPr>
        <w:autoSpaceDE/>
        <w:autoSpaceDN/>
        <w:adjustRightInd/>
        <w:spacing w:after="160" w:line="259" w:lineRule="auto"/>
      </w:pPr>
      <w:r>
        <w:t xml:space="preserve">It is recommended to maintain the EST at the current level of 8.6% for </w:t>
      </w:r>
      <w:r w:rsidR="009133AF">
        <w:t>the 2021 compliance period</w:t>
      </w:r>
      <w:r>
        <w:t xml:space="preserve">. </w:t>
      </w:r>
      <w:r w:rsidR="00BA24A8">
        <w:t xml:space="preserve"> Under this scenario, EEIS will cost slightly less than the current scheme (55c/week in an average ACT household’s electricity bill). This is consistent with the intention of the EEIS extension not to increase energy costs for households and businesses.</w:t>
      </w:r>
      <w:r w:rsidR="00BA24A8" w:rsidRPr="002E751F">
        <w:t xml:space="preserve"> </w:t>
      </w:r>
    </w:p>
    <w:p w14:paraId="23B87C55" w14:textId="2C94C588" w:rsidR="00A36D12" w:rsidRPr="00A41FAE" w:rsidRDefault="00A36D12" w:rsidP="00A41FAE">
      <w:pPr>
        <w:widowControl w:val="0"/>
        <w:autoSpaceDE/>
        <w:autoSpaceDN/>
        <w:adjustRightInd/>
        <w:spacing w:after="120" w:line="240" w:lineRule="auto"/>
        <w:ind w:right="-45"/>
        <w:rPr>
          <w:rFonts w:ascii="Calibri" w:hAnsi="Calibri" w:cs="Calibri"/>
        </w:rPr>
      </w:pPr>
      <w:r w:rsidRPr="00A41FAE">
        <w:rPr>
          <w:rFonts w:ascii="Calibri" w:hAnsi="Calibri" w:cs="Calibri"/>
        </w:rPr>
        <w:t>Retaining the EST at 8.6% is supported by public consultations and detailed analysis, which indicate:</w:t>
      </w:r>
    </w:p>
    <w:p w14:paraId="7786990D" w14:textId="77777777"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There is no stakeholder demand to adjust the level of ambition of the EST. </w:t>
      </w:r>
    </w:p>
    <w:p w14:paraId="01AA6F34" w14:textId="77777777"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A lower EST setting reduces energy and bill savings from EEIS. A higher </w:t>
      </w:r>
      <w:r>
        <w:rPr>
          <w:rFonts w:ascii="Calibri" w:hAnsi="Calibri" w:cs="Calibri"/>
        </w:rPr>
        <w:lastRenderedPageBreak/>
        <w:t xml:space="preserve">setting increases the pass-through costs to consumers. </w:t>
      </w:r>
    </w:p>
    <w:p w14:paraId="0278CB87" w14:textId="588B60EF" w:rsidR="00A36D12" w:rsidRDefault="00A36D12" w:rsidP="00A36D12">
      <w:pPr>
        <w:pStyle w:val="ListParagraph"/>
        <w:widowControl w:val="0"/>
        <w:numPr>
          <w:ilvl w:val="1"/>
          <w:numId w:val="52"/>
        </w:numPr>
        <w:autoSpaceDE/>
        <w:autoSpaceDN/>
        <w:adjustRightInd/>
        <w:spacing w:after="120" w:line="240" w:lineRule="auto"/>
        <w:ind w:right="-45"/>
        <w:rPr>
          <w:rFonts w:ascii="Calibri" w:hAnsi="Calibri" w:cs="Calibri"/>
        </w:rPr>
      </w:pPr>
      <w:r>
        <w:rPr>
          <w:rFonts w:ascii="Calibri" w:hAnsi="Calibri" w:cs="Calibri"/>
        </w:rPr>
        <w:t xml:space="preserve">The NPV for the EST value of 8.6% delivers benefits of $5.3M, which is close to the optimal NPV setting for the modelled scenario. </w:t>
      </w:r>
    </w:p>
    <w:p w14:paraId="630075EA" w14:textId="282373D3" w:rsidR="00A36D12" w:rsidRDefault="00A36D12" w:rsidP="00A36D12">
      <w:pPr>
        <w:pStyle w:val="ListParagraph"/>
        <w:keepLines/>
        <w:widowControl w:val="0"/>
        <w:numPr>
          <w:ilvl w:val="1"/>
          <w:numId w:val="52"/>
        </w:numPr>
        <w:autoSpaceDE/>
        <w:autoSpaceDN/>
        <w:adjustRightInd/>
        <w:spacing w:line="240" w:lineRule="auto"/>
        <w:ind w:right="-45"/>
        <w:contextualSpacing w:val="0"/>
        <w:rPr>
          <w:rStyle w:val="Calibri12"/>
        </w:rPr>
      </w:pPr>
      <w:r>
        <w:rPr>
          <w:rFonts w:ascii="Calibri" w:hAnsi="Calibri" w:cs="Calibri"/>
        </w:rPr>
        <w:t xml:space="preserve">Maintaining continuity in the EST will help to mitigate the disruptive impacts of the shift from an emissions to an energy metric, which will commence in 2021. </w:t>
      </w:r>
      <w:r>
        <w:rPr>
          <w:rStyle w:val="Calibri12"/>
        </w:rPr>
        <w:t>EPSDD will monitor the outcomes of the EEIS and recommend changes to these settings if necessary.</w:t>
      </w:r>
    </w:p>
    <w:p w14:paraId="731F3154" w14:textId="77777777" w:rsidR="00A36D12" w:rsidRPr="00A41FAE" w:rsidRDefault="00A36D12" w:rsidP="00A41FAE">
      <w:pPr>
        <w:pStyle w:val="ListParagraph"/>
        <w:keepLines/>
        <w:widowControl w:val="0"/>
        <w:numPr>
          <w:ilvl w:val="0"/>
          <w:numId w:val="0"/>
        </w:numPr>
        <w:autoSpaceDE/>
        <w:autoSpaceDN/>
        <w:adjustRightInd/>
        <w:spacing w:line="240" w:lineRule="auto"/>
        <w:ind w:left="1440" w:right="-45"/>
        <w:contextualSpacing w:val="0"/>
        <w:rPr>
          <w:rFonts w:ascii="Calibri" w:hAnsi="Calibri"/>
        </w:rPr>
      </w:pPr>
    </w:p>
    <w:p w14:paraId="1820807C" w14:textId="7ED08C35" w:rsidR="00115E0F" w:rsidRDefault="002E751F" w:rsidP="002E751F">
      <w:pPr>
        <w:autoSpaceDE/>
        <w:autoSpaceDN/>
        <w:adjustRightInd/>
        <w:spacing w:after="160" w:line="259" w:lineRule="auto"/>
      </w:pPr>
      <w:r w:rsidRPr="002E751F">
        <w:rPr>
          <w:rFonts w:cs="Arial"/>
        </w:rPr>
        <w:t xml:space="preserve">Figure </w:t>
      </w:r>
      <w:r w:rsidR="00115E0F">
        <w:rPr>
          <w:rFonts w:cs="Arial"/>
        </w:rPr>
        <w:t>2</w:t>
      </w:r>
      <w:r w:rsidRPr="002E751F">
        <w:rPr>
          <w:rFonts w:cs="Arial"/>
        </w:rPr>
        <w:t xml:space="preserve"> shows the modelled projections</w:t>
      </w:r>
      <w:r w:rsidR="00A41FAE">
        <w:rPr>
          <w:rFonts w:cs="Arial"/>
        </w:rPr>
        <w:t xml:space="preserve">, undertaken by Energetics on behalf of the </w:t>
      </w:r>
      <w:r w:rsidR="00502B62">
        <w:rPr>
          <w:rFonts w:cs="Arial"/>
        </w:rPr>
        <w:br/>
      </w:r>
      <w:r w:rsidR="00A41FAE">
        <w:rPr>
          <w:rFonts w:cs="Arial"/>
        </w:rPr>
        <w:t xml:space="preserve">ACT Government, </w:t>
      </w:r>
      <w:r w:rsidRPr="002E751F">
        <w:rPr>
          <w:rFonts w:cs="Arial"/>
        </w:rPr>
        <w:t>for the Net Present Value (NPV) that could be achieved by setting different ESTs</w:t>
      </w:r>
      <w:r>
        <w:t xml:space="preserve">. The NPV is optimised at 8% </w:t>
      </w:r>
      <w:r w:rsidR="00F05014">
        <w:t xml:space="preserve">with an NPV of </w:t>
      </w:r>
      <w:r w:rsidR="00A36D12">
        <w:t>$5.8M, however</w:t>
      </w:r>
      <w:r w:rsidR="00115E0F">
        <w:t xml:space="preserve">, the energy and bill savings would reduce if the EST were to reduce to 8%. </w:t>
      </w:r>
      <w:r>
        <w:t xml:space="preserve">The NPV reduces </w:t>
      </w:r>
      <w:r w:rsidR="00F05014">
        <w:t xml:space="preserve">significantly </w:t>
      </w:r>
      <w:r>
        <w:t xml:space="preserve">above 8.6% and is negative at settings over 10% (see graph). This is because increasing the incentive level of ambition sees measures that are not cost effective from the perspective of the ACT economy being deployed. While the level of energy savings continues to increase, the overall value of the </w:t>
      </w:r>
      <w:r w:rsidR="00E43F4F">
        <w:t>S</w:t>
      </w:r>
      <w:r>
        <w:t xml:space="preserve">cheme decreases. </w:t>
      </w:r>
    </w:p>
    <w:p w14:paraId="1DA89438" w14:textId="6A690405" w:rsidR="00BB332C" w:rsidRDefault="00BB332C" w:rsidP="003A5921">
      <w:pPr>
        <w:autoSpaceDE/>
        <w:autoSpaceDN/>
        <w:adjustRightInd/>
        <w:spacing w:after="0" w:line="240" w:lineRule="auto"/>
      </w:pPr>
      <w:r w:rsidRPr="003A5921">
        <w:rPr>
          <w:b/>
          <w:bCs w:val="0"/>
          <w:color w:val="4F81BD" w:themeColor="accent1"/>
          <w:szCs w:val="18"/>
        </w:rPr>
        <w:t>Figure 2</w:t>
      </w:r>
      <w:r w:rsidR="00247DD5" w:rsidRPr="003A5921">
        <w:rPr>
          <w:b/>
          <w:bCs w:val="0"/>
          <w:color w:val="4F81BD" w:themeColor="accent1"/>
          <w:szCs w:val="18"/>
        </w:rPr>
        <w:t>.</w:t>
      </w:r>
      <w:r w:rsidRPr="003A5921">
        <w:rPr>
          <w:b/>
          <w:bCs w:val="0"/>
          <w:color w:val="4F81BD" w:themeColor="accent1"/>
          <w:szCs w:val="18"/>
        </w:rPr>
        <w:t xml:space="preserve"> Net present value projections for an EEIS extension</w:t>
      </w:r>
    </w:p>
    <w:p w14:paraId="7A2F0DEA" w14:textId="67767552" w:rsidR="00BB332C" w:rsidRPr="00D91451" w:rsidRDefault="00BB332C" w:rsidP="00D91451">
      <w:r>
        <w:rPr>
          <w:noProof/>
        </w:rPr>
        <w:drawing>
          <wp:inline distT="0" distB="0" distL="0" distR="0" wp14:anchorId="6E6B5BD6" wp14:editId="27AF188E">
            <wp:extent cx="5495290" cy="2447925"/>
            <wp:effectExtent l="0" t="0" r="10160" b="9525"/>
            <wp:docPr id="1" name="Chart 1">
              <a:extLst xmlns:a="http://schemas.openxmlformats.org/drawingml/2006/main">
                <a:ext uri="{FF2B5EF4-FFF2-40B4-BE49-F238E27FC236}">
                  <a16:creationId xmlns:a16="http://schemas.microsoft.com/office/drawing/2014/main" id="{1F5CC7C7-8801-4564-8E1D-0CBBCADFE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E26D38" w14:textId="2832C680" w:rsidR="00A41FAE" w:rsidRDefault="00532F9E" w:rsidP="00152792">
      <w:r w:rsidRPr="00D91451">
        <w:t>The modelled NPV</w:t>
      </w:r>
      <w:r w:rsidR="00A41FAE" w:rsidRPr="00D91451">
        <w:t xml:space="preserve"> reduced </w:t>
      </w:r>
      <w:r w:rsidR="00F375DC" w:rsidRPr="00D91451">
        <w:t>significantly in the revised modelling</w:t>
      </w:r>
      <w:r w:rsidR="00D91451">
        <w:t xml:space="preserve"> undertaken by Energetics</w:t>
      </w:r>
      <w:r w:rsidR="00F375DC" w:rsidRPr="00D91451">
        <w:t xml:space="preserve">. The modelling conducted </w:t>
      </w:r>
      <w:r w:rsidR="00D91451">
        <w:t xml:space="preserve">by Energetics </w:t>
      </w:r>
      <w:r w:rsidR="00F375DC" w:rsidRPr="00D91451">
        <w:t>prior to the extension of the EEIS showed an NPV of</w:t>
      </w:r>
      <w:r w:rsidR="00A41FAE" w:rsidRPr="00D91451">
        <w:t xml:space="preserve"> </w:t>
      </w:r>
      <w:r w:rsidR="00BB332C" w:rsidRPr="00D91451">
        <w:t>$15.4 million</w:t>
      </w:r>
      <w:r w:rsidR="00F375DC" w:rsidRPr="00D91451">
        <w:t xml:space="preserve"> </w:t>
      </w:r>
      <w:r w:rsidR="00D91451">
        <w:t>for</w:t>
      </w:r>
      <w:r w:rsidR="00F375DC" w:rsidRPr="00D91451">
        <w:t xml:space="preserve"> an EST of 8.6%. The revised modelling showed an NPV of </w:t>
      </w:r>
      <w:r w:rsidRPr="00D91451">
        <w:t>$5.3M</w:t>
      </w:r>
      <w:r w:rsidR="00152792">
        <w:t xml:space="preserve"> </w:t>
      </w:r>
      <w:r w:rsidR="00F375DC" w:rsidRPr="00D91451">
        <w:t>for an EST of 8.6%</w:t>
      </w:r>
      <w:r w:rsidR="00BB332C" w:rsidRPr="00D91451">
        <w:t>. This reduction is due to more conservative assumptions</w:t>
      </w:r>
      <w:r w:rsidR="00645FDC" w:rsidRPr="00D91451">
        <w:t xml:space="preserve">. The revised modelling reduced the assumed uptake of ceiling insulation activities to 30% of </w:t>
      </w:r>
      <w:r w:rsidR="00F12C91" w:rsidRPr="00D91451">
        <w:t>eligible households over 3 years with no uptake beyond that point. The revised modelling also assumed a priority household target of 30%.</w:t>
      </w:r>
      <w:r w:rsidR="00BB332C">
        <w:t xml:space="preserve"> </w:t>
      </w:r>
    </w:p>
    <w:p w14:paraId="1D8DAD99" w14:textId="15FE8062" w:rsidR="00094680" w:rsidRDefault="00AE79BD">
      <w:pPr>
        <w:pStyle w:val="Heading1"/>
        <w:numPr>
          <w:ilvl w:val="1"/>
          <w:numId w:val="4"/>
        </w:numPr>
      </w:pPr>
      <w:bookmarkStart w:id="13" w:name="_Toc41575590"/>
      <w:r>
        <w:t>P</w:t>
      </w:r>
      <w:r w:rsidR="00094680">
        <w:t>ass through costs</w:t>
      </w:r>
      <w:bookmarkEnd w:id="13"/>
    </w:p>
    <w:p w14:paraId="3981EE2A" w14:textId="05D67DE7" w:rsidR="00D8424C" w:rsidRDefault="00D8424C" w:rsidP="009F66C9">
      <w:r w:rsidRPr="00A039D0">
        <w:t>This section describes processes for estimating the pass-through costs associated with the EEIS extension</w:t>
      </w:r>
      <w:r w:rsidRPr="00F04A57">
        <w:t xml:space="preserve"> and how those will tra</w:t>
      </w:r>
      <w:r w:rsidRPr="00EB55B1">
        <w:t>nslate into key scheme metrics.</w:t>
      </w:r>
      <w:r>
        <w:t xml:space="preserve"> </w:t>
      </w:r>
    </w:p>
    <w:p w14:paraId="489AA49D" w14:textId="00CBEBE9" w:rsidR="00D8424C" w:rsidRDefault="00D8424C" w:rsidP="009F66C9">
      <w:r>
        <w:lastRenderedPageBreak/>
        <w:t>EEIS costs are paid by all ACT energy users through their electricity bills. ActewAGL is the only Tier 1 retailer, and the only NERL retailer currently delivering activities</w:t>
      </w:r>
      <w:r w:rsidR="00052408">
        <w:t>. ActewAGL</w:t>
      </w:r>
      <w:r>
        <w:t xml:space="preserve"> is also a regulated retailer, meaning that its </w:t>
      </w:r>
      <w:r w:rsidR="00AC36B1">
        <w:t>EEIS pass-through costs are determined by the Independent Competition and Regulatory Commission (ICRC)</w:t>
      </w:r>
      <w:r w:rsidR="00AC36B1">
        <w:rPr>
          <w:rStyle w:val="FootnoteReference"/>
        </w:rPr>
        <w:footnoteReference w:id="14"/>
      </w:r>
      <w:r w:rsidR="00AC36B1">
        <w:t>.  This determination is made annually, based on a methodology that takes account of legislative requirements, and cost estimates provided by ActewAGL and “subjected to a forward-looking prudency and efficiency assessment by the Commission”</w:t>
      </w:r>
      <w:r w:rsidR="00AC36B1">
        <w:rPr>
          <w:rStyle w:val="FootnoteReference"/>
        </w:rPr>
        <w:footnoteReference w:id="15"/>
      </w:r>
      <w:r w:rsidR="00AC36B1">
        <w:t xml:space="preserve">. </w:t>
      </w:r>
      <w:r w:rsidR="009E4777">
        <w:t>For 2019-2020 t</w:t>
      </w:r>
      <w:r w:rsidR="00AC36B1">
        <w:t xml:space="preserve">his review has resulted in an approved pass-through cost </w:t>
      </w:r>
      <w:r w:rsidR="008F6EE8">
        <w:t>of $116</w:t>
      </w:r>
      <w:r w:rsidR="009E4777">
        <w:t>/tCO</w:t>
      </w:r>
      <w:r w:rsidR="009E4777" w:rsidRPr="009E4777">
        <w:rPr>
          <w:vertAlign w:val="subscript"/>
        </w:rPr>
        <w:t>2</w:t>
      </w:r>
      <w:r w:rsidR="009E4777">
        <w:t>e, or $4/MWh</w:t>
      </w:r>
      <w:r w:rsidR="008F6EE8">
        <w:rPr>
          <w:rStyle w:val="FootnoteReference"/>
        </w:rPr>
        <w:footnoteReference w:id="16"/>
      </w:r>
      <w:r w:rsidR="009E4777">
        <w:t xml:space="preserve">. </w:t>
      </w:r>
      <w:r w:rsidR="00545AF8">
        <w:t xml:space="preserve">This means it is currently costing $4/MWh for ActewAGL to deliver EEIS activities at the level of the current Energy Savings Target (EST) of 8.6% of retail sales. </w:t>
      </w:r>
    </w:p>
    <w:p w14:paraId="1445326F" w14:textId="17F85784" w:rsidR="00F05014" w:rsidRDefault="005634EC" w:rsidP="00A41FAE">
      <w:pPr>
        <w:autoSpaceDE/>
        <w:autoSpaceDN/>
        <w:adjustRightInd/>
        <w:spacing w:after="0" w:line="240" w:lineRule="auto"/>
        <w:rPr>
          <w:b/>
          <w:bCs w:val="0"/>
        </w:rPr>
        <w:sectPr w:rsidR="00F05014" w:rsidSect="005634EC">
          <w:headerReference w:type="even" r:id="rId19"/>
          <w:headerReference w:type="default" r:id="rId20"/>
          <w:footerReference w:type="even" r:id="rId21"/>
          <w:footerReference w:type="default" r:id="rId22"/>
          <w:headerReference w:type="first" r:id="rId23"/>
          <w:footerReference w:type="first" r:id="rId24"/>
          <w:pgSz w:w="11906" w:h="16838" w:code="9"/>
          <w:pgMar w:top="1644" w:right="1474" w:bottom="1418" w:left="1701" w:header="794" w:footer="284" w:gutter="0"/>
          <w:cols w:space="708"/>
          <w:titlePg/>
          <w:docGrid w:linePitch="360"/>
        </w:sectPr>
      </w:pPr>
      <w:r>
        <w:br w:type="page"/>
      </w:r>
    </w:p>
    <w:p w14:paraId="6E831093" w14:textId="41E76766" w:rsidR="00E97621" w:rsidRPr="00247DD5" w:rsidRDefault="00E97621" w:rsidP="002873AB">
      <w:pPr>
        <w:pStyle w:val="Caption"/>
      </w:pPr>
      <w:r w:rsidRPr="00247DD5">
        <w:lastRenderedPageBreak/>
        <w:t xml:space="preserve">Table </w:t>
      </w:r>
      <w:r w:rsidR="007D2BAE" w:rsidRPr="00247DD5">
        <w:t>1</w:t>
      </w:r>
      <w:r w:rsidRPr="00247DD5">
        <w:t xml:space="preserve"> Pass </w:t>
      </w:r>
      <w:r w:rsidRPr="002873AB">
        <w:t>through costs</w:t>
      </w:r>
    </w:p>
    <w:tbl>
      <w:tblPr>
        <w:tblStyle w:val="EPLTableStandard"/>
        <w:tblW w:w="13776" w:type="dxa"/>
        <w:tblInd w:w="281" w:type="dxa"/>
        <w:tblLayout w:type="fixed"/>
        <w:tblLook w:val="04A0" w:firstRow="1" w:lastRow="0" w:firstColumn="1" w:lastColumn="0" w:noHBand="0" w:noVBand="1"/>
      </w:tblPr>
      <w:tblGrid>
        <w:gridCol w:w="6532"/>
        <w:gridCol w:w="1034"/>
        <w:gridCol w:w="1035"/>
        <w:gridCol w:w="1035"/>
        <w:gridCol w:w="1035"/>
        <w:gridCol w:w="1035"/>
        <w:gridCol w:w="1035"/>
        <w:gridCol w:w="1035"/>
      </w:tblGrid>
      <w:tr w:rsidR="00E97621" w14:paraId="6F5C4B1A" w14:textId="77777777" w:rsidTr="00B942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32" w:type="dxa"/>
          </w:tcPr>
          <w:p w14:paraId="351FCE8A" w14:textId="77777777" w:rsidR="00E97621" w:rsidRPr="00B71E60" w:rsidRDefault="00E97621" w:rsidP="00B94287">
            <w:r w:rsidRPr="00B71E60">
              <w:t>Energy Savings Target %</w:t>
            </w:r>
          </w:p>
        </w:tc>
        <w:tc>
          <w:tcPr>
            <w:tcW w:w="1034" w:type="dxa"/>
          </w:tcPr>
          <w:p w14:paraId="204356C8"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8%</w:t>
            </w:r>
          </w:p>
        </w:tc>
        <w:tc>
          <w:tcPr>
            <w:tcW w:w="1035" w:type="dxa"/>
          </w:tcPr>
          <w:p w14:paraId="5264F78B"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8.6%</w:t>
            </w:r>
          </w:p>
        </w:tc>
        <w:tc>
          <w:tcPr>
            <w:tcW w:w="1035" w:type="dxa"/>
          </w:tcPr>
          <w:p w14:paraId="067974E1"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9%</w:t>
            </w:r>
          </w:p>
        </w:tc>
        <w:tc>
          <w:tcPr>
            <w:tcW w:w="1035" w:type="dxa"/>
          </w:tcPr>
          <w:p w14:paraId="7C8585FF"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10%</w:t>
            </w:r>
          </w:p>
        </w:tc>
        <w:tc>
          <w:tcPr>
            <w:tcW w:w="1035" w:type="dxa"/>
          </w:tcPr>
          <w:p w14:paraId="29727290"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11%</w:t>
            </w:r>
          </w:p>
        </w:tc>
        <w:tc>
          <w:tcPr>
            <w:tcW w:w="1035" w:type="dxa"/>
          </w:tcPr>
          <w:p w14:paraId="26A1B995" w14:textId="77777777" w:rsidR="00E97621" w:rsidRPr="00B71E60" w:rsidRDefault="00E97621" w:rsidP="00B94287">
            <w:pPr>
              <w:cnfStyle w:val="100000000000" w:firstRow="1" w:lastRow="0" w:firstColumn="0" w:lastColumn="0" w:oddVBand="0" w:evenVBand="0" w:oddHBand="0" w:evenHBand="0" w:firstRowFirstColumn="0" w:firstRowLastColumn="0" w:lastRowFirstColumn="0" w:lastRowLastColumn="0"/>
            </w:pPr>
            <w:r>
              <w:t>12%</w:t>
            </w:r>
          </w:p>
        </w:tc>
        <w:tc>
          <w:tcPr>
            <w:tcW w:w="1035" w:type="dxa"/>
          </w:tcPr>
          <w:p w14:paraId="2559569B" w14:textId="77777777" w:rsidR="00E97621" w:rsidRDefault="00E97621" w:rsidP="00B94287">
            <w:pPr>
              <w:cnfStyle w:val="100000000000" w:firstRow="1" w:lastRow="0" w:firstColumn="0" w:lastColumn="0" w:oddVBand="0" w:evenVBand="0" w:oddHBand="0" w:evenHBand="0" w:firstRowFirstColumn="0" w:firstRowLastColumn="0" w:lastRowFirstColumn="0" w:lastRowLastColumn="0"/>
            </w:pPr>
            <w:r>
              <w:t>13%</w:t>
            </w:r>
          </w:p>
        </w:tc>
      </w:tr>
      <w:tr w:rsidR="00E97621" w:rsidRPr="00B71E60" w14:paraId="5F32725A"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14:paraId="42BA19A2" w14:textId="77777777" w:rsidR="00E97621" w:rsidRPr="000E64AC" w:rsidRDefault="00E97621" w:rsidP="00B94287">
            <w:r w:rsidRPr="000E64AC">
              <w:t>Priority Household Target (PHT) %</w:t>
            </w:r>
          </w:p>
        </w:tc>
        <w:tc>
          <w:tcPr>
            <w:tcW w:w="1034" w:type="dxa"/>
          </w:tcPr>
          <w:p w14:paraId="787638FC"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6A75134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871953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87518B9"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F42333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19B3C629"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E60">
              <w:t>30%</w:t>
            </w:r>
          </w:p>
        </w:tc>
        <w:tc>
          <w:tcPr>
            <w:tcW w:w="1035" w:type="dxa"/>
          </w:tcPr>
          <w:p w14:paraId="20C5CC11"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t>30%</w:t>
            </w:r>
          </w:p>
        </w:tc>
      </w:tr>
      <w:tr w:rsidR="00E97621" w:rsidRPr="00B71E60" w14:paraId="261A842D"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2D59E028" w14:textId="77777777" w:rsidR="00E97621" w:rsidRPr="000E64AC" w:rsidRDefault="00E97621" w:rsidP="00B94287">
            <w:r w:rsidRPr="000E64AC">
              <w:t>Pass-through cost ($/MWh), including the assumption of a 30% PHT, expressed as $/MWh and only applied to electricity</w:t>
            </w:r>
          </w:p>
        </w:tc>
        <w:tc>
          <w:tcPr>
            <w:tcW w:w="1034" w:type="dxa"/>
          </w:tcPr>
          <w:p w14:paraId="6BF922D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$3.46</w:t>
            </w:r>
          </w:p>
        </w:tc>
        <w:tc>
          <w:tcPr>
            <w:tcW w:w="1035" w:type="dxa"/>
          </w:tcPr>
          <w:p w14:paraId="4FBB6B4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$4.00</w:t>
            </w:r>
          </w:p>
        </w:tc>
        <w:tc>
          <w:tcPr>
            <w:tcW w:w="1035" w:type="dxa"/>
          </w:tcPr>
          <w:p w14:paraId="64103BEB"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$4.30</w:t>
            </w:r>
          </w:p>
        </w:tc>
        <w:tc>
          <w:tcPr>
            <w:tcW w:w="1035" w:type="dxa"/>
          </w:tcPr>
          <w:p w14:paraId="5DD78321"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$5.05</w:t>
            </w:r>
          </w:p>
        </w:tc>
        <w:tc>
          <w:tcPr>
            <w:tcW w:w="1035" w:type="dxa"/>
          </w:tcPr>
          <w:p w14:paraId="2FCE843F"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$5.77</w:t>
            </w:r>
          </w:p>
        </w:tc>
        <w:tc>
          <w:tcPr>
            <w:tcW w:w="1035" w:type="dxa"/>
          </w:tcPr>
          <w:p w14:paraId="20B43703"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$6.54</w:t>
            </w:r>
          </w:p>
        </w:tc>
        <w:tc>
          <w:tcPr>
            <w:tcW w:w="1035" w:type="dxa"/>
          </w:tcPr>
          <w:p w14:paraId="3CAF2490"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$7.28</w:t>
            </w:r>
          </w:p>
        </w:tc>
      </w:tr>
      <w:tr w:rsidR="00E97621" w:rsidRPr="00F221C2" w14:paraId="32729A8E"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tcPr>
          <w:p w14:paraId="624D8059" w14:textId="4AC04916" w:rsidR="00E97621" w:rsidRPr="000E64AC" w:rsidRDefault="00E97621" w:rsidP="00B94287">
            <w:pPr>
              <w:rPr>
                <w:rFonts w:cs="Arial"/>
                <w:szCs w:val="20"/>
              </w:rPr>
            </w:pPr>
            <w:r w:rsidRPr="000E64AC">
              <w:t xml:space="preserve">Contribution made by Tier 2 retailers to discharge their Retailer Energy Savings Obligation (RESO) under the </w:t>
            </w:r>
            <w:r w:rsidR="00E43F4F">
              <w:t>S</w:t>
            </w:r>
            <w:r w:rsidRPr="000E64AC">
              <w:t>cheme per MWh calculated as Energy Savings Target x Electricity Sales. This is the Energy Savings Contribution.</w:t>
            </w:r>
          </w:p>
        </w:tc>
        <w:tc>
          <w:tcPr>
            <w:tcW w:w="1034" w:type="dxa"/>
          </w:tcPr>
          <w:p w14:paraId="5241B38B" w14:textId="77777777" w:rsidR="00E97621" w:rsidRPr="006E132D"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194BEF">
              <w:t>$43.40</w:t>
            </w:r>
          </w:p>
        </w:tc>
        <w:tc>
          <w:tcPr>
            <w:tcW w:w="1035" w:type="dxa"/>
          </w:tcPr>
          <w:p w14:paraId="3D91B3D6" w14:textId="77777777" w:rsidR="00E97621" w:rsidRPr="002A7EA5"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$46.39</w:t>
            </w:r>
          </w:p>
        </w:tc>
        <w:tc>
          <w:tcPr>
            <w:tcW w:w="1035" w:type="dxa"/>
          </w:tcPr>
          <w:p w14:paraId="19ACF881" w14:textId="77777777" w:rsidR="00E97621" w:rsidRPr="00957749"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$47.76</w:t>
            </w:r>
          </w:p>
        </w:tc>
        <w:tc>
          <w:tcPr>
            <w:tcW w:w="1035" w:type="dxa"/>
          </w:tcPr>
          <w:p w14:paraId="1BC62596" w14:textId="77777777" w:rsidR="00E97621" w:rsidRPr="00672E7E"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$50.42</w:t>
            </w:r>
          </w:p>
        </w:tc>
        <w:tc>
          <w:tcPr>
            <w:tcW w:w="1035" w:type="dxa"/>
          </w:tcPr>
          <w:p w14:paraId="1B9CB23A" w14:textId="77777777" w:rsidR="00E97621" w:rsidRPr="005B7E7F"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$52.50</w:t>
            </w:r>
          </w:p>
        </w:tc>
        <w:tc>
          <w:tcPr>
            <w:tcW w:w="1035" w:type="dxa"/>
          </w:tcPr>
          <w:p w14:paraId="656E2087" w14:textId="77777777" w:rsidR="00E97621" w:rsidRPr="00F8458D"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$54.47</w:t>
            </w:r>
          </w:p>
        </w:tc>
        <w:tc>
          <w:tcPr>
            <w:tcW w:w="1035" w:type="dxa"/>
          </w:tcPr>
          <w:p w14:paraId="4CE2C37E" w14:textId="77777777" w:rsidR="00E97621" w:rsidRPr="00F221C2"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$56.07</w:t>
            </w:r>
          </w:p>
        </w:tc>
      </w:tr>
      <w:tr w:rsidR="00E97621" w:rsidRPr="00B71E60" w14:paraId="01F05BE9"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71A014FF" w14:textId="77777777" w:rsidR="00E97621" w:rsidRPr="000E64AC" w:rsidRDefault="00E97621" w:rsidP="00B94287">
            <w:r w:rsidRPr="000E64AC">
              <w:rPr>
                <w:rFonts w:cs="Arial"/>
                <w:szCs w:val="20"/>
              </w:rPr>
              <w:t xml:space="preserve">Total contribution of Tier 2 retailers should all Tier 2 retailers elect to pay the </w:t>
            </w:r>
            <w:r w:rsidRPr="000E64AC">
              <w:t>Energy Savings Contribution</w:t>
            </w:r>
            <w:r>
              <w:t xml:space="preserve"> ($millions)</w:t>
            </w:r>
            <w:r w:rsidRPr="000E64AC">
              <w:rPr>
                <w:rFonts w:cs="Arial"/>
                <w:szCs w:val="20"/>
              </w:rPr>
              <w:t>.</w:t>
            </w:r>
          </w:p>
        </w:tc>
        <w:tc>
          <w:tcPr>
            <w:tcW w:w="1034" w:type="dxa"/>
          </w:tcPr>
          <w:p w14:paraId="25526B8E"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$2.2</w:t>
            </w:r>
          </w:p>
        </w:tc>
        <w:tc>
          <w:tcPr>
            <w:tcW w:w="1035" w:type="dxa"/>
          </w:tcPr>
          <w:p w14:paraId="65F4F63C"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$2.6</w:t>
            </w:r>
          </w:p>
        </w:tc>
        <w:tc>
          <w:tcPr>
            <w:tcW w:w="1035" w:type="dxa"/>
          </w:tcPr>
          <w:p w14:paraId="019738DD"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$2.7</w:t>
            </w:r>
          </w:p>
        </w:tc>
        <w:tc>
          <w:tcPr>
            <w:tcW w:w="1035" w:type="dxa"/>
          </w:tcPr>
          <w:p w14:paraId="216D1A54"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$3.2</w:t>
            </w:r>
          </w:p>
        </w:tc>
        <w:tc>
          <w:tcPr>
            <w:tcW w:w="1035" w:type="dxa"/>
          </w:tcPr>
          <w:p w14:paraId="7197CA27"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$3.7</w:t>
            </w:r>
          </w:p>
        </w:tc>
        <w:tc>
          <w:tcPr>
            <w:tcW w:w="1035" w:type="dxa"/>
          </w:tcPr>
          <w:p w14:paraId="67332401"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$4.2</w:t>
            </w:r>
          </w:p>
        </w:tc>
        <w:tc>
          <w:tcPr>
            <w:tcW w:w="1035" w:type="dxa"/>
          </w:tcPr>
          <w:p w14:paraId="2FF916E7"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$4.6</w:t>
            </w:r>
          </w:p>
        </w:tc>
      </w:tr>
      <w:tr w:rsidR="00E97621" w:rsidRPr="00B71E60" w14:paraId="0A10BE3D"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7D02B1C3" w14:textId="77777777" w:rsidR="00E97621" w:rsidRPr="000E64AC" w:rsidRDefault="00E97621" w:rsidP="00B94287">
            <w:r w:rsidRPr="000E64AC">
              <w:rPr>
                <w:rFonts w:cs="Arial"/>
                <w:szCs w:val="20"/>
              </w:rPr>
              <w:t>Average annual residential bill increase, in dollars, based on the average 2-person household with no gas, which totals 7.151 MW/year. This increase is not new and compares with a current pass-through cost averaging $29 per year.</w:t>
            </w:r>
          </w:p>
        </w:tc>
        <w:tc>
          <w:tcPr>
            <w:tcW w:w="1034" w:type="dxa"/>
          </w:tcPr>
          <w:p w14:paraId="6B6A87EA"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194BEF">
              <w:t>$24.76</w:t>
            </w:r>
          </w:p>
        </w:tc>
        <w:tc>
          <w:tcPr>
            <w:tcW w:w="1035" w:type="dxa"/>
          </w:tcPr>
          <w:p w14:paraId="70ED1983"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$28.59</w:t>
            </w:r>
          </w:p>
        </w:tc>
        <w:tc>
          <w:tcPr>
            <w:tcW w:w="1035" w:type="dxa"/>
          </w:tcPr>
          <w:p w14:paraId="52F89A05"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$30.73</w:t>
            </w:r>
          </w:p>
        </w:tc>
        <w:tc>
          <w:tcPr>
            <w:tcW w:w="1035" w:type="dxa"/>
          </w:tcPr>
          <w:p w14:paraId="26398D2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$36.11</w:t>
            </w:r>
          </w:p>
        </w:tc>
        <w:tc>
          <w:tcPr>
            <w:tcW w:w="1035" w:type="dxa"/>
          </w:tcPr>
          <w:p w14:paraId="08E8FB1F"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$41.27</w:t>
            </w:r>
          </w:p>
        </w:tc>
        <w:tc>
          <w:tcPr>
            <w:tcW w:w="1035" w:type="dxa"/>
          </w:tcPr>
          <w:p w14:paraId="6CF68197"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$46.78</w:t>
            </w:r>
          </w:p>
        </w:tc>
        <w:tc>
          <w:tcPr>
            <w:tcW w:w="1035" w:type="dxa"/>
          </w:tcPr>
          <w:p w14:paraId="47D679F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$52.08</w:t>
            </w:r>
          </w:p>
        </w:tc>
      </w:tr>
      <w:tr w:rsidR="00E97621" w:rsidRPr="00B71E60" w14:paraId="016B868C"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3F5ED9AA" w14:textId="77777777" w:rsidR="00E97621" w:rsidRPr="000E64AC" w:rsidRDefault="00E97621" w:rsidP="00B94287">
            <w:pPr>
              <w:rPr>
                <w:rFonts w:cs="Arial"/>
                <w:szCs w:val="20"/>
              </w:rPr>
            </w:pPr>
            <w:r w:rsidRPr="000E64AC">
              <w:rPr>
                <w:rFonts w:cs="Arial"/>
                <w:szCs w:val="20"/>
              </w:rPr>
              <w:t xml:space="preserve">Average </w:t>
            </w:r>
            <w:r>
              <w:rPr>
                <w:rFonts w:cs="Arial"/>
                <w:szCs w:val="20"/>
              </w:rPr>
              <w:t>weekly</w:t>
            </w:r>
            <w:r w:rsidRPr="000E64AC">
              <w:rPr>
                <w:rFonts w:cs="Arial"/>
                <w:szCs w:val="20"/>
              </w:rPr>
              <w:t xml:space="preserve"> residential bill increase, in </w:t>
            </w:r>
            <w:r>
              <w:rPr>
                <w:rFonts w:cs="Arial"/>
                <w:szCs w:val="20"/>
              </w:rPr>
              <w:t>cents</w:t>
            </w:r>
            <w:r w:rsidRPr="000E64AC">
              <w:rPr>
                <w:rFonts w:cs="Arial"/>
                <w:szCs w:val="20"/>
              </w:rPr>
              <w:t>, based on the average 2-person household with no gas, which totals 7.151 MW/year. This increase is not new and compares with a current pass-through cost averaging</w:t>
            </w:r>
            <w:r>
              <w:rPr>
                <w:rFonts w:cs="Arial"/>
                <w:szCs w:val="20"/>
              </w:rPr>
              <w:t xml:space="preserve"> 57c</w:t>
            </w:r>
            <w:r w:rsidRPr="000E64AC">
              <w:rPr>
                <w:rFonts w:cs="Arial"/>
                <w:szCs w:val="20"/>
              </w:rPr>
              <w:t xml:space="preserve"> per </w:t>
            </w:r>
            <w:r>
              <w:rPr>
                <w:rFonts w:cs="Arial"/>
                <w:szCs w:val="20"/>
              </w:rPr>
              <w:t>week</w:t>
            </w:r>
            <w:r w:rsidRPr="000E64AC">
              <w:rPr>
                <w:rFonts w:cs="Arial"/>
                <w:szCs w:val="20"/>
              </w:rPr>
              <w:t>.</w:t>
            </w:r>
          </w:p>
        </w:tc>
        <w:tc>
          <w:tcPr>
            <w:tcW w:w="1034" w:type="dxa"/>
          </w:tcPr>
          <w:p w14:paraId="34D12EBE" w14:textId="77777777" w:rsidR="00E97621" w:rsidRPr="00194BEF" w:rsidRDefault="00E97621" w:rsidP="00B94287">
            <w:pPr>
              <w:jc w:val="center"/>
              <w:cnfStyle w:val="000000010000" w:firstRow="0" w:lastRow="0" w:firstColumn="0" w:lastColumn="0" w:oddVBand="0" w:evenVBand="0" w:oddHBand="0" w:evenHBand="1" w:firstRowFirstColumn="0" w:firstRowLastColumn="0" w:lastRowFirstColumn="0" w:lastRowLastColumn="0"/>
            </w:pPr>
            <w:r>
              <w:t>48c</w:t>
            </w:r>
          </w:p>
        </w:tc>
        <w:tc>
          <w:tcPr>
            <w:tcW w:w="1035" w:type="dxa"/>
          </w:tcPr>
          <w:p w14:paraId="57FAFCA6" w14:textId="77777777" w:rsidR="00E97621" w:rsidRPr="0050362B" w:rsidRDefault="00E97621" w:rsidP="00B94287">
            <w:pPr>
              <w:jc w:val="center"/>
              <w:cnfStyle w:val="000000010000" w:firstRow="0" w:lastRow="0" w:firstColumn="0" w:lastColumn="0" w:oddVBand="0" w:evenVBand="0" w:oddHBand="0" w:evenHBand="1" w:firstRowFirstColumn="0" w:firstRowLastColumn="0" w:lastRowFirstColumn="0" w:lastRowLastColumn="0"/>
            </w:pPr>
            <w:r>
              <w:t>55c</w:t>
            </w:r>
          </w:p>
        </w:tc>
        <w:tc>
          <w:tcPr>
            <w:tcW w:w="1035" w:type="dxa"/>
          </w:tcPr>
          <w:p w14:paraId="52BB4D09" w14:textId="77777777" w:rsidR="00E97621" w:rsidRPr="00CC50DF" w:rsidRDefault="00E97621" w:rsidP="00B94287">
            <w:pPr>
              <w:jc w:val="center"/>
              <w:cnfStyle w:val="000000010000" w:firstRow="0" w:lastRow="0" w:firstColumn="0" w:lastColumn="0" w:oddVBand="0" w:evenVBand="0" w:oddHBand="0" w:evenHBand="1" w:firstRowFirstColumn="0" w:firstRowLastColumn="0" w:lastRowFirstColumn="0" w:lastRowLastColumn="0"/>
            </w:pPr>
            <w:r>
              <w:t>59c</w:t>
            </w:r>
          </w:p>
        </w:tc>
        <w:tc>
          <w:tcPr>
            <w:tcW w:w="1035" w:type="dxa"/>
          </w:tcPr>
          <w:p w14:paraId="76873F36" w14:textId="77777777" w:rsidR="00E97621" w:rsidRPr="00B713D7" w:rsidRDefault="00E97621" w:rsidP="00B94287">
            <w:pPr>
              <w:jc w:val="center"/>
              <w:cnfStyle w:val="000000010000" w:firstRow="0" w:lastRow="0" w:firstColumn="0" w:lastColumn="0" w:oddVBand="0" w:evenVBand="0" w:oddHBand="0" w:evenHBand="1" w:firstRowFirstColumn="0" w:firstRowLastColumn="0" w:lastRowFirstColumn="0" w:lastRowLastColumn="0"/>
            </w:pPr>
            <w:r>
              <w:t>69c</w:t>
            </w:r>
          </w:p>
        </w:tc>
        <w:tc>
          <w:tcPr>
            <w:tcW w:w="1035" w:type="dxa"/>
          </w:tcPr>
          <w:p w14:paraId="3D90FEDE" w14:textId="77777777" w:rsidR="00E97621" w:rsidRPr="00CC2454" w:rsidRDefault="00E97621" w:rsidP="00B94287">
            <w:pPr>
              <w:jc w:val="center"/>
              <w:cnfStyle w:val="000000010000" w:firstRow="0" w:lastRow="0" w:firstColumn="0" w:lastColumn="0" w:oddVBand="0" w:evenVBand="0" w:oddHBand="0" w:evenHBand="1" w:firstRowFirstColumn="0" w:firstRowLastColumn="0" w:lastRowFirstColumn="0" w:lastRowLastColumn="0"/>
            </w:pPr>
            <w:r>
              <w:t>79c</w:t>
            </w:r>
          </w:p>
        </w:tc>
        <w:tc>
          <w:tcPr>
            <w:tcW w:w="1035" w:type="dxa"/>
          </w:tcPr>
          <w:p w14:paraId="7E8E550C" w14:textId="77777777" w:rsidR="00E97621" w:rsidRPr="00802864" w:rsidRDefault="00E97621" w:rsidP="00B94287">
            <w:pPr>
              <w:jc w:val="center"/>
              <w:cnfStyle w:val="000000010000" w:firstRow="0" w:lastRow="0" w:firstColumn="0" w:lastColumn="0" w:oddVBand="0" w:evenVBand="0" w:oddHBand="0" w:evenHBand="1" w:firstRowFirstColumn="0" w:firstRowLastColumn="0" w:lastRowFirstColumn="0" w:lastRowLastColumn="0"/>
            </w:pPr>
            <w:r>
              <w:t>89c</w:t>
            </w:r>
          </w:p>
        </w:tc>
        <w:tc>
          <w:tcPr>
            <w:tcW w:w="1035" w:type="dxa"/>
          </w:tcPr>
          <w:p w14:paraId="3561BBB9" w14:textId="77777777" w:rsidR="00E97621" w:rsidRPr="00D7221C" w:rsidRDefault="00E97621" w:rsidP="00B94287">
            <w:pPr>
              <w:jc w:val="center"/>
              <w:cnfStyle w:val="000000010000" w:firstRow="0" w:lastRow="0" w:firstColumn="0" w:lastColumn="0" w:oddVBand="0" w:evenVBand="0" w:oddHBand="0" w:evenHBand="1" w:firstRowFirstColumn="0" w:firstRowLastColumn="0" w:lastRowFirstColumn="0" w:lastRowLastColumn="0"/>
            </w:pPr>
            <w:r>
              <w:t>$1.00</w:t>
            </w:r>
          </w:p>
        </w:tc>
      </w:tr>
      <w:tr w:rsidR="00E97621" w:rsidRPr="00B71E60" w14:paraId="7838B879" w14:textId="77777777" w:rsidTr="00B9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15155046" w14:textId="77777777" w:rsidR="00E97621" w:rsidRPr="000E64AC" w:rsidRDefault="00E97621" w:rsidP="00B94287">
            <w:r w:rsidRPr="000E64AC">
              <w:rPr>
                <w:rFonts w:cs="Arial"/>
                <w:szCs w:val="20"/>
              </w:rPr>
              <w:t>Total pass-through cost ($millions), including the assumption of a 30% PHT. Present in terms of $/MWh for all energy types – although only applied to electricity.</w:t>
            </w:r>
          </w:p>
        </w:tc>
        <w:tc>
          <w:tcPr>
            <w:tcW w:w="1034" w:type="dxa"/>
          </w:tcPr>
          <w:p w14:paraId="6DB555BC" w14:textId="77777777" w:rsidR="00E97621" w:rsidRDefault="00E97621" w:rsidP="00B94287">
            <w:pPr>
              <w:jc w:val="center"/>
              <w:cnfStyle w:val="000000100000" w:firstRow="0" w:lastRow="0" w:firstColumn="0" w:lastColumn="0" w:oddVBand="0" w:evenVBand="0" w:oddHBand="1" w:evenHBand="0" w:firstRowFirstColumn="0" w:firstRowLastColumn="0" w:lastRowFirstColumn="0" w:lastRowLastColumn="0"/>
              <w:rPr>
                <w:rFonts w:cs="Arial"/>
                <w:color w:val="5E5F61"/>
                <w:szCs w:val="20"/>
              </w:rPr>
            </w:pPr>
            <w:r w:rsidRPr="00194BEF">
              <w:t>$118.1</w:t>
            </w:r>
          </w:p>
        </w:tc>
        <w:tc>
          <w:tcPr>
            <w:tcW w:w="1035" w:type="dxa"/>
          </w:tcPr>
          <w:p w14:paraId="60A6FD8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50362B">
              <w:t>$136.3</w:t>
            </w:r>
          </w:p>
        </w:tc>
        <w:tc>
          <w:tcPr>
            <w:tcW w:w="1035" w:type="dxa"/>
          </w:tcPr>
          <w:p w14:paraId="015804D3"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50DF">
              <w:t>$146.5</w:t>
            </w:r>
          </w:p>
        </w:tc>
        <w:tc>
          <w:tcPr>
            <w:tcW w:w="1035" w:type="dxa"/>
          </w:tcPr>
          <w:p w14:paraId="28BDC6A8"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B713D7">
              <w:t>$172.2</w:t>
            </w:r>
          </w:p>
        </w:tc>
        <w:tc>
          <w:tcPr>
            <w:tcW w:w="1035" w:type="dxa"/>
          </w:tcPr>
          <w:p w14:paraId="137AD0C2"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CC2454">
              <w:t>$196.7</w:t>
            </w:r>
          </w:p>
        </w:tc>
        <w:tc>
          <w:tcPr>
            <w:tcW w:w="1035" w:type="dxa"/>
          </w:tcPr>
          <w:p w14:paraId="69A76A85"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802864">
              <w:t>$223.0</w:t>
            </w:r>
          </w:p>
        </w:tc>
        <w:tc>
          <w:tcPr>
            <w:tcW w:w="1035" w:type="dxa"/>
          </w:tcPr>
          <w:p w14:paraId="56AE4FD0" w14:textId="77777777" w:rsidR="00E97621" w:rsidRPr="00B71E60" w:rsidRDefault="00E97621" w:rsidP="00B94287">
            <w:pPr>
              <w:jc w:val="center"/>
              <w:cnfStyle w:val="000000100000" w:firstRow="0" w:lastRow="0" w:firstColumn="0" w:lastColumn="0" w:oddVBand="0" w:evenVBand="0" w:oddHBand="1" w:evenHBand="0" w:firstRowFirstColumn="0" w:firstRowLastColumn="0" w:lastRowFirstColumn="0" w:lastRowLastColumn="0"/>
            </w:pPr>
            <w:r w:rsidRPr="00D7221C">
              <w:t>$248.3</w:t>
            </w:r>
          </w:p>
        </w:tc>
      </w:tr>
      <w:tr w:rsidR="00E97621" w:rsidRPr="00B71E60" w14:paraId="26E60072" w14:textId="77777777" w:rsidTr="00B942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2" w:type="dxa"/>
            <w:vAlign w:val="center"/>
          </w:tcPr>
          <w:p w14:paraId="3309F8F6" w14:textId="77777777" w:rsidR="00E97621" w:rsidRPr="000E64AC" w:rsidRDefault="00E97621" w:rsidP="00B94287">
            <w:r w:rsidRPr="000E64AC">
              <w:rPr>
                <w:rFonts w:cs="Arial"/>
                <w:szCs w:val="20"/>
              </w:rPr>
              <w:t xml:space="preserve">Net present value taking account of the anticipated ESC presented above. </w:t>
            </w:r>
          </w:p>
        </w:tc>
        <w:tc>
          <w:tcPr>
            <w:tcW w:w="1034" w:type="dxa"/>
          </w:tcPr>
          <w:p w14:paraId="20A0CAB6"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194BEF">
              <w:t>$5.8</w:t>
            </w:r>
          </w:p>
        </w:tc>
        <w:tc>
          <w:tcPr>
            <w:tcW w:w="1035" w:type="dxa"/>
          </w:tcPr>
          <w:p w14:paraId="538D7DAF"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50362B">
              <w:t>$5.3</w:t>
            </w:r>
          </w:p>
        </w:tc>
        <w:tc>
          <w:tcPr>
            <w:tcW w:w="1035" w:type="dxa"/>
          </w:tcPr>
          <w:p w14:paraId="761B8D0B"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50DF">
              <w:t>$3.9</w:t>
            </w:r>
          </w:p>
        </w:tc>
        <w:tc>
          <w:tcPr>
            <w:tcW w:w="1035" w:type="dxa"/>
          </w:tcPr>
          <w:p w14:paraId="19FEE379"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B713D7">
              <w:t>-$0.8</w:t>
            </w:r>
          </w:p>
        </w:tc>
        <w:tc>
          <w:tcPr>
            <w:tcW w:w="1035" w:type="dxa"/>
          </w:tcPr>
          <w:p w14:paraId="626951D3"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CC2454">
              <w:t>-$5.9</w:t>
            </w:r>
          </w:p>
        </w:tc>
        <w:tc>
          <w:tcPr>
            <w:tcW w:w="1035" w:type="dxa"/>
          </w:tcPr>
          <w:p w14:paraId="7D7506AE"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802864">
              <w:t>-$11.7</w:t>
            </w:r>
          </w:p>
        </w:tc>
        <w:tc>
          <w:tcPr>
            <w:tcW w:w="1035" w:type="dxa"/>
          </w:tcPr>
          <w:p w14:paraId="0D8E4B28" w14:textId="77777777" w:rsidR="00E97621" w:rsidRPr="00B71E60" w:rsidRDefault="00E97621" w:rsidP="00B94287">
            <w:pPr>
              <w:jc w:val="center"/>
              <w:cnfStyle w:val="000000010000" w:firstRow="0" w:lastRow="0" w:firstColumn="0" w:lastColumn="0" w:oddVBand="0" w:evenVBand="0" w:oddHBand="0" w:evenHBand="1" w:firstRowFirstColumn="0" w:firstRowLastColumn="0" w:lastRowFirstColumn="0" w:lastRowLastColumn="0"/>
            </w:pPr>
            <w:r w:rsidRPr="00D7221C">
              <w:t>-$17.4</w:t>
            </w:r>
          </w:p>
        </w:tc>
      </w:tr>
    </w:tbl>
    <w:p w14:paraId="1F61B99E" w14:textId="77777777" w:rsidR="005634EC" w:rsidRDefault="005634EC" w:rsidP="009F66C9">
      <w:pPr>
        <w:sectPr w:rsidR="005634EC" w:rsidSect="00A41FAE">
          <w:pgSz w:w="16838" w:h="11906" w:orient="landscape" w:code="9"/>
          <w:pgMar w:top="1134" w:right="1644" w:bottom="1134" w:left="1418" w:header="794" w:footer="284" w:gutter="0"/>
          <w:cols w:space="708"/>
          <w:titlePg/>
          <w:docGrid w:linePitch="360"/>
        </w:sectPr>
      </w:pPr>
    </w:p>
    <w:p w14:paraId="2A260CEF" w14:textId="3DAC8B1D" w:rsidR="00E97621" w:rsidRDefault="00E97621" w:rsidP="009F66C9"/>
    <w:p w14:paraId="0AC15309" w14:textId="0509C628" w:rsidR="00C90A73" w:rsidRDefault="00C90A73" w:rsidP="00CA489A">
      <w:r>
        <w:t xml:space="preserve">There are two key risks associated with setting a higher EST. </w:t>
      </w:r>
      <w:r w:rsidRPr="001A3A52">
        <w:t>The first is the risk of negative economic impacts on households and businesses</w:t>
      </w:r>
      <w:r>
        <w:t xml:space="preserve">, </w:t>
      </w:r>
      <w:r w:rsidRPr="001A3A52">
        <w:t>especially low-income households</w:t>
      </w:r>
      <w:r>
        <w:t>. As presented in Table 4, p</w:t>
      </w:r>
      <w:r w:rsidRPr="008A61ED">
        <w:t xml:space="preserve">ass through costs are estimated to be </w:t>
      </w:r>
      <w:r>
        <w:t>55c</w:t>
      </w:r>
      <w:r w:rsidRPr="008A61ED">
        <w:t xml:space="preserve"> per week for an average household </w:t>
      </w:r>
      <w:r>
        <w:t xml:space="preserve">at 8.6% </w:t>
      </w:r>
      <w:r w:rsidRPr="008A61ED">
        <w:t xml:space="preserve">compared with </w:t>
      </w:r>
      <w:r>
        <w:t>$1.00 if the EST was increased to 13%</w:t>
      </w:r>
      <w:r w:rsidRPr="008A61ED">
        <w:t xml:space="preserve">. </w:t>
      </w:r>
      <w:r>
        <w:t xml:space="preserve">A high EST would be particularly challenging for those low-income households that are unable to participate in the EEIS and who already pay a high proportion of their total weekly income on energy bills. </w:t>
      </w:r>
    </w:p>
    <w:p w14:paraId="359B3DA3" w14:textId="77777777" w:rsidR="00C90A73" w:rsidRDefault="00C90A73" w:rsidP="00CA489A">
      <w:r>
        <w:t>The second risk from a higher EST setting is that implementation by retailers may be more difficult than expected, due to saturation of energy efficiency opportunities, or intransigent non-market barriers. This risk could be mitigated for the life of the extension through continual introduction of new eligible activities, designed to maximise expectations of cost-effective delivery, and therefore the effectiveness of market opportunities.</w:t>
      </w:r>
    </w:p>
    <w:p w14:paraId="1F9866FD" w14:textId="4DC0A25D" w:rsidR="00C90A73" w:rsidRDefault="00C90A73" w:rsidP="00CA489A">
      <w:r>
        <w:t xml:space="preserve">It is important to understand the likely costs associated with different settings, both to assist in managing its risks, and also to enable the </w:t>
      </w:r>
      <w:r w:rsidR="00CA489A">
        <w:t>ACT G</w:t>
      </w:r>
      <w:r>
        <w:t xml:space="preserve">overnment to set the key metrics with which to commence the </w:t>
      </w:r>
      <w:r w:rsidR="00E43F4F">
        <w:t>S</w:t>
      </w:r>
      <w:r>
        <w:t xml:space="preserve">cheme extension. </w:t>
      </w:r>
    </w:p>
    <w:p w14:paraId="34B3CA68" w14:textId="12D0FFC5" w:rsidR="00C90A73" w:rsidRDefault="00C90A73" w:rsidP="00A64B55">
      <w:r w:rsidRPr="00A64B55">
        <w:t>Modelling results for the 2021-2030 scheme extension suggest an Energy Savings Target of 8.6%</w:t>
      </w:r>
      <w:r w:rsidR="00CA489A" w:rsidRPr="00A64B55">
        <w:t xml:space="preserve"> for the 2021</w:t>
      </w:r>
      <w:r w:rsidR="00B17939">
        <w:t xml:space="preserve"> </w:t>
      </w:r>
      <w:r w:rsidR="00CA489A" w:rsidRPr="00A64B55">
        <w:t>compliance period</w:t>
      </w:r>
      <w:r w:rsidRPr="00A64B55">
        <w:t>, which is the same level as the current scheme.</w:t>
      </w:r>
      <w:r w:rsidR="00CA489A" w:rsidRPr="00A64B55">
        <w:t xml:space="preserve"> The ACT Government will monitor the outcomes of the transition to an energy metric and continue to monitor the cost and benefits of the Scheme as previously cost</w:t>
      </w:r>
      <w:r w:rsidR="004A3D3F">
        <w:t>-</w:t>
      </w:r>
      <w:r w:rsidR="00CA489A" w:rsidRPr="00A64B55">
        <w:t xml:space="preserve">effective activities </w:t>
      </w:r>
      <w:r w:rsidR="00431D68" w:rsidRPr="00A64B55">
        <w:t>reach</w:t>
      </w:r>
      <w:r w:rsidR="00CA489A" w:rsidRPr="00A64B55">
        <w:t xml:space="preserve"> </w:t>
      </w:r>
      <w:r w:rsidR="00D84234" w:rsidRPr="00A64B55">
        <w:t xml:space="preserve">market </w:t>
      </w:r>
      <w:r w:rsidR="00CA489A" w:rsidRPr="00A64B55">
        <w:t>saturation and new activities such as insulation and transport activities are taken up.</w:t>
      </w:r>
      <w:r w:rsidR="00D84234" w:rsidRPr="00A64B55">
        <w:t xml:space="preserve"> </w:t>
      </w:r>
    </w:p>
    <w:p w14:paraId="47F8E37D" w14:textId="23BB0BAE" w:rsidR="00E97621" w:rsidRDefault="00D07436" w:rsidP="00E97621">
      <w:pPr>
        <w:pStyle w:val="Heading1"/>
        <w:numPr>
          <w:ilvl w:val="1"/>
          <w:numId w:val="4"/>
        </w:numPr>
      </w:pPr>
      <w:r>
        <w:t xml:space="preserve">  </w:t>
      </w:r>
      <w:bookmarkStart w:id="14" w:name="_Toc41575591"/>
      <w:r w:rsidR="00E97621">
        <w:t>Setting the Energy Saving Contribution</w:t>
      </w:r>
      <w:bookmarkEnd w:id="14"/>
    </w:p>
    <w:p w14:paraId="0E466077" w14:textId="76F0F5AA" w:rsidR="00E97621" w:rsidRDefault="00E97621" w:rsidP="00CA489A">
      <w:r>
        <w:t>All Tier 2 retailers are currently opting to pay the Energy Savings Contribution (ESC) as an alternative to delivering activities. The ESC is currently set at $116/</w:t>
      </w:r>
      <w:r w:rsidRPr="007D1E14">
        <w:t xml:space="preserve"> </w:t>
      </w:r>
      <w:r>
        <w:t>tCO</w:t>
      </w:r>
      <w:r w:rsidRPr="00E97621">
        <w:t>2</w:t>
      </w:r>
      <w:r>
        <w:t xml:space="preserve">e by way of the </w:t>
      </w:r>
      <w:r w:rsidRPr="00E97621">
        <w:rPr>
          <w:i/>
          <w:iCs/>
        </w:rPr>
        <w:t>Energy Efficiency (Cost of Living) Improvement (Energy Savings Contribution) Determination 2015</w:t>
      </w:r>
      <w:r>
        <w:t xml:space="preserve"> on the basis of modelling undertaken by Energetics for the 2015-2020 EEIS extension. As with the </w:t>
      </w:r>
      <w:r w:rsidR="00152792">
        <w:t>S</w:t>
      </w:r>
      <w:r>
        <w:t xml:space="preserve">cheme delivery costs being achieved by ActewAGL, this current ESC equates to a cost of $4/MWh pass through costs in electricity bills. Taken together, this is a clear signal that the current market rate for EEIS energy savings involves pass-through costs of $4/MWh across all ACT electricity sales. </w:t>
      </w:r>
    </w:p>
    <w:p w14:paraId="50866A9D" w14:textId="40ABE71E" w:rsidR="00E97621" w:rsidRDefault="00E97621" w:rsidP="00CA489A">
      <w:r>
        <w:t xml:space="preserve">Therefore it is recommended that </w:t>
      </w:r>
      <w:r w:rsidR="00C16772">
        <w:t xml:space="preserve">the Energy Savings Contribution </w:t>
      </w:r>
      <w:r>
        <w:t xml:space="preserve">be set </w:t>
      </w:r>
      <w:r w:rsidR="00C16772">
        <w:t>at $46.50/MWh</w:t>
      </w:r>
      <w:r>
        <w:t xml:space="preserve"> which is similar to the current scheme</w:t>
      </w:r>
      <w:r w:rsidR="00C16772">
        <w:t xml:space="preserve">. </w:t>
      </w:r>
      <w:r>
        <w:t xml:space="preserve">This recommended setting is designed to maintain a level playing field between Tier 1 and Tier 2 retailers to support genuine competition between retailers. It will also result in </w:t>
      </w:r>
      <w:r w:rsidR="00EE1870">
        <w:t xml:space="preserve">approximately </w:t>
      </w:r>
      <w:r>
        <w:t>$2.6</w:t>
      </w:r>
      <w:r w:rsidR="00C90A73">
        <w:t>M in annual</w:t>
      </w:r>
      <w:r>
        <w:t xml:space="preserve"> Tier 2 contributions if </w:t>
      </w:r>
      <w:r>
        <w:lastRenderedPageBreak/>
        <w:t>no Tier 2 retailers deliver EEIS activities.</w:t>
      </w:r>
      <w:r w:rsidR="00C90A73">
        <w:t xml:space="preserve"> This funding can be used for </w:t>
      </w:r>
      <w:r w:rsidR="005358C5">
        <w:t>the EEIS</w:t>
      </w:r>
      <w:r w:rsidR="00C90A73">
        <w:t xml:space="preserve"> administration, compliance and other activities which meet the objects of the Act.</w:t>
      </w:r>
      <w:r>
        <w:t xml:space="preserve"> </w:t>
      </w:r>
    </w:p>
    <w:p w14:paraId="18F3B3AC" w14:textId="1435D845" w:rsidR="00C90A73" w:rsidRDefault="00D07436" w:rsidP="00C90A73">
      <w:pPr>
        <w:pStyle w:val="Heading1"/>
        <w:numPr>
          <w:ilvl w:val="1"/>
          <w:numId w:val="4"/>
        </w:numPr>
      </w:pPr>
      <w:r>
        <w:t xml:space="preserve">  </w:t>
      </w:r>
      <w:bookmarkStart w:id="15" w:name="_Toc41575592"/>
      <w:r w:rsidR="00C90A73">
        <w:t xml:space="preserve">Setting </w:t>
      </w:r>
      <w:r w:rsidR="00C90A73" w:rsidRPr="00C90A73">
        <w:t>Penalties for Noncompliance</w:t>
      </w:r>
      <w:bookmarkEnd w:id="15"/>
    </w:p>
    <w:p w14:paraId="1754E779" w14:textId="26EC978C" w:rsidR="007B7ECF" w:rsidRDefault="00C90A73" w:rsidP="00CA489A">
      <w:r>
        <w:t xml:space="preserve">The </w:t>
      </w:r>
      <w:r w:rsidR="007D2BAE">
        <w:t>S</w:t>
      </w:r>
      <w:r>
        <w:t xml:space="preserve">hortfall </w:t>
      </w:r>
      <w:r w:rsidR="007D2BAE">
        <w:t>P</w:t>
      </w:r>
      <w:r>
        <w:t>enalty acts as an upper limit to potential costs for delivering activities and aims to disincentivise non-compliance, including the risk of Tier 1 retailers not delivering activities. The Shortfall Penalty is currently set at $300/tCO</w:t>
      </w:r>
      <w:r w:rsidRPr="00E97621">
        <w:t>2</w:t>
      </w:r>
      <w:r>
        <w:t xml:space="preserve">e by way of the </w:t>
      </w:r>
      <w:r w:rsidRPr="007B7ECF">
        <w:rPr>
          <w:i/>
          <w:iCs/>
        </w:rPr>
        <w:t>Energy Efficiency (Cost of Living) Improvement (Penalties for Noncompliance) Determination 2015</w:t>
      </w:r>
      <w:r>
        <w:t xml:space="preserve"> on the basis of modelling undertaken by Energetics for the 2015-2020 EEIS extension.</w:t>
      </w:r>
      <w:r w:rsidR="007B7ECF" w:rsidRPr="007B7ECF">
        <w:t xml:space="preserve"> </w:t>
      </w:r>
      <w:r w:rsidR="007B7ECF">
        <w:t xml:space="preserve">ICRC uses the </w:t>
      </w:r>
      <w:r w:rsidR="007D2BAE">
        <w:t>S</w:t>
      </w:r>
      <w:r w:rsidR="007B7ECF">
        <w:t xml:space="preserve">hortfall </w:t>
      </w:r>
      <w:r w:rsidR="007D2BAE">
        <w:t>P</w:t>
      </w:r>
      <w:r w:rsidR="007B7ECF">
        <w:t xml:space="preserve">enalty as a ceiling on its price determination and compliance has been extremely high and the </w:t>
      </w:r>
      <w:r w:rsidR="007D2BAE">
        <w:t>S</w:t>
      </w:r>
      <w:r w:rsidR="007B7ECF">
        <w:t xml:space="preserve">hortfall </w:t>
      </w:r>
      <w:r w:rsidR="007D2BAE">
        <w:t>P</w:t>
      </w:r>
      <w:r w:rsidR="007B7ECF">
        <w:t xml:space="preserve">enalty has never been applied. </w:t>
      </w:r>
    </w:p>
    <w:p w14:paraId="616F6009" w14:textId="0D030F6A" w:rsidR="00C16772" w:rsidRDefault="00C90A73" w:rsidP="00CA489A">
      <w:r>
        <w:t xml:space="preserve">The proposed Shortfall Penalty </w:t>
      </w:r>
      <w:r w:rsidR="007B7ECF">
        <w:t xml:space="preserve">is </w:t>
      </w:r>
      <w:r>
        <w:t>$120/MWh is equivalent to the current settings</w:t>
      </w:r>
      <w:r w:rsidR="00EE1870">
        <w:t xml:space="preserve"> </w:t>
      </w:r>
      <w:r>
        <w:t xml:space="preserve">being 2.6 times the value of the relevant Energy Savings Contribution. </w:t>
      </w:r>
      <w:r w:rsidR="007B7ECF">
        <w:t xml:space="preserve">This setting is recommended to </w:t>
      </w:r>
      <w:r w:rsidR="00152792">
        <w:t xml:space="preserve">be an </w:t>
      </w:r>
      <w:r w:rsidR="007B7ECF">
        <w:t xml:space="preserve">incentive </w:t>
      </w:r>
      <w:r w:rsidR="00152792">
        <w:t xml:space="preserve">for </w:t>
      </w:r>
      <w:r w:rsidR="007B7ECF">
        <w:t>Tier 1</w:t>
      </w:r>
      <w:r w:rsidR="00F51F2F">
        <w:t xml:space="preserve"> </w:t>
      </w:r>
      <w:r w:rsidR="00EE1870">
        <w:t>retailers</w:t>
      </w:r>
      <w:r w:rsidR="007B7ECF">
        <w:t xml:space="preserve"> to deliver activities and reduce the likelihood of </w:t>
      </w:r>
      <w:r w:rsidR="00C16772">
        <w:t>Tier 1</w:t>
      </w:r>
      <w:r w:rsidR="00F51F2F">
        <w:t xml:space="preserve"> retailer</w:t>
      </w:r>
      <w:r w:rsidR="00C16772">
        <w:t>s choos</w:t>
      </w:r>
      <w:r w:rsidR="007B7ECF">
        <w:t>ing</w:t>
      </w:r>
      <w:r w:rsidR="00C16772">
        <w:t xml:space="preserve"> to pay the penalty instead of delivering activities. </w:t>
      </w:r>
    </w:p>
    <w:p w14:paraId="0D04EC1E" w14:textId="77777777" w:rsidR="00237CE1" w:rsidRDefault="00237CE1" w:rsidP="00621CB9">
      <w:pPr>
        <w:pStyle w:val="Heading1"/>
      </w:pPr>
      <w:bookmarkStart w:id="16" w:name="_Toc41575593"/>
      <w:r>
        <w:t>Summary of proposed key scheme parameters</w:t>
      </w:r>
      <w:bookmarkEnd w:id="16"/>
    </w:p>
    <w:p w14:paraId="0C385364" w14:textId="6F072130" w:rsidR="00E66495" w:rsidRDefault="001E6417" w:rsidP="002E57E0">
      <w:pPr>
        <w:spacing w:before="240"/>
      </w:pPr>
      <w:r>
        <w:t xml:space="preserve">Table </w:t>
      </w:r>
      <w:r w:rsidR="00247DD5">
        <w:t>2</w:t>
      </w:r>
      <w:r w:rsidR="00E66495">
        <w:t xml:space="preserve"> presents the </w:t>
      </w:r>
      <w:r w:rsidR="00E5583F">
        <w:t>estimated</w:t>
      </w:r>
      <w:r w:rsidR="00E66495">
        <w:t xml:space="preserve"> results for the</w:t>
      </w:r>
      <w:r w:rsidR="006A75BA">
        <w:t xml:space="preserve"> </w:t>
      </w:r>
      <w:r w:rsidR="00E66495">
        <w:t>level</w:t>
      </w:r>
      <w:r w:rsidR="006A75BA">
        <w:t>s</w:t>
      </w:r>
      <w:r w:rsidR="00E66495">
        <w:t xml:space="preserve"> of ambition</w:t>
      </w:r>
      <w:r w:rsidR="00F06A56">
        <w:t xml:space="preserve"> analysed</w:t>
      </w:r>
      <w:r w:rsidR="00E66495">
        <w:t xml:space="preserve">, </w:t>
      </w:r>
      <w:r w:rsidR="00E5583F">
        <w:t>compared to the current scheme</w:t>
      </w:r>
      <w:r w:rsidR="002873AB">
        <w:t>.</w:t>
      </w:r>
    </w:p>
    <w:p w14:paraId="67E3DD9F" w14:textId="5D2B6BC2" w:rsidR="00E66495" w:rsidRPr="002873AB" w:rsidRDefault="00E66495" w:rsidP="002873AB">
      <w:pPr>
        <w:pStyle w:val="Caption"/>
      </w:pPr>
      <w:bookmarkStart w:id="17" w:name="_Toc12970222"/>
      <w:bookmarkStart w:id="18" w:name="_Hlk41404288"/>
      <w:r w:rsidRPr="002873AB">
        <w:t xml:space="preserve">Table </w:t>
      </w:r>
      <w:r w:rsidR="00247DD5" w:rsidRPr="002873AB">
        <w:t>2</w:t>
      </w:r>
      <w:r w:rsidR="00EE1870" w:rsidRPr="002873AB">
        <w:t xml:space="preserve"> </w:t>
      </w:r>
      <w:r w:rsidR="00F62AD3" w:rsidRPr="002873AB">
        <w:t>Proposed EEIS metrics, savings and costs</w:t>
      </w:r>
      <w:bookmarkEnd w:id="17"/>
      <w:r w:rsidR="00F62AD3" w:rsidRPr="002873AB">
        <w:t xml:space="preserve"> </w:t>
      </w:r>
    </w:p>
    <w:tbl>
      <w:tblPr>
        <w:tblStyle w:val="GridTable5Dark-Accent11"/>
        <w:tblW w:w="7050" w:type="dxa"/>
        <w:tblLook w:val="04A0" w:firstRow="1" w:lastRow="0" w:firstColumn="1" w:lastColumn="0" w:noHBand="0" w:noVBand="1"/>
      </w:tblPr>
      <w:tblGrid>
        <w:gridCol w:w="3118"/>
        <w:gridCol w:w="1966"/>
        <w:gridCol w:w="1966"/>
      </w:tblGrid>
      <w:tr w:rsidR="00E5583F" w:rsidRPr="00B81968" w14:paraId="08B01D76" w14:textId="77777777" w:rsidTr="00E5583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FFFFFF" w:themeColor="background1"/>
            </w:tcBorders>
            <w:hideMark/>
          </w:tcPr>
          <w:p w14:paraId="2BBA02BE" w14:textId="77777777" w:rsidR="00E5583F" w:rsidRPr="00B81968" w:rsidRDefault="00E5583F" w:rsidP="005B0254">
            <w:pPr>
              <w:spacing w:after="0"/>
              <w:rPr>
                <w:rFonts w:cs="Arial"/>
                <w:bCs/>
                <w:sz w:val="20"/>
                <w:szCs w:val="20"/>
              </w:rPr>
            </w:pPr>
            <w:r w:rsidRPr="00B81968">
              <w:rPr>
                <w:rFonts w:cs="Arial"/>
                <w:sz w:val="20"/>
                <w:szCs w:val="20"/>
              </w:rPr>
              <w:t>EEIS SAVINGS AND COSTS</w:t>
            </w:r>
          </w:p>
        </w:tc>
        <w:tc>
          <w:tcPr>
            <w:tcW w:w="1966" w:type="dxa"/>
            <w:tcBorders>
              <w:bottom w:val="single" w:sz="4" w:space="0" w:color="FFFFFF" w:themeColor="background1"/>
            </w:tcBorders>
            <w:hideMark/>
          </w:tcPr>
          <w:p w14:paraId="1A07EEAB" w14:textId="7EFB7FD0" w:rsidR="00E5583F" w:rsidRPr="00B81968" w:rsidRDefault="00E5583F" w:rsidP="00A334B3">
            <w:pPr>
              <w:spacing w:after="0"/>
              <w:jc w:val="center"/>
              <w:cnfStyle w:val="100000000000" w:firstRow="1" w:lastRow="0" w:firstColumn="0" w:lastColumn="0" w:oddVBand="0" w:evenVBand="0" w:oddHBand="0" w:evenHBand="0" w:firstRowFirstColumn="0" w:firstRowLastColumn="0" w:lastRowFirstColumn="0" w:lastRowLastColumn="0"/>
              <w:rPr>
                <w:rFonts w:cs="Arial"/>
                <w:bCs/>
                <w:sz w:val="20"/>
                <w:szCs w:val="20"/>
              </w:rPr>
            </w:pPr>
            <w:r>
              <w:rPr>
                <w:rFonts w:cs="Arial"/>
                <w:sz w:val="20"/>
                <w:szCs w:val="20"/>
              </w:rPr>
              <w:t>Current Scheme</w:t>
            </w:r>
            <w:r w:rsidRPr="00B81968">
              <w:rPr>
                <w:rFonts w:cs="Arial"/>
                <w:sz w:val="20"/>
                <w:szCs w:val="20"/>
              </w:rPr>
              <w:t xml:space="preserve"> </w:t>
            </w:r>
            <w:r>
              <w:rPr>
                <w:rFonts w:cs="Arial"/>
                <w:sz w:val="20"/>
                <w:szCs w:val="20"/>
              </w:rPr>
              <w:t>2013-2020</w:t>
            </w:r>
          </w:p>
        </w:tc>
        <w:tc>
          <w:tcPr>
            <w:tcW w:w="1966" w:type="dxa"/>
            <w:tcBorders>
              <w:bottom w:val="single" w:sz="4" w:space="0" w:color="FFFFFF" w:themeColor="background1"/>
            </w:tcBorders>
          </w:tcPr>
          <w:p w14:paraId="2209CF1A" w14:textId="77777777" w:rsidR="00E5583F" w:rsidRDefault="00E5583F" w:rsidP="00DD333D">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sz w:val="20"/>
                <w:szCs w:val="20"/>
              </w:rPr>
            </w:pPr>
            <w:r>
              <w:rPr>
                <w:rFonts w:cs="Arial"/>
                <w:sz w:val="20"/>
                <w:szCs w:val="20"/>
              </w:rPr>
              <w:t xml:space="preserve">EEIS Extension </w:t>
            </w:r>
          </w:p>
          <w:p w14:paraId="53319D30" w14:textId="5A8456FB" w:rsidR="00E5583F" w:rsidRDefault="00E5583F" w:rsidP="00DD333D">
            <w:pPr>
              <w:spacing w:after="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2021 - 2030 </w:t>
            </w:r>
          </w:p>
        </w:tc>
      </w:tr>
      <w:tr w:rsidR="00E5583F" w:rsidRPr="00422A41" w14:paraId="2F2F052C"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right w:val="single" w:sz="4" w:space="0" w:color="auto"/>
            </w:tcBorders>
            <w:shd w:val="clear" w:color="auto" w:fill="244061" w:themeFill="accent1" w:themeFillShade="80"/>
          </w:tcPr>
          <w:p w14:paraId="711DBD90" w14:textId="5660F729" w:rsidR="00E5583F" w:rsidRDefault="00E5583F" w:rsidP="00F62AD3">
            <w:pPr>
              <w:spacing w:after="0"/>
              <w:rPr>
                <w:rFonts w:cs="Arial"/>
                <w:sz w:val="20"/>
                <w:szCs w:val="20"/>
              </w:rPr>
            </w:pPr>
            <w:r>
              <w:rPr>
                <w:rFonts w:cs="Arial"/>
                <w:sz w:val="20"/>
                <w:szCs w:val="20"/>
              </w:rPr>
              <w:t>Proposed scheme metrics</w:t>
            </w:r>
          </w:p>
        </w:tc>
        <w:tc>
          <w:tcPr>
            <w:tcW w:w="1966" w:type="dxa"/>
            <w:tcBorders>
              <w:left w:val="single" w:sz="4" w:space="0" w:color="auto"/>
              <w:right w:val="single" w:sz="4" w:space="0" w:color="auto"/>
            </w:tcBorders>
            <w:shd w:val="clear" w:color="auto" w:fill="244061" w:themeFill="accent1" w:themeFillShade="80"/>
          </w:tcPr>
          <w:p w14:paraId="1CFE2BC2" w14:textId="77777777" w:rsidR="00E5583F" w:rsidRPr="00422A41"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966" w:type="dxa"/>
            <w:tcBorders>
              <w:left w:val="single" w:sz="4" w:space="0" w:color="auto"/>
              <w:right w:val="single" w:sz="4" w:space="0" w:color="auto"/>
            </w:tcBorders>
            <w:shd w:val="clear" w:color="auto" w:fill="244061" w:themeFill="accent1" w:themeFillShade="80"/>
          </w:tcPr>
          <w:p w14:paraId="7F7489C2" w14:textId="77777777" w:rsidR="00E5583F" w:rsidRPr="00422A41"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r w:rsidR="00E5583F" w:rsidRPr="00422A41" w14:paraId="7D73AAEB"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1E85E43" w14:textId="5970FD3E" w:rsidR="00E5583F" w:rsidRPr="00B81968" w:rsidRDefault="00E5583F" w:rsidP="005B0254">
            <w:pPr>
              <w:spacing w:after="0"/>
              <w:rPr>
                <w:rFonts w:cs="Arial"/>
                <w:sz w:val="20"/>
                <w:szCs w:val="20"/>
              </w:rPr>
            </w:pPr>
            <w:r>
              <w:rPr>
                <w:rFonts w:cs="Arial"/>
                <w:sz w:val="20"/>
                <w:szCs w:val="20"/>
              </w:rPr>
              <w:t>Energy Savings Target</w:t>
            </w:r>
          </w:p>
        </w:tc>
        <w:tc>
          <w:tcPr>
            <w:tcW w:w="1966" w:type="dxa"/>
          </w:tcPr>
          <w:p w14:paraId="3A74FDE4" w14:textId="4CD5E16B"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8.6%</w:t>
            </w:r>
          </w:p>
        </w:tc>
        <w:tc>
          <w:tcPr>
            <w:tcW w:w="1966" w:type="dxa"/>
          </w:tcPr>
          <w:p w14:paraId="08029F84" w14:textId="6C72D028" w:rsidR="00E5583F"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8.6%</w:t>
            </w:r>
          </w:p>
        </w:tc>
      </w:tr>
      <w:tr w:rsidR="00E5583F" w:rsidRPr="00422A41" w14:paraId="46C90E69"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542E52D6" w14:textId="06ABB6D6" w:rsidR="00E5583F" w:rsidRDefault="00E5583F" w:rsidP="005B0254">
            <w:pPr>
              <w:spacing w:after="0"/>
              <w:rPr>
                <w:rFonts w:cs="Arial"/>
                <w:sz w:val="20"/>
                <w:szCs w:val="20"/>
              </w:rPr>
            </w:pPr>
            <w:r>
              <w:rPr>
                <w:rFonts w:cs="Arial"/>
                <w:sz w:val="20"/>
                <w:szCs w:val="20"/>
              </w:rPr>
              <w:t>Priority Household Target</w:t>
            </w:r>
          </w:p>
        </w:tc>
        <w:tc>
          <w:tcPr>
            <w:tcW w:w="1966" w:type="dxa"/>
          </w:tcPr>
          <w:p w14:paraId="102CB536" w14:textId="7D795FCB"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20% - 30%</w:t>
            </w:r>
          </w:p>
        </w:tc>
        <w:tc>
          <w:tcPr>
            <w:tcW w:w="1966" w:type="dxa"/>
          </w:tcPr>
          <w:p w14:paraId="1E308773" w14:textId="4E4226C4"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30%</w:t>
            </w:r>
          </w:p>
        </w:tc>
      </w:tr>
      <w:tr w:rsidR="00E5583F" w:rsidRPr="00422A41" w14:paraId="1C567853"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2D9C1DE2" w14:textId="63E3FEF9" w:rsidR="00E5583F" w:rsidRDefault="00E5583F" w:rsidP="005B0254">
            <w:pPr>
              <w:spacing w:after="0"/>
              <w:rPr>
                <w:rFonts w:cs="Arial"/>
                <w:sz w:val="20"/>
                <w:szCs w:val="20"/>
              </w:rPr>
            </w:pPr>
            <w:r>
              <w:rPr>
                <w:rFonts w:cs="Arial"/>
                <w:sz w:val="20"/>
                <w:szCs w:val="20"/>
              </w:rPr>
              <w:t xml:space="preserve">Energy Savings Contribution </w:t>
            </w:r>
          </w:p>
        </w:tc>
        <w:tc>
          <w:tcPr>
            <w:tcW w:w="1966" w:type="dxa"/>
          </w:tcPr>
          <w:p w14:paraId="59332E48" w14:textId="038054C5"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$116/tCO2</w:t>
            </w:r>
          </w:p>
        </w:tc>
        <w:tc>
          <w:tcPr>
            <w:tcW w:w="1966" w:type="dxa"/>
          </w:tcPr>
          <w:p w14:paraId="24CE5A6B" w14:textId="34DD7532" w:rsidR="00E5583F" w:rsidRDefault="00E5583F" w:rsidP="00F32CEE">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$46</w:t>
            </w:r>
            <w:r w:rsidR="00AE79BD">
              <w:rPr>
                <w:rFonts w:cs="Arial"/>
                <w:color w:val="000000"/>
                <w:sz w:val="20"/>
                <w:szCs w:val="20"/>
              </w:rPr>
              <w:t>.50</w:t>
            </w:r>
            <w:r>
              <w:rPr>
                <w:rFonts w:cs="Arial"/>
                <w:color w:val="000000"/>
                <w:sz w:val="20"/>
                <w:szCs w:val="20"/>
              </w:rPr>
              <w:t>/MWh</w:t>
            </w:r>
          </w:p>
        </w:tc>
      </w:tr>
      <w:tr w:rsidR="00E5583F" w:rsidRPr="00422A41" w14:paraId="0D77FC7F"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FFFFFF" w:themeColor="background1"/>
            </w:tcBorders>
          </w:tcPr>
          <w:p w14:paraId="115CAD7E" w14:textId="3CB98700" w:rsidR="00E5583F" w:rsidRDefault="00E5583F" w:rsidP="005B0254">
            <w:pPr>
              <w:spacing w:after="0"/>
              <w:rPr>
                <w:rFonts w:cs="Arial"/>
                <w:sz w:val="20"/>
                <w:szCs w:val="20"/>
              </w:rPr>
            </w:pPr>
            <w:r>
              <w:rPr>
                <w:rFonts w:cs="Arial"/>
                <w:sz w:val="20"/>
                <w:szCs w:val="20"/>
              </w:rPr>
              <w:t xml:space="preserve">Penalty Rate </w:t>
            </w:r>
          </w:p>
        </w:tc>
        <w:tc>
          <w:tcPr>
            <w:tcW w:w="1966" w:type="dxa"/>
            <w:tcBorders>
              <w:bottom w:val="single" w:sz="4" w:space="0" w:color="FFFFFF" w:themeColor="background1"/>
            </w:tcBorders>
          </w:tcPr>
          <w:p w14:paraId="2B787DC3" w14:textId="13DE696C"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$300/tCO2</w:t>
            </w:r>
          </w:p>
        </w:tc>
        <w:tc>
          <w:tcPr>
            <w:tcW w:w="1966" w:type="dxa"/>
            <w:tcBorders>
              <w:bottom w:val="single" w:sz="4" w:space="0" w:color="FFFFFF" w:themeColor="background1"/>
            </w:tcBorders>
          </w:tcPr>
          <w:p w14:paraId="522D7F99" w14:textId="7205E939" w:rsidR="00E5583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$120/MWh</w:t>
            </w:r>
          </w:p>
        </w:tc>
      </w:tr>
      <w:tr w:rsidR="00E5583F" w:rsidRPr="00422A41" w14:paraId="54565615"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Borders>
              <w:right w:val="single" w:sz="4" w:space="0" w:color="auto"/>
            </w:tcBorders>
            <w:shd w:val="clear" w:color="auto" w:fill="244061" w:themeFill="accent1" w:themeFillShade="80"/>
          </w:tcPr>
          <w:p w14:paraId="664F6B40" w14:textId="5322203F" w:rsidR="00E5583F" w:rsidRPr="00B81968" w:rsidRDefault="00E5583F" w:rsidP="005B0254">
            <w:pPr>
              <w:spacing w:after="0"/>
              <w:rPr>
                <w:rFonts w:cs="Arial"/>
                <w:sz w:val="20"/>
                <w:szCs w:val="20"/>
              </w:rPr>
            </w:pPr>
            <w:r>
              <w:rPr>
                <w:rFonts w:cs="Arial"/>
                <w:sz w:val="20"/>
                <w:szCs w:val="20"/>
              </w:rPr>
              <w:t>Expected outcomes</w:t>
            </w:r>
          </w:p>
        </w:tc>
        <w:tc>
          <w:tcPr>
            <w:tcW w:w="1966" w:type="dxa"/>
            <w:tcBorders>
              <w:left w:val="single" w:sz="4" w:space="0" w:color="auto"/>
              <w:right w:val="single" w:sz="4" w:space="0" w:color="auto"/>
            </w:tcBorders>
            <w:shd w:val="clear" w:color="auto" w:fill="244061" w:themeFill="accent1" w:themeFillShade="80"/>
          </w:tcPr>
          <w:p w14:paraId="0FD2648C"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966" w:type="dxa"/>
            <w:tcBorders>
              <w:left w:val="single" w:sz="4" w:space="0" w:color="auto"/>
              <w:right w:val="single" w:sz="4" w:space="0" w:color="auto"/>
            </w:tcBorders>
            <w:shd w:val="clear" w:color="auto" w:fill="244061" w:themeFill="accent1" w:themeFillShade="80"/>
          </w:tcPr>
          <w:p w14:paraId="226FF670"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r>
      <w:tr w:rsidR="00E5583F" w:rsidRPr="00422A41" w14:paraId="3EE2089B"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03DDE65" w14:textId="77777777" w:rsidR="00E5583F" w:rsidRDefault="00E5583F" w:rsidP="001E6417">
            <w:pPr>
              <w:spacing w:after="0"/>
              <w:rPr>
                <w:rFonts w:cs="Arial"/>
                <w:sz w:val="20"/>
                <w:szCs w:val="20"/>
              </w:rPr>
            </w:pPr>
            <w:r>
              <w:rPr>
                <w:rFonts w:cs="Arial"/>
                <w:sz w:val="20"/>
                <w:szCs w:val="20"/>
              </w:rPr>
              <w:t>Net Present Value (millions)</w:t>
            </w:r>
          </w:p>
        </w:tc>
        <w:tc>
          <w:tcPr>
            <w:tcW w:w="1966" w:type="dxa"/>
          </w:tcPr>
          <w:p w14:paraId="508990EC" w14:textId="77777777" w:rsidR="00E5583F" w:rsidRPr="00422A41" w:rsidRDefault="00E5583F" w:rsidP="001E6417">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$70.6</w:t>
            </w:r>
          </w:p>
        </w:tc>
        <w:tc>
          <w:tcPr>
            <w:tcW w:w="1966" w:type="dxa"/>
          </w:tcPr>
          <w:p w14:paraId="48898B78" w14:textId="3156A425" w:rsidR="00E5583F" w:rsidRDefault="00E5583F" w:rsidP="001E6417">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$5.3</w:t>
            </w:r>
          </w:p>
        </w:tc>
      </w:tr>
      <w:tr w:rsidR="00E5583F" w:rsidRPr="00422A41" w14:paraId="59A80B9D"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201CBD04" w14:textId="77777777" w:rsidR="00E5583F" w:rsidRPr="00B81968" w:rsidRDefault="00E5583F" w:rsidP="005B0254">
            <w:pPr>
              <w:spacing w:after="0"/>
              <w:rPr>
                <w:rFonts w:cs="Arial"/>
                <w:sz w:val="20"/>
                <w:szCs w:val="20"/>
              </w:rPr>
            </w:pPr>
            <w:r w:rsidRPr="00B81968">
              <w:rPr>
                <w:rFonts w:cs="Arial"/>
                <w:sz w:val="20"/>
                <w:szCs w:val="20"/>
              </w:rPr>
              <w:t>Annual lifetime energy reduction (GWh)</w:t>
            </w:r>
          </w:p>
        </w:tc>
        <w:tc>
          <w:tcPr>
            <w:tcW w:w="1966" w:type="dxa"/>
            <w:hideMark/>
          </w:tcPr>
          <w:p w14:paraId="098BF555"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282</w:t>
            </w:r>
          </w:p>
        </w:tc>
        <w:tc>
          <w:tcPr>
            <w:tcW w:w="1966" w:type="dxa"/>
          </w:tcPr>
          <w:p w14:paraId="12EAE118" w14:textId="3561296B"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203</w:t>
            </w:r>
          </w:p>
        </w:tc>
      </w:tr>
      <w:tr w:rsidR="00E5583F" w:rsidRPr="00422A41" w14:paraId="5DAD4828"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0343B6B0" w14:textId="109B4C17" w:rsidR="00E5583F" w:rsidRPr="006877EF" w:rsidRDefault="00E5583F" w:rsidP="005B0254">
            <w:pPr>
              <w:spacing w:after="0"/>
              <w:rPr>
                <w:rFonts w:cs="Arial"/>
                <w:sz w:val="20"/>
                <w:szCs w:val="20"/>
              </w:rPr>
            </w:pPr>
            <w:r w:rsidRPr="00F004E0">
              <w:rPr>
                <w:rFonts w:cs="Arial"/>
                <w:sz w:val="20"/>
                <w:szCs w:val="20"/>
              </w:rPr>
              <w:t>Annual lifetime emissions reduction (kt CO2-e)</w:t>
            </w:r>
          </w:p>
        </w:tc>
        <w:tc>
          <w:tcPr>
            <w:tcW w:w="1966" w:type="dxa"/>
            <w:hideMark/>
          </w:tcPr>
          <w:p w14:paraId="57C441D2" w14:textId="4D855F06" w:rsidR="00E5583F" w:rsidRPr="006877E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877EF">
              <w:rPr>
                <w:rFonts w:cs="Arial"/>
                <w:color w:val="000000"/>
                <w:sz w:val="20"/>
                <w:szCs w:val="20"/>
              </w:rPr>
              <w:t>53</w:t>
            </w:r>
          </w:p>
        </w:tc>
        <w:tc>
          <w:tcPr>
            <w:tcW w:w="1966" w:type="dxa"/>
          </w:tcPr>
          <w:p w14:paraId="7FA6D41D" w14:textId="43CBAF87" w:rsidR="00E5583F" w:rsidRPr="006877EF"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6877EF">
              <w:rPr>
                <w:rFonts w:cs="Arial"/>
                <w:color w:val="000000"/>
                <w:sz w:val="20"/>
                <w:szCs w:val="20"/>
              </w:rPr>
              <w:t>21</w:t>
            </w:r>
          </w:p>
        </w:tc>
      </w:tr>
      <w:tr w:rsidR="00E5583F" w:rsidRPr="00422A41" w14:paraId="1D2A1261"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22671666" w14:textId="77777777" w:rsidR="00E5583F" w:rsidRPr="00B81968" w:rsidRDefault="00E5583F" w:rsidP="005B0254">
            <w:pPr>
              <w:spacing w:after="0"/>
              <w:rPr>
                <w:rFonts w:cs="Arial"/>
                <w:sz w:val="20"/>
                <w:szCs w:val="20"/>
              </w:rPr>
            </w:pPr>
            <w:r w:rsidRPr="00B81968">
              <w:rPr>
                <w:rFonts w:cs="Arial"/>
                <w:sz w:val="20"/>
                <w:szCs w:val="20"/>
              </w:rPr>
              <w:t xml:space="preserve">Average weekly household savings </w:t>
            </w:r>
          </w:p>
        </w:tc>
        <w:tc>
          <w:tcPr>
            <w:tcW w:w="1966" w:type="dxa"/>
            <w:hideMark/>
          </w:tcPr>
          <w:p w14:paraId="67D2FCC7"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$2.60</w:t>
            </w:r>
          </w:p>
        </w:tc>
        <w:tc>
          <w:tcPr>
            <w:tcW w:w="1966" w:type="dxa"/>
          </w:tcPr>
          <w:p w14:paraId="12EFBD08" w14:textId="34C5A408" w:rsidR="00E5583F" w:rsidRPr="00422A41" w:rsidRDefault="00641AF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$1.57</w:t>
            </w:r>
          </w:p>
        </w:tc>
      </w:tr>
      <w:tr w:rsidR="00E5583F" w:rsidRPr="00422A41" w14:paraId="30156408"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hideMark/>
          </w:tcPr>
          <w:p w14:paraId="720FC656" w14:textId="77777777" w:rsidR="00E5583F" w:rsidRPr="00B81968" w:rsidRDefault="00E5583F" w:rsidP="005B0254">
            <w:pPr>
              <w:spacing w:after="0"/>
              <w:rPr>
                <w:rFonts w:cs="Arial"/>
                <w:sz w:val="20"/>
                <w:szCs w:val="20"/>
              </w:rPr>
            </w:pPr>
            <w:r w:rsidRPr="00B81968">
              <w:rPr>
                <w:rFonts w:cs="Arial"/>
                <w:sz w:val="20"/>
                <w:szCs w:val="20"/>
              </w:rPr>
              <w:t>Average weekly household costs</w:t>
            </w:r>
          </w:p>
        </w:tc>
        <w:tc>
          <w:tcPr>
            <w:tcW w:w="1966" w:type="dxa"/>
            <w:hideMark/>
          </w:tcPr>
          <w:p w14:paraId="6238CCCC" w14:textId="77777777" w:rsidR="00E5583F" w:rsidRPr="00AE50F2"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E50F2">
              <w:rPr>
                <w:rFonts w:cs="Arial"/>
                <w:color w:val="000000"/>
                <w:sz w:val="20"/>
                <w:szCs w:val="20"/>
              </w:rPr>
              <w:t>$0.57</w:t>
            </w:r>
          </w:p>
        </w:tc>
        <w:tc>
          <w:tcPr>
            <w:tcW w:w="1966" w:type="dxa"/>
          </w:tcPr>
          <w:p w14:paraId="5DC02367" w14:textId="384B9DE5" w:rsidR="00E5583F" w:rsidRPr="00AE50F2"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Pr>
                <w:rFonts w:cs="Arial"/>
                <w:color w:val="000000"/>
                <w:sz w:val="20"/>
                <w:szCs w:val="20"/>
              </w:rPr>
              <w:t>$0.55</w:t>
            </w:r>
          </w:p>
        </w:tc>
      </w:tr>
      <w:tr w:rsidR="00E5583F" w:rsidRPr="00422A41" w14:paraId="0F25D5B6" w14:textId="77777777" w:rsidTr="00E5583F">
        <w:trPr>
          <w:trHeight w:val="397"/>
        </w:trPr>
        <w:tc>
          <w:tcPr>
            <w:cnfStyle w:val="001000000000" w:firstRow="0" w:lastRow="0" w:firstColumn="1" w:lastColumn="0" w:oddVBand="0" w:evenVBand="0" w:oddHBand="0" w:evenHBand="0" w:firstRowFirstColumn="0" w:firstRowLastColumn="0" w:lastRowFirstColumn="0" w:lastRowLastColumn="0"/>
            <w:tcW w:w="3118" w:type="dxa"/>
          </w:tcPr>
          <w:p w14:paraId="3FAB6025" w14:textId="374827CC" w:rsidR="00E5583F" w:rsidRPr="00B81968" w:rsidRDefault="00E5583F" w:rsidP="008A61ED">
            <w:pPr>
              <w:spacing w:after="0"/>
              <w:rPr>
                <w:rFonts w:cs="Arial"/>
                <w:sz w:val="20"/>
                <w:szCs w:val="20"/>
              </w:rPr>
            </w:pPr>
            <w:r w:rsidRPr="00B81968">
              <w:rPr>
                <w:rFonts w:cs="Arial"/>
                <w:sz w:val="20"/>
                <w:szCs w:val="20"/>
              </w:rPr>
              <w:lastRenderedPageBreak/>
              <w:t xml:space="preserve">Average </w:t>
            </w:r>
            <w:r>
              <w:rPr>
                <w:rFonts w:cs="Arial"/>
                <w:sz w:val="20"/>
                <w:szCs w:val="20"/>
              </w:rPr>
              <w:t>additional cost</w:t>
            </w:r>
            <w:r w:rsidRPr="00B81968">
              <w:rPr>
                <w:rFonts w:cs="Arial"/>
                <w:sz w:val="20"/>
                <w:szCs w:val="20"/>
              </w:rPr>
              <w:t xml:space="preserve"> of electricity for ACT businesses and government agencies</w:t>
            </w:r>
          </w:p>
        </w:tc>
        <w:tc>
          <w:tcPr>
            <w:tcW w:w="1966" w:type="dxa"/>
          </w:tcPr>
          <w:p w14:paraId="2C945218" w14:textId="77777777" w:rsidR="00E5583F" w:rsidRPr="00422A41"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422A41">
              <w:rPr>
                <w:rFonts w:cs="Arial"/>
                <w:color w:val="000000"/>
                <w:sz w:val="20"/>
                <w:szCs w:val="20"/>
              </w:rPr>
              <w:t>1.4%</w:t>
            </w:r>
          </w:p>
        </w:tc>
        <w:tc>
          <w:tcPr>
            <w:tcW w:w="1966" w:type="dxa"/>
          </w:tcPr>
          <w:p w14:paraId="3D18F0CB" w14:textId="0AE4E401" w:rsidR="00E5583F" w:rsidRDefault="00E5583F" w:rsidP="005B0254">
            <w:pPr>
              <w:spacing w:after="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1.4%</w:t>
            </w:r>
          </w:p>
        </w:tc>
      </w:tr>
      <w:tr w:rsidR="00E5583F" w:rsidRPr="000536E0" w14:paraId="431A9FEE" w14:textId="77777777" w:rsidTr="00E5583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18" w:type="dxa"/>
          </w:tcPr>
          <w:p w14:paraId="5EF3C8F1" w14:textId="7447E597" w:rsidR="00E5583F" w:rsidRPr="000536E0" w:rsidRDefault="00E5583F" w:rsidP="005B0254">
            <w:pPr>
              <w:spacing w:after="0"/>
              <w:rPr>
                <w:rFonts w:cs="Arial"/>
                <w:sz w:val="20"/>
                <w:szCs w:val="20"/>
              </w:rPr>
            </w:pPr>
            <w:r w:rsidRPr="000536E0">
              <w:rPr>
                <w:rFonts w:cs="Arial"/>
                <w:sz w:val="20"/>
                <w:szCs w:val="20"/>
              </w:rPr>
              <w:t>Annual Energy Savings Contributions (millions)</w:t>
            </w:r>
          </w:p>
        </w:tc>
        <w:tc>
          <w:tcPr>
            <w:tcW w:w="1966" w:type="dxa"/>
          </w:tcPr>
          <w:p w14:paraId="4970B186" w14:textId="50531B8A" w:rsidR="00E5583F" w:rsidRPr="000536E0"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0536E0">
              <w:rPr>
                <w:rFonts w:cs="Arial"/>
                <w:sz w:val="20"/>
                <w:szCs w:val="20"/>
              </w:rPr>
              <w:t>$2.2</w:t>
            </w:r>
          </w:p>
        </w:tc>
        <w:tc>
          <w:tcPr>
            <w:tcW w:w="1966" w:type="dxa"/>
          </w:tcPr>
          <w:p w14:paraId="564031E8" w14:textId="2677D5F5" w:rsidR="00E5583F" w:rsidRPr="000536E0" w:rsidRDefault="00E5583F" w:rsidP="005B025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0536E0">
              <w:rPr>
                <w:rFonts w:cs="Arial"/>
                <w:sz w:val="20"/>
                <w:szCs w:val="20"/>
              </w:rPr>
              <w:t>$2.6</w:t>
            </w:r>
          </w:p>
        </w:tc>
      </w:tr>
      <w:bookmarkEnd w:id="18"/>
    </w:tbl>
    <w:p w14:paraId="47DA521E" w14:textId="77777777" w:rsidR="000536E0" w:rsidRPr="000536E0" w:rsidRDefault="000536E0" w:rsidP="00CA489A"/>
    <w:p w14:paraId="34D6BD37" w14:textId="34CC3421" w:rsidR="001E6417" w:rsidRPr="000536E0" w:rsidRDefault="00F004E0" w:rsidP="00CA489A">
      <w:r w:rsidRPr="000536E0">
        <w:t xml:space="preserve">There is a noticeable decline in the NPV and the annual lifetime </w:t>
      </w:r>
      <w:r w:rsidR="004F66D8" w:rsidRPr="000536E0">
        <w:t xml:space="preserve">energy reduction between the results for the current </w:t>
      </w:r>
      <w:r w:rsidR="005358C5">
        <w:t>s</w:t>
      </w:r>
      <w:r w:rsidR="004F66D8" w:rsidRPr="000536E0">
        <w:t>cheme to 2020 and the analysis for the extension 2021-20</w:t>
      </w:r>
      <w:r w:rsidR="00B17939">
        <w:t>30</w:t>
      </w:r>
      <w:r w:rsidR="004F66D8" w:rsidRPr="000536E0">
        <w:t xml:space="preserve">. This is due to the exclusion of residential and commercial lighting activities from the modelling </w:t>
      </w:r>
      <w:r w:rsidR="00A64B55">
        <w:t xml:space="preserve">for the extension </w:t>
      </w:r>
      <w:r w:rsidR="004F66D8" w:rsidRPr="000536E0">
        <w:t xml:space="preserve">due to an </w:t>
      </w:r>
      <w:r w:rsidR="009A7737" w:rsidRPr="000536E0">
        <w:t>assumption</w:t>
      </w:r>
      <w:r w:rsidR="004F66D8" w:rsidRPr="000536E0">
        <w:t xml:space="preserve"> that these activities are likely to have reached </w:t>
      </w:r>
      <w:r w:rsidR="00C61C1C">
        <w:t xml:space="preserve">a </w:t>
      </w:r>
      <w:r w:rsidR="004F66D8" w:rsidRPr="000536E0">
        <w:t>saturation</w:t>
      </w:r>
      <w:r w:rsidR="00C61C1C">
        <w:t xml:space="preserve"> point</w:t>
      </w:r>
      <w:r w:rsidR="004F66D8" w:rsidRPr="000536E0">
        <w:t xml:space="preserve">. </w:t>
      </w:r>
      <w:r w:rsidR="009A7737" w:rsidRPr="000536E0">
        <w:t xml:space="preserve">The modelling also assumes that retailers will deliver the ceiling activity </w:t>
      </w:r>
      <w:r w:rsidR="000536E0" w:rsidRPr="000536E0">
        <w:t>to approximately 30% of eligible A</w:t>
      </w:r>
      <w:r w:rsidR="00152792">
        <w:t>CT</w:t>
      </w:r>
      <w:r w:rsidR="000536E0" w:rsidRPr="000536E0">
        <w:t xml:space="preserve"> households over a three</w:t>
      </w:r>
      <w:r w:rsidR="00501A7F">
        <w:t>-</w:t>
      </w:r>
      <w:r w:rsidR="000536E0" w:rsidRPr="000536E0">
        <w:t>year period after which the activity will cease due to reach</w:t>
      </w:r>
      <w:r w:rsidR="00C61C1C">
        <w:t>ing</w:t>
      </w:r>
      <w:r w:rsidR="000536E0" w:rsidRPr="000536E0">
        <w:t xml:space="preserve"> a saturation point.</w:t>
      </w:r>
    </w:p>
    <w:p w14:paraId="6B447239" w14:textId="324E001A" w:rsidR="009A7737" w:rsidRPr="00E66495" w:rsidRDefault="009A7737" w:rsidP="00CA489A">
      <w:r w:rsidRPr="000536E0">
        <w:t>The modelling does not account for new EEIS activities, which are yet to be developed</w:t>
      </w:r>
      <w:r w:rsidR="000536E0" w:rsidRPr="000536E0">
        <w:t xml:space="preserve"> and added to the EEIS Activity Determination</w:t>
      </w:r>
      <w:r w:rsidRPr="000536E0">
        <w:t xml:space="preserve">. </w:t>
      </w:r>
      <w:r w:rsidR="00C61C1C">
        <w:t>The ACT Government recognises the need to continue to develop new cost</w:t>
      </w:r>
      <w:r w:rsidR="00501A7F">
        <w:t>-</w:t>
      </w:r>
      <w:r w:rsidR="00C61C1C">
        <w:t>effective energy efficiency activities to support the EEIS to continue to deliver the objectives of the Act.</w:t>
      </w:r>
    </w:p>
    <w:p w14:paraId="7698A816" w14:textId="2794ADC4" w:rsidR="00552644" w:rsidRPr="00332A01" w:rsidRDefault="00552644" w:rsidP="00552644">
      <w:pPr>
        <w:pStyle w:val="Heading1"/>
        <w:ind w:left="426" w:hanging="500"/>
      </w:pPr>
      <w:bookmarkStart w:id="19" w:name="_Toc41575594"/>
      <w:r>
        <w:rPr>
          <w:rStyle w:val="Heading1Char"/>
          <w:b/>
          <w:bCs/>
        </w:rPr>
        <w:t xml:space="preserve">Strategy for </w:t>
      </w:r>
      <w:r w:rsidR="00F5413A">
        <w:rPr>
          <w:rStyle w:val="Heading1Char"/>
          <w:b/>
          <w:bCs/>
        </w:rPr>
        <w:t xml:space="preserve">further </w:t>
      </w:r>
      <w:r>
        <w:rPr>
          <w:rStyle w:val="Heading1Char"/>
          <w:b/>
          <w:bCs/>
        </w:rPr>
        <w:t>implementation</w:t>
      </w:r>
      <w:r w:rsidR="001E6417">
        <w:rPr>
          <w:rStyle w:val="Heading1Char"/>
          <w:b/>
          <w:bCs/>
        </w:rPr>
        <w:t>,</w:t>
      </w:r>
      <w:r>
        <w:rPr>
          <w:rStyle w:val="Heading1Char"/>
          <w:b/>
          <w:bCs/>
        </w:rPr>
        <w:t xml:space="preserve"> review </w:t>
      </w:r>
      <w:r w:rsidR="001E6417">
        <w:rPr>
          <w:rStyle w:val="Heading1Char"/>
          <w:b/>
          <w:bCs/>
        </w:rPr>
        <w:t>and consultation</w:t>
      </w:r>
      <w:bookmarkEnd w:id="19"/>
    </w:p>
    <w:p w14:paraId="05E221B7" w14:textId="058CF1D5" w:rsidR="001E6417" w:rsidRDefault="001E6417" w:rsidP="00CA489A">
      <w:r>
        <w:t xml:space="preserve">The regulatory reforms presented here will be achieved through a continuation of current EEIS implementation processes. As far as NERL retailers are concerned the only adjustment is a simpler calculation to determine an annual Retailer Energy Savings Obligation, since it will no longer need to convert electricity sales to a corresponding measure of greenhouse gas emissions. The work of adjusting activity abatement values to energy savings values will be completed by the </w:t>
      </w:r>
      <w:r w:rsidR="00F51F2F">
        <w:t>ACT G</w:t>
      </w:r>
      <w:r>
        <w:t xml:space="preserve">overnment </w:t>
      </w:r>
      <w:r w:rsidR="00F51F2F">
        <w:t>and an updated Activity Determination</w:t>
      </w:r>
      <w:r w:rsidR="00C61C1C">
        <w:t xml:space="preserve"> </w:t>
      </w:r>
      <w:r w:rsidR="00F51F2F">
        <w:t xml:space="preserve">will </w:t>
      </w:r>
      <w:r w:rsidR="00B44E5E">
        <w:t>b</w:t>
      </w:r>
      <w:r w:rsidR="00F51F2F">
        <w:t>e notified.</w:t>
      </w:r>
    </w:p>
    <w:p w14:paraId="65147795" w14:textId="219FD33A" w:rsidR="001E6417" w:rsidRDefault="002A04F1" w:rsidP="00CA489A">
      <w:r>
        <w:t xml:space="preserve">The </w:t>
      </w:r>
      <w:r w:rsidR="001E6417">
        <w:t>Act allows t</w:t>
      </w:r>
      <w:r>
        <w:t xml:space="preserve">he Energy Saving Target and Energy Saving Contribution </w:t>
      </w:r>
      <w:r w:rsidR="001E6417">
        <w:t xml:space="preserve">to be reviewed and re-set by the Minister throughout the life of the </w:t>
      </w:r>
      <w:r w:rsidR="00E43F4F">
        <w:t>S</w:t>
      </w:r>
      <w:r w:rsidR="001E6417">
        <w:t xml:space="preserve">cheme. It is important to set key scheme metrics with a long lead time to provide business certainty, which is why the Act requires at least 6 months for increasing targets. </w:t>
      </w:r>
    </w:p>
    <w:p w14:paraId="344D105D" w14:textId="69141670" w:rsidR="001E6417" w:rsidRDefault="001E6417" w:rsidP="00CA489A">
      <w:r>
        <w:t>Annual reviews of the PHT should be continued at least until 2022, which will be a year after the completion of the current initiative delivering EEIS activities in ACT public houses.</w:t>
      </w:r>
    </w:p>
    <w:p w14:paraId="4AB772B5" w14:textId="4E3AA32E" w:rsidR="001E6417" w:rsidRDefault="001E6417" w:rsidP="00CA489A">
      <w:r>
        <w:t xml:space="preserve">Beyond this, the </w:t>
      </w:r>
      <w:r w:rsidR="00B44E5E">
        <w:t>ACT G</w:t>
      </w:r>
      <w:r>
        <w:t>overnment should continue reviewing the ActewAGL costs</w:t>
      </w:r>
      <w:r w:rsidR="00306E51">
        <w:t>,</w:t>
      </w:r>
      <w:r>
        <w:t xml:space="preserve"> the pass-through costs</w:t>
      </w:r>
      <w:r w:rsidR="00306E51">
        <w:t xml:space="preserve"> and the abatement outcomes</w:t>
      </w:r>
      <w:r w:rsidR="00501A7F">
        <w:t>,</w:t>
      </w:r>
      <w:r>
        <w:t xml:space="preserve"> and adjust </w:t>
      </w:r>
      <w:r w:rsidR="002A04F1">
        <w:t xml:space="preserve">scheme metrics </w:t>
      </w:r>
      <w:r>
        <w:t xml:space="preserve">if needed. </w:t>
      </w:r>
    </w:p>
    <w:p w14:paraId="2DC7A8A6" w14:textId="77777777" w:rsidR="00552644" w:rsidRPr="00911C78" w:rsidRDefault="00ED43B7" w:rsidP="001D5C73">
      <w:pPr>
        <w:pStyle w:val="Heading1"/>
        <w:rPr>
          <w:rStyle w:val="Heading1Char"/>
          <w:b/>
          <w:bCs/>
        </w:rPr>
      </w:pPr>
      <w:bookmarkStart w:id="20" w:name="_Toc41575595"/>
      <w:r>
        <w:rPr>
          <w:rStyle w:val="Heading1Char"/>
          <w:b/>
        </w:rPr>
        <w:t>Comp</w:t>
      </w:r>
      <w:r w:rsidR="003D387C">
        <w:rPr>
          <w:rStyle w:val="Heading1Char"/>
          <w:b/>
        </w:rPr>
        <w:t>l</w:t>
      </w:r>
      <w:r>
        <w:rPr>
          <w:rStyle w:val="Heading1Char"/>
          <w:b/>
        </w:rPr>
        <w:t>ementarity</w:t>
      </w:r>
      <w:bookmarkEnd w:id="20"/>
    </w:p>
    <w:p w14:paraId="5F9DAD2A" w14:textId="586402EE" w:rsidR="00552644" w:rsidRDefault="00552644" w:rsidP="00552644">
      <w:pPr>
        <w:spacing w:before="240"/>
      </w:pPr>
      <w:r w:rsidRPr="00B82854">
        <w:t xml:space="preserve">The </w:t>
      </w:r>
      <w:r w:rsidR="0026275A">
        <w:t>determinations</w:t>
      </w:r>
      <w:r>
        <w:t xml:space="preserve"> </w:t>
      </w:r>
      <w:r w:rsidR="0026275A">
        <w:t>are</w:t>
      </w:r>
      <w:r w:rsidRPr="00B82854">
        <w:t xml:space="preserve"> not inconsistent with the policy objectives of another </w:t>
      </w:r>
      <w:r>
        <w:t>T</w:t>
      </w:r>
      <w:r w:rsidRPr="00B82854">
        <w:t xml:space="preserve">erritory law. </w:t>
      </w:r>
    </w:p>
    <w:p w14:paraId="3F08FB53" w14:textId="77777777" w:rsidR="00552644" w:rsidRPr="00911C78" w:rsidRDefault="00552644" w:rsidP="00552644">
      <w:pPr>
        <w:pStyle w:val="Heading1"/>
        <w:rPr>
          <w:rStyle w:val="Heading1Char"/>
          <w:b/>
          <w:bCs/>
        </w:rPr>
      </w:pPr>
      <w:bookmarkStart w:id="21" w:name="_Toc41575596"/>
      <w:r w:rsidRPr="00911C78">
        <w:rPr>
          <w:rStyle w:val="Heading1Char"/>
          <w:b/>
        </w:rPr>
        <w:lastRenderedPageBreak/>
        <w:t>Human Rights</w:t>
      </w:r>
      <w:bookmarkEnd w:id="21"/>
    </w:p>
    <w:p w14:paraId="569E7B8A" w14:textId="3EF5E5B5" w:rsidR="00552644" w:rsidRPr="009C20C6" w:rsidRDefault="00552644" w:rsidP="00552644">
      <w:pPr>
        <w:spacing w:before="240"/>
      </w:pPr>
      <w:r w:rsidRPr="009C20C6">
        <w:t>The determination</w:t>
      </w:r>
      <w:r w:rsidR="00C50F6B">
        <w:t>s</w:t>
      </w:r>
      <w:r w:rsidRPr="009C20C6">
        <w:t xml:space="preserve"> do not </w:t>
      </w:r>
      <w:r w:rsidR="00D266CC">
        <w:t xml:space="preserve">engage </w:t>
      </w:r>
      <w:r w:rsidRPr="009C20C6">
        <w:t xml:space="preserve">any human right set out in the </w:t>
      </w:r>
      <w:r w:rsidRPr="009C20C6">
        <w:rPr>
          <w:i/>
        </w:rPr>
        <w:t>Human Rights Act 2004</w:t>
      </w:r>
      <w:r w:rsidRPr="009C20C6">
        <w:t xml:space="preserve">.   </w:t>
      </w:r>
    </w:p>
    <w:p w14:paraId="18F6358D" w14:textId="77777777" w:rsidR="00552644" w:rsidRPr="00911C78" w:rsidRDefault="00552644" w:rsidP="00552644">
      <w:pPr>
        <w:pStyle w:val="Heading1"/>
        <w:rPr>
          <w:rStyle w:val="Heading1Char"/>
          <w:b/>
          <w:bCs/>
        </w:rPr>
      </w:pPr>
      <w:bookmarkStart w:id="22" w:name="_Toc41575597"/>
      <w:r w:rsidRPr="00911C78">
        <w:rPr>
          <w:rStyle w:val="Heading1Char"/>
          <w:b/>
        </w:rPr>
        <w:t>Assessment of the consistency of the proposed law with Scrutiny of Bills Committee principles</w:t>
      </w:r>
      <w:bookmarkEnd w:id="22"/>
    </w:p>
    <w:p w14:paraId="38712296" w14:textId="77777777" w:rsidR="00552644" w:rsidRPr="001D5C24" w:rsidRDefault="00552644" w:rsidP="00552644">
      <w:pPr>
        <w:spacing w:before="240"/>
      </w:pPr>
      <w:r w:rsidRPr="00854977">
        <w:t>The terms of reference of the Standing Committee on Justice and Community Safety (Legislative Scrutiny Role) require it to consider whether (among other things):</w:t>
      </w:r>
    </w:p>
    <w:p w14:paraId="6748AF74" w14:textId="77777777" w:rsidR="00552644" w:rsidRPr="001D5C24" w:rsidRDefault="00552644" w:rsidP="00552644">
      <w:pPr>
        <w:pStyle w:val="ListParagraph"/>
        <w:numPr>
          <w:ilvl w:val="0"/>
          <w:numId w:val="1"/>
        </w:numPr>
        <w:ind w:left="567"/>
      </w:pPr>
      <w:r w:rsidRPr="001D5C24">
        <w:t>any instrument of a legislative nature made under an Act which is subject to disallowance and/or disapproval by the Assembly (including a regulation, rule or by-law):</w:t>
      </w:r>
    </w:p>
    <w:p w14:paraId="6A7FE29C" w14:textId="77777777" w:rsidR="00552644" w:rsidRPr="001D5C24" w:rsidRDefault="00552644" w:rsidP="00552644">
      <w:pPr>
        <w:pStyle w:val="ListParagraph"/>
        <w:numPr>
          <w:ilvl w:val="0"/>
          <w:numId w:val="2"/>
        </w:numPr>
        <w:ind w:left="1276"/>
      </w:pPr>
      <w:r w:rsidRPr="001D5C24">
        <w:t>is in accord with the general objects of</w:t>
      </w:r>
      <w:r>
        <w:t xml:space="preserve"> the Act under which it is made, </w:t>
      </w:r>
    </w:p>
    <w:p w14:paraId="472562F9" w14:textId="77777777" w:rsidR="00552644" w:rsidRPr="001D5C24" w:rsidRDefault="00552644" w:rsidP="00552644">
      <w:pPr>
        <w:pStyle w:val="ListParagraph"/>
        <w:numPr>
          <w:ilvl w:val="0"/>
          <w:numId w:val="2"/>
        </w:numPr>
        <w:ind w:left="1276"/>
      </w:pPr>
      <w:r w:rsidRPr="001D5C24">
        <w:t>unduly trespasses on right</w:t>
      </w:r>
      <w:r>
        <w:t xml:space="preserve">s previously established by law, </w:t>
      </w:r>
    </w:p>
    <w:p w14:paraId="0052BE4E" w14:textId="77777777" w:rsidR="00552644" w:rsidRPr="001D5C24" w:rsidRDefault="00552644" w:rsidP="00552644">
      <w:pPr>
        <w:pStyle w:val="ListParagraph"/>
        <w:numPr>
          <w:ilvl w:val="0"/>
          <w:numId w:val="2"/>
        </w:numPr>
        <w:ind w:left="1276"/>
      </w:pPr>
      <w:r w:rsidRPr="001D5C24">
        <w:t xml:space="preserve">makes rights, liberties and/or obligations unduly dependent upon non </w:t>
      </w:r>
      <w:r>
        <w:t xml:space="preserve">reviewable decisions, </w:t>
      </w:r>
      <w:r w:rsidRPr="001D5C24">
        <w:t>or</w:t>
      </w:r>
    </w:p>
    <w:p w14:paraId="015B73A2" w14:textId="310DB24E" w:rsidR="00552644" w:rsidRPr="001D5C24" w:rsidRDefault="00552644" w:rsidP="00552644">
      <w:pPr>
        <w:pStyle w:val="ListParagraph"/>
        <w:numPr>
          <w:ilvl w:val="0"/>
          <w:numId w:val="2"/>
        </w:numPr>
        <w:ind w:left="1276"/>
      </w:pPr>
      <w:r w:rsidRPr="001D5C24">
        <w:t>contains matter</w:t>
      </w:r>
      <w:r w:rsidR="00501A7F">
        <w:t>s</w:t>
      </w:r>
      <w:r w:rsidRPr="001D5C24">
        <w:t xml:space="preserve"> which in the opinion of the Committee should properly be dealt with in an </w:t>
      </w:r>
      <w:r>
        <w:t>Act of the Legislative Assembly.</w:t>
      </w:r>
    </w:p>
    <w:p w14:paraId="2C6FB14C" w14:textId="77777777" w:rsidR="00552644" w:rsidRDefault="00552644" w:rsidP="00552644">
      <w:pPr>
        <w:keepNext/>
        <w:spacing w:before="240" w:after="0"/>
      </w:pPr>
      <w:r>
        <w:t>The position in relation to each term of reference is as follows.</w:t>
      </w:r>
    </w:p>
    <w:p w14:paraId="53F16F3C" w14:textId="77777777" w:rsidR="00552644" w:rsidRPr="00421242" w:rsidRDefault="00552644" w:rsidP="00E248C3">
      <w:pPr>
        <w:pStyle w:val="ListParagraph"/>
        <w:numPr>
          <w:ilvl w:val="0"/>
          <w:numId w:val="5"/>
        </w:numPr>
        <w:ind w:left="1276"/>
        <w:rPr>
          <w:i/>
        </w:rPr>
      </w:pPr>
      <w:r w:rsidRPr="00421242">
        <w:rPr>
          <w:i/>
        </w:rPr>
        <w:t>is in accord with the general objects of the Act under which it is made</w:t>
      </w:r>
    </w:p>
    <w:p w14:paraId="70453FEA" w14:textId="396A92FA" w:rsidR="00552644" w:rsidRPr="001D5C24" w:rsidRDefault="00552644" w:rsidP="00552644">
      <w:pPr>
        <w:spacing w:after="0"/>
        <w:ind w:left="1276"/>
      </w:pPr>
      <w:r w:rsidRPr="001D5C24">
        <w:t xml:space="preserve">As noted above, the </w:t>
      </w:r>
      <w:r w:rsidR="002B0A80">
        <w:t>proposed settings</w:t>
      </w:r>
      <w:r w:rsidRPr="001D5C24">
        <w:t xml:space="preserve"> </w:t>
      </w:r>
      <w:r w:rsidR="002B0A80">
        <w:t>are</w:t>
      </w:r>
      <w:r w:rsidRPr="001D5C24">
        <w:t xml:space="preserve"> in accordance with the general objects of the Act. </w:t>
      </w:r>
    </w:p>
    <w:p w14:paraId="2BB1DC29" w14:textId="77777777" w:rsidR="00552644" w:rsidRDefault="00552644" w:rsidP="00E248C3">
      <w:pPr>
        <w:pStyle w:val="ListParagraph"/>
        <w:numPr>
          <w:ilvl w:val="0"/>
          <w:numId w:val="5"/>
        </w:numPr>
        <w:ind w:left="1276"/>
        <w:rPr>
          <w:i/>
        </w:rPr>
      </w:pPr>
      <w:r w:rsidRPr="00421242">
        <w:rPr>
          <w:i/>
        </w:rPr>
        <w:t>unduly trespasses on rights previously established by law</w:t>
      </w:r>
    </w:p>
    <w:p w14:paraId="6157D6F3" w14:textId="2A2A88A9" w:rsidR="00552644" w:rsidRPr="00421242" w:rsidRDefault="00552644" w:rsidP="00552644">
      <w:pPr>
        <w:spacing w:after="0"/>
        <w:ind w:left="1276"/>
      </w:pPr>
      <w:r w:rsidRPr="001D5C24">
        <w:t xml:space="preserve">The </w:t>
      </w:r>
      <w:r w:rsidR="002B0A80">
        <w:t>proposed settings do</w:t>
      </w:r>
      <w:r w:rsidRPr="001D5C24">
        <w:t xml:space="preserve"> not unduly trespass on rights previously established under law.</w:t>
      </w:r>
    </w:p>
    <w:p w14:paraId="01DE221D" w14:textId="77777777" w:rsidR="00552644" w:rsidRDefault="00552644" w:rsidP="00E248C3">
      <w:pPr>
        <w:pStyle w:val="ListParagraph"/>
        <w:numPr>
          <w:ilvl w:val="0"/>
          <w:numId w:val="5"/>
        </w:numPr>
        <w:ind w:left="1276"/>
        <w:rPr>
          <w:i/>
        </w:rPr>
      </w:pPr>
      <w:r w:rsidRPr="00421242">
        <w:rPr>
          <w:i/>
        </w:rPr>
        <w:t>makes rights, liberties and/or obligations unduly dependent upon non reviewable decisions</w:t>
      </w:r>
    </w:p>
    <w:p w14:paraId="41CF7359" w14:textId="404C1EEF" w:rsidR="00552644" w:rsidRPr="00421242" w:rsidRDefault="00552644" w:rsidP="00552644">
      <w:pPr>
        <w:spacing w:after="0"/>
        <w:ind w:left="1276"/>
      </w:pPr>
      <w:r w:rsidRPr="001D5C24">
        <w:t xml:space="preserve">The </w:t>
      </w:r>
      <w:r w:rsidR="002B0A80">
        <w:t xml:space="preserve">proposed settings do </w:t>
      </w:r>
      <w:r w:rsidRPr="001D5C24">
        <w:t xml:space="preserve">not </w:t>
      </w:r>
      <w:r>
        <w:t>make</w:t>
      </w:r>
      <w:r w:rsidRPr="00421242">
        <w:t xml:space="preserve"> rights, liberties and/or obligations unduly dependent upon non reviewable decisions</w:t>
      </w:r>
      <w:r w:rsidRPr="001D5C24">
        <w:t>.</w:t>
      </w:r>
    </w:p>
    <w:p w14:paraId="4E88FBBE" w14:textId="77777777" w:rsidR="00552644" w:rsidRDefault="00552644" w:rsidP="00E248C3">
      <w:pPr>
        <w:pStyle w:val="ListParagraph"/>
        <w:numPr>
          <w:ilvl w:val="0"/>
          <w:numId w:val="5"/>
        </w:numPr>
        <w:ind w:left="1276"/>
        <w:rPr>
          <w:i/>
        </w:rPr>
      </w:pPr>
      <w:r w:rsidRPr="008B3558">
        <w:rPr>
          <w:i/>
        </w:rPr>
        <w:t>contains matter which in the opinion of the Committee should properly be dealt with in an Act of the Legislative Assembly</w:t>
      </w:r>
    </w:p>
    <w:p w14:paraId="782E93C4" w14:textId="7F5024ED" w:rsidR="00552644" w:rsidRDefault="002B0A80" w:rsidP="00552644">
      <w:pPr>
        <w:spacing w:after="0"/>
        <w:ind w:left="1276"/>
      </w:pPr>
      <w:r>
        <w:t>The proposed settings do not require further amendments to an Act</w:t>
      </w:r>
      <w:r w:rsidR="00D266CC">
        <w:t xml:space="preserve"> and the subject matter is appropriate for disallowable instruments</w:t>
      </w:r>
      <w:r>
        <w:t>.</w:t>
      </w:r>
    </w:p>
    <w:p w14:paraId="2DE7CE0D" w14:textId="77777777" w:rsidR="00552644" w:rsidRDefault="00552644" w:rsidP="00552644">
      <w:pPr>
        <w:pStyle w:val="Heading1"/>
        <w:rPr>
          <w:rStyle w:val="Heading1Char"/>
          <w:b/>
        </w:rPr>
      </w:pPr>
      <w:bookmarkStart w:id="23" w:name="_Toc41575598"/>
      <w:r w:rsidRPr="00911C78">
        <w:rPr>
          <w:rStyle w:val="Heading1Char"/>
          <w:b/>
        </w:rPr>
        <w:t>Conclusion</w:t>
      </w:r>
      <w:bookmarkEnd w:id="23"/>
    </w:p>
    <w:p w14:paraId="616C35E1" w14:textId="77777777" w:rsidR="008762C0" w:rsidRDefault="001E6417" w:rsidP="00CA489A">
      <w:pPr>
        <w:rPr>
          <w:rFonts w:eastAsiaTheme="majorEastAsia"/>
        </w:rPr>
      </w:pPr>
      <w:r>
        <w:rPr>
          <w:rFonts w:eastAsiaTheme="majorEastAsia"/>
        </w:rPr>
        <w:t>This RIS has presented information to support</w:t>
      </w:r>
      <w:r w:rsidR="008762C0">
        <w:rPr>
          <w:rFonts w:eastAsiaTheme="majorEastAsia"/>
        </w:rPr>
        <w:t>:</w:t>
      </w:r>
    </w:p>
    <w:p w14:paraId="24CD02B7" w14:textId="0DE78BCA" w:rsidR="008762C0" w:rsidRPr="008762C0" w:rsidRDefault="008762C0" w:rsidP="008762C0">
      <w:pPr>
        <w:pStyle w:val="ListParagraph"/>
        <w:numPr>
          <w:ilvl w:val="0"/>
          <w:numId w:val="54"/>
        </w:numPr>
        <w:rPr>
          <w:rFonts w:eastAsiaTheme="majorEastAsia"/>
        </w:rPr>
      </w:pPr>
      <w:r w:rsidRPr="008762C0">
        <w:t>an Energy Savings Target of 8.6% for the 2021 compliance period,</w:t>
      </w:r>
    </w:p>
    <w:p w14:paraId="17B81D32" w14:textId="06EA6CB3" w:rsidR="008762C0" w:rsidRPr="008762C0" w:rsidRDefault="008762C0" w:rsidP="008762C0">
      <w:pPr>
        <w:pStyle w:val="ListParagraph"/>
        <w:numPr>
          <w:ilvl w:val="0"/>
          <w:numId w:val="54"/>
        </w:numPr>
        <w:rPr>
          <w:rFonts w:eastAsiaTheme="majorEastAsia"/>
        </w:rPr>
      </w:pPr>
      <w:r w:rsidRPr="008762C0">
        <w:t>an Energy Savings contribution of $46.50/MWh for the 2021</w:t>
      </w:r>
      <w:r w:rsidR="00B17939">
        <w:t xml:space="preserve"> </w:t>
      </w:r>
      <w:r w:rsidRPr="008762C0">
        <w:t>compliance period; and</w:t>
      </w:r>
    </w:p>
    <w:p w14:paraId="0DDB0947" w14:textId="554EC4AF" w:rsidR="001E6417" w:rsidRPr="008762C0" w:rsidRDefault="008762C0" w:rsidP="008762C0">
      <w:pPr>
        <w:pStyle w:val="ListParagraph"/>
        <w:numPr>
          <w:ilvl w:val="0"/>
          <w:numId w:val="54"/>
        </w:numPr>
        <w:rPr>
          <w:rFonts w:eastAsiaTheme="majorEastAsia"/>
        </w:rPr>
      </w:pPr>
      <w:r w:rsidRPr="008762C0">
        <w:lastRenderedPageBreak/>
        <w:t xml:space="preserve">a Shortfall </w:t>
      </w:r>
      <w:r w:rsidR="007D2BAE">
        <w:t>P</w:t>
      </w:r>
      <w:r w:rsidRPr="008762C0">
        <w:t>enalty of $120/MWh for the 2021</w:t>
      </w:r>
      <w:r w:rsidR="00B17939">
        <w:t xml:space="preserve"> </w:t>
      </w:r>
      <w:r w:rsidRPr="008762C0">
        <w:t>compliance period</w:t>
      </w:r>
      <w:r w:rsidR="001E6417" w:rsidRPr="008762C0">
        <w:rPr>
          <w:rFonts w:eastAsiaTheme="majorEastAsia"/>
        </w:rPr>
        <w:t xml:space="preserve">. </w:t>
      </w:r>
    </w:p>
    <w:p w14:paraId="1ADBB1EB" w14:textId="77777777" w:rsidR="008762C0" w:rsidRDefault="008762C0" w:rsidP="00CA489A">
      <w:pPr>
        <w:rPr>
          <w:rFonts w:eastAsiaTheme="majorEastAsia"/>
        </w:rPr>
      </w:pPr>
    </w:p>
    <w:p w14:paraId="155B01AB" w14:textId="49DC5354" w:rsidR="00E31BD5" w:rsidRDefault="00FA7DDE" w:rsidP="00CA489A">
      <w:pPr>
        <w:rPr>
          <w:rFonts w:eastAsiaTheme="majorEastAsia"/>
        </w:rPr>
      </w:pPr>
      <w:r>
        <w:rPr>
          <w:rFonts w:eastAsiaTheme="majorEastAsia"/>
        </w:rPr>
        <w:t xml:space="preserve">In light of the </w:t>
      </w:r>
      <w:r w:rsidR="006E208F" w:rsidRPr="008E4F1A">
        <w:rPr>
          <w:rFonts w:ascii="Calibri" w:hAnsi="Calibri"/>
          <w:i/>
        </w:rPr>
        <w:t>ACT Climate Change Strategy 2019-2025</w:t>
      </w:r>
      <w:r>
        <w:rPr>
          <w:rFonts w:eastAsiaTheme="majorEastAsia"/>
        </w:rPr>
        <w:t>, the RIS</w:t>
      </w:r>
      <w:r w:rsidR="00AA6E98">
        <w:rPr>
          <w:rFonts w:eastAsiaTheme="majorEastAsia"/>
        </w:rPr>
        <w:t xml:space="preserve"> </w:t>
      </w:r>
      <w:r>
        <w:rPr>
          <w:rFonts w:eastAsiaTheme="majorEastAsia"/>
        </w:rPr>
        <w:t xml:space="preserve">presents </w:t>
      </w:r>
      <w:r w:rsidR="00AA6E98">
        <w:rPr>
          <w:rFonts w:eastAsiaTheme="majorEastAsia"/>
        </w:rPr>
        <w:t xml:space="preserve">comparative options for considering the level of ambition of the </w:t>
      </w:r>
      <w:r w:rsidR="00E43F4F">
        <w:rPr>
          <w:rFonts w:eastAsiaTheme="majorEastAsia"/>
        </w:rPr>
        <w:t>S</w:t>
      </w:r>
      <w:r w:rsidR="00AA6E98">
        <w:rPr>
          <w:rFonts w:eastAsiaTheme="majorEastAsia"/>
        </w:rPr>
        <w:t>cheme extension</w:t>
      </w:r>
      <w:r w:rsidR="0023111B">
        <w:rPr>
          <w:rFonts w:eastAsiaTheme="majorEastAsia"/>
        </w:rPr>
        <w:t>. This level of ambition</w:t>
      </w:r>
      <w:r w:rsidR="00E31BD5">
        <w:rPr>
          <w:rFonts w:eastAsiaTheme="majorEastAsia"/>
        </w:rPr>
        <w:t>,</w:t>
      </w:r>
      <w:r w:rsidR="0023111B">
        <w:rPr>
          <w:rFonts w:eastAsiaTheme="majorEastAsia"/>
        </w:rPr>
        <w:t xml:space="preserve"> which is set via the Energy Savings Target</w:t>
      </w:r>
      <w:r w:rsidR="00E31BD5">
        <w:rPr>
          <w:rFonts w:eastAsiaTheme="majorEastAsia"/>
        </w:rPr>
        <w:t xml:space="preserve">, directly </w:t>
      </w:r>
      <w:r w:rsidR="00AA6E98">
        <w:rPr>
          <w:rFonts w:eastAsiaTheme="majorEastAsia"/>
        </w:rPr>
        <w:t>effect</w:t>
      </w:r>
      <w:r w:rsidR="00E31BD5">
        <w:rPr>
          <w:rFonts w:eastAsiaTheme="majorEastAsia"/>
        </w:rPr>
        <w:t>s</w:t>
      </w:r>
      <w:r w:rsidR="00AA6E98">
        <w:rPr>
          <w:rFonts w:eastAsiaTheme="majorEastAsia"/>
        </w:rPr>
        <w:t xml:space="preserve"> emission, energy and bill savings</w:t>
      </w:r>
      <w:r>
        <w:rPr>
          <w:rFonts w:eastAsiaTheme="majorEastAsia"/>
        </w:rPr>
        <w:t>.</w:t>
      </w:r>
    </w:p>
    <w:p w14:paraId="065DDD63" w14:textId="3E0C05E8" w:rsidR="00306E51" w:rsidRDefault="00C360AF" w:rsidP="00CA489A">
      <w:pPr>
        <w:rPr>
          <w:rFonts w:eastAsiaTheme="majorEastAsia"/>
        </w:rPr>
      </w:pPr>
      <w:r>
        <w:t xml:space="preserve">Modelling results for the 2021-2030 </w:t>
      </w:r>
      <w:r w:rsidR="005358C5">
        <w:t xml:space="preserve">EEIS </w:t>
      </w:r>
      <w:r>
        <w:t xml:space="preserve">extension suggest an Energy Savings Target of 8.6%, which is the same level as the current </w:t>
      </w:r>
      <w:r w:rsidR="005358C5">
        <w:t>s</w:t>
      </w:r>
      <w:r>
        <w:t>cheme. This is a</w:t>
      </w:r>
      <w:r w:rsidR="00AA6E98">
        <w:rPr>
          <w:rFonts w:eastAsiaTheme="majorEastAsia"/>
        </w:rPr>
        <w:t xml:space="preserve"> conservative and low risk </w:t>
      </w:r>
      <w:r w:rsidR="00E31BD5">
        <w:rPr>
          <w:rFonts w:eastAsiaTheme="majorEastAsia"/>
        </w:rPr>
        <w:t>path</w:t>
      </w:r>
      <w:r w:rsidR="00AA6E98">
        <w:rPr>
          <w:rFonts w:eastAsiaTheme="majorEastAsia"/>
        </w:rPr>
        <w:t xml:space="preserve"> </w:t>
      </w:r>
      <w:r>
        <w:rPr>
          <w:rFonts w:eastAsiaTheme="majorEastAsia"/>
        </w:rPr>
        <w:t>compared to i</w:t>
      </w:r>
      <w:r w:rsidR="00E31BD5">
        <w:rPr>
          <w:rFonts w:eastAsiaTheme="majorEastAsia"/>
        </w:rPr>
        <w:t xml:space="preserve">ncreasing the level of ambition </w:t>
      </w:r>
      <w:r>
        <w:rPr>
          <w:rFonts w:eastAsiaTheme="majorEastAsia"/>
        </w:rPr>
        <w:t>which</w:t>
      </w:r>
      <w:r w:rsidR="002A04F1">
        <w:rPr>
          <w:rFonts w:eastAsiaTheme="majorEastAsia"/>
        </w:rPr>
        <w:t xml:space="preserve"> would </w:t>
      </w:r>
      <w:r w:rsidR="00E31BD5">
        <w:rPr>
          <w:rFonts w:eastAsiaTheme="majorEastAsia"/>
        </w:rPr>
        <w:t>increase energy and emissions savings but also increase costs.</w:t>
      </w:r>
      <w:r w:rsidR="00FA7DDE">
        <w:rPr>
          <w:rFonts w:eastAsiaTheme="majorEastAsia"/>
        </w:rPr>
        <w:t xml:space="preserve"> </w:t>
      </w:r>
    </w:p>
    <w:p w14:paraId="41593E35" w14:textId="201DCA60" w:rsidR="00FA7DDE" w:rsidRDefault="00EC23BC" w:rsidP="00CA489A">
      <w:pPr>
        <w:rPr>
          <w:rFonts w:eastAsiaTheme="majorEastAsia"/>
        </w:rPr>
      </w:pPr>
      <w:r>
        <w:rPr>
          <w:rFonts w:eastAsiaTheme="majorEastAsia"/>
        </w:rPr>
        <w:t>Similarly,</w:t>
      </w:r>
      <w:r w:rsidR="00306E51">
        <w:rPr>
          <w:rFonts w:eastAsiaTheme="majorEastAsia"/>
        </w:rPr>
        <w:t xml:space="preserve"> the Energy Savings Contribution and the </w:t>
      </w:r>
      <w:r w:rsidR="00BC63AE">
        <w:rPr>
          <w:rFonts w:eastAsiaTheme="majorEastAsia"/>
        </w:rPr>
        <w:t xml:space="preserve">and Shortfall Penalty should remain relatively unchanged for the 2021 compliance period. It is recommended that the three </w:t>
      </w:r>
      <w:r w:rsidR="00E43F4F">
        <w:rPr>
          <w:rFonts w:eastAsiaTheme="majorEastAsia"/>
        </w:rPr>
        <w:t>s</w:t>
      </w:r>
      <w:r w:rsidR="00BC63AE">
        <w:rPr>
          <w:rFonts w:eastAsiaTheme="majorEastAsia"/>
        </w:rPr>
        <w:t xml:space="preserve">cheme metrics discussed in this RIS be legislated by Disallowable Instrument for </w:t>
      </w:r>
      <w:r w:rsidR="00B17939">
        <w:rPr>
          <w:rFonts w:eastAsiaTheme="majorEastAsia"/>
        </w:rPr>
        <w:t xml:space="preserve">one </w:t>
      </w:r>
      <w:r w:rsidR="00BC63AE">
        <w:rPr>
          <w:rFonts w:eastAsiaTheme="majorEastAsia"/>
        </w:rPr>
        <w:t>compliance period</w:t>
      </w:r>
      <w:r>
        <w:rPr>
          <w:rFonts w:eastAsiaTheme="majorEastAsia"/>
        </w:rPr>
        <w:t>. The Environment, Planning and Sustainable Development Directorate will monitor the outcomes of these policy settings and make adjustments if necessary.</w:t>
      </w:r>
      <w:r w:rsidR="008762C0">
        <w:rPr>
          <w:rFonts w:eastAsiaTheme="majorEastAsia"/>
        </w:rPr>
        <w:t xml:space="preserve"> </w:t>
      </w:r>
      <w:r w:rsidR="002A04F1">
        <w:rPr>
          <w:rFonts w:eastAsiaTheme="majorEastAsia"/>
        </w:rPr>
        <w:t>T</w:t>
      </w:r>
      <w:r w:rsidR="00CA707B">
        <w:rPr>
          <w:rFonts w:eastAsiaTheme="majorEastAsia"/>
        </w:rPr>
        <w:t xml:space="preserve">imely review of </w:t>
      </w:r>
      <w:r w:rsidR="00C360AF">
        <w:rPr>
          <w:rFonts w:eastAsiaTheme="majorEastAsia"/>
        </w:rPr>
        <w:t>scheme metrics</w:t>
      </w:r>
      <w:r w:rsidR="00CA707B">
        <w:rPr>
          <w:rFonts w:eastAsiaTheme="majorEastAsia"/>
        </w:rPr>
        <w:t xml:space="preserve"> will enable appropriate adjustments if needed. </w:t>
      </w:r>
    </w:p>
    <w:p w14:paraId="3835AC74" w14:textId="77777777" w:rsidR="00306E51" w:rsidRPr="00C360AF" w:rsidRDefault="00306E51" w:rsidP="001E6417"/>
    <w:p w14:paraId="06FA6C97" w14:textId="77777777" w:rsidR="00E45DFA" w:rsidRPr="001E6417" w:rsidRDefault="00E45DFA" w:rsidP="001E6417">
      <w:pPr>
        <w:rPr>
          <w:rFonts w:eastAsiaTheme="majorEastAsia"/>
        </w:rPr>
      </w:pPr>
    </w:p>
    <w:p w14:paraId="58E67EDD" w14:textId="5B257E43" w:rsidR="000525F5" w:rsidRDefault="000525F5" w:rsidP="007B7ECF">
      <w:pPr>
        <w:autoSpaceDE/>
        <w:autoSpaceDN/>
        <w:adjustRightInd/>
        <w:spacing w:after="0" w:line="240" w:lineRule="auto"/>
      </w:pPr>
    </w:p>
    <w:p w14:paraId="1D46D346" w14:textId="77777777" w:rsidR="00143CCE" w:rsidRPr="00143CCE" w:rsidRDefault="00143CCE" w:rsidP="00143CCE"/>
    <w:sectPr w:rsidR="00143CCE" w:rsidRPr="00143CCE" w:rsidSect="00A41FA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402F" w14:textId="77777777" w:rsidR="00E85901" w:rsidRDefault="00E85901" w:rsidP="009E5708">
      <w:r>
        <w:separator/>
      </w:r>
    </w:p>
  </w:endnote>
  <w:endnote w:type="continuationSeparator" w:id="0">
    <w:p w14:paraId="6C685300" w14:textId="77777777" w:rsidR="00E85901" w:rsidRDefault="00E85901" w:rsidP="009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CE9B" w14:textId="77777777" w:rsidR="00DB67FE" w:rsidRDefault="00DB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23E1" w14:textId="051A3D92" w:rsidR="00B17939" w:rsidRDefault="00B17939" w:rsidP="00E52EC4">
    <w:pPr>
      <w:pStyle w:val="Footer"/>
      <w:tabs>
        <w:tab w:val="clear" w:pos="9026"/>
        <w:tab w:val="right" w:pos="8647"/>
      </w:tabs>
      <w:rPr>
        <w:noProof/>
      </w:rPr>
    </w:pPr>
    <w:r>
      <w:rPr>
        <w:noProof/>
      </w:rPr>
      <w:ptab w:relativeTo="margin" w:alignment="center" w:leader="none"/>
    </w:r>
    <w:r w:rsidRPr="001A0CE1">
      <w:rPr>
        <w:i/>
        <w:sz w:val="18"/>
        <w:szCs w:val="18"/>
      </w:rPr>
      <w:fldChar w:fldCharType="begin"/>
    </w:r>
    <w:r w:rsidRPr="001A0CE1">
      <w:rPr>
        <w:sz w:val="18"/>
        <w:szCs w:val="18"/>
      </w:rPr>
      <w:instrText xml:space="preserve"> PAGE   \* MERGEFORMAT </w:instrText>
    </w:r>
    <w:r w:rsidRPr="001A0CE1">
      <w:rPr>
        <w:i/>
        <w:sz w:val="18"/>
        <w:szCs w:val="18"/>
      </w:rPr>
      <w:fldChar w:fldCharType="separate"/>
    </w:r>
    <w:r>
      <w:rPr>
        <w:noProof/>
        <w:sz w:val="18"/>
        <w:szCs w:val="18"/>
      </w:rPr>
      <w:t>2</w:t>
    </w:r>
    <w:r w:rsidRPr="001A0CE1">
      <w:rPr>
        <w:i/>
        <w:sz w:val="18"/>
        <w:szCs w:val="18"/>
      </w:rPr>
      <w:fldChar w:fldCharType="end"/>
    </w:r>
    <w:r>
      <w:rPr>
        <w:noProof/>
      </w:rPr>
      <w:ptab w:relativeTo="margin" w:alignment="right" w:leader="none"/>
    </w:r>
  </w:p>
  <w:p w14:paraId="5AB8B20D" w14:textId="3A75D05A" w:rsidR="00833511" w:rsidRPr="00DB67FE" w:rsidRDefault="00DB67FE" w:rsidP="00DB67FE">
    <w:pPr>
      <w:pStyle w:val="Footer"/>
      <w:tabs>
        <w:tab w:val="clear" w:pos="9026"/>
        <w:tab w:val="right" w:pos="8647"/>
      </w:tabs>
      <w:jc w:val="center"/>
      <w:rPr>
        <w:rFonts w:ascii="Arial" w:hAnsi="Arial" w:cs="Arial"/>
        <w:iCs/>
        <w:sz w:val="14"/>
        <w:szCs w:val="14"/>
      </w:rPr>
    </w:pPr>
    <w:r w:rsidRPr="00DB67FE">
      <w:rPr>
        <w:rFonts w:ascii="Arial" w:hAnsi="Arial" w:cs="Arial"/>
        <w:iCs/>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2390" w14:textId="12FA4C7C" w:rsidR="00B17939" w:rsidRDefault="0067454F" w:rsidP="00E52EC4">
    <w:pPr>
      <w:pStyle w:val="Footer"/>
      <w:tabs>
        <w:tab w:val="clear" w:pos="9026"/>
        <w:tab w:val="right" w:pos="8647"/>
      </w:tabs>
      <w:rPr>
        <w:noProof/>
      </w:rPr>
    </w:pPr>
    <w:sdt>
      <w:sdtPr>
        <w:rPr>
          <w:i/>
        </w:rPr>
        <w:alias w:val="Document Reference"/>
        <w:tag w:val="EPL_doc_reference"/>
        <w:id w:val="2044791500"/>
        <w:showingPlcHdr/>
        <w:text/>
      </w:sdtPr>
      <w:sdtEndPr/>
      <w:sdtContent>
        <w:r w:rsidR="00B17939">
          <w:rPr>
            <w:i/>
          </w:rPr>
          <w:t xml:space="preserve">     </w:t>
        </w:r>
      </w:sdtContent>
    </w:sdt>
    <w:r w:rsidR="00B17939">
      <w:rPr>
        <w:noProof/>
      </w:rPr>
      <w:ptab w:relativeTo="margin" w:alignment="center" w:leader="none"/>
    </w:r>
    <w:r w:rsidR="00B17939" w:rsidRPr="001A0CE1">
      <w:rPr>
        <w:i/>
        <w:sz w:val="18"/>
        <w:szCs w:val="18"/>
      </w:rPr>
      <w:fldChar w:fldCharType="begin"/>
    </w:r>
    <w:r w:rsidR="00B17939" w:rsidRPr="001A0CE1">
      <w:rPr>
        <w:sz w:val="18"/>
        <w:szCs w:val="18"/>
      </w:rPr>
      <w:instrText xml:space="preserve"> PAGE   \* MERGEFORMAT </w:instrText>
    </w:r>
    <w:r w:rsidR="00B17939" w:rsidRPr="001A0CE1">
      <w:rPr>
        <w:i/>
        <w:sz w:val="18"/>
        <w:szCs w:val="18"/>
      </w:rPr>
      <w:fldChar w:fldCharType="separate"/>
    </w:r>
    <w:r w:rsidR="00B17939">
      <w:rPr>
        <w:noProof/>
        <w:sz w:val="18"/>
        <w:szCs w:val="18"/>
      </w:rPr>
      <w:t>1</w:t>
    </w:r>
    <w:r w:rsidR="00B17939" w:rsidRPr="001A0CE1">
      <w:rPr>
        <w:i/>
        <w:sz w:val="18"/>
        <w:szCs w:val="18"/>
      </w:rPr>
      <w:fldChar w:fldCharType="end"/>
    </w:r>
    <w:r w:rsidR="00B17939">
      <w:rPr>
        <w:noProof/>
      </w:rPr>
      <w:ptab w:relativeTo="margin" w:alignment="right" w:leader="none"/>
    </w:r>
  </w:p>
  <w:p w14:paraId="2754F144" w14:textId="2E7972D2" w:rsidR="009C6255" w:rsidRPr="00DB67FE" w:rsidRDefault="00DB67FE" w:rsidP="00DB67FE">
    <w:pPr>
      <w:pStyle w:val="Footer"/>
      <w:tabs>
        <w:tab w:val="clear" w:pos="9026"/>
        <w:tab w:val="right" w:pos="8647"/>
      </w:tabs>
      <w:jc w:val="center"/>
      <w:rPr>
        <w:rFonts w:ascii="Arial" w:hAnsi="Arial" w:cs="Arial"/>
        <w:iCs/>
        <w:sz w:val="14"/>
        <w:szCs w:val="14"/>
      </w:rPr>
    </w:pPr>
    <w:r w:rsidRPr="00DB67FE">
      <w:rPr>
        <w:rFonts w:ascii="Arial" w:hAnsi="Arial" w:cs="Arial"/>
        <w:i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AE93" w14:textId="77777777" w:rsidR="00E85901" w:rsidRDefault="00E85901" w:rsidP="009E5708">
      <w:r>
        <w:separator/>
      </w:r>
    </w:p>
  </w:footnote>
  <w:footnote w:type="continuationSeparator" w:id="0">
    <w:p w14:paraId="443A0B5F" w14:textId="77777777" w:rsidR="00E85901" w:rsidRDefault="00E85901" w:rsidP="009E5708">
      <w:r>
        <w:continuationSeparator/>
      </w:r>
    </w:p>
  </w:footnote>
  <w:footnote w:id="1">
    <w:p w14:paraId="4F9C8C45" w14:textId="1547A9F2" w:rsidR="00B17939" w:rsidRDefault="00B17939">
      <w:pPr>
        <w:pStyle w:val="FootnoteText"/>
      </w:pPr>
      <w:r w:rsidRPr="001D5C73">
        <w:rPr>
          <w:rStyle w:val="FootnoteReference"/>
        </w:rPr>
        <w:footnoteRef/>
      </w:r>
      <w:r w:rsidRPr="001D5C73">
        <w:t xml:space="preserve"> </w:t>
      </w:r>
      <w:r w:rsidRPr="001D5C73">
        <w:rPr>
          <w:i/>
          <w:iCs/>
        </w:rPr>
        <w:t>Review of the Energy Efficiency Improvement Scheme</w:t>
      </w:r>
      <w:r w:rsidRPr="001D5C73">
        <w:t xml:space="preserve">, 27 June 2018. </w:t>
      </w:r>
      <w:hyperlink r:id="rId1" w:history="1">
        <w:r w:rsidRPr="001D5C73">
          <w:rPr>
            <w:rStyle w:val="Hyperlink"/>
          </w:rPr>
          <w:t>https://www.environment.act.gov.au/energy/smarter-use-of-energy/energy-efficiency-improvement-scheme/publications</w:t>
        </w:r>
      </w:hyperlink>
    </w:p>
  </w:footnote>
  <w:footnote w:id="2">
    <w:p w14:paraId="26D2FB60" w14:textId="77777777" w:rsidR="00B17939" w:rsidRDefault="00B17939">
      <w:pPr>
        <w:pStyle w:val="FootnoteText"/>
      </w:pPr>
      <w:r>
        <w:rPr>
          <w:rStyle w:val="FootnoteReference"/>
        </w:rPr>
        <w:footnoteRef/>
      </w:r>
      <w:r>
        <w:t xml:space="preserve"> </w:t>
      </w:r>
      <w:hyperlink r:id="rId2" w:history="1">
        <w:r w:rsidRPr="001E0231">
          <w:rPr>
            <w:rStyle w:val="Hyperlink"/>
          </w:rPr>
          <w:t>http://www.environment.act.gov.au/__data/assets/pdf_file/0005/1299047/Consultation-Report-for-an-Energy-Efficiency-Improvement-Scheme-Extension-A18099269.pdf</w:t>
        </w:r>
      </w:hyperlink>
      <w:r>
        <w:t xml:space="preserve"> </w:t>
      </w:r>
    </w:p>
  </w:footnote>
  <w:footnote w:id="3">
    <w:p w14:paraId="588B8B72" w14:textId="34EADBDE" w:rsidR="00B17939" w:rsidRPr="00935BF5" w:rsidRDefault="00B17939">
      <w:pPr>
        <w:pStyle w:val="FootnoteText"/>
      </w:pPr>
      <w:r>
        <w:rPr>
          <w:rStyle w:val="FootnoteReference"/>
        </w:rPr>
        <w:footnoteRef/>
      </w:r>
      <w:r>
        <w:t xml:space="preserve"> </w:t>
      </w:r>
      <w:hyperlink r:id="rId3" w:history="1">
        <w:r w:rsidRPr="00935BF5">
          <w:rPr>
            <w:rStyle w:val="Hyperlink"/>
          </w:rPr>
          <w:t>https://www.environment.act.gov.au/energy/smarter-use-of-energy/energy-efficiency-improvement-scheme/publications</w:t>
        </w:r>
      </w:hyperlink>
    </w:p>
  </w:footnote>
  <w:footnote w:id="4">
    <w:p w14:paraId="286C45F4" w14:textId="0F8D3217" w:rsidR="00B17939" w:rsidRPr="001D5C73" w:rsidRDefault="00B17939">
      <w:pPr>
        <w:pStyle w:val="FootnoteText"/>
        <w:rPr>
          <w:u w:val="single"/>
        </w:rPr>
      </w:pPr>
      <w:r w:rsidRPr="00935BF5">
        <w:rPr>
          <w:rStyle w:val="FootnoteReference"/>
        </w:rPr>
        <w:footnoteRef/>
      </w:r>
      <w:r w:rsidRPr="00935BF5">
        <w:t xml:space="preserve"> Two</w:t>
      </w:r>
      <w:r w:rsidRPr="00935BF5">
        <w:rPr>
          <w:rStyle w:val="Hyperlink"/>
          <w:color w:val="auto"/>
          <w:u w:val="none"/>
        </w:rPr>
        <w:t xml:space="preserve"> sets of modelling were undertaken by the consultancy, Energetics, to inform the settings for the scheme metrics. The full reports from this modelling will not be made </w:t>
      </w:r>
      <w:r>
        <w:rPr>
          <w:rStyle w:val="Hyperlink"/>
          <w:color w:val="auto"/>
          <w:u w:val="none"/>
        </w:rPr>
        <w:t xml:space="preserve">publicly </w:t>
      </w:r>
      <w:r w:rsidRPr="00935BF5">
        <w:rPr>
          <w:rStyle w:val="Hyperlink"/>
          <w:color w:val="auto"/>
          <w:u w:val="none"/>
        </w:rPr>
        <w:t xml:space="preserve">available as they may reveal commercial in confidence information due to </w:t>
      </w:r>
      <w:r>
        <w:rPr>
          <w:rStyle w:val="Hyperlink"/>
          <w:color w:val="auto"/>
          <w:u w:val="none"/>
        </w:rPr>
        <w:t>the ACT only having one</w:t>
      </w:r>
      <w:r w:rsidRPr="00935BF5">
        <w:rPr>
          <w:rStyle w:val="Hyperlink"/>
          <w:color w:val="auto"/>
          <w:u w:val="none"/>
        </w:rPr>
        <w:t xml:space="preserve"> Tier 1 retailer</w:t>
      </w:r>
      <w:r>
        <w:rPr>
          <w:rStyle w:val="Hyperlink"/>
          <w:color w:val="auto"/>
          <w:u w:val="none"/>
        </w:rPr>
        <w:t>.</w:t>
      </w:r>
      <w:r w:rsidRPr="00935BF5">
        <w:rPr>
          <w:rStyle w:val="Hyperlink"/>
          <w:color w:val="auto"/>
          <w:u w:val="none"/>
        </w:rPr>
        <w:t xml:space="preserve"> </w:t>
      </w:r>
    </w:p>
  </w:footnote>
  <w:footnote w:id="5">
    <w:p w14:paraId="7433AF59" w14:textId="77777777" w:rsidR="00B17939" w:rsidRDefault="00B17939" w:rsidP="00D84C1B">
      <w:pPr>
        <w:pStyle w:val="FootnoteText"/>
      </w:pPr>
      <w:r>
        <w:rPr>
          <w:rStyle w:val="FootnoteReference"/>
        </w:rPr>
        <w:footnoteRef/>
      </w:r>
      <w:r>
        <w:t xml:space="preserve"> </w:t>
      </w:r>
      <w:hyperlink r:id="rId4" w:history="1">
        <w:r w:rsidRPr="00FD5B14">
          <w:rPr>
            <w:rStyle w:val="Hyperlink"/>
          </w:rPr>
          <w:t>https://www.environment.act.gov.au/cc/act-climate-change-strategy</w:t>
        </w:r>
      </w:hyperlink>
    </w:p>
    <w:p w14:paraId="7DDADC1E" w14:textId="77777777" w:rsidR="00B17939" w:rsidRDefault="00B17939" w:rsidP="00D84C1B">
      <w:pPr>
        <w:pStyle w:val="FootnoteText"/>
      </w:pPr>
    </w:p>
  </w:footnote>
  <w:footnote w:id="6">
    <w:p w14:paraId="17C7AE74" w14:textId="355580D6" w:rsidR="00B17939" w:rsidRDefault="00B17939" w:rsidP="00163CE7">
      <w:pPr>
        <w:pStyle w:val="FootnoteText"/>
      </w:pPr>
      <w:r>
        <w:rPr>
          <w:rStyle w:val="FootnoteReference"/>
        </w:rPr>
        <w:footnoteRef/>
      </w:r>
      <w:r>
        <w:t xml:space="preserve"> Energy Efficiency Improvement Scheme Review, 2014. </w:t>
      </w:r>
      <w:hyperlink r:id="rId5" w:history="1">
        <w:r w:rsidRPr="004C2DF7">
          <w:rPr>
            <w:rStyle w:val="Hyperlink"/>
          </w:rPr>
          <w:t>https://www.environment.act.gov.au/__data/assets/pdf_file/0003/642315/ACT-EEIS-Review-Final-Report.pdf</w:t>
        </w:r>
      </w:hyperlink>
    </w:p>
  </w:footnote>
  <w:footnote w:id="7">
    <w:p w14:paraId="3F1226AE" w14:textId="77777777" w:rsidR="00B17939" w:rsidRDefault="00B17939" w:rsidP="00163CE7">
      <w:pPr>
        <w:pStyle w:val="FootnoteText"/>
      </w:pPr>
      <w:r>
        <w:rPr>
          <w:rStyle w:val="FootnoteReference"/>
        </w:rPr>
        <w:footnoteRef/>
      </w:r>
      <w:r>
        <w:t xml:space="preserve"> </w:t>
      </w:r>
      <w:hyperlink r:id="rId6" w:history="1">
        <w:r>
          <w:rPr>
            <w:rStyle w:val="Hyperlink"/>
          </w:rPr>
          <w:t>https://www.legislation.act.gov.au/b/db_51862/</w:t>
        </w:r>
      </w:hyperlink>
      <w:r>
        <w:t xml:space="preserve"> </w:t>
      </w:r>
    </w:p>
  </w:footnote>
  <w:footnote w:id="8">
    <w:p w14:paraId="471380BB" w14:textId="77777777" w:rsidR="00B17939" w:rsidRDefault="00B17939" w:rsidP="00F10414">
      <w:pPr>
        <w:pStyle w:val="FootnoteText"/>
      </w:pPr>
      <w:r>
        <w:rPr>
          <w:rStyle w:val="FootnoteReference"/>
        </w:rPr>
        <w:footnoteRef/>
      </w:r>
      <w:r>
        <w:t xml:space="preserve"> </w:t>
      </w:r>
      <w:hyperlink r:id="rId7" w:history="1">
        <w:r>
          <w:rPr>
            <w:rStyle w:val="Hyperlink"/>
          </w:rPr>
          <w:t>http://www.pointadvisory.com/</w:t>
        </w:r>
      </w:hyperlink>
    </w:p>
  </w:footnote>
  <w:footnote w:id="9">
    <w:p w14:paraId="523E73A1" w14:textId="77777777" w:rsidR="00B17939" w:rsidRDefault="00B17939" w:rsidP="00F10414">
      <w:pPr>
        <w:pStyle w:val="FootnoteText"/>
      </w:pPr>
      <w:r>
        <w:rPr>
          <w:rStyle w:val="FootnoteReference"/>
        </w:rPr>
        <w:footnoteRef/>
      </w:r>
      <w:r>
        <w:t xml:space="preserve"> </w:t>
      </w:r>
      <w:hyperlink r:id="rId8" w:history="1">
        <w:r>
          <w:rPr>
            <w:rStyle w:val="Hyperlink"/>
          </w:rPr>
          <w:t>https://www.environment.act.gov.au/__data/assets/pdf_file/0020/1221527/EEIS-Review-Part-1-Executive-Summary-ACCESSIBLE.pdf</w:t>
        </w:r>
      </w:hyperlink>
    </w:p>
  </w:footnote>
  <w:footnote w:id="10">
    <w:p w14:paraId="40E6BE55" w14:textId="77777777" w:rsidR="00B17939" w:rsidRDefault="00B17939" w:rsidP="00F10414">
      <w:pPr>
        <w:pStyle w:val="FootnoteText"/>
      </w:pPr>
      <w:r>
        <w:rPr>
          <w:rStyle w:val="FootnoteReference"/>
        </w:rPr>
        <w:footnoteRef/>
      </w:r>
      <w:r>
        <w:t xml:space="preserve"> </w:t>
      </w:r>
      <w:hyperlink r:id="rId9" w:history="1">
        <w:r w:rsidRPr="001658AF">
          <w:rPr>
            <w:rStyle w:val="Hyperlink"/>
          </w:rPr>
          <w:t>https://www.environment.act.gov.au/__data/assets/pdf_file/0020/1221527/EEIS-Review-Part-1-Executive-Summary-ACCESSIBLE.pdf</w:t>
        </w:r>
      </w:hyperlink>
      <w:r>
        <w:t xml:space="preserve"> </w:t>
      </w:r>
    </w:p>
  </w:footnote>
  <w:footnote w:id="11">
    <w:p w14:paraId="54623E32" w14:textId="2C3C53E8" w:rsidR="00B17939" w:rsidRDefault="00B17939">
      <w:pPr>
        <w:pStyle w:val="FootnoteText"/>
      </w:pPr>
      <w:r>
        <w:rPr>
          <w:rStyle w:val="FootnoteReference"/>
        </w:rPr>
        <w:footnoteRef/>
      </w:r>
      <w:r>
        <w:t xml:space="preserve"> Point Advisory, 2018 EEIS Review. </w:t>
      </w:r>
      <w:hyperlink r:id="rId10" w:history="1">
        <w:r>
          <w:rPr>
            <w:rStyle w:val="Hyperlink"/>
          </w:rPr>
          <w:t>https://www.environment.act.gov.au/energy/smarter-use-of-energy/energy-efficiency-improvement-scheme/publications</w:t>
        </w:r>
      </w:hyperlink>
      <w:r>
        <w:t xml:space="preserve"> </w:t>
      </w:r>
    </w:p>
  </w:footnote>
  <w:footnote w:id="12">
    <w:p w14:paraId="11B84196" w14:textId="31FD9044" w:rsidR="00B17939" w:rsidRDefault="00B17939">
      <w:pPr>
        <w:pStyle w:val="FootnoteText"/>
      </w:pPr>
      <w:r>
        <w:rPr>
          <w:rStyle w:val="FootnoteReference"/>
        </w:rPr>
        <w:footnoteRef/>
      </w:r>
      <w:r>
        <w:t xml:space="preserve"> </w:t>
      </w:r>
      <w:r w:rsidRPr="00C47314">
        <w:t xml:space="preserve">Source: EEIS Review Empirical </w:t>
      </w:r>
      <w:r>
        <w:t xml:space="preserve">Analysis Executive Summary. </w:t>
      </w:r>
      <w:hyperlink r:id="rId11" w:history="1">
        <w:r>
          <w:rPr>
            <w:rStyle w:val="Hyperlink"/>
          </w:rPr>
          <w:t>https://www.environment.act.gov.au/__data/assets/pdf_file/0020/1221527/EEIS-Review-Part-1-Executive-Summary-ACCESSIBLE.pdf</w:t>
        </w:r>
      </w:hyperlink>
      <w:r>
        <w:t>. Data for</w:t>
      </w:r>
      <w:r w:rsidRPr="00C47314">
        <w:t xml:space="preserve"> 2018 bars added in 2019, using equivalent methodology.</w:t>
      </w:r>
    </w:p>
  </w:footnote>
  <w:footnote w:id="13">
    <w:p w14:paraId="6E4C6110" w14:textId="77777777" w:rsidR="00B17939" w:rsidRDefault="00B17939" w:rsidP="006F24D6">
      <w:pPr>
        <w:pStyle w:val="FootnoteText"/>
      </w:pPr>
      <w:r>
        <w:rPr>
          <w:rStyle w:val="FootnoteReference"/>
        </w:rPr>
        <w:footnoteRef/>
      </w:r>
      <w:r>
        <w:t xml:space="preserve"> ACT Government Environment and Planning, 2015. </w:t>
      </w:r>
      <w:r w:rsidRPr="00507C56">
        <w:rPr>
          <w:i/>
        </w:rPr>
        <w:t>Energy Efficiency Improvement Scheme: Setting Key Scheme Parameters to 2020 Regulatory Impact Statement</w:t>
      </w:r>
      <w:r>
        <w:t xml:space="preserve">. Available at </w:t>
      </w:r>
      <w:hyperlink r:id="rId12" w:history="1">
        <w:r>
          <w:rPr>
            <w:rStyle w:val="Hyperlink"/>
          </w:rPr>
          <w:t>https://www.environment.act.gov.au/__data/assets/pdf_file/0008/1164806/2015-Regulatory-Impact-Satement-EEIS-Parameters-to-2020-FINAL.pdf</w:t>
        </w:r>
      </w:hyperlink>
      <w:r>
        <w:t xml:space="preserve">. </w:t>
      </w:r>
    </w:p>
  </w:footnote>
  <w:footnote w:id="14">
    <w:p w14:paraId="79332F8A" w14:textId="5C4DC510" w:rsidR="00B17939" w:rsidRDefault="00B17939">
      <w:pPr>
        <w:pStyle w:val="FootnoteText"/>
      </w:pPr>
      <w:r>
        <w:rPr>
          <w:rStyle w:val="FootnoteReference"/>
        </w:rPr>
        <w:footnoteRef/>
      </w:r>
      <w:r>
        <w:t xml:space="preserve"> </w:t>
      </w:r>
      <w:hyperlink r:id="rId13" w:history="1">
        <w:r>
          <w:rPr>
            <w:rStyle w:val="Hyperlink"/>
          </w:rPr>
          <w:t>https://www.icrc.act.gov.au/energy/electricity</w:t>
        </w:r>
      </w:hyperlink>
    </w:p>
  </w:footnote>
  <w:footnote w:id="15">
    <w:p w14:paraId="0B51A2D2" w14:textId="7974AC1D" w:rsidR="00B17939" w:rsidRDefault="00B17939">
      <w:pPr>
        <w:pStyle w:val="FootnoteText"/>
      </w:pPr>
      <w:r>
        <w:rPr>
          <w:rStyle w:val="FootnoteReference"/>
        </w:rPr>
        <w:footnoteRef/>
      </w:r>
      <w:r>
        <w:t xml:space="preserve"> ICRC, 2019. </w:t>
      </w:r>
      <w:r w:rsidRPr="00AC36B1">
        <w:rPr>
          <w:i/>
        </w:rPr>
        <w:t>Electricity Model and Methodology Review 2018-19</w:t>
      </w:r>
      <w:r>
        <w:t xml:space="preserve">, available at </w:t>
      </w:r>
      <w:hyperlink r:id="rId14" w:history="1">
        <w:r>
          <w:rPr>
            <w:rStyle w:val="Hyperlink"/>
          </w:rPr>
          <w:t>https://www.icrc.act.gov.au/__data/assets/pdf_file/0011/1369190/Report-5-of-2019-Electricity-Model-and-Methodology-Review-Final-Report.pdf</w:t>
        </w:r>
      </w:hyperlink>
      <w:r>
        <w:t xml:space="preserve">, pp.33-34. </w:t>
      </w:r>
    </w:p>
  </w:footnote>
  <w:footnote w:id="16">
    <w:p w14:paraId="5C449412" w14:textId="77777777" w:rsidR="00B17939" w:rsidRPr="009E4777" w:rsidRDefault="00B17939" w:rsidP="008F6EE8">
      <w:pPr>
        <w:pStyle w:val="FootnoteText"/>
      </w:pPr>
      <w:r>
        <w:rPr>
          <w:rStyle w:val="FootnoteReference"/>
        </w:rPr>
        <w:footnoteRef/>
      </w:r>
      <w:r>
        <w:t xml:space="preserve"> ICRC, 2019. </w:t>
      </w:r>
      <w:r>
        <w:rPr>
          <w:i/>
        </w:rPr>
        <w:t>Final decision: Retail electricity price recalibration 2019-20.</w:t>
      </w:r>
      <w:r>
        <w:t xml:space="preserve"> Available at </w:t>
      </w:r>
      <w:hyperlink r:id="rId15" w:history="1">
        <w:r>
          <w:rPr>
            <w:rStyle w:val="Hyperlink"/>
          </w:rPr>
          <w:t>https://www.icrc.act.gov.au/__data/assets/pdf_file/0003/1372773/Report-6-of-2019-Electricity-Price-Reset-2019-20.pdf</w:t>
        </w:r>
      </w:hyperlink>
      <w:r>
        <w:t xml:space="preserve">. Pp. 28-29.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2F02" w14:textId="77777777" w:rsidR="00DB67FE" w:rsidRDefault="00DB6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F8C2" w14:textId="77777777" w:rsidR="00DB67FE" w:rsidRDefault="00DB6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BE60" w14:textId="77777777" w:rsidR="00DB67FE" w:rsidRDefault="00DB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0FF2"/>
    <w:multiLevelType w:val="hybridMultilevel"/>
    <w:tmpl w:val="F7C6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EE04C2"/>
    <w:multiLevelType w:val="hybridMultilevel"/>
    <w:tmpl w:val="643E1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85EAE"/>
    <w:multiLevelType w:val="hybridMultilevel"/>
    <w:tmpl w:val="FE5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847E5"/>
    <w:multiLevelType w:val="hybridMultilevel"/>
    <w:tmpl w:val="9E8C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4689A"/>
    <w:multiLevelType w:val="hybridMultilevel"/>
    <w:tmpl w:val="3A1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6517E"/>
    <w:multiLevelType w:val="hybridMultilevel"/>
    <w:tmpl w:val="0AF0E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5B54D1"/>
    <w:multiLevelType w:val="hybridMultilevel"/>
    <w:tmpl w:val="232A47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F8A42FD"/>
    <w:multiLevelType w:val="hybridMultilevel"/>
    <w:tmpl w:val="2202EBE0"/>
    <w:lvl w:ilvl="0" w:tplc="104A47CE">
      <w:start w:val="1"/>
      <w:numFmt w:val="decimal"/>
      <w:lvlText w:val="%1."/>
      <w:lvlJc w:val="left"/>
      <w:pPr>
        <w:ind w:left="1003" w:hanging="64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F44262"/>
    <w:multiLevelType w:val="hybridMultilevel"/>
    <w:tmpl w:val="D2F0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C21E78"/>
    <w:multiLevelType w:val="hybridMultilevel"/>
    <w:tmpl w:val="851AA24A"/>
    <w:lvl w:ilvl="0" w:tplc="85349E70">
      <w:start w:val="1"/>
      <w:numFmt w:val="bullet"/>
      <w:pStyle w:val="EPLAwardBullet"/>
      <w:lvlText w:val=""/>
      <w:lvlJc w:val="left"/>
      <w:pPr>
        <w:ind w:left="720" w:hanging="360"/>
      </w:pPr>
      <w:rPr>
        <w:rFonts w:ascii="Symbol" w:hAnsi="Symbol" w:hint="default"/>
        <w:color w:val="F480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950A6E"/>
    <w:multiLevelType w:val="hybridMultilevel"/>
    <w:tmpl w:val="559C9720"/>
    <w:lvl w:ilvl="0" w:tplc="139CAFA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74998"/>
    <w:multiLevelType w:val="hybridMultilevel"/>
    <w:tmpl w:val="12CC770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18EE0955"/>
    <w:multiLevelType w:val="hybridMultilevel"/>
    <w:tmpl w:val="B56434EA"/>
    <w:lvl w:ilvl="0" w:tplc="255EEEC4">
      <w:start w:val="1"/>
      <w:numFmt w:val="decimal"/>
      <w:lvlText w:val="%1."/>
      <w:lvlJc w:val="left"/>
      <w:pPr>
        <w:ind w:left="567" w:hanging="567"/>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D29AE"/>
    <w:multiLevelType w:val="multilevel"/>
    <w:tmpl w:val="BA68B0C4"/>
    <w:lvl w:ilvl="0">
      <w:start w:val="1"/>
      <w:numFmt w:val="bullet"/>
      <w:pStyle w:val="ListBullet"/>
      <w:lvlText w:val=""/>
      <w:lvlJc w:val="left"/>
      <w:pPr>
        <w:ind w:left="397" w:hanging="397"/>
      </w:pPr>
      <w:rPr>
        <w:rFonts w:ascii="Wingdings" w:hAnsi="Wingdings" w:hint="default"/>
        <w:color w:val="4F81BD" w:themeColor="accent1"/>
      </w:rPr>
    </w:lvl>
    <w:lvl w:ilvl="1">
      <w:start w:val="1"/>
      <w:numFmt w:val="bullet"/>
      <w:pStyle w:val="ListBullet2"/>
      <w:lvlText w:val="−"/>
      <w:lvlJc w:val="left"/>
      <w:pPr>
        <w:tabs>
          <w:tab w:val="num" w:pos="714"/>
        </w:tabs>
        <w:ind w:left="794" w:hanging="397"/>
      </w:pPr>
      <w:rPr>
        <w:rFonts w:asciiTheme="minorHAnsi" w:hAnsiTheme="minorHAnsi" w:cs="Times New Roman" w:hint="default"/>
        <w:color w:val="4F81BD" w:themeColor="accent1"/>
      </w:rPr>
    </w:lvl>
    <w:lvl w:ilvl="2">
      <w:start w:val="1"/>
      <w:numFmt w:val="bullet"/>
      <w:pStyle w:val="ListBullet3"/>
      <w:lvlText w:val="−"/>
      <w:lvlJc w:val="left"/>
      <w:pPr>
        <w:ind w:left="1191" w:hanging="397"/>
      </w:pPr>
      <w:rPr>
        <w:rFonts w:ascii="Times New Roman" w:hAnsi="Times New Roman" w:cs="Times New Roman" w:hint="default"/>
        <w:color w:val="000000" w:themeColor="text1"/>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5" w15:restartNumberingAfterBreak="0">
    <w:nsid w:val="1F3C7C72"/>
    <w:multiLevelType w:val="hybridMultilevel"/>
    <w:tmpl w:val="F6A6E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8732C5"/>
    <w:multiLevelType w:val="multilevel"/>
    <w:tmpl w:val="549AFF6E"/>
    <w:styleLink w:val="List-HeadingStyle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7" w15:restartNumberingAfterBreak="0">
    <w:nsid w:val="20B321E9"/>
    <w:multiLevelType w:val="hybridMultilevel"/>
    <w:tmpl w:val="2D8E0344"/>
    <w:lvl w:ilvl="0" w:tplc="A1EC518E">
      <w:start w:val="1"/>
      <w:numFmt w:val="upperLetter"/>
      <w:pStyle w:val="Appendix"/>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8533EE"/>
    <w:multiLevelType w:val="multilevel"/>
    <w:tmpl w:val="A99EAF48"/>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2470"/>
        </w:tabs>
        <w:ind w:left="2470" w:hanging="360"/>
      </w:pPr>
      <w:rPr>
        <w:rFonts w:cs="Times New Roman" w:hint="default"/>
      </w:rPr>
    </w:lvl>
    <w:lvl w:ilvl="2">
      <w:start w:val="1"/>
      <w:numFmt w:val="lowerRoman"/>
      <w:lvlText w:val="%3)"/>
      <w:lvlJc w:val="left"/>
      <w:pPr>
        <w:tabs>
          <w:tab w:val="num" w:pos="2830"/>
        </w:tabs>
        <w:ind w:left="2830" w:hanging="360"/>
      </w:pPr>
      <w:rPr>
        <w:rFonts w:cs="Times New Roman" w:hint="default"/>
      </w:rPr>
    </w:lvl>
    <w:lvl w:ilvl="3">
      <w:start w:val="1"/>
      <w:numFmt w:val="upperLetter"/>
      <w:lvlText w:val="(%4)"/>
      <w:lvlJc w:val="left"/>
      <w:pPr>
        <w:tabs>
          <w:tab w:val="num" w:pos="3190"/>
        </w:tabs>
        <w:ind w:left="3190" w:hanging="360"/>
      </w:pPr>
      <w:rPr>
        <w:rFonts w:cs="Times New Roman" w:hint="default"/>
      </w:rPr>
    </w:lvl>
    <w:lvl w:ilvl="4">
      <w:start w:val="1"/>
      <w:numFmt w:val="lowerLetter"/>
      <w:lvlText w:val="(%5)"/>
      <w:lvlJc w:val="left"/>
      <w:pPr>
        <w:tabs>
          <w:tab w:val="num" w:pos="3550"/>
        </w:tabs>
        <w:ind w:left="3550" w:hanging="360"/>
      </w:pPr>
      <w:rPr>
        <w:rFonts w:cs="Times New Roman" w:hint="default"/>
      </w:rPr>
    </w:lvl>
    <w:lvl w:ilvl="5">
      <w:start w:val="1"/>
      <w:numFmt w:val="lowerRoman"/>
      <w:lvlText w:val="(%6)"/>
      <w:lvlJc w:val="left"/>
      <w:pPr>
        <w:tabs>
          <w:tab w:val="num" w:pos="3910"/>
        </w:tabs>
        <w:ind w:left="3910" w:hanging="360"/>
      </w:pPr>
      <w:rPr>
        <w:rFonts w:cs="Times New Roman" w:hint="default"/>
      </w:rPr>
    </w:lvl>
    <w:lvl w:ilvl="6">
      <w:start w:val="1"/>
      <w:numFmt w:val="decimal"/>
      <w:lvlText w:val="%7."/>
      <w:lvlJc w:val="left"/>
      <w:pPr>
        <w:tabs>
          <w:tab w:val="num" w:pos="4270"/>
        </w:tabs>
        <w:ind w:left="4270" w:hanging="360"/>
      </w:pPr>
      <w:rPr>
        <w:rFonts w:cs="Times New Roman" w:hint="default"/>
      </w:rPr>
    </w:lvl>
    <w:lvl w:ilvl="7">
      <w:start w:val="1"/>
      <w:numFmt w:val="lowerLetter"/>
      <w:lvlText w:val="%8."/>
      <w:lvlJc w:val="left"/>
      <w:pPr>
        <w:tabs>
          <w:tab w:val="num" w:pos="4630"/>
        </w:tabs>
        <w:ind w:left="4630" w:hanging="360"/>
      </w:pPr>
      <w:rPr>
        <w:rFonts w:cs="Times New Roman" w:hint="default"/>
      </w:rPr>
    </w:lvl>
    <w:lvl w:ilvl="8">
      <w:start w:val="1"/>
      <w:numFmt w:val="lowerRoman"/>
      <w:lvlText w:val="%9."/>
      <w:lvlJc w:val="left"/>
      <w:pPr>
        <w:tabs>
          <w:tab w:val="num" w:pos="4990"/>
        </w:tabs>
        <w:ind w:left="4990" w:hanging="360"/>
      </w:pPr>
      <w:rPr>
        <w:rFonts w:cs="Times New Roman" w:hint="default"/>
      </w:rPr>
    </w:lvl>
  </w:abstractNum>
  <w:abstractNum w:abstractNumId="19" w15:restartNumberingAfterBreak="0">
    <w:nsid w:val="22AA1496"/>
    <w:multiLevelType w:val="hybridMultilevel"/>
    <w:tmpl w:val="CF4659D6"/>
    <w:lvl w:ilvl="0" w:tplc="B4C0A85E">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26C4592C"/>
    <w:multiLevelType w:val="multilevel"/>
    <w:tmpl w:val="665C71D6"/>
    <w:styleLink w:val="List-Legal"/>
    <w:lvl w:ilvl="0">
      <w:start w:val="1"/>
      <w:numFmt w:val="decimal"/>
      <w:pStyle w:val="EPLLegalLevel1"/>
      <w:lvlText w:val="%1."/>
      <w:lvlJc w:val="left"/>
      <w:pPr>
        <w:tabs>
          <w:tab w:val="num" w:pos="425"/>
        </w:tabs>
        <w:ind w:left="425" w:hanging="425"/>
      </w:pPr>
      <w:rPr>
        <w:rFonts w:hint="default"/>
        <w:color w:val="000000" w:themeColor="text1" w:themeShade="80"/>
      </w:rPr>
    </w:lvl>
    <w:lvl w:ilvl="1">
      <w:start w:val="1"/>
      <w:numFmt w:val="decimal"/>
      <w:pStyle w:val="EPLLegalLevel2"/>
      <w:lvlText w:val="%1.%2."/>
      <w:lvlJc w:val="left"/>
      <w:pPr>
        <w:ind w:left="425" w:hanging="425"/>
      </w:pPr>
      <w:rPr>
        <w:rFonts w:hint="default"/>
      </w:rPr>
    </w:lvl>
    <w:lvl w:ilvl="2">
      <w:start w:val="1"/>
      <w:numFmt w:val="lowerLetter"/>
      <w:pStyle w:val="EPLLegalLevel3"/>
      <w:lvlText w:val="%3)"/>
      <w:lvlJc w:val="left"/>
      <w:pPr>
        <w:ind w:left="851" w:hanging="426"/>
      </w:pPr>
      <w:rPr>
        <w:rFonts w:hint="default"/>
      </w:rPr>
    </w:lvl>
    <w:lvl w:ilvl="3">
      <w:start w:val="1"/>
      <w:numFmt w:val="lowerRoman"/>
      <w:pStyle w:val="EPLLegalLevel4"/>
      <w:lvlText w:val="(%4)"/>
      <w:lvlJc w:val="left"/>
      <w:pPr>
        <w:ind w:left="1276" w:hanging="425"/>
      </w:pPr>
      <w:rPr>
        <w:rFonts w:hint="default"/>
      </w:rPr>
    </w:lvl>
    <w:lvl w:ilvl="4">
      <w:start w:val="1"/>
      <w:numFmt w:val="upp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22" w15:restartNumberingAfterBreak="0">
    <w:nsid w:val="28945E49"/>
    <w:multiLevelType w:val="hybridMultilevel"/>
    <w:tmpl w:val="CCC8C51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24" w15:restartNumberingAfterBreak="0">
    <w:nsid w:val="2E2749B1"/>
    <w:multiLevelType w:val="hybridMultilevel"/>
    <w:tmpl w:val="81C28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5872B8"/>
    <w:multiLevelType w:val="hybridMultilevel"/>
    <w:tmpl w:val="FB2454EC"/>
    <w:lvl w:ilvl="0" w:tplc="3A1A6852">
      <w:start w:val="1"/>
      <w:numFmt w:val="decimal"/>
      <w:lvlText w:val="%1."/>
      <w:lvlJc w:val="left"/>
      <w:pPr>
        <w:ind w:left="720" w:hanging="360"/>
      </w:pPr>
      <w:rPr>
        <w:b w:val="0"/>
        <w:bCs/>
        <w:color w:val="auto"/>
        <w:sz w:val="24"/>
        <w:szCs w:val="24"/>
      </w:rPr>
    </w:lvl>
    <w:lvl w:ilvl="1" w:tplc="24DC7F0C">
      <w:start w:val="1"/>
      <w:numFmt w:val="lowerLetter"/>
      <w:lvlText w:val="%2."/>
      <w:lvlJc w:val="left"/>
      <w:pPr>
        <w:ind w:left="1440" w:hanging="360"/>
      </w:pPr>
      <w:rPr>
        <w:rFonts w:asciiTheme="minorHAnsi" w:hAnsiTheme="minorHAnsi" w:cstheme="minorHAns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66E4D16"/>
    <w:multiLevelType w:val="hybridMultilevel"/>
    <w:tmpl w:val="EF067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345CC0"/>
    <w:multiLevelType w:val="hybridMultilevel"/>
    <w:tmpl w:val="8F5A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D31CFA"/>
    <w:multiLevelType w:val="hybridMultilevel"/>
    <w:tmpl w:val="A8C6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674BD"/>
    <w:multiLevelType w:val="hybridMultilevel"/>
    <w:tmpl w:val="A0AA04E2"/>
    <w:lvl w:ilvl="0" w:tplc="C214182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D53F9"/>
    <w:multiLevelType w:val="hybridMultilevel"/>
    <w:tmpl w:val="8D7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DD635B"/>
    <w:multiLevelType w:val="multilevel"/>
    <w:tmpl w:val="3C38BDA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9"/>
        </w:tabs>
        <w:ind w:left="1419" w:hanging="851"/>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decimal"/>
      <w:lvlText w:val="%1.%2.%3.%4.%5.%6.%7.%8."/>
      <w:lvlJc w:val="left"/>
      <w:pPr>
        <w:tabs>
          <w:tab w:val="num" w:pos="15120"/>
        </w:tabs>
        <w:ind w:left="3744" w:hanging="1224"/>
      </w:pPr>
      <w:rPr>
        <w:rFonts w:hint="default"/>
      </w:rPr>
    </w:lvl>
    <w:lvl w:ilvl="8">
      <w:start w:val="1"/>
      <w:numFmt w:val="decimal"/>
      <w:lvlText w:val="%1.%2.%3.%4.%5.%6.%7.%8.%9."/>
      <w:lvlJc w:val="left"/>
      <w:pPr>
        <w:tabs>
          <w:tab w:val="num" w:pos="16920"/>
        </w:tabs>
        <w:ind w:left="4320" w:hanging="1440"/>
      </w:pPr>
      <w:rPr>
        <w:rFonts w:hint="default"/>
      </w:rPr>
    </w:lvl>
  </w:abstractNum>
  <w:abstractNum w:abstractNumId="32" w15:restartNumberingAfterBreak="0">
    <w:nsid w:val="461B33BF"/>
    <w:multiLevelType w:val="hybridMultilevel"/>
    <w:tmpl w:val="CE68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673D96"/>
    <w:multiLevelType w:val="hybridMultilevel"/>
    <w:tmpl w:val="AE58EDBA"/>
    <w:lvl w:ilvl="0" w:tplc="7480BADA">
      <w:start w:val="1"/>
      <w:numFmt w:val="lowerLetter"/>
      <w:lvlText w:val="(%1)"/>
      <w:lvlJc w:val="left"/>
      <w:pPr>
        <w:ind w:left="360" w:hanging="360"/>
      </w:pPr>
      <w:rPr>
        <w:rFonts w:cs="Times New Roman"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DA507E3"/>
    <w:multiLevelType w:val="hybridMultilevel"/>
    <w:tmpl w:val="5F5A8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9A15BF"/>
    <w:multiLevelType w:val="hybridMultilevel"/>
    <w:tmpl w:val="0C5A14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521A75CA"/>
    <w:multiLevelType w:val="multilevel"/>
    <w:tmpl w:val="37E6CDE0"/>
    <w:styleLink w:val="List-ListNumber"/>
    <w:lvl w:ilvl="0">
      <w:start w:val="1"/>
      <w:numFmt w:val="decimal"/>
      <w:pStyle w:val="ListNumber"/>
      <w:lvlText w:val="%1)"/>
      <w:lvlJc w:val="left"/>
      <w:pPr>
        <w:ind w:left="425" w:hanging="425"/>
      </w:pPr>
      <w:rPr>
        <w:rFonts w:hint="default"/>
      </w:rPr>
    </w:lvl>
    <w:lvl w:ilvl="1">
      <w:start w:val="1"/>
      <w:numFmt w:val="decimal"/>
      <w:pStyle w:val="ListNumber2"/>
      <w:lvlText w:val="%2)"/>
      <w:lvlJc w:val="left"/>
      <w:pPr>
        <w:ind w:left="850" w:hanging="425"/>
      </w:pPr>
      <w:rPr>
        <w:rFonts w:hint="default"/>
      </w:rPr>
    </w:lvl>
    <w:lvl w:ilvl="2">
      <w:start w:val="1"/>
      <w:numFmt w:val="decimal"/>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decimal"/>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decimal"/>
      <w:lvlText w:val="%8."/>
      <w:lvlJc w:val="left"/>
      <w:pPr>
        <w:ind w:left="3400" w:hanging="425"/>
      </w:pPr>
      <w:rPr>
        <w:rFonts w:hint="default"/>
      </w:rPr>
    </w:lvl>
    <w:lvl w:ilvl="8">
      <w:start w:val="1"/>
      <w:numFmt w:val="decimal"/>
      <w:lvlText w:val="%9."/>
      <w:lvlJc w:val="left"/>
      <w:pPr>
        <w:ind w:left="3825" w:hanging="425"/>
      </w:pPr>
      <w:rPr>
        <w:rFonts w:hint="default"/>
      </w:rPr>
    </w:lvl>
  </w:abstractNum>
  <w:abstractNum w:abstractNumId="37" w15:restartNumberingAfterBreak="0">
    <w:nsid w:val="56FB255A"/>
    <w:multiLevelType w:val="multilevel"/>
    <w:tmpl w:val="9CE486FE"/>
    <w:styleLink w:val="List-ListAlpha"/>
    <w:lvl w:ilvl="0">
      <w:start w:val="1"/>
      <w:numFmt w:val="lowerLetter"/>
      <w:pStyle w:val="List"/>
      <w:lvlText w:val="%1)"/>
      <w:lvlJc w:val="left"/>
      <w:pPr>
        <w:ind w:left="425" w:hanging="425"/>
      </w:pPr>
      <w:rPr>
        <w:rFonts w:hint="default"/>
      </w:rPr>
    </w:lvl>
    <w:lvl w:ilvl="1">
      <w:start w:val="1"/>
      <w:numFmt w:val="lowerLetter"/>
      <w:pStyle w:val="List2"/>
      <w:lvlText w:val="%2)"/>
      <w:lvlJc w:val="left"/>
      <w:pPr>
        <w:ind w:left="850" w:hanging="425"/>
      </w:pPr>
      <w:rPr>
        <w:rFonts w:hint="default"/>
      </w:rPr>
    </w:lvl>
    <w:lvl w:ilvl="2">
      <w:start w:val="1"/>
      <w:numFmt w:val="lowerLetter"/>
      <w:pStyle w:val="List3"/>
      <w:lvlText w:val="%3)"/>
      <w:lvlJc w:val="left"/>
      <w:pPr>
        <w:ind w:left="1275" w:hanging="425"/>
      </w:pPr>
      <w:rPr>
        <w:rFonts w:hint="default"/>
      </w:rPr>
    </w:lvl>
    <w:lvl w:ilvl="3">
      <w:start w:val="1"/>
      <w:numFmt w:val="lowerLetter"/>
      <w:pStyle w:val="List4"/>
      <w:lvlText w:val="(%4)"/>
      <w:lvlJc w:val="left"/>
      <w:pPr>
        <w:ind w:left="1700" w:hanging="425"/>
      </w:pPr>
      <w:rPr>
        <w:rFonts w:hint="default"/>
      </w:rPr>
    </w:lvl>
    <w:lvl w:ilvl="4">
      <w:start w:val="1"/>
      <w:numFmt w:val="lowerLetter"/>
      <w:pStyle w:val="List5"/>
      <w:lvlText w:val="(%5)"/>
      <w:lvlJc w:val="left"/>
      <w:pPr>
        <w:ind w:left="2125" w:hanging="425"/>
      </w:pPr>
      <w:rPr>
        <w:rFonts w:hint="default"/>
      </w:rPr>
    </w:lvl>
    <w:lvl w:ilvl="5">
      <w:start w:val="1"/>
      <w:numFmt w:val="lowerLetter"/>
      <w:lvlText w:val="(%6)"/>
      <w:lvlJc w:val="left"/>
      <w:pPr>
        <w:ind w:left="2550" w:hanging="425"/>
      </w:pPr>
      <w:rPr>
        <w:rFonts w:hint="default"/>
      </w:rPr>
    </w:lvl>
    <w:lvl w:ilvl="6">
      <w:start w:val="1"/>
      <w:numFmt w:val="lowerLetter"/>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8" w15:restartNumberingAfterBreak="0">
    <w:nsid w:val="5A72112E"/>
    <w:multiLevelType w:val="hybridMultilevel"/>
    <w:tmpl w:val="9B3A8928"/>
    <w:lvl w:ilvl="0" w:tplc="FFFFFFFF">
      <w:start w:val="1"/>
      <w:numFmt w:val="decimal"/>
      <w:lvlText w:val=""/>
      <w:lvlJc w:val="left"/>
    </w:lvl>
    <w:lvl w:ilvl="1" w:tplc="7480BADA">
      <w:start w:val="1"/>
      <w:numFmt w:val="lowerLetter"/>
      <w:lvlText w:val="(%2)"/>
      <w:lvlJc w:val="left"/>
      <w:rPr>
        <w:rFonts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7480BADA">
      <w:start w:val="1"/>
      <w:numFmt w:val="lowerLetter"/>
      <w:lvlText w:val="(%7)"/>
      <w:lvlJc w:val="left"/>
      <w:rPr>
        <w:rFonts w:cs="Times New Roman" w:hint="default"/>
      </w:rPr>
    </w:lvl>
    <w:lvl w:ilvl="7" w:tplc="FFFFFFFF">
      <w:numFmt w:val="decimal"/>
      <w:lvlText w:val=""/>
      <w:lvlJc w:val="left"/>
    </w:lvl>
    <w:lvl w:ilvl="8" w:tplc="FFFFFFFF">
      <w:numFmt w:val="decimal"/>
      <w:lvlText w:val=""/>
      <w:lvlJc w:val="left"/>
    </w:lvl>
  </w:abstractNum>
  <w:abstractNum w:abstractNumId="39" w15:restartNumberingAfterBreak="0">
    <w:nsid w:val="63615A41"/>
    <w:multiLevelType w:val="multilevel"/>
    <w:tmpl w:val="71EE45DA"/>
    <w:lvl w:ilvl="0">
      <w:start w:val="1"/>
      <w:numFmt w:val="decimal"/>
      <w:pStyle w:val="Heading1"/>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3A1689B"/>
    <w:multiLevelType w:val="hybridMultilevel"/>
    <w:tmpl w:val="B496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866EFA"/>
    <w:multiLevelType w:val="hybridMultilevel"/>
    <w:tmpl w:val="C0E45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AA7356"/>
    <w:multiLevelType w:val="multilevel"/>
    <w:tmpl w:val="B9543DA4"/>
    <w:styleLink w:val="List-ListBullet"/>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
      <w:lvlJc w:val="left"/>
      <w:pPr>
        <w:ind w:left="1275" w:hanging="425"/>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43" w15:restartNumberingAfterBreak="0">
    <w:nsid w:val="76446868"/>
    <w:multiLevelType w:val="hybridMultilevel"/>
    <w:tmpl w:val="5A4C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9"/>
  </w:num>
  <w:num w:numId="4">
    <w:abstractNumId w:val="39"/>
  </w:num>
  <w:num w:numId="5">
    <w:abstractNumId w:val="10"/>
  </w:num>
  <w:num w:numId="6">
    <w:abstractNumId w:val="26"/>
  </w:num>
  <w:num w:numId="7">
    <w:abstractNumId w:val="4"/>
  </w:num>
  <w:num w:numId="8">
    <w:abstractNumId w:val="24"/>
  </w:num>
  <w:num w:numId="9">
    <w:abstractNumId w:val="8"/>
  </w:num>
  <w:num w:numId="10">
    <w:abstractNumId w:val="11"/>
  </w:num>
  <w:num w:numId="11">
    <w:abstractNumId w:val="38"/>
  </w:num>
  <w:num w:numId="12">
    <w:abstractNumId w:val="33"/>
  </w:num>
  <w:num w:numId="13">
    <w:abstractNumId w:val="19"/>
  </w:num>
  <w:num w:numId="14">
    <w:abstractNumId w:val="22"/>
  </w:num>
  <w:num w:numId="15">
    <w:abstractNumId w:val="1"/>
  </w:num>
  <w:num w:numId="16">
    <w:abstractNumId w:val="30"/>
  </w:num>
  <w:num w:numId="17">
    <w:abstractNumId w:val="27"/>
  </w:num>
  <w:num w:numId="18">
    <w:abstractNumId w:val="14"/>
  </w:num>
  <w:num w:numId="19">
    <w:abstractNumId w:val="40"/>
  </w:num>
  <w:num w:numId="20">
    <w:abstractNumId w:val="12"/>
  </w:num>
  <w:num w:numId="21">
    <w:abstractNumId w:val="18"/>
  </w:num>
  <w:num w:numId="22">
    <w:abstractNumId w:val="39"/>
  </w:num>
  <w:num w:numId="23">
    <w:abstractNumId w:val="39"/>
  </w:num>
  <w:num w:numId="24">
    <w:abstractNumId w:val="39"/>
  </w:num>
  <w:num w:numId="25">
    <w:abstractNumId w:val="39"/>
  </w:num>
  <w:num w:numId="26">
    <w:abstractNumId w:val="39"/>
  </w:num>
  <w:num w:numId="27">
    <w:abstractNumId w:val="39"/>
  </w:num>
  <w:num w:numId="28">
    <w:abstractNumId w:val="15"/>
  </w:num>
  <w:num w:numId="29">
    <w:abstractNumId w:val="32"/>
  </w:num>
  <w:num w:numId="30">
    <w:abstractNumId w:val="34"/>
  </w:num>
  <w:num w:numId="31">
    <w:abstractNumId w:val="3"/>
  </w:num>
  <w:num w:numId="32">
    <w:abstractNumId w:val="28"/>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13"/>
  </w:num>
  <w:num w:numId="37">
    <w:abstractNumId w:val="9"/>
  </w:num>
  <w:num w:numId="38">
    <w:abstractNumId w:val="16"/>
  </w:num>
  <w:num w:numId="39">
    <w:abstractNumId w:val="20"/>
  </w:num>
  <w:num w:numId="40">
    <w:abstractNumId w:val="37"/>
  </w:num>
  <w:num w:numId="41">
    <w:abstractNumId w:val="42"/>
  </w:num>
  <w:num w:numId="42">
    <w:abstractNumId w:val="36"/>
  </w:num>
  <w:num w:numId="43">
    <w:abstractNumId w:val="3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9"/>
  </w:num>
  <w:num w:numId="49">
    <w:abstractNumId w:val="35"/>
  </w:num>
  <w:num w:numId="50">
    <w:abstractNumId w:val="43"/>
  </w:num>
  <w:num w:numId="51">
    <w:abstractNumId w:val="7"/>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6"/>
  </w:num>
  <w:num w:numId="55">
    <w:abstractNumId w:val="5"/>
  </w:num>
  <w:num w:numId="56">
    <w:abstractNumId w:val="41"/>
  </w:num>
  <w:num w:numId="5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2D"/>
    <w:rsid w:val="000024C1"/>
    <w:rsid w:val="0000353B"/>
    <w:rsid w:val="0000523C"/>
    <w:rsid w:val="00005844"/>
    <w:rsid w:val="00006F64"/>
    <w:rsid w:val="000071AF"/>
    <w:rsid w:val="000104F5"/>
    <w:rsid w:val="0001062B"/>
    <w:rsid w:val="00012619"/>
    <w:rsid w:val="00012B96"/>
    <w:rsid w:val="00015782"/>
    <w:rsid w:val="00016C1B"/>
    <w:rsid w:val="000201B4"/>
    <w:rsid w:val="000213E8"/>
    <w:rsid w:val="000226F3"/>
    <w:rsid w:val="000238F1"/>
    <w:rsid w:val="00024CA6"/>
    <w:rsid w:val="00025FA4"/>
    <w:rsid w:val="00026244"/>
    <w:rsid w:val="000272E7"/>
    <w:rsid w:val="00030016"/>
    <w:rsid w:val="00033278"/>
    <w:rsid w:val="0003330F"/>
    <w:rsid w:val="00033980"/>
    <w:rsid w:val="00033D93"/>
    <w:rsid w:val="00034C75"/>
    <w:rsid w:val="00034D48"/>
    <w:rsid w:val="00036E85"/>
    <w:rsid w:val="00037AE7"/>
    <w:rsid w:val="00041293"/>
    <w:rsid w:val="0004151D"/>
    <w:rsid w:val="000419E2"/>
    <w:rsid w:val="00044D08"/>
    <w:rsid w:val="000450B6"/>
    <w:rsid w:val="00045232"/>
    <w:rsid w:val="000461B9"/>
    <w:rsid w:val="00047572"/>
    <w:rsid w:val="0004799B"/>
    <w:rsid w:val="00052408"/>
    <w:rsid w:val="000525F5"/>
    <w:rsid w:val="000535B6"/>
    <w:rsid w:val="000536E0"/>
    <w:rsid w:val="000545F7"/>
    <w:rsid w:val="000562CB"/>
    <w:rsid w:val="000575B6"/>
    <w:rsid w:val="0005769F"/>
    <w:rsid w:val="00060E6C"/>
    <w:rsid w:val="00062811"/>
    <w:rsid w:val="000628B7"/>
    <w:rsid w:val="00062B7C"/>
    <w:rsid w:val="0006383A"/>
    <w:rsid w:val="000644BD"/>
    <w:rsid w:val="00065925"/>
    <w:rsid w:val="00065C52"/>
    <w:rsid w:val="000700E5"/>
    <w:rsid w:val="00070263"/>
    <w:rsid w:val="00070401"/>
    <w:rsid w:val="000705BE"/>
    <w:rsid w:val="0007071E"/>
    <w:rsid w:val="00073306"/>
    <w:rsid w:val="00074740"/>
    <w:rsid w:val="00075925"/>
    <w:rsid w:val="0007673A"/>
    <w:rsid w:val="00077E42"/>
    <w:rsid w:val="0008054D"/>
    <w:rsid w:val="00081222"/>
    <w:rsid w:val="0008187E"/>
    <w:rsid w:val="00081F3C"/>
    <w:rsid w:val="00083088"/>
    <w:rsid w:val="00084A71"/>
    <w:rsid w:val="0008540A"/>
    <w:rsid w:val="000866C4"/>
    <w:rsid w:val="000902EB"/>
    <w:rsid w:val="00093667"/>
    <w:rsid w:val="00093D58"/>
    <w:rsid w:val="00094680"/>
    <w:rsid w:val="000948A1"/>
    <w:rsid w:val="00095371"/>
    <w:rsid w:val="00095935"/>
    <w:rsid w:val="00096236"/>
    <w:rsid w:val="000974AD"/>
    <w:rsid w:val="000975FA"/>
    <w:rsid w:val="000977C6"/>
    <w:rsid w:val="000A0B1C"/>
    <w:rsid w:val="000A2354"/>
    <w:rsid w:val="000A2E9F"/>
    <w:rsid w:val="000A3935"/>
    <w:rsid w:val="000A4F54"/>
    <w:rsid w:val="000A7B28"/>
    <w:rsid w:val="000B1C4F"/>
    <w:rsid w:val="000B2D00"/>
    <w:rsid w:val="000B359C"/>
    <w:rsid w:val="000B44F7"/>
    <w:rsid w:val="000B57F4"/>
    <w:rsid w:val="000B5AC2"/>
    <w:rsid w:val="000B61DD"/>
    <w:rsid w:val="000B6BD7"/>
    <w:rsid w:val="000B6FAF"/>
    <w:rsid w:val="000B7474"/>
    <w:rsid w:val="000C1A68"/>
    <w:rsid w:val="000C1F99"/>
    <w:rsid w:val="000C2092"/>
    <w:rsid w:val="000C4B7A"/>
    <w:rsid w:val="000C4E1C"/>
    <w:rsid w:val="000C4F4A"/>
    <w:rsid w:val="000C6E6A"/>
    <w:rsid w:val="000D00D6"/>
    <w:rsid w:val="000D3BB7"/>
    <w:rsid w:val="000D4FA0"/>
    <w:rsid w:val="000D6869"/>
    <w:rsid w:val="000D6A1A"/>
    <w:rsid w:val="000E025A"/>
    <w:rsid w:val="000E17DD"/>
    <w:rsid w:val="000E292B"/>
    <w:rsid w:val="000E519A"/>
    <w:rsid w:val="000E607B"/>
    <w:rsid w:val="000E6F0F"/>
    <w:rsid w:val="000E7169"/>
    <w:rsid w:val="000E728F"/>
    <w:rsid w:val="000E7E01"/>
    <w:rsid w:val="000F06D2"/>
    <w:rsid w:val="000F0A56"/>
    <w:rsid w:val="000F1260"/>
    <w:rsid w:val="000F2D25"/>
    <w:rsid w:val="000F44BE"/>
    <w:rsid w:val="000F5215"/>
    <w:rsid w:val="00100A2E"/>
    <w:rsid w:val="00100B74"/>
    <w:rsid w:val="001025CC"/>
    <w:rsid w:val="00105B9B"/>
    <w:rsid w:val="00107FD1"/>
    <w:rsid w:val="00110380"/>
    <w:rsid w:val="00110736"/>
    <w:rsid w:val="0011083D"/>
    <w:rsid w:val="00111D04"/>
    <w:rsid w:val="00112214"/>
    <w:rsid w:val="00112495"/>
    <w:rsid w:val="00112873"/>
    <w:rsid w:val="00113613"/>
    <w:rsid w:val="00113C1C"/>
    <w:rsid w:val="00114F30"/>
    <w:rsid w:val="0011521B"/>
    <w:rsid w:val="00115458"/>
    <w:rsid w:val="00115E0F"/>
    <w:rsid w:val="00116156"/>
    <w:rsid w:val="00120AFC"/>
    <w:rsid w:val="00121A46"/>
    <w:rsid w:val="00123217"/>
    <w:rsid w:val="001237C8"/>
    <w:rsid w:val="00124869"/>
    <w:rsid w:val="00124B0F"/>
    <w:rsid w:val="00125A38"/>
    <w:rsid w:val="00125E0E"/>
    <w:rsid w:val="00127328"/>
    <w:rsid w:val="00131CC4"/>
    <w:rsid w:val="00134E3D"/>
    <w:rsid w:val="00134F7B"/>
    <w:rsid w:val="00135E87"/>
    <w:rsid w:val="00136116"/>
    <w:rsid w:val="00140538"/>
    <w:rsid w:val="00143CCE"/>
    <w:rsid w:val="00143F0A"/>
    <w:rsid w:val="00145844"/>
    <w:rsid w:val="00145E03"/>
    <w:rsid w:val="00146D9C"/>
    <w:rsid w:val="001478B3"/>
    <w:rsid w:val="00147DE4"/>
    <w:rsid w:val="00150D63"/>
    <w:rsid w:val="00152792"/>
    <w:rsid w:val="00153850"/>
    <w:rsid w:val="0015478C"/>
    <w:rsid w:val="001575DF"/>
    <w:rsid w:val="001628A3"/>
    <w:rsid w:val="00162B23"/>
    <w:rsid w:val="001637F3"/>
    <w:rsid w:val="00163973"/>
    <w:rsid w:val="00163A34"/>
    <w:rsid w:val="00163CE7"/>
    <w:rsid w:val="00165BB5"/>
    <w:rsid w:val="00165F88"/>
    <w:rsid w:val="0016606B"/>
    <w:rsid w:val="00167259"/>
    <w:rsid w:val="001703EA"/>
    <w:rsid w:val="00170950"/>
    <w:rsid w:val="00175DE1"/>
    <w:rsid w:val="0017709A"/>
    <w:rsid w:val="001772E2"/>
    <w:rsid w:val="00177529"/>
    <w:rsid w:val="00180A45"/>
    <w:rsid w:val="00181F52"/>
    <w:rsid w:val="00182AF1"/>
    <w:rsid w:val="001837FC"/>
    <w:rsid w:val="00183CAA"/>
    <w:rsid w:val="00184C46"/>
    <w:rsid w:val="00186A16"/>
    <w:rsid w:val="00190923"/>
    <w:rsid w:val="00191C52"/>
    <w:rsid w:val="00191DAA"/>
    <w:rsid w:val="00192726"/>
    <w:rsid w:val="00193EEE"/>
    <w:rsid w:val="001946A2"/>
    <w:rsid w:val="00196472"/>
    <w:rsid w:val="00196E8E"/>
    <w:rsid w:val="00197035"/>
    <w:rsid w:val="0019798A"/>
    <w:rsid w:val="001A0854"/>
    <w:rsid w:val="001A2057"/>
    <w:rsid w:val="001A3706"/>
    <w:rsid w:val="001A3A52"/>
    <w:rsid w:val="001A5A28"/>
    <w:rsid w:val="001A5CB7"/>
    <w:rsid w:val="001A6D8B"/>
    <w:rsid w:val="001B0B0B"/>
    <w:rsid w:val="001B1A67"/>
    <w:rsid w:val="001B282C"/>
    <w:rsid w:val="001B3B46"/>
    <w:rsid w:val="001B4D28"/>
    <w:rsid w:val="001B4F7E"/>
    <w:rsid w:val="001B5952"/>
    <w:rsid w:val="001B5F53"/>
    <w:rsid w:val="001B76F9"/>
    <w:rsid w:val="001C2AEB"/>
    <w:rsid w:val="001C6A43"/>
    <w:rsid w:val="001C793A"/>
    <w:rsid w:val="001C7A97"/>
    <w:rsid w:val="001D015A"/>
    <w:rsid w:val="001D1DF9"/>
    <w:rsid w:val="001D4587"/>
    <w:rsid w:val="001D5C24"/>
    <w:rsid w:val="001D5C73"/>
    <w:rsid w:val="001D7F51"/>
    <w:rsid w:val="001E004A"/>
    <w:rsid w:val="001E0219"/>
    <w:rsid w:val="001E0435"/>
    <w:rsid w:val="001E1176"/>
    <w:rsid w:val="001E2EDA"/>
    <w:rsid w:val="001E4C14"/>
    <w:rsid w:val="001E6417"/>
    <w:rsid w:val="001E699D"/>
    <w:rsid w:val="001F0862"/>
    <w:rsid w:val="001F0F12"/>
    <w:rsid w:val="001F3C6B"/>
    <w:rsid w:val="001F52AA"/>
    <w:rsid w:val="001F5985"/>
    <w:rsid w:val="001F5B3B"/>
    <w:rsid w:val="001F684F"/>
    <w:rsid w:val="00203B69"/>
    <w:rsid w:val="002045C1"/>
    <w:rsid w:val="002061FE"/>
    <w:rsid w:val="0020648B"/>
    <w:rsid w:val="00206507"/>
    <w:rsid w:val="002070A8"/>
    <w:rsid w:val="002102D0"/>
    <w:rsid w:val="00210C0E"/>
    <w:rsid w:val="00210FF0"/>
    <w:rsid w:val="00211AD2"/>
    <w:rsid w:val="00211E18"/>
    <w:rsid w:val="002124A8"/>
    <w:rsid w:val="002144AA"/>
    <w:rsid w:val="00214888"/>
    <w:rsid w:val="00215729"/>
    <w:rsid w:val="0021695F"/>
    <w:rsid w:val="0021721B"/>
    <w:rsid w:val="00217DC7"/>
    <w:rsid w:val="00220AC8"/>
    <w:rsid w:val="00220AF6"/>
    <w:rsid w:val="002225C1"/>
    <w:rsid w:val="00223090"/>
    <w:rsid w:val="0022364D"/>
    <w:rsid w:val="0022491A"/>
    <w:rsid w:val="002277D6"/>
    <w:rsid w:val="0023111B"/>
    <w:rsid w:val="002316F6"/>
    <w:rsid w:val="0023218D"/>
    <w:rsid w:val="0023568C"/>
    <w:rsid w:val="002357A4"/>
    <w:rsid w:val="002366CF"/>
    <w:rsid w:val="00237CE1"/>
    <w:rsid w:val="00240B4E"/>
    <w:rsid w:val="002417F1"/>
    <w:rsid w:val="00241EEC"/>
    <w:rsid w:val="0024205F"/>
    <w:rsid w:val="002421B2"/>
    <w:rsid w:val="00242CA3"/>
    <w:rsid w:val="0024315A"/>
    <w:rsid w:val="00243B4C"/>
    <w:rsid w:val="0024419D"/>
    <w:rsid w:val="002471A0"/>
    <w:rsid w:val="00247DD5"/>
    <w:rsid w:val="00247E31"/>
    <w:rsid w:val="002505B7"/>
    <w:rsid w:val="00251406"/>
    <w:rsid w:val="00252846"/>
    <w:rsid w:val="00253D59"/>
    <w:rsid w:val="00253E0E"/>
    <w:rsid w:val="00255613"/>
    <w:rsid w:val="00255B8A"/>
    <w:rsid w:val="00256135"/>
    <w:rsid w:val="0025653E"/>
    <w:rsid w:val="0026248B"/>
    <w:rsid w:val="002625F8"/>
    <w:rsid w:val="0026275A"/>
    <w:rsid w:val="0026351B"/>
    <w:rsid w:val="00264FC3"/>
    <w:rsid w:val="002717C7"/>
    <w:rsid w:val="00273129"/>
    <w:rsid w:val="00273ADF"/>
    <w:rsid w:val="00273DBD"/>
    <w:rsid w:val="00274298"/>
    <w:rsid w:val="002744FF"/>
    <w:rsid w:val="002748E8"/>
    <w:rsid w:val="00274991"/>
    <w:rsid w:val="002756B7"/>
    <w:rsid w:val="00275BF3"/>
    <w:rsid w:val="00275FCF"/>
    <w:rsid w:val="00277503"/>
    <w:rsid w:val="00280670"/>
    <w:rsid w:val="00280BCE"/>
    <w:rsid w:val="00281DD1"/>
    <w:rsid w:val="0028237F"/>
    <w:rsid w:val="0028278C"/>
    <w:rsid w:val="002841A5"/>
    <w:rsid w:val="002844EB"/>
    <w:rsid w:val="002852DF"/>
    <w:rsid w:val="00285C8B"/>
    <w:rsid w:val="00287354"/>
    <w:rsid w:val="002873AB"/>
    <w:rsid w:val="002907D1"/>
    <w:rsid w:val="00290A1B"/>
    <w:rsid w:val="00292FB8"/>
    <w:rsid w:val="00297816"/>
    <w:rsid w:val="002A04F1"/>
    <w:rsid w:val="002A144C"/>
    <w:rsid w:val="002A146A"/>
    <w:rsid w:val="002A39B3"/>
    <w:rsid w:val="002A47CD"/>
    <w:rsid w:val="002A4D70"/>
    <w:rsid w:val="002A549E"/>
    <w:rsid w:val="002A7693"/>
    <w:rsid w:val="002B0A80"/>
    <w:rsid w:val="002B245A"/>
    <w:rsid w:val="002B2765"/>
    <w:rsid w:val="002B39BA"/>
    <w:rsid w:val="002B3FE9"/>
    <w:rsid w:val="002B669E"/>
    <w:rsid w:val="002B6DD9"/>
    <w:rsid w:val="002C0DEC"/>
    <w:rsid w:val="002C0F28"/>
    <w:rsid w:val="002C15AD"/>
    <w:rsid w:val="002C3517"/>
    <w:rsid w:val="002C3A14"/>
    <w:rsid w:val="002C4937"/>
    <w:rsid w:val="002C523D"/>
    <w:rsid w:val="002C5CA8"/>
    <w:rsid w:val="002C6306"/>
    <w:rsid w:val="002C6EDB"/>
    <w:rsid w:val="002C7226"/>
    <w:rsid w:val="002C742A"/>
    <w:rsid w:val="002C76D3"/>
    <w:rsid w:val="002C7F51"/>
    <w:rsid w:val="002D00EB"/>
    <w:rsid w:val="002D03FC"/>
    <w:rsid w:val="002D1704"/>
    <w:rsid w:val="002D1EF3"/>
    <w:rsid w:val="002D3D07"/>
    <w:rsid w:val="002D419D"/>
    <w:rsid w:val="002D45F4"/>
    <w:rsid w:val="002D5688"/>
    <w:rsid w:val="002D6374"/>
    <w:rsid w:val="002D683E"/>
    <w:rsid w:val="002D69C9"/>
    <w:rsid w:val="002E0936"/>
    <w:rsid w:val="002E111F"/>
    <w:rsid w:val="002E232D"/>
    <w:rsid w:val="002E23A6"/>
    <w:rsid w:val="002E2A30"/>
    <w:rsid w:val="002E490B"/>
    <w:rsid w:val="002E4B9C"/>
    <w:rsid w:val="002E4C87"/>
    <w:rsid w:val="002E4FEB"/>
    <w:rsid w:val="002E57E0"/>
    <w:rsid w:val="002E5E43"/>
    <w:rsid w:val="002E6B2A"/>
    <w:rsid w:val="002E71C7"/>
    <w:rsid w:val="002E751F"/>
    <w:rsid w:val="002F143B"/>
    <w:rsid w:val="002F1BCF"/>
    <w:rsid w:val="002F2D3E"/>
    <w:rsid w:val="002F32CB"/>
    <w:rsid w:val="002F5949"/>
    <w:rsid w:val="002F6394"/>
    <w:rsid w:val="00300CFC"/>
    <w:rsid w:val="00301D90"/>
    <w:rsid w:val="00301DDF"/>
    <w:rsid w:val="003024DF"/>
    <w:rsid w:val="00305181"/>
    <w:rsid w:val="00305656"/>
    <w:rsid w:val="003056C6"/>
    <w:rsid w:val="00305F38"/>
    <w:rsid w:val="00306E51"/>
    <w:rsid w:val="00307CA0"/>
    <w:rsid w:val="00315FE3"/>
    <w:rsid w:val="00316921"/>
    <w:rsid w:val="00316F29"/>
    <w:rsid w:val="00316F37"/>
    <w:rsid w:val="0032085B"/>
    <w:rsid w:val="00320EAF"/>
    <w:rsid w:val="00321AF5"/>
    <w:rsid w:val="003227B0"/>
    <w:rsid w:val="00323BB8"/>
    <w:rsid w:val="003246C5"/>
    <w:rsid w:val="003256A6"/>
    <w:rsid w:val="00325928"/>
    <w:rsid w:val="00326425"/>
    <w:rsid w:val="003268A3"/>
    <w:rsid w:val="00326C87"/>
    <w:rsid w:val="00326FA4"/>
    <w:rsid w:val="003279D3"/>
    <w:rsid w:val="00330B45"/>
    <w:rsid w:val="00330E46"/>
    <w:rsid w:val="00331B5C"/>
    <w:rsid w:val="00332A01"/>
    <w:rsid w:val="00333B7B"/>
    <w:rsid w:val="003344D3"/>
    <w:rsid w:val="00334909"/>
    <w:rsid w:val="00335C27"/>
    <w:rsid w:val="003446B8"/>
    <w:rsid w:val="00344DAE"/>
    <w:rsid w:val="00344FBA"/>
    <w:rsid w:val="003451D2"/>
    <w:rsid w:val="0034556F"/>
    <w:rsid w:val="00346B9C"/>
    <w:rsid w:val="003473E2"/>
    <w:rsid w:val="0034757D"/>
    <w:rsid w:val="003504E0"/>
    <w:rsid w:val="00350882"/>
    <w:rsid w:val="0035334B"/>
    <w:rsid w:val="00356719"/>
    <w:rsid w:val="00356B7A"/>
    <w:rsid w:val="00357583"/>
    <w:rsid w:val="00364D84"/>
    <w:rsid w:val="00366290"/>
    <w:rsid w:val="00370582"/>
    <w:rsid w:val="00370A57"/>
    <w:rsid w:val="003712D8"/>
    <w:rsid w:val="00371B95"/>
    <w:rsid w:val="00371CC6"/>
    <w:rsid w:val="003723FA"/>
    <w:rsid w:val="00372463"/>
    <w:rsid w:val="0037580F"/>
    <w:rsid w:val="00375AFD"/>
    <w:rsid w:val="003773B9"/>
    <w:rsid w:val="00381F2B"/>
    <w:rsid w:val="0038310B"/>
    <w:rsid w:val="0038319C"/>
    <w:rsid w:val="003846F6"/>
    <w:rsid w:val="00384A5A"/>
    <w:rsid w:val="00384F76"/>
    <w:rsid w:val="003872F5"/>
    <w:rsid w:val="0039150C"/>
    <w:rsid w:val="0039363D"/>
    <w:rsid w:val="00396FCA"/>
    <w:rsid w:val="00397686"/>
    <w:rsid w:val="003A0AF6"/>
    <w:rsid w:val="003A1F32"/>
    <w:rsid w:val="003A458C"/>
    <w:rsid w:val="003A488A"/>
    <w:rsid w:val="003A492D"/>
    <w:rsid w:val="003A5147"/>
    <w:rsid w:val="003A5701"/>
    <w:rsid w:val="003A5921"/>
    <w:rsid w:val="003A7794"/>
    <w:rsid w:val="003B0E5F"/>
    <w:rsid w:val="003B2A35"/>
    <w:rsid w:val="003B2EB3"/>
    <w:rsid w:val="003B2EC2"/>
    <w:rsid w:val="003B3696"/>
    <w:rsid w:val="003B387D"/>
    <w:rsid w:val="003B446B"/>
    <w:rsid w:val="003B6E4C"/>
    <w:rsid w:val="003B73B4"/>
    <w:rsid w:val="003C0538"/>
    <w:rsid w:val="003C057C"/>
    <w:rsid w:val="003C225C"/>
    <w:rsid w:val="003C2F5C"/>
    <w:rsid w:val="003C4A3D"/>
    <w:rsid w:val="003C59BC"/>
    <w:rsid w:val="003C7281"/>
    <w:rsid w:val="003C7294"/>
    <w:rsid w:val="003C7699"/>
    <w:rsid w:val="003D0DFA"/>
    <w:rsid w:val="003D1822"/>
    <w:rsid w:val="003D387C"/>
    <w:rsid w:val="003D40FB"/>
    <w:rsid w:val="003D47BD"/>
    <w:rsid w:val="003D5948"/>
    <w:rsid w:val="003E029B"/>
    <w:rsid w:val="003E0788"/>
    <w:rsid w:val="003E0B62"/>
    <w:rsid w:val="003E1D74"/>
    <w:rsid w:val="003E1DCC"/>
    <w:rsid w:val="003E267A"/>
    <w:rsid w:val="003E3F1A"/>
    <w:rsid w:val="003E64BB"/>
    <w:rsid w:val="003E68DC"/>
    <w:rsid w:val="003E6FB7"/>
    <w:rsid w:val="003F1D0E"/>
    <w:rsid w:val="003F33C8"/>
    <w:rsid w:val="003F45C7"/>
    <w:rsid w:val="003F6D75"/>
    <w:rsid w:val="004000F1"/>
    <w:rsid w:val="00400F1C"/>
    <w:rsid w:val="00402845"/>
    <w:rsid w:val="00403D55"/>
    <w:rsid w:val="004056FE"/>
    <w:rsid w:val="0040584D"/>
    <w:rsid w:val="00406DF5"/>
    <w:rsid w:val="00407625"/>
    <w:rsid w:val="004104E7"/>
    <w:rsid w:val="00413918"/>
    <w:rsid w:val="00415AB0"/>
    <w:rsid w:val="00417700"/>
    <w:rsid w:val="00420881"/>
    <w:rsid w:val="00420DCA"/>
    <w:rsid w:val="00420E8A"/>
    <w:rsid w:val="00421242"/>
    <w:rsid w:val="00422A41"/>
    <w:rsid w:val="0042398D"/>
    <w:rsid w:val="00424E0C"/>
    <w:rsid w:val="00426C49"/>
    <w:rsid w:val="00427649"/>
    <w:rsid w:val="004277C1"/>
    <w:rsid w:val="004318E3"/>
    <w:rsid w:val="00431D68"/>
    <w:rsid w:val="00432C20"/>
    <w:rsid w:val="00432C8B"/>
    <w:rsid w:val="00432EA3"/>
    <w:rsid w:val="00433FB6"/>
    <w:rsid w:val="00434D6A"/>
    <w:rsid w:val="00435807"/>
    <w:rsid w:val="00435D75"/>
    <w:rsid w:val="00435F25"/>
    <w:rsid w:val="00441CD9"/>
    <w:rsid w:val="00442185"/>
    <w:rsid w:val="00442C9F"/>
    <w:rsid w:val="00443D35"/>
    <w:rsid w:val="004457EF"/>
    <w:rsid w:val="00445B78"/>
    <w:rsid w:val="0044710C"/>
    <w:rsid w:val="00447AE7"/>
    <w:rsid w:val="00450216"/>
    <w:rsid w:val="00450697"/>
    <w:rsid w:val="00451CB8"/>
    <w:rsid w:val="00451F34"/>
    <w:rsid w:val="00452016"/>
    <w:rsid w:val="0045446B"/>
    <w:rsid w:val="00455DCF"/>
    <w:rsid w:val="00462639"/>
    <w:rsid w:val="0046435A"/>
    <w:rsid w:val="00467980"/>
    <w:rsid w:val="0047081E"/>
    <w:rsid w:val="0047083F"/>
    <w:rsid w:val="0047106A"/>
    <w:rsid w:val="004713C0"/>
    <w:rsid w:val="00471B47"/>
    <w:rsid w:val="0047256A"/>
    <w:rsid w:val="00473441"/>
    <w:rsid w:val="0047360B"/>
    <w:rsid w:val="00475480"/>
    <w:rsid w:val="00475B38"/>
    <w:rsid w:val="00476BF3"/>
    <w:rsid w:val="00480CE1"/>
    <w:rsid w:val="00481134"/>
    <w:rsid w:val="0048136F"/>
    <w:rsid w:val="00481884"/>
    <w:rsid w:val="00483327"/>
    <w:rsid w:val="00484E9C"/>
    <w:rsid w:val="004861FF"/>
    <w:rsid w:val="00490C31"/>
    <w:rsid w:val="00494954"/>
    <w:rsid w:val="004950E8"/>
    <w:rsid w:val="004951A2"/>
    <w:rsid w:val="00496389"/>
    <w:rsid w:val="00496575"/>
    <w:rsid w:val="004973A6"/>
    <w:rsid w:val="004977BE"/>
    <w:rsid w:val="004A0945"/>
    <w:rsid w:val="004A1C55"/>
    <w:rsid w:val="004A3D3F"/>
    <w:rsid w:val="004A54EA"/>
    <w:rsid w:val="004A5969"/>
    <w:rsid w:val="004A7C17"/>
    <w:rsid w:val="004A7CD4"/>
    <w:rsid w:val="004B2265"/>
    <w:rsid w:val="004B287C"/>
    <w:rsid w:val="004B3AAF"/>
    <w:rsid w:val="004B40E7"/>
    <w:rsid w:val="004B4318"/>
    <w:rsid w:val="004B5886"/>
    <w:rsid w:val="004B6CE9"/>
    <w:rsid w:val="004B7F37"/>
    <w:rsid w:val="004C144F"/>
    <w:rsid w:val="004C2DF7"/>
    <w:rsid w:val="004C2F67"/>
    <w:rsid w:val="004C5932"/>
    <w:rsid w:val="004C5DBE"/>
    <w:rsid w:val="004C7CB3"/>
    <w:rsid w:val="004D03A9"/>
    <w:rsid w:val="004D33E3"/>
    <w:rsid w:val="004D5DC1"/>
    <w:rsid w:val="004D5EBE"/>
    <w:rsid w:val="004D655C"/>
    <w:rsid w:val="004D6844"/>
    <w:rsid w:val="004D7D59"/>
    <w:rsid w:val="004D7E39"/>
    <w:rsid w:val="004E00E7"/>
    <w:rsid w:val="004E014B"/>
    <w:rsid w:val="004E027D"/>
    <w:rsid w:val="004E069C"/>
    <w:rsid w:val="004E1150"/>
    <w:rsid w:val="004E1F47"/>
    <w:rsid w:val="004E2F13"/>
    <w:rsid w:val="004E35DC"/>
    <w:rsid w:val="004E3A37"/>
    <w:rsid w:val="004E4728"/>
    <w:rsid w:val="004E5FF7"/>
    <w:rsid w:val="004E639D"/>
    <w:rsid w:val="004E70B7"/>
    <w:rsid w:val="004E76A6"/>
    <w:rsid w:val="004E7770"/>
    <w:rsid w:val="004E7C21"/>
    <w:rsid w:val="004E7E2C"/>
    <w:rsid w:val="004F217B"/>
    <w:rsid w:val="004F2343"/>
    <w:rsid w:val="004F26D7"/>
    <w:rsid w:val="004F3198"/>
    <w:rsid w:val="004F34B3"/>
    <w:rsid w:val="004F53F8"/>
    <w:rsid w:val="004F57E1"/>
    <w:rsid w:val="004F5F39"/>
    <w:rsid w:val="004F6060"/>
    <w:rsid w:val="004F66D8"/>
    <w:rsid w:val="00501A7F"/>
    <w:rsid w:val="00502B62"/>
    <w:rsid w:val="00502D95"/>
    <w:rsid w:val="00503FEB"/>
    <w:rsid w:val="005041A1"/>
    <w:rsid w:val="00505D60"/>
    <w:rsid w:val="0050770D"/>
    <w:rsid w:val="00507A56"/>
    <w:rsid w:val="00507C56"/>
    <w:rsid w:val="005109B1"/>
    <w:rsid w:val="00510BD1"/>
    <w:rsid w:val="00511957"/>
    <w:rsid w:val="00513A9F"/>
    <w:rsid w:val="00513CDE"/>
    <w:rsid w:val="005140E4"/>
    <w:rsid w:val="005149E1"/>
    <w:rsid w:val="00514E80"/>
    <w:rsid w:val="00521585"/>
    <w:rsid w:val="00521A38"/>
    <w:rsid w:val="00522354"/>
    <w:rsid w:val="0052371C"/>
    <w:rsid w:val="00524612"/>
    <w:rsid w:val="00527105"/>
    <w:rsid w:val="00527672"/>
    <w:rsid w:val="00530E27"/>
    <w:rsid w:val="005314DB"/>
    <w:rsid w:val="00532348"/>
    <w:rsid w:val="00532D58"/>
    <w:rsid w:val="00532F9E"/>
    <w:rsid w:val="00533635"/>
    <w:rsid w:val="00535580"/>
    <w:rsid w:val="005358C5"/>
    <w:rsid w:val="00536C66"/>
    <w:rsid w:val="005372A9"/>
    <w:rsid w:val="005432FA"/>
    <w:rsid w:val="005437A7"/>
    <w:rsid w:val="005443D2"/>
    <w:rsid w:val="00545AF8"/>
    <w:rsid w:val="00546CE6"/>
    <w:rsid w:val="005475E7"/>
    <w:rsid w:val="005478EF"/>
    <w:rsid w:val="00547A6F"/>
    <w:rsid w:val="00551A44"/>
    <w:rsid w:val="00552615"/>
    <w:rsid w:val="00552644"/>
    <w:rsid w:val="00553B4C"/>
    <w:rsid w:val="00553DA0"/>
    <w:rsid w:val="005558D0"/>
    <w:rsid w:val="00556629"/>
    <w:rsid w:val="0055686A"/>
    <w:rsid w:val="005578EE"/>
    <w:rsid w:val="00557F76"/>
    <w:rsid w:val="005600E2"/>
    <w:rsid w:val="005600F7"/>
    <w:rsid w:val="0056070E"/>
    <w:rsid w:val="00562ECA"/>
    <w:rsid w:val="005634EC"/>
    <w:rsid w:val="0056518A"/>
    <w:rsid w:val="005651BB"/>
    <w:rsid w:val="00565538"/>
    <w:rsid w:val="005657A6"/>
    <w:rsid w:val="0057022E"/>
    <w:rsid w:val="00570BE4"/>
    <w:rsid w:val="005710EE"/>
    <w:rsid w:val="00571201"/>
    <w:rsid w:val="00574000"/>
    <w:rsid w:val="0057726F"/>
    <w:rsid w:val="00577D51"/>
    <w:rsid w:val="0058064A"/>
    <w:rsid w:val="00580865"/>
    <w:rsid w:val="00581069"/>
    <w:rsid w:val="005810CD"/>
    <w:rsid w:val="00581B8D"/>
    <w:rsid w:val="00583586"/>
    <w:rsid w:val="00583AAC"/>
    <w:rsid w:val="0058778F"/>
    <w:rsid w:val="00590B36"/>
    <w:rsid w:val="00591441"/>
    <w:rsid w:val="00591CDB"/>
    <w:rsid w:val="00591FD3"/>
    <w:rsid w:val="0059277B"/>
    <w:rsid w:val="00594732"/>
    <w:rsid w:val="005A036A"/>
    <w:rsid w:val="005A0DAC"/>
    <w:rsid w:val="005A151A"/>
    <w:rsid w:val="005A2228"/>
    <w:rsid w:val="005A347B"/>
    <w:rsid w:val="005A3E56"/>
    <w:rsid w:val="005A475E"/>
    <w:rsid w:val="005A5403"/>
    <w:rsid w:val="005A7609"/>
    <w:rsid w:val="005A7D1F"/>
    <w:rsid w:val="005B0254"/>
    <w:rsid w:val="005B0A30"/>
    <w:rsid w:val="005B4918"/>
    <w:rsid w:val="005B51F4"/>
    <w:rsid w:val="005B5A5F"/>
    <w:rsid w:val="005C0890"/>
    <w:rsid w:val="005C0F14"/>
    <w:rsid w:val="005C11EB"/>
    <w:rsid w:val="005C15FE"/>
    <w:rsid w:val="005C1F0E"/>
    <w:rsid w:val="005C35A5"/>
    <w:rsid w:val="005C4FA1"/>
    <w:rsid w:val="005C6246"/>
    <w:rsid w:val="005D003A"/>
    <w:rsid w:val="005D2485"/>
    <w:rsid w:val="005D3415"/>
    <w:rsid w:val="005D4750"/>
    <w:rsid w:val="005D54EB"/>
    <w:rsid w:val="005D6BA1"/>
    <w:rsid w:val="005E0166"/>
    <w:rsid w:val="005E0E64"/>
    <w:rsid w:val="005E2A86"/>
    <w:rsid w:val="005E312F"/>
    <w:rsid w:val="005E4CEC"/>
    <w:rsid w:val="005E5EB9"/>
    <w:rsid w:val="005E7584"/>
    <w:rsid w:val="005F025A"/>
    <w:rsid w:val="005F062F"/>
    <w:rsid w:val="005F0C1D"/>
    <w:rsid w:val="005F1862"/>
    <w:rsid w:val="005F2003"/>
    <w:rsid w:val="005F214F"/>
    <w:rsid w:val="005F378F"/>
    <w:rsid w:val="005F3B91"/>
    <w:rsid w:val="005F568E"/>
    <w:rsid w:val="005F5777"/>
    <w:rsid w:val="005F59A1"/>
    <w:rsid w:val="005F5BD5"/>
    <w:rsid w:val="00600400"/>
    <w:rsid w:val="006004AD"/>
    <w:rsid w:val="006005D8"/>
    <w:rsid w:val="006031BE"/>
    <w:rsid w:val="00604CBF"/>
    <w:rsid w:val="00604E02"/>
    <w:rsid w:val="00604EAC"/>
    <w:rsid w:val="00605164"/>
    <w:rsid w:val="0060672C"/>
    <w:rsid w:val="006072DA"/>
    <w:rsid w:val="006079ED"/>
    <w:rsid w:val="00612077"/>
    <w:rsid w:val="00612080"/>
    <w:rsid w:val="00612316"/>
    <w:rsid w:val="006147D6"/>
    <w:rsid w:val="00616A11"/>
    <w:rsid w:val="006176DF"/>
    <w:rsid w:val="00621706"/>
    <w:rsid w:val="00621CB9"/>
    <w:rsid w:val="006227CB"/>
    <w:rsid w:val="00622DED"/>
    <w:rsid w:val="006232D1"/>
    <w:rsid w:val="00623584"/>
    <w:rsid w:val="006323B3"/>
    <w:rsid w:val="00632EE3"/>
    <w:rsid w:val="00634D19"/>
    <w:rsid w:val="00637ECF"/>
    <w:rsid w:val="00641AFF"/>
    <w:rsid w:val="00642B26"/>
    <w:rsid w:val="00643357"/>
    <w:rsid w:val="00644B59"/>
    <w:rsid w:val="00645FDC"/>
    <w:rsid w:val="00646DE7"/>
    <w:rsid w:val="00647B21"/>
    <w:rsid w:val="00647C7B"/>
    <w:rsid w:val="0065068D"/>
    <w:rsid w:val="0065104B"/>
    <w:rsid w:val="006517DA"/>
    <w:rsid w:val="00652C8C"/>
    <w:rsid w:val="00652CF4"/>
    <w:rsid w:val="00653762"/>
    <w:rsid w:val="0065459F"/>
    <w:rsid w:val="00655A0D"/>
    <w:rsid w:val="00655D6A"/>
    <w:rsid w:val="0065702C"/>
    <w:rsid w:val="006573B1"/>
    <w:rsid w:val="0065793D"/>
    <w:rsid w:val="00660210"/>
    <w:rsid w:val="00661B8B"/>
    <w:rsid w:val="00661F6E"/>
    <w:rsid w:val="0066284F"/>
    <w:rsid w:val="00662A03"/>
    <w:rsid w:val="00662DCD"/>
    <w:rsid w:val="00663B4F"/>
    <w:rsid w:val="006653AA"/>
    <w:rsid w:val="00666F44"/>
    <w:rsid w:val="006678DE"/>
    <w:rsid w:val="006700D3"/>
    <w:rsid w:val="0067098D"/>
    <w:rsid w:val="00671900"/>
    <w:rsid w:val="00673AD3"/>
    <w:rsid w:val="0067454F"/>
    <w:rsid w:val="006747A3"/>
    <w:rsid w:val="00675AC4"/>
    <w:rsid w:val="00681D9B"/>
    <w:rsid w:val="0068326E"/>
    <w:rsid w:val="006845C7"/>
    <w:rsid w:val="00684CF1"/>
    <w:rsid w:val="00684D2F"/>
    <w:rsid w:val="00684DC5"/>
    <w:rsid w:val="00684E10"/>
    <w:rsid w:val="00686E4E"/>
    <w:rsid w:val="0068720E"/>
    <w:rsid w:val="006877EF"/>
    <w:rsid w:val="00691622"/>
    <w:rsid w:val="00691D55"/>
    <w:rsid w:val="0069308A"/>
    <w:rsid w:val="00693541"/>
    <w:rsid w:val="00693DFD"/>
    <w:rsid w:val="00694BA4"/>
    <w:rsid w:val="00694D69"/>
    <w:rsid w:val="006957B8"/>
    <w:rsid w:val="006A0213"/>
    <w:rsid w:val="006A061F"/>
    <w:rsid w:val="006A0A31"/>
    <w:rsid w:val="006A1C4C"/>
    <w:rsid w:val="006A36C6"/>
    <w:rsid w:val="006A6D9D"/>
    <w:rsid w:val="006A75BA"/>
    <w:rsid w:val="006A7FDA"/>
    <w:rsid w:val="006B2BEE"/>
    <w:rsid w:val="006B35BC"/>
    <w:rsid w:val="006B5DD3"/>
    <w:rsid w:val="006B607F"/>
    <w:rsid w:val="006B677C"/>
    <w:rsid w:val="006B79A9"/>
    <w:rsid w:val="006C0F5C"/>
    <w:rsid w:val="006C1F65"/>
    <w:rsid w:val="006C5631"/>
    <w:rsid w:val="006C6B80"/>
    <w:rsid w:val="006C6CC4"/>
    <w:rsid w:val="006C721A"/>
    <w:rsid w:val="006C7DB6"/>
    <w:rsid w:val="006D2119"/>
    <w:rsid w:val="006D23A0"/>
    <w:rsid w:val="006D55EF"/>
    <w:rsid w:val="006D5EAC"/>
    <w:rsid w:val="006D6618"/>
    <w:rsid w:val="006E115C"/>
    <w:rsid w:val="006E1EF7"/>
    <w:rsid w:val="006E208F"/>
    <w:rsid w:val="006E4C40"/>
    <w:rsid w:val="006E6DDA"/>
    <w:rsid w:val="006E77AD"/>
    <w:rsid w:val="006F0143"/>
    <w:rsid w:val="006F0DD3"/>
    <w:rsid w:val="006F24D6"/>
    <w:rsid w:val="006F4E8B"/>
    <w:rsid w:val="0070063F"/>
    <w:rsid w:val="007018B5"/>
    <w:rsid w:val="00702765"/>
    <w:rsid w:val="00702A6A"/>
    <w:rsid w:val="00704C45"/>
    <w:rsid w:val="00707B42"/>
    <w:rsid w:val="00707CCD"/>
    <w:rsid w:val="00710CF6"/>
    <w:rsid w:val="00710EEB"/>
    <w:rsid w:val="0071271A"/>
    <w:rsid w:val="007142FF"/>
    <w:rsid w:val="0071516E"/>
    <w:rsid w:val="00715470"/>
    <w:rsid w:val="00717E15"/>
    <w:rsid w:val="00720D79"/>
    <w:rsid w:val="00723A58"/>
    <w:rsid w:val="00724E8B"/>
    <w:rsid w:val="007250A3"/>
    <w:rsid w:val="0073073A"/>
    <w:rsid w:val="007312DD"/>
    <w:rsid w:val="00731405"/>
    <w:rsid w:val="0073298F"/>
    <w:rsid w:val="0073383C"/>
    <w:rsid w:val="00735399"/>
    <w:rsid w:val="00735BD3"/>
    <w:rsid w:val="00736068"/>
    <w:rsid w:val="00736F36"/>
    <w:rsid w:val="00740359"/>
    <w:rsid w:val="00741F16"/>
    <w:rsid w:val="007427DC"/>
    <w:rsid w:val="00751EAA"/>
    <w:rsid w:val="00752FAF"/>
    <w:rsid w:val="00755190"/>
    <w:rsid w:val="00756DA0"/>
    <w:rsid w:val="0075743E"/>
    <w:rsid w:val="007576EF"/>
    <w:rsid w:val="00757725"/>
    <w:rsid w:val="007606DC"/>
    <w:rsid w:val="007612D8"/>
    <w:rsid w:val="007628AC"/>
    <w:rsid w:val="00762DD1"/>
    <w:rsid w:val="00763A91"/>
    <w:rsid w:val="0076505D"/>
    <w:rsid w:val="00765CA5"/>
    <w:rsid w:val="00766B8E"/>
    <w:rsid w:val="00770C33"/>
    <w:rsid w:val="0077100F"/>
    <w:rsid w:val="0077140E"/>
    <w:rsid w:val="00771DB7"/>
    <w:rsid w:val="007731EE"/>
    <w:rsid w:val="00773C17"/>
    <w:rsid w:val="00775125"/>
    <w:rsid w:val="00777EBF"/>
    <w:rsid w:val="00777FDB"/>
    <w:rsid w:val="00780F1F"/>
    <w:rsid w:val="00780F66"/>
    <w:rsid w:val="007817E4"/>
    <w:rsid w:val="00781F67"/>
    <w:rsid w:val="00790D1E"/>
    <w:rsid w:val="00791CF3"/>
    <w:rsid w:val="007952D0"/>
    <w:rsid w:val="00795EE8"/>
    <w:rsid w:val="00796127"/>
    <w:rsid w:val="007A0123"/>
    <w:rsid w:val="007A16CC"/>
    <w:rsid w:val="007A1A2E"/>
    <w:rsid w:val="007A215C"/>
    <w:rsid w:val="007A3BE7"/>
    <w:rsid w:val="007A43A7"/>
    <w:rsid w:val="007A6B94"/>
    <w:rsid w:val="007B2E18"/>
    <w:rsid w:val="007B3A82"/>
    <w:rsid w:val="007B4243"/>
    <w:rsid w:val="007B5CF5"/>
    <w:rsid w:val="007B7ECF"/>
    <w:rsid w:val="007C025F"/>
    <w:rsid w:val="007C0C16"/>
    <w:rsid w:val="007C264A"/>
    <w:rsid w:val="007C2A82"/>
    <w:rsid w:val="007C2B13"/>
    <w:rsid w:val="007C5656"/>
    <w:rsid w:val="007C5BC1"/>
    <w:rsid w:val="007C60E3"/>
    <w:rsid w:val="007C726A"/>
    <w:rsid w:val="007D1479"/>
    <w:rsid w:val="007D1E14"/>
    <w:rsid w:val="007D1FDF"/>
    <w:rsid w:val="007D2BAE"/>
    <w:rsid w:val="007D3382"/>
    <w:rsid w:val="007D3462"/>
    <w:rsid w:val="007D44CC"/>
    <w:rsid w:val="007D47AA"/>
    <w:rsid w:val="007D572D"/>
    <w:rsid w:val="007D6993"/>
    <w:rsid w:val="007D7267"/>
    <w:rsid w:val="007D78FA"/>
    <w:rsid w:val="007D7D55"/>
    <w:rsid w:val="007E027B"/>
    <w:rsid w:val="007E0A04"/>
    <w:rsid w:val="007E0D1D"/>
    <w:rsid w:val="007E1495"/>
    <w:rsid w:val="007E2BE5"/>
    <w:rsid w:val="007E2ECC"/>
    <w:rsid w:val="007E2F7F"/>
    <w:rsid w:val="007E41BD"/>
    <w:rsid w:val="007E48C1"/>
    <w:rsid w:val="007E57FF"/>
    <w:rsid w:val="007E5918"/>
    <w:rsid w:val="007F0350"/>
    <w:rsid w:val="007F0623"/>
    <w:rsid w:val="007F268C"/>
    <w:rsid w:val="007F3295"/>
    <w:rsid w:val="007F45AA"/>
    <w:rsid w:val="007F50EE"/>
    <w:rsid w:val="007F6B86"/>
    <w:rsid w:val="007F7244"/>
    <w:rsid w:val="007F745A"/>
    <w:rsid w:val="007F7798"/>
    <w:rsid w:val="007F785F"/>
    <w:rsid w:val="007F79F1"/>
    <w:rsid w:val="008007B4"/>
    <w:rsid w:val="00801F2E"/>
    <w:rsid w:val="00802387"/>
    <w:rsid w:val="00802B76"/>
    <w:rsid w:val="00803B16"/>
    <w:rsid w:val="00803D3F"/>
    <w:rsid w:val="00804B7A"/>
    <w:rsid w:val="00807D84"/>
    <w:rsid w:val="00810068"/>
    <w:rsid w:val="008106D2"/>
    <w:rsid w:val="00810B9D"/>
    <w:rsid w:val="00811706"/>
    <w:rsid w:val="00811CE6"/>
    <w:rsid w:val="00813C35"/>
    <w:rsid w:val="00815AE7"/>
    <w:rsid w:val="00815F1B"/>
    <w:rsid w:val="0081774A"/>
    <w:rsid w:val="00817CA1"/>
    <w:rsid w:val="00817D53"/>
    <w:rsid w:val="008219C2"/>
    <w:rsid w:val="0082276D"/>
    <w:rsid w:val="00822DD8"/>
    <w:rsid w:val="00823149"/>
    <w:rsid w:val="008232CA"/>
    <w:rsid w:val="00823885"/>
    <w:rsid w:val="00823FE8"/>
    <w:rsid w:val="00826BBB"/>
    <w:rsid w:val="008273A4"/>
    <w:rsid w:val="00827798"/>
    <w:rsid w:val="00827806"/>
    <w:rsid w:val="00830008"/>
    <w:rsid w:val="00833511"/>
    <w:rsid w:val="0083455A"/>
    <w:rsid w:val="00834CAD"/>
    <w:rsid w:val="00834D6C"/>
    <w:rsid w:val="00834F7F"/>
    <w:rsid w:val="00835FDB"/>
    <w:rsid w:val="00837DBA"/>
    <w:rsid w:val="008400C4"/>
    <w:rsid w:val="008401D8"/>
    <w:rsid w:val="0084023A"/>
    <w:rsid w:val="00840BB1"/>
    <w:rsid w:val="0084308C"/>
    <w:rsid w:val="00846CE9"/>
    <w:rsid w:val="00847C1A"/>
    <w:rsid w:val="008502EB"/>
    <w:rsid w:val="008518D6"/>
    <w:rsid w:val="008519FF"/>
    <w:rsid w:val="00853349"/>
    <w:rsid w:val="00854977"/>
    <w:rsid w:val="00854E39"/>
    <w:rsid w:val="0085671A"/>
    <w:rsid w:val="0086041E"/>
    <w:rsid w:val="00860625"/>
    <w:rsid w:val="00862327"/>
    <w:rsid w:val="00864BC8"/>
    <w:rsid w:val="008659EB"/>
    <w:rsid w:val="00870EE7"/>
    <w:rsid w:val="00872236"/>
    <w:rsid w:val="0087269D"/>
    <w:rsid w:val="008731D1"/>
    <w:rsid w:val="008735C9"/>
    <w:rsid w:val="008754A5"/>
    <w:rsid w:val="008762C0"/>
    <w:rsid w:val="008764C5"/>
    <w:rsid w:val="008772D1"/>
    <w:rsid w:val="008772DE"/>
    <w:rsid w:val="00877FC5"/>
    <w:rsid w:val="0088104C"/>
    <w:rsid w:val="00881F4B"/>
    <w:rsid w:val="008831BE"/>
    <w:rsid w:val="00883F61"/>
    <w:rsid w:val="008867C3"/>
    <w:rsid w:val="00886DBF"/>
    <w:rsid w:val="00886F4B"/>
    <w:rsid w:val="00892295"/>
    <w:rsid w:val="0089267A"/>
    <w:rsid w:val="00893C55"/>
    <w:rsid w:val="00895857"/>
    <w:rsid w:val="00895D22"/>
    <w:rsid w:val="00896997"/>
    <w:rsid w:val="00897039"/>
    <w:rsid w:val="008A0BD6"/>
    <w:rsid w:val="008A111D"/>
    <w:rsid w:val="008A20A8"/>
    <w:rsid w:val="008A2F23"/>
    <w:rsid w:val="008A61ED"/>
    <w:rsid w:val="008A7CF2"/>
    <w:rsid w:val="008A7F2D"/>
    <w:rsid w:val="008B02C7"/>
    <w:rsid w:val="008B0772"/>
    <w:rsid w:val="008B0B09"/>
    <w:rsid w:val="008B1398"/>
    <w:rsid w:val="008B2ACC"/>
    <w:rsid w:val="008B3558"/>
    <w:rsid w:val="008B37FE"/>
    <w:rsid w:val="008B4024"/>
    <w:rsid w:val="008B6B40"/>
    <w:rsid w:val="008C163D"/>
    <w:rsid w:val="008C2006"/>
    <w:rsid w:val="008C252A"/>
    <w:rsid w:val="008C2B33"/>
    <w:rsid w:val="008C5244"/>
    <w:rsid w:val="008C58C4"/>
    <w:rsid w:val="008C5C67"/>
    <w:rsid w:val="008C64D0"/>
    <w:rsid w:val="008C7963"/>
    <w:rsid w:val="008D0D16"/>
    <w:rsid w:val="008D1EF2"/>
    <w:rsid w:val="008D28BC"/>
    <w:rsid w:val="008D4BB3"/>
    <w:rsid w:val="008D4D14"/>
    <w:rsid w:val="008D6B3B"/>
    <w:rsid w:val="008D7C1D"/>
    <w:rsid w:val="008E03DF"/>
    <w:rsid w:val="008E4026"/>
    <w:rsid w:val="008E44D6"/>
    <w:rsid w:val="008F0553"/>
    <w:rsid w:val="008F069A"/>
    <w:rsid w:val="008F0D0E"/>
    <w:rsid w:val="008F1E4B"/>
    <w:rsid w:val="008F347A"/>
    <w:rsid w:val="008F3726"/>
    <w:rsid w:val="008F3B07"/>
    <w:rsid w:val="008F3BE2"/>
    <w:rsid w:val="008F44CF"/>
    <w:rsid w:val="008F4673"/>
    <w:rsid w:val="008F53A4"/>
    <w:rsid w:val="008F584F"/>
    <w:rsid w:val="008F605E"/>
    <w:rsid w:val="008F6228"/>
    <w:rsid w:val="008F6EE8"/>
    <w:rsid w:val="00901375"/>
    <w:rsid w:val="0090374C"/>
    <w:rsid w:val="00903758"/>
    <w:rsid w:val="009040B5"/>
    <w:rsid w:val="009041CC"/>
    <w:rsid w:val="00904EBE"/>
    <w:rsid w:val="00906B82"/>
    <w:rsid w:val="009110C5"/>
    <w:rsid w:val="009110CF"/>
    <w:rsid w:val="00911C78"/>
    <w:rsid w:val="009133AB"/>
    <w:rsid w:val="009133AF"/>
    <w:rsid w:val="00913ED8"/>
    <w:rsid w:val="009154F7"/>
    <w:rsid w:val="00917131"/>
    <w:rsid w:val="00917CFB"/>
    <w:rsid w:val="00920E9A"/>
    <w:rsid w:val="009212F5"/>
    <w:rsid w:val="0092153B"/>
    <w:rsid w:val="009217BF"/>
    <w:rsid w:val="00921AD6"/>
    <w:rsid w:val="00921FA0"/>
    <w:rsid w:val="0092389B"/>
    <w:rsid w:val="009249D4"/>
    <w:rsid w:val="00926DAC"/>
    <w:rsid w:val="00931A6D"/>
    <w:rsid w:val="00932FBE"/>
    <w:rsid w:val="009343C5"/>
    <w:rsid w:val="009358F3"/>
    <w:rsid w:val="00935BF5"/>
    <w:rsid w:val="00936EB3"/>
    <w:rsid w:val="00937EAA"/>
    <w:rsid w:val="009409CE"/>
    <w:rsid w:val="0094144B"/>
    <w:rsid w:val="00941B7C"/>
    <w:rsid w:val="00942FE6"/>
    <w:rsid w:val="009436DA"/>
    <w:rsid w:val="0094391F"/>
    <w:rsid w:val="00943FD1"/>
    <w:rsid w:val="00946A71"/>
    <w:rsid w:val="00946BFA"/>
    <w:rsid w:val="00950B60"/>
    <w:rsid w:val="00951546"/>
    <w:rsid w:val="0095317E"/>
    <w:rsid w:val="00953A52"/>
    <w:rsid w:val="00954276"/>
    <w:rsid w:val="00954417"/>
    <w:rsid w:val="0095514F"/>
    <w:rsid w:val="00955A20"/>
    <w:rsid w:val="00955D4A"/>
    <w:rsid w:val="009566FE"/>
    <w:rsid w:val="009578CA"/>
    <w:rsid w:val="0096049A"/>
    <w:rsid w:val="00962CA7"/>
    <w:rsid w:val="009719DD"/>
    <w:rsid w:val="00971D46"/>
    <w:rsid w:val="00972AE8"/>
    <w:rsid w:val="00975897"/>
    <w:rsid w:val="00976174"/>
    <w:rsid w:val="009769AB"/>
    <w:rsid w:val="00980922"/>
    <w:rsid w:val="00981CB4"/>
    <w:rsid w:val="00982BD8"/>
    <w:rsid w:val="00983320"/>
    <w:rsid w:val="00985322"/>
    <w:rsid w:val="009859BE"/>
    <w:rsid w:val="00987082"/>
    <w:rsid w:val="0099087E"/>
    <w:rsid w:val="00990CB1"/>
    <w:rsid w:val="009947BF"/>
    <w:rsid w:val="00995A70"/>
    <w:rsid w:val="0099728E"/>
    <w:rsid w:val="009A0424"/>
    <w:rsid w:val="009A119D"/>
    <w:rsid w:val="009A12B5"/>
    <w:rsid w:val="009A1647"/>
    <w:rsid w:val="009A229A"/>
    <w:rsid w:val="009A2DE4"/>
    <w:rsid w:val="009A3D70"/>
    <w:rsid w:val="009A50E2"/>
    <w:rsid w:val="009A5217"/>
    <w:rsid w:val="009A63B5"/>
    <w:rsid w:val="009A6754"/>
    <w:rsid w:val="009A7737"/>
    <w:rsid w:val="009A7A47"/>
    <w:rsid w:val="009B3512"/>
    <w:rsid w:val="009B4DB6"/>
    <w:rsid w:val="009B5C50"/>
    <w:rsid w:val="009B5C6D"/>
    <w:rsid w:val="009B7457"/>
    <w:rsid w:val="009C035E"/>
    <w:rsid w:val="009C12AB"/>
    <w:rsid w:val="009C15BB"/>
    <w:rsid w:val="009C20C6"/>
    <w:rsid w:val="009C22F7"/>
    <w:rsid w:val="009C268F"/>
    <w:rsid w:val="009C6255"/>
    <w:rsid w:val="009C637D"/>
    <w:rsid w:val="009C714E"/>
    <w:rsid w:val="009D14AA"/>
    <w:rsid w:val="009D1713"/>
    <w:rsid w:val="009D1A6D"/>
    <w:rsid w:val="009D39F3"/>
    <w:rsid w:val="009D4FC2"/>
    <w:rsid w:val="009D592B"/>
    <w:rsid w:val="009D6DF6"/>
    <w:rsid w:val="009D745B"/>
    <w:rsid w:val="009E211B"/>
    <w:rsid w:val="009E4777"/>
    <w:rsid w:val="009E5708"/>
    <w:rsid w:val="009E6202"/>
    <w:rsid w:val="009E7BE8"/>
    <w:rsid w:val="009F1411"/>
    <w:rsid w:val="009F31B8"/>
    <w:rsid w:val="009F38C0"/>
    <w:rsid w:val="009F66C9"/>
    <w:rsid w:val="00A0151F"/>
    <w:rsid w:val="00A02506"/>
    <w:rsid w:val="00A0391B"/>
    <w:rsid w:val="00A039D0"/>
    <w:rsid w:val="00A0432D"/>
    <w:rsid w:val="00A05FC4"/>
    <w:rsid w:val="00A0604A"/>
    <w:rsid w:val="00A07F93"/>
    <w:rsid w:val="00A1158D"/>
    <w:rsid w:val="00A11803"/>
    <w:rsid w:val="00A11BF0"/>
    <w:rsid w:val="00A12C0C"/>
    <w:rsid w:val="00A160F8"/>
    <w:rsid w:val="00A16E40"/>
    <w:rsid w:val="00A16ED5"/>
    <w:rsid w:val="00A16FC6"/>
    <w:rsid w:val="00A17D4F"/>
    <w:rsid w:val="00A206F1"/>
    <w:rsid w:val="00A212A1"/>
    <w:rsid w:val="00A21361"/>
    <w:rsid w:val="00A213B8"/>
    <w:rsid w:val="00A22770"/>
    <w:rsid w:val="00A2343A"/>
    <w:rsid w:val="00A23AEC"/>
    <w:rsid w:val="00A24E7E"/>
    <w:rsid w:val="00A25C8D"/>
    <w:rsid w:val="00A26423"/>
    <w:rsid w:val="00A27414"/>
    <w:rsid w:val="00A30A33"/>
    <w:rsid w:val="00A31F65"/>
    <w:rsid w:val="00A334B3"/>
    <w:rsid w:val="00A3406C"/>
    <w:rsid w:val="00A345E9"/>
    <w:rsid w:val="00A3656D"/>
    <w:rsid w:val="00A36D12"/>
    <w:rsid w:val="00A4055A"/>
    <w:rsid w:val="00A41FAE"/>
    <w:rsid w:val="00A4488C"/>
    <w:rsid w:val="00A44EDB"/>
    <w:rsid w:val="00A451F4"/>
    <w:rsid w:val="00A45DB3"/>
    <w:rsid w:val="00A5099A"/>
    <w:rsid w:val="00A51FDF"/>
    <w:rsid w:val="00A521C1"/>
    <w:rsid w:val="00A53BB9"/>
    <w:rsid w:val="00A53D0E"/>
    <w:rsid w:val="00A53E08"/>
    <w:rsid w:val="00A54492"/>
    <w:rsid w:val="00A5449F"/>
    <w:rsid w:val="00A54C26"/>
    <w:rsid w:val="00A55612"/>
    <w:rsid w:val="00A57AF1"/>
    <w:rsid w:val="00A61890"/>
    <w:rsid w:val="00A64B55"/>
    <w:rsid w:val="00A64FA6"/>
    <w:rsid w:val="00A65057"/>
    <w:rsid w:val="00A6647F"/>
    <w:rsid w:val="00A66663"/>
    <w:rsid w:val="00A67792"/>
    <w:rsid w:val="00A678DD"/>
    <w:rsid w:val="00A70473"/>
    <w:rsid w:val="00A70CCD"/>
    <w:rsid w:val="00A70FF0"/>
    <w:rsid w:val="00A71A35"/>
    <w:rsid w:val="00A71CD0"/>
    <w:rsid w:val="00A7221C"/>
    <w:rsid w:val="00A7342D"/>
    <w:rsid w:val="00A76315"/>
    <w:rsid w:val="00A812D1"/>
    <w:rsid w:val="00A81F0E"/>
    <w:rsid w:val="00A826BD"/>
    <w:rsid w:val="00A84232"/>
    <w:rsid w:val="00A851C0"/>
    <w:rsid w:val="00A91C33"/>
    <w:rsid w:val="00A91F25"/>
    <w:rsid w:val="00A9307F"/>
    <w:rsid w:val="00A95691"/>
    <w:rsid w:val="00A9574A"/>
    <w:rsid w:val="00A95E7F"/>
    <w:rsid w:val="00A96990"/>
    <w:rsid w:val="00A96B00"/>
    <w:rsid w:val="00A974C9"/>
    <w:rsid w:val="00AA526B"/>
    <w:rsid w:val="00AA5405"/>
    <w:rsid w:val="00AA6B73"/>
    <w:rsid w:val="00AA6DA1"/>
    <w:rsid w:val="00AA6E98"/>
    <w:rsid w:val="00AB06BD"/>
    <w:rsid w:val="00AB077B"/>
    <w:rsid w:val="00AB2DC8"/>
    <w:rsid w:val="00AB44DB"/>
    <w:rsid w:val="00AB67F0"/>
    <w:rsid w:val="00AB7143"/>
    <w:rsid w:val="00AB7267"/>
    <w:rsid w:val="00AC00DA"/>
    <w:rsid w:val="00AC10C2"/>
    <w:rsid w:val="00AC1A6A"/>
    <w:rsid w:val="00AC24D1"/>
    <w:rsid w:val="00AC3659"/>
    <w:rsid w:val="00AC36B1"/>
    <w:rsid w:val="00AC3D1A"/>
    <w:rsid w:val="00AC4011"/>
    <w:rsid w:val="00AC5713"/>
    <w:rsid w:val="00AC572E"/>
    <w:rsid w:val="00AC5CA9"/>
    <w:rsid w:val="00AC6684"/>
    <w:rsid w:val="00AC67DC"/>
    <w:rsid w:val="00AC745E"/>
    <w:rsid w:val="00AC762B"/>
    <w:rsid w:val="00AD02A0"/>
    <w:rsid w:val="00AD044B"/>
    <w:rsid w:val="00AD2B65"/>
    <w:rsid w:val="00AD2DBA"/>
    <w:rsid w:val="00AD63FE"/>
    <w:rsid w:val="00AD71BF"/>
    <w:rsid w:val="00AD75D9"/>
    <w:rsid w:val="00AD794C"/>
    <w:rsid w:val="00AE13D3"/>
    <w:rsid w:val="00AE24D9"/>
    <w:rsid w:val="00AE263D"/>
    <w:rsid w:val="00AE4E7D"/>
    <w:rsid w:val="00AE4EB5"/>
    <w:rsid w:val="00AE50F2"/>
    <w:rsid w:val="00AE6E30"/>
    <w:rsid w:val="00AE79BD"/>
    <w:rsid w:val="00AE7C86"/>
    <w:rsid w:val="00AF1FB6"/>
    <w:rsid w:val="00AF2280"/>
    <w:rsid w:val="00AF3990"/>
    <w:rsid w:val="00AF4308"/>
    <w:rsid w:val="00AF5040"/>
    <w:rsid w:val="00AF6686"/>
    <w:rsid w:val="00AF77C0"/>
    <w:rsid w:val="00AF7E42"/>
    <w:rsid w:val="00B01759"/>
    <w:rsid w:val="00B01BA7"/>
    <w:rsid w:val="00B02C69"/>
    <w:rsid w:val="00B02E8D"/>
    <w:rsid w:val="00B02F62"/>
    <w:rsid w:val="00B03C54"/>
    <w:rsid w:val="00B0565B"/>
    <w:rsid w:val="00B07EFE"/>
    <w:rsid w:val="00B105DF"/>
    <w:rsid w:val="00B115BD"/>
    <w:rsid w:val="00B116E3"/>
    <w:rsid w:val="00B12012"/>
    <w:rsid w:val="00B12D0B"/>
    <w:rsid w:val="00B13BE1"/>
    <w:rsid w:val="00B14A51"/>
    <w:rsid w:val="00B15C66"/>
    <w:rsid w:val="00B1789E"/>
    <w:rsid w:val="00B17939"/>
    <w:rsid w:val="00B209A1"/>
    <w:rsid w:val="00B21941"/>
    <w:rsid w:val="00B22796"/>
    <w:rsid w:val="00B22821"/>
    <w:rsid w:val="00B22AB6"/>
    <w:rsid w:val="00B23C24"/>
    <w:rsid w:val="00B24084"/>
    <w:rsid w:val="00B26447"/>
    <w:rsid w:val="00B303F1"/>
    <w:rsid w:val="00B31E11"/>
    <w:rsid w:val="00B323EB"/>
    <w:rsid w:val="00B34CE3"/>
    <w:rsid w:val="00B34DEB"/>
    <w:rsid w:val="00B35E19"/>
    <w:rsid w:val="00B400DB"/>
    <w:rsid w:val="00B4269A"/>
    <w:rsid w:val="00B42B48"/>
    <w:rsid w:val="00B42D57"/>
    <w:rsid w:val="00B43162"/>
    <w:rsid w:val="00B44E5E"/>
    <w:rsid w:val="00B457DE"/>
    <w:rsid w:val="00B45BC3"/>
    <w:rsid w:val="00B46A29"/>
    <w:rsid w:val="00B51038"/>
    <w:rsid w:val="00B5191A"/>
    <w:rsid w:val="00B5226D"/>
    <w:rsid w:val="00B534C3"/>
    <w:rsid w:val="00B53E1D"/>
    <w:rsid w:val="00B54AD3"/>
    <w:rsid w:val="00B55C56"/>
    <w:rsid w:val="00B5723E"/>
    <w:rsid w:val="00B60783"/>
    <w:rsid w:val="00B61468"/>
    <w:rsid w:val="00B62807"/>
    <w:rsid w:val="00B65FEC"/>
    <w:rsid w:val="00B66FCD"/>
    <w:rsid w:val="00B6737F"/>
    <w:rsid w:val="00B67AC6"/>
    <w:rsid w:val="00B707E3"/>
    <w:rsid w:val="00B70A5D"/>
    <w:rsid w:val="00B70AF3"/>
    <w:rsid w:val="00B70C4B"/>
    <w:rsid w:val="00B70D0F"/>
    <w:rsid w:val="00B719F2"/>
    <w:rsid w:val="00B72669"/>
    <w:rsid w:val="00B734D4"/>
    <w:rsid w:val="00B73ED0"/>
    <w:rsid w:val="00B765B7"/>
    <w:rsid w:val="00B767D0"/>
    <w:rsid w:val="00B77875"/>
    <w:rsid w:val="00B77FEF"/>
    <w:rsid w:val="00B80612"/>
    <w:rsid w:val="00B81216"/>
    <w:rsid w:val="00B81968"/>
    <w:rsid w:val="00B8236F"/>
    <w:rsid w:val="00B82790"/>
    <w:rsid w:val="00B82854"/>
    <w:rsid w:val="00B83AF9"/>
    <w:rsid w:val="00B84146"/>
    <w:rsid w:val="00B848BE"/>
    <w:rsid w:val="00B85806"/>
    <w:rsid w:val="00B91623"/>
    <w:rsid w:val="00B94287"/>
    <w:rsid w:val="00B94588"/>
    <w:rsid w:val="00B948CA"/>
    <w:rsid w:val="00B94C4E"/>
    <w:rsid w:val="00B95190"/>
    <w:rsid w:val="00B97B8C"/>
    <w:rsid w:val="00BA0C2E"/>
    <w:rsid w:val="00BA16C7"/>
    <w:rsid w:val="00BA1DBF"/>
    <w:rsid w:val="00BA24A8"/>
    <w:rsid w:val="00BA2C88"/>
    <w:rsid w:val="00BA3F99"/>
    <w:rsid w:val="00BA4612"/>
    <w:rsid w:val="00BA66A2"/>
    <w:rsid w:val="00BA7E00"/>
    <w:rsid w:val="00BB0546"/>
    <w:rsid w:val="00BB1223"/>
    <w:rsid w:val="00BB14B3"/>
    <w:rsid w:val="00BB1553"/>
    <w:rsid w:val="00BB1662"/>
    <w:rsid w:val="00BB1CE7"/>
    <w:rsid w:val="00BB2FEF"/>
    <w:rsid w:val="00BB332C"/>
    <w:rsid w:val="00BB3FB7"/>
    <w:rsid w:val="00BB49A0"/>
    <w:rsid w:val="00BC24B8"/>
    <w:rsid w:val="00BC33F3"/>
    <w:rsid w:val="00BC3594"/>
    <w:rsid w:val="00BC409B"/>
    <w:rsid w:val="00BC5366"/>
    <w:rsid w:val="00BC63AE"/>
    <w:rsid w:val="00BC703A"/>
    <w:rsid w:val="00BD2BC0"/>
    <w:rsid w:val="00BD2C7A"/>
    <w:rsid w:val="00BD4796"/>
    <w:rsid w:val="00BD5F4B"/>
    <w:rsid w:val="00BD62B6"/>
    <w:rsid w:val="00BD77A9"/>
    <w:rsid w:val="00BD7DDC"/>
    <w:rsid w:val="00BD7E99"/>
    <w:rsid w:val="00BE0496"/>
    <w:rsid w:val="00BE0E95"/>
    <w:rsid w:val="00BE23D3"/>
    <w:rsid w:val="00BE492E"/>
    <w:rsid w:val="00BE6D5D"/>
    <w:rsid w:val="00BE7518"/>
    <w:rsid w:val="00BF20C4"/>
    <w:rsid w:val="00BF3AAF"/>
    <w:rsid w:val="00BF55C5"/>
    <w:rsid w:val="00BF6E2B"/>
    <w:rsid w:val="00C04E70"/>
    <w:rsid w:val="00C0635A"/>
    <w:rsid w:val="00C06412"/>
    <w:rsid w:val="00C076A3"/>
    <w:rsid w:val="00C07E92"/>
    <w:rsid w:val="00C104BF"/>
    <w:rsid w:val="00C14669"/>
    <w:rsid w:val="00C16772"/>
    <w:rsid w:val="00C16A2C"/>
    <w:rsid w:val="00C176A0"/>
    <w:rsid w:val="00C2060A"/>
    <w:rsid w:val="00C20CED"/>
    <w:rsid w:val="00C21766"/>
    <w:rsid w:val="00C236E1"/>
    <w:rsid w:val="00C23931"/>
    <w:rsid w:val="00C23CE7"/>
    <w:rsid w:val="00C24808"/>
    <w:rsid w:val="00C269C6"/>
    <w:rsid w:val="00C26FA3"/>
    <w:rsid w:val="00C27F52"/>
    <w:rsid w:val="00C3394D"/>
    <w:rsid w:val="00C3417F"/>
    <w:rsid w:val="00C360AF"/>
    <w:rsid w:val="00C40FED"/>
    <w:rsid w:val="00C41807"/>
    <w:rsid w:val="00C45440"/>
    <w:rsid w:val="00C47314"/>
    <w:rsid w:val="00C47DBE"/>
    <w:rsid w:val="00C500C1"/>
    <w:rsid w:val="00C505A3"/>
    <w:rsid w:val="00C50F6B"/>
    <w:rsid w:val="00C514E6"/>
    <w:rsid w:val="00C52E57"/>
    <w:rsid w:val="00C53730"/>
    <w:rsid w:val="00C543C1"/>
    <w:rsid w:val="00C551EB"/>
    <w:rsid w:val="00C55D88"/>
    <w:rsid w:val="00C55ED3"/>
    <w:rsid w:val="00C5614F"/>
    <w:rsid w:val="00C56E82"/>
    <w:rsid w:val="00C57334"/>
    <w:rsid w:val="00C60A68"/>
    <w:rsid w:val="00C61C1C"/>
    <w:rsid w:val="00C61C89"/>
    <w:rsid w:val="00C63AE0"/>
    <w:rsid w:val="00C6488A"/>
    <w:rsid w:val="00C6642A"/>
    <w:rsid w:val="00C664AD"/>
    <w:rsid w:val="00C7013B"/>
    <w:rsid w:val="00C723D0"/>
    <w:rsid w:val="00C75619"/>
    <w:rsid w:val="00C75C2F"/>
    <w:rsid w:val="00C767EC"/>
    <w:rsid w:val="00C76BA4"/>
    <w:rsid w:val="00C80AD6"/>
    <w:rsid w:val="00C80BE6"/>
    <w:rsid w:val="00C849E7"/>
    <w:rsid w:val="00C8514D"/>
    <w:rsid w:val="00C851E1"/>
    <w:rsid w:val="00C855F1"/>
    <w:rsid w:val="00C858F9"/>
    <w:rsid w:val="00C87511"/>
    <w:rsid w:val="00C8774C"/>
    <w:rsid w:val="00C90A73"/>
    <w:rsid w:val="00C91155"/>
    <w:rsid w:val="00C9195A"/>
    <w:rsid w:val="00C92DD5"/>
    <w:rsid w:val="00C93605"/>
    <w:rsid w:val="00C9364D"/>
    <w:rsid w:val="00C940AE"/>
    <w:rsid w:val="00C94BC9"/>
    <w:rsid w:val="00C97FCC"/>
    <w:rsid w:val="00CA022B"/>
    <w:rsid w:val="00CA1021"/>
    <w:rsid w:val="00CA489A"/>
    <w:rsid w:val="00CA4D0B"/>
    <w:rsid w:val="00CA707B"/>
    <w:rsid w:val="00CA746E"/>
    <w:rsid w:val="00CA7B0A"/>
    <w:rsid w:val="00CB02CE"/>
    <w:rsid w:val="00CB12BC"/>
    <w:rsid w:val="00CB1D09"/>
    <w:rsid w:val="00CB24FB"/>
    <w:rsid w:val="00CB4F7A"/>
    <w:rsid w:val="00CB5F45"/>
    <w:rsid w:val="00CB6E1A"/>
    <w:rsid w:val="00CB716E"/>
    <w:rsid w:val="00CB7F27"/>
    <w:rsid w:val="00CC1E09"/>
    <w:rsid w:val="00CC23E5"/>
    <w:rsid w:val="00CC24EE"/>
    <w:rsid w:val="00CC27F5"/>
    <w:rsid w:val="00CC2A0B"/>
    <w:rsid w:val="00CC2DA9"/>
    <w:rsid w:val="00CC3932"/>
    <w:rsid w:val="00CC5629"/>
    <w:rsid w:val="00CD30EE"/>
    <w:rsid w:val="00CD5D48"/>
    <w:rsid w:val="00CE3595"/>
    <w:rsid w:val="00CE4700"/>
    <w:rsid w:val="00CE4827"/>
    <w:rsid w:val="00CE531B"/>
    <w:rsid w:val="00CF5168"/>
    <w:rsid w:val="00CF732D"/>
    <w:rsid w:val="00D00110"/>
    <w:rsid w:val="00D00753"/>
    <w:rsid w:val="00D00EDC"/>
    <w:rsid w:val="00D02196"/>
    <w:rsid w:val="00D032C4"/>
    <w:rsid w:val="00D038A1"/>
    <w:rsid w:val="00D04A61"/>
    <w:rsid w:val="00D05124"/>
    <w:rsid w:val="00D05826"/>
    <w:rsid w:val="00D058B8"/>
    <w:rsid w:val="00D07436"/>
    <w:rsid w:val="00D07571"/>
    <w:rsid w:val="00D10D00"/>
    <w:rsid w:val="00D12013"/>
    <w:rsid w:val="00D13862"/>
    <w:rsid w:val="00D1429B"/>
    <w:rsid w:val="00D1461C"/>
    <w:rsid w:val="00D16EA7"/>
    <w:rsid w:val="00D1712B"/>
    <w:rsid w:val="00D2255B"/>
    <w:rsid w:val="00D22916"/>
    <w:rsid w:val="00D231BE"/>
    <w:rsid w:val="00D23290"/>
    <w:rsid w:val="00D232BF"/>
    <w:rsid w:val="00D23A89"/>
    <w:rsid w:val="00D2652A"/>
    <w:rsid w:val="00D266CC"/>
    <w:rsid w:val="00D270E3"/>
    <w:rsid w:val="00D273E7"/>
    <w:rsid w:val="00D27DBC"/>
    <w:rsid w:val="00D30603"/>
    <w:rsid w:val="00D30AFF"/>
    <w:rsid w:val="00D33F05"/>
    <w:rsid w:val="00D34B62"/>
    <w:rsid w:val="00D35A96"/>
    <w:rsid w:val="00D428B7"/>
    <w:rsid w:val="00D432F9"/>
    <w:rsid w:val="00D4432C"/>
    <w:rsid w:val="00D4540B"/>
    <w:rsid w:val="00D4639F"/>
    <w:rsid w:val="00D4683E"/>
    <w:rsid w:val="00D469FC"/>
    <w:rsid w:val="00D470C7"/>
    <w:rsid w:val="00D50E8A"/>
    <w:rsid w:val="00D50FA9"/>
    <w:rsid w:val="00D52FB9"/>
    <w:rsid w:val="00D5348C"/>
    <w:rsid w:val="00D572A6"/>
    <w:rsid w:val="00D578CB"/>
    <w:rsid w:val="00D636BB"/>
    <w:rsid w:val="00D65B25"/>
    <w:rsid w:val="00D73B5F"/>
    <w:rsid w:val="00D75AA8"/>
    <w:rsid w:val="00D7646B"/>
    <w:rsid w:val="00D766A6"/>
    <w:rsid w:val="00D80155"/>
    <w:rsid w:val="00D81C01"/>
    <w:rsid w:val="00D82292"/>
    <w:rsid w:val="00D84234"/>
    <w:rsid w:val="00D8424C"/>
    <w:rsid w:val="00D84C1B"/>
    <w:rsid w:val="00D85DF2"/>
    <w:rsid w:val="00D87D5C"/>
    <w:rsid w:val="00D90E6D"/>
    <w:rsid w:val="00D91451"/>
    <w:rsid w:val="00D91D64"/>
    <w:rsid w:val="00D91EBB"/>
    <w:rsid w:val="00D92F9B"/>
    <w:rsid w:val="00D94BD4"/>
    <w:rsid w:val="00D95484"/>
    <w:rsid w:val="00D960E9"/>
    <w:rsid w:val="00D96F03"/>
    <w:rsid w:val="00D9789D"/>
    <w:rsid w:val="00DA079B"/>
    <w:rsid w:val="00DA0804"/>
    <w:rsid w:val="00DA0BE7"/>
    <w:rsid w:val="00DA168F"/>
    <w:rsid w:val="00DA3282"/>
    <w:rsid w:val="00DA5021"/>
    <w:rsid w:val="00DA560D"/>
    <w:rsid w:val="00DA570D"/>
    <w:rsid w:val="00DB212B"/>
    <w:rsid w:val="00DB2EA5"/>
    <w:rsid w:val="00DB5358"/>
    <w:rsid w:val="00DB67FE"/>
    <w:rsid w:val="00DB7997"/>
    <w:rsid w:val="00DC02FD"/>
    <w:rsid w:val="00DC0A4D"/>
    <w:rsid w:val="00DC263F"/>
    <w:rsid w:val="00DC2830"/>
    <w:rsid w:val="00DC2F56"/>
    <w:rsid w:val="00DC3D04"/>
    <w:rsid w:val="00DC4F3E"/>
    <w:rsid w:val="00DC760E"/>
    <w:rsid w:val="00DD0300"/>
    <w:rsid w:val="00DD0A87"/>
    <w:rsid w:val="00DD10FC"/>
    <w:rsid w:val="00DD333D"/>
    <w:rsid w:val="00DD4279"/>
    <w:rsid w:val="00DD61F2"/>
    <w:rsid w:val="00DD724B"/>
    <w:rsid w:val="00DE05CC"/>
    <w:rsid w:val="00DE0CF1"/>
    <w:rsid w:val="00DE0F43"/>
    <w:rsid w:val="00DE2968"/>
    <w:rsid w:val="00DE32E8"/>
    <w:rsid w:val="00DE45D4"/>
    <w:rsid w:val="00DE673C"/>
    <w:rsid w:val="00DE6807"/>
    <w:rsid w:val="00DF22C7"/>
    <w:rsid w:val="00DF3451"/>
    <w:rsid w:val="00DF4164"/>
    <w:rsid w:val="00DF565E"/>
    <w:rsid w:val="00DF56AD"/>
    <w:rsid w:val="00E00B45"/>
    <w:rsid w:val="00E010B6"/>
    <w:rsid w:val="00E027B1"/>
    <w:rsid w:val="00E0371F"/>
    <w:rsid w:val="00E040F8"/>
    <w:rsid w:val="00E0433A"/>
    <w:rsid w:val="00E044B5"/>
    <w:rsid w:val="00E04C5A"/>
    <w:rsid w:val="00E04C86"/>
    <w:rsid w:val="00E04E29"/>
    <w:rsid w:val="00E058F2"/>
    <w:rsid w:val="00E06D78"/>
    <w:rsid w:val="00E07AAC"/>
    <w:rsid w:val="00E15382"/>
    <w:rsid w:val="00E15725"/>
    <w:rsid w:val="00E15748"/>
    <w:rsid w:val="00E21D03"/>
    <w:rsid w:val="00E234E6"/>
    <w:rsid w:val="00E248C3"/>
    <w:rsid w:val="00E2495E"/>
    <w:rsid w:val="00E24DF0"/>
    <w:rsid w:val="00E256C0"/>
    <w:rsid w:val="00E257BF"/>
    <w:rsid w:val="00E26634"/>
    <w:rsid w:val="00E270E1"/>
    <w:rsid w:val="00E2765D"/>
    <w:rsid w:val="00E31838"/>
    <w:rsid w:val="00E31BD5"/>
    <w:rsid w:val="00E33A03"/>
    <w:rsid w:val="00E36DA1"/>
    <w:rsid w:val="00E371A5"/>
    <w:rsid w:val="00E41350"/>
    <w:rsid w:val="00E41DE5"/>
    <w:rsid w:val="00E42142"/>
    <w:rsid w:val="00E42633"/>
    <w:rsid w:val="00E43A84"/>
    <w:rsid w:val="00E43F4F"/>
    <w:rsid w:val="00E44308"/>
    <w:rsid w:val="00E45863"/>
    <w:rsid w:val="00E45DFA"/>
    <w:rsid w:val="00E45F1C"/>
    <w:rsid w:val="00E461D0"/>
    <w:rsid w:val="00E47E8C"/>
    <w:rsid w:val="00E51517"/>
    <w:rsid w:val="00E52685"/>
    <w:rsid w:val="00E52EC4"/>
    <w:rsid w:val="00E52FD0"/>
    <w:rsid w:val="00E53B84"/>
    <w:rsid w:val="00E53BD0"/>
    <w:rsid w:val="00E5583F"/>
    <w:rsid w:val="00E57650"/>
    <w:rsid w:val="00E62108"/>
    <w:rsid w:val="00E64DEA"/>
    <w:rsid w:val="00E66495"/>
    <w:rsid w:val="00E66CEA"/>
    <w:rsid w:val="00E67782"/>
    <w:rsid w:val="00E71F20"/>
    <w:rsid w:val="00E72595"/>
    <w:rsid w:val="00E72961"/>
    <w:rsid w:val="00E730CB"/>
    <w:rsid w:val="00E73274"/>
    <w:rsid w:val="00E74D3E"/>
    <w:rsid w:val="00E752BC"/>
    <w:rsid w:val="00E756D5"/>
    <w:rsid w:val="00E801C9"/>
    <w:rsid w:val="00E81A75"/>
    <w:rsid w:val="00E822ED"/>
    <w:rsid w:val="00E85901"/>
    <w:rsid w:val="00E863D4"/>
    <w:rsid w:val="00E8663C"/>
    <w:rsid w:val="00E8685F"/>
    <w:rsid w:val="00E87ED2"/>
    <w:rsid w:val="00E91722"/>
    <w:rsid w:val="00E91C5C"/>
    <w:rsid w:val="00E91E3F"/>
    <w:rsid w:val="00E941DA"/>
    <w:rsid w:val="00E94610"/>
    <w:rsid w:val="00E9545C"/>
    <w:rsid w:val="00E959D1"/>
    <w:rsid w:val="00E95A1A"/>
    <w:rsid w:val="00E97621"/>
    <w:rsid w:val="00EA0F3B"/>
    <w:rsid w:val="00EA7CD6"/>
    <w:rsid w:val="00EB0C11"/>
    <w:rsid w:val="00EB190A"/>
    <w:rsid w:val="00EB2CD0"/>
    <w:rsid w:val="00EB3853"/>
    <w:rsid w:val="00EB39D0"/>
    <w:rsid w:val="00EB51E9"/>
    <w:rsid w:val="00EB55B1"/>
    <w:rsid w:val="00EB56A8"/>
    <w:rsid w:val="00EB7CE9"/>
    <w:rsid w:val="00EB7FDE"/>
    <w:rsid w:val="00EC081F"/>
    <w:rsid w:val="00EC16FB"/>
    <w:rsid w:val="00EC23BC"/>
    <w:rsid w:val="00EC3511"/>
    <w:rsid w:val="00EC3A3C"/>
    <w:rsid w:val="00EC3E67"/>
    <w:rsid w:val="00EC67AB"/>
    <w:rsid w:val="00EC7236"/>
    <w:rsid w:val="00ED0BB5"/>
    <w:rsid w:val="00ED3EBF"/>
    <w:rsid w:val="00ED43B7"/>
    <w:rsid w:val="00ED4DE0"/>
    <w:rsid w:val="00ED5C68"/>
    <w:rsid w:val="00ED5DE3"/>
    <w:rsid w:val="00ED61B7"/>
    <w:rsid w:val="00ED6656"/>
    <w:rsid w:val="00EE085D"/>
    <w:rsid w:val="00EE1870"/>
    <w:rsid w:val="00EE1EE9"/>
    <w:rsid w:val="00EE606C"/>
    <w:rsid w:val="00EE63D2"/>
    <w:rsid w:val="00EE6960"/>
    <w:rsid w:val="00EE6AA1"/>
    <w:rsid w:val="00EE7768"/>
    <w:rsid w:val="00EF2B35"/>
    <w:rsid w:val="00EF397F"/>
    <w:rsid w:val="00EF521C"/>
    <w:rsid w:val="00EF600F"/>
    <w:rsid w:val="00EF63F9"/>
    <w:rsid w:val="00EF6FFC"/>
    <w:rsid w:val="00EF7276"/>
    <w:rsid w:val="00F002C7"/>
    <w:rsid w:val="00F004E0"/>
    <w:rsid w:val="00F01DE1"/>
    <w:rsid w:val="00F02296"/>
    <w:rsid w:val="00F02554"/>
    <w:rsid w:val="00F04A57"/>
    <w:rsid w:val="00F05014"/>
    <w:rsid w:val="00F05EBB"/>
    <w:rsid w:val="00F067E7"/>
    <w:rsid w:val="00F06A56"/>
    <w:rsid w:val="00F06FA0"/>
    <w:rsid w:val="00F0707F"/>
    <w:rsid w:val="00F07906"/>
    <w:rsid w:val="00F07BA8"/>
    <w:rsid w:val="00F10414"/>
    <w:rsid w:val="00F10BBE"/>
    <w:rsid w:val="00F10F00"/>
    <w:rsid w:val="00F11B55"/>
    <w:rsid w:val="00F12C91"/>
    <w:rsid w:val="00F130A1"/>
    <w:rsid w:val="00F13AA4"/>
    <w:rsid w:val="00F2171E"/>
    <w:rsid w:val="00F220D3"/>
    <w:rsid w:val="00F2261C"/>
    <w:rsid w:val="00F22657"/>
    <w:rsid w:val="00F23756"/>
    <w:rsid w:val="00F249EF"/>
    <w:rsid w:val="00F2595D"/>
    <w:rsid w:val="00F26208"/>
    <w:rsid w:val="00F263C4"/>
    <w:rsid w:val="00F26ADE"/>
    <w:rsid w:val="00F317B8"/>
    <w:rsid w:val="00F3206F"/>
    <w:rsid w:val="00F32651"/>
    <w:rsid w:val="00F32CC2"/>
    <w:rsid w:val="00F32CEE"/>
    <w:rsid w:val="00F33398"/>
    <w:rsid w:val="00F334CB"/>
    <w:rsid w:val="00F355CD"/>
    <w:rsid w:val="00F3652B"/>
    <w:rsid w:val="00F36D22"/>
    <w:rsid w:val="00F36E75"/>
    <w:rsid w:val="00F375DC"/>
    <w:rsid w:val="00F37733"/>
    <w:rsid w:val="00F37760"/>
    <w:rsid w:val="00F37ADD"/>
    <w:rsid w:val="00F406F4"/>
    <w:rsid w:val="00F40FDF"/>
    <w:rsid w:val="00F42E06"/>
    <w:rsid w:val="00F43987"/>
    <w:rsid w:val="00F43A56"/>
    <w:rsid w:val="00F43E13"/>
    <w:rsid w:val="00F44166"/>
    <w:rsid w:val="00F44995"/>
    <w:rsid w:val="00F44D41"/>
    <w:rsid w:val="00F46207"/>
    <w:rsid w:val="00F47174"/>
    <w:rsid w:val="00F50209"/>
    <w:rsid w:val="00F51F2F"/>
    <w:rsid w:val="00F52B90"/>
    <w:rsid w:val="00F53982"/>
    <w:rsid w:val="00F53BA9"/>
    <w:rsid w:val="00F5413A"/>
    <w:rsid w:val="00F55B39"/>
    <w:rsid w:val="00F563F6"/>
    <w:rsid w:val="00F56A9F"/>
    <w:rsid w:val="00F56CFD"/>
    <w:rsid w:val="00F56DDF"/>
    <w:rsid w:val="00F57C10"/>
    <w:rsid w:val="00F57F71"/>
    <w:rsid w:val="00F619D4"/>
    <w:rsid w:val="00F61B26"/>
    <w:rsid w:val="00F61BE9"/>
    <w:rsid w:val="00F6286F"/>
    <w:rsid w:val="00F6299C"/>
    <w:rsid w:val="00F62AD3"/>
    <w:rsid w:val="00F63282"/>
    <w:rsid w:val="00F64FDA"/>
    <w:rsid w:val="00F66A4F"/>
    <w:rsid w:val="00F67FB6"/>
    <w:rsid w:val="00F70369"/>
    <w:rsid w:val="00F703C2"/>
    <w:rsid w:val="00F709B9"/>
    <w:rsid w:val="00F70A0C"/>
    <w:rsid w:val="00F70B49"/>
    <w:rsid w:val="00F71617"/>
    <w:rsid w:val="00F71AC8"/>
    <w:rsid w:val="00F73A9A"/>
    <w:rsid w:val="00F740DD"/>
    <w:rsid w:val="00F744FA"/>
    <w:rsid w:val="00F766A7"/>
    <w:rsid w:val="00F77469"/>
    <w:rsid w:val="00F802C4"/>
    <w:rsid w:val="00F80998"/>
    <w:rsid w:val="00F8236F"/>
    <w:rsid w:val="00F825EC"/>
    <w:rsid w:val="00F827A8"/>
    <w:rsid w:val="00F8352C"/>
    <w:rsid w:val="00F8372F"/>
    <w:rsid w:val="00F837A8"/>
    <w:rsid w:val="00F85B3D"/>
    <w:rsid w:val="00F86753"/>
    <w:rsid w:val="00F91EDF"/>
    <w:rsid w:val="00F926FB"/>
    <w:rsid w:val="00F928CB"/>
    <w:rsid w:val="00F938DC"/>
    <w:rsid w:val="00F94843"/>
    <w:rsid w:val="00F9540E"/>
    <w:rsid w:val="00F95989"/>
    <w:rsid w:val="00F961BC"/>
    <w:rsid w:val="00F968FF"/>
    <w:rsid w:val="00F97AEB"/>
    <w:rsid w:val="00FA0B09"/>
    <w:rsid w:val="00FA0DAF"/>
    <w:rsid w:val="00FA15BB"/>
    <w:rsid w:val="00FA2789"/>
    <w:rsid w:val="00FA3F3F"/>
    <w:rsid w:val="00FA42E2"/>
    <w:rsid w:val="00FA5F0B"/>
    <w:rsid w:val="00FA659E"/>
    <w:rsid w:val="00FA6656"/>
    <w:rsid w:val="00FA67F1"/>
    <w:rsid w:val="00FA7DDE"/>
    <w:rsid w:val="00FB1C05"/>
    <w:rsid w:val="00FB2208"/>
    <w:rsid w:val="00FB2449"/>
    <w:rsid w:val="00FB54F9"/>
    <w:rsid w:val="00FB695C"/>
    <w:rsid w:val="00FB70D6"/>
    <w:rsid w:val="00FC1210"/>
    <w:rsid w:val="00FC1446"/>
    <w:rsid w:val="00FC3545"/>
    <w:rsid w:val="00FC4EE3"/>
    <w:rsid w:val="00FD0426"/>
    <w:rsid w:val="00FD29FE"/>
    <w:rsid w:val="00FD2E8A"/>
    <w:rsid w:val="00FD36F0"/>
    <w:rsid w:val="00FD3737"/>
    <w:rsid w:val="00FD579E"/>
    <w:rsid w:val="00FE5BBF"/>
    <w:rsid w:val="00FE5BD1"/>
    <w:rsid w:val="00FE7713"/>
    <w:rsid w:val="00FF2464"/>
    <w:rsid w:val="00FF2630"/>
    <w:rsid w:val="00FF4666"/>
    <w:rsid w:val="00FF4BBC"/>
    <w:rsid w:val="00FF5567"/>
    <w:rsid w:val="00FF61B8"/>
    <w:rsid w:val="00FF7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992A29"/>
  <w15:docId w15:val="{969E8FFF-192D-40EA-85C5-0A30B3D3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qFormat="1"/>
    <w:lsdException w:name="List Number" w:semiHidden="1" w:uiPriority="4" w:unhideWhenUsed="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08"/>
    <w:pPr>
      <w:autoSpaceDE w:val="0"/>
      <w:autoSpaceDN w:val="0"/>
      <w:adjustRightInd w:val="0"/>
      <w:spacing w:after="200" w:line="276" w:lineRule="auto"/>
    </w:pPr>
    <w:rPr>
      <w:rFonts w:asciiTheme="minorHAnsi" w:hAnsiTheme="minorHAnsi" w:cs="Calibri-Bold"/>
      <w:bCs/>
      <w:sz w:val="24"/>
      <w:szCs w:val="24"/>
    </w:rPr>
  </w:style>
  <w:style w:type="paragraph" w:styleId="Heading1">
    <w:name w:val="heading 1"/>
    <w:basedOn w:val="Normal"/>
    <w:next w:val="Normal"/>
    <w:link w:val="Heading1Char"/>
    <w:qFormat/>
    <w:rsid w:val="00621CB9"/>
    <w:pPr>
      <w:widowControl w:val="0"/>
      <w:numPr>
        <w:numId w:val="4"/>
      </w:numPr>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nhideWhenUsed/>
    <w:qFormat/>
    <w:rsid w:val="00EE6AA1"/>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nhideWhenUsed/>
    <w:qFormat/>
    <w:rsid w:val="005C0890"/>
    <w:pPr>
      <w:keepNext/>
      <w:keepLines/>
      <w:spacing w:before="200" w:after="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nhideWhenUsed/>
    <w:qFormat/>
    <w:rsid w:val="00834D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1B4F7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BodyText"/>
    <w:link w:val="Heading6Char"/>
    <w:qFormat/>
    <w:rsid w:val="000525F5"/>
    <w:pPr>
      <w:numPr>
        <w:ilvl w:val="5"/>
      </w:numPr>
      <w:autoSpaceDE/>
      <w:autoSpaceDN/>
      <w:adjustRightInd/>
      <w:spacing w:before="240" w:after="120" w:line="240" w:lineRule="auto"/>
      <w:outlineLvl w:val="5"/>
    </w:pPr>
    <w:rPr>
      <w:rFonts w:ascii="Arial" w:hAnsi="Arial"/>
      <w:bCs w:val="0"/>
      <w:color w:val="4F81BD" w:themeColor="accen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708"/>
    <w:pPr>
      <w:numPr>
        <w:numId w:val="3"/>
      </w:numPr>
      <w:spacing w:after="0"/>
      <w:contextualSpacing/>
    </w:pPr>
  </w:style>
  <w:style w:type="paragraph" w:styleId="NormalWeb">
    <w:name w:val="Normal (Web)"/>
    <w:basedOn w:val="Normal"/>
    <w:uiPriority w:val="99"/>
    <w:semiHidden/>
    <w:unhideWhenUsed/>
    <w:rsid w:val="006176DF"/>
    <w:pPr>
      <w:spacing w:before="189" w:after="100" w:afterAutospacing="1" w:line="240" w:lineRule="auto"/>
    </w:pPr>
    <w:rPr>
      <w:rFonts w:ascii="Times New Roman" w:hAnsi="Times New Roman"/>
    </w:rPr>
  </w:style>
  <w:style w:type="paragraph" w:styleId="FootnoteText">
    <w:name w:val="footnote text"/>
    <w:basedOn w:val="Normal"/>
    <w:link w:val="FootnoteTextChar"/>
    <w:uiPriority w:val="99"/>
    <w:rsid w:val="00AC668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locked/>
    <w:rsid w:val="00AC6684"/>
    <w:rPr>
      <w:rFonts w:ascii="Arial" w:hAnsi="Arial"/>
      <w:lang w:eastAsia="en-US"/>
    </w:rPr>
  </w:style>
  <w:style w:type="character" w:styleId="FootnoteReference">
    <w:name w:val="footnote reference"/>
    <w:basedOn w:val="DefaultParagraphFont"/>
    <w:uiPriority w:val="99"/>
    <w:rsid w:val="00AC6684"/>
    <w:rPr>
      <w:vertAlign w:val="superscript"/>
    </w:rPr>
  </w:style>
  <w:style w:type="character" w:styleId="Hyperlink">
    <w:name w:val="Hyperlink"/>
    <w:basedOn w:val="DefaultParagraphFont"/>
    <w:uiPriority w:val="99"/>
    <w:unhideWhenUsed/>
    <w:rsid w:val="00AC6684"/>
    <w:rPr>
      <w:color w:val="0044BB"/>
      <w:u w:val="single"/>
    </w:rPr>
  </w:style>
  <w:style w:type="paragraph" w:styleId="Header">
    <w:name w:val="header"/>
    <w:basedOn w:val="Normal"/>
    <w:link w:val="HeaderChar"/>
    <w:uiPriority w:val="8"/>
    <w:unhideWhenUsed/>
    <w:rsid w:val="00DC2830"/>
    <w:pPr>
      <w:tabs>
        <w:tab w:val="center" w:pos="4513"/>
        <w:tab w:val="right" w:pos="9026"/>
      </w:tabs>
    </w:pPr>
  </w:style>
  <w:style w:type="character" w:customStyle="1" w:styleId="HeaderChar">
    <w:name w:val="Header Char"/>
    <w:basedOn w:val="DefaultParagraphFont"/>
    <w:link w:val="Header"/>
    <w:uiPriority w:val="8"/>
    <w:locked/>
    <w:rsid w:val="00DC2830"/>
    <w:rPr>
      <w:rFonts w:cs="Times New Roman"/>
      <w:sz w:val="22"/>
      <w:szCs w:val="22"/>
      <w:lang w:eastAsia="en-US"/>
    </w:rPr>
  </w:style>
  <w:style w:type="paragraph" w:styleId="Footer">
    <w:name w:val="footer"/>
    <w:basedOn w:val="Normal"/>
    <w:link w:val="FooterChar"/>
    <w:uiPriority w:val="8"/>
    <w:unhideWhenUsed/>
    <w:rsid w:val="00DC2830"/>
    <w:pPr>
      <w:tabs>
        <w:tab w:val="center" w:pos="4513"/>
        <w:tab w:val="right" w:pos="9026"/>
      </w:tabs>
    </w:pPr>
  </w:style>
  <w:style w:type="character" w:customStyle="1" w:styleId="FooterChar">
    <w:name w:val="Footer Char"/>
    <w:basedOn w:val="DefaultParagraphFont"/>
    <w:link w:val="Footer"/>
    <w:uiPriority w:val="8"/>
    <w:locked/>
    <w:rsid w:val="00DC2830"/>
    <w:rPr>
      <w:rFonts w:cs="Times New Roman"/>
      <w:sz w:val="22"/>
      <w:szCs w:val="22"/>
      <w:lang w:eastAsia="en-US"/>
    </w:rPr>
  </w:style>
  <w:style w:type="paragraph" w:styleId="BalloonText">
    <w:name w:val="Balloon Text"/>
    <w:basedOn w:val="Normal"/>
    <w:link w:val="BalloonTextChar"/>
    <w:uiPriority w:val="99"/>
    <w:semiHidden/>
    <w:unhideWhenUsed/>
    <w:rsid w:val="007E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8C1"/>
    <w:rPr>
      <w:rFonts w:ascii="Tahoma" w:hAnsi="Tahoma" w:cs="Tahoma"/>
      <w:sz w:val="16"/>
      <w:szCs w:val="16"/>
      <w:lang w:eastAsia="en-US"/>
    </w:rPr>
  </w:style>
  <w:style w:type="paragraph" w:customStyle="1" w:styleId="Billname">
    <w:name w:val="Billname"/>
    <w:basedOn w:val="Normal"/>
    <w:rsid w:val="00005844"/>
    <w:pPr>
      <w:tabs>
        <w:tab w:val="left" w:pos="2400"/>
        <w:tab w:val="left" w:pos="2880"/>
      </w:tabs>
      <w:spacing w:before="1220" w:after="100" w:line="240" w:lineRule="auto"/>
    </w:pPr>
    <w:rPr>
      <w:rFonts w:ascii="Arial" w:hAnsi="Arial"/>
      <w:b/>
      <w:sz w:val="40"/>
      <w:szCs w:val="20"/>
    </w:rPr>
  </w:style>
  <w:style w:type="character" w:customStyle="1" w:styleId="ListParagraphChar">
    <w:name w:val="List Paragraph Char"/>
    <w:basedOn w:val="DefaultParagraphFont"/>
    <w:link w:val="ListParagraph"/>
    <w:uiPriority w:val="34"/>
    <w:locked/>
    <w:rsid w:val="009E5708"/>
    <w:rPr>
      <w:rFonts w:asciiTheme="minorHAnsi" w:hAnsiTheme="minorHAnsi" w:cs="Calibri-Bold"/>
      <w:bCs/>
      <w:sz w:val="24"/>
      <w:szCs w:val="24"/>
    </w:rPr>
  </w:style>
  <w:style w:type="paragraph" w:customStyle="1" w:styleId="Default">
    <w:name w:val="Default"/>
    <w:rsid w:val="006C0F5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94144B"/>
    <w:rPr>
      <w:sz w:val="16"/>
      <w:szCs w:val="16"/>
    </w:rPr>
  </w:style>
  <w:style w:type="paragraph" w:styleId="CommentText">
    <w:name w:val="annotation text"/>
    <w:basedOn w:val="Normal"/>
    <w:link w:val="CommentTextChar"/>
    <w:uiPriority w:val="99"/>
    <w:unhideWhenUsed/>
    <w:rsid w:val="0094144B"/>
    <w:pPr>
      <w:spacing w:line="240" w:lineRule="auto"/>
    </w:pPr>
    <w:rPr>
      <w:sz w:val="20"/>
      <w:szCs w:val="20"/>
    </w:rPr>
  </w:style>
  <w:style w:type="character" w:customStyle="1" w:styleId="CommentTextChar">
    <w:name w:val="Comment Text Char"/>
    <w:basedOn w:val="DefaultParagraphFont"/>
    <w:link w:val="CommentText"/>
    <w:uiPriority w:val="99"/>
    <w:rsid w:val="0094144B"/>
    <w:rPr>
      <w:lang w:eastAsia="en-US"/>
    </w:rPr>
  </w:style>
  <w:style w:type="paragraph" w:styleId="CommentSubject">
    <w:name w:val="annotation subject"/>
    <w:basedOn w:val="CommentText"/>
    <w:next w:val="CommentText"/>
    <w:link w:val="CommentSubjectChar"/>
    <w:uiPriority w:val="99"/>
    <w:semiHidden/>
    <w:unhideWhenUsed/>
    <w:rsid w:val="0094144B"/>
    <w:rPr>
      <w:b/>
      <w:bCs w:val="0"/>
    </w:rPr>
  </w:style>
  <w:style w:type="character" w:customStyle="1" w:styleId="CommentSubjectChar">
    <w:name w:val="Comment Subject Char"/>
    <w:basedOn w:val="CommentTextChar"/>
    <w:link w:val="CommentSubject"/>
    <w:uiPriority w:val="99"/>
    <w:semiHidden/>
    <w:rsid w:val="0094144B"/>
    <w:rPr>
      <w:b/>
      <w:bCs/>
      <w:lang w:eastAsia="en-US"/>
    </w:rPr>
  </w:style>
  <w:style w:type="character" w:styleId="FollowedHyperlink">
    <w:name w:val="FollowedHyperlink"/>
    <w:basedOn w:val="DefaultParagraphFont"/>
    <w:uiPriority w:val="99"/>
    <w:semiHidden/>
    <w:unhideWhenUsed/>
    <w:rsid w:val="00E461D0"/>
    <w:rPr>
      <w:color w:val="800080" w:themeColor="followedHyperlink"/>
      <w:u w:val="single"/>
    </w:rPr>
  </w:style>
  <w:style w:type="table" w:styleId="TableGrid">
    <w:name w:val="Table Grid"/>
    <w:basedOn w:val="TableNormal"/>
    <w:uiPriority w:val="59"/>
    <w:rsid w:val="000B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3B73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A1158D"/>
    <w:pPr>
      <w:spacing w:before="240" w:after="0" w:line="240" w:lineRule="auto"/>
    </w:pPr>
    <w:rPr>
      <w:b/>
      <w:bCs w:val="0"/>
      <w:color w:val="4F81BD" w:themeColor="accent1"/>
      <w:szCs w:val="18"/>
    </w:rPr>
  </w:style>
  <w:style w:type="character" w:customStyle="1" w:styleId="Heading1Char">
    <w:name w:val="Heading 1 Char"/>
    <w:basedOn w:val="DefaultParagraphFont"/>
    <w:link w:val="Heading1"/>
    <w:rsid w:val="00621CB9"/>
    <w:rPr>
      <w:rFonts w:asciiTheme="majorHAnsi" w:eastAsiaTheme="majorEastAsia" w:hAnsiTheme="majorHAnsi" w:cstheme="majorBidi"/>
      <w:b/>
      <w:color w:val="365F91" w:themeColor="accent1" w:themeShade="BF"/>
      <w:sz w:val="28"/>
      <w:szCs w:val="28"/>
    </w:rPr>
  </w:style>
  <w:style w:type="character" w:customStyle="1" w:styleId="Heading2Char">
    <w:name w:val="Heading 2 Char"/>
    <w:basedOn w:val="DefaultParagraphFont"/>
    <w:link w:val="Heading2"/>
    <w:rsid w:val="00EE6AA1"/>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C3417F"/>
    <w:pPr>
      <w:outlineLvl w:val="9"/>
    </w:pPr>
    <w:rPr>
      <w:lang w:val="en-US"/>
    </w:rPr>
  </w:style>
  <w:style w:type="paragraph" w:styleId="TOC1">
    <w:name w:val="toc 1"/>
    <w:basedOn w:val="Normal"/>
    <w:next w:val="Normal"/>
    <w:autoRedefine/>
    <w:uiPriority w:val="39"/>
    <w:unhideWhenUsed/>
    <w:rsid w:val="00D30AFF"/>
    <w:pPr>
      <w:tabs>
        <w:tab w:val="left" w:pos="709"/>
        <w:tab w:val="right" w:leader="dot" w:pos="9016"/>
      </w:tabs>
      <w:spacing w:after="100"/>
    </w:pPr>
  </w:style>
  <w:style w:type="paragraph" w:styleId="TOC2">
    <w:name w:val="toc 2"/>
    <w:basedOn w:val="Normal"/>
    <w:next w:val="Normal"/>
    <w:autoRedefine/>
    <w:uiPriority w:val="39"/>
    <w:unhideWhenUsed/>
    <w:rsid w:val="002841A5"/>
    <w:pPr>
      <w:tabs>
        <w:tab w:val="left" w:pos="709"/>
        <w:tab w:val="right" w:leader="dot" w:pos="9016"/>
      </w:tabs>
      <w:spacing w:after="0" w:line="240" w:lineRule="auto"/>
      <w:ind w:left="1276" w:hanging="992"/>
    </w:pPr>
  </w:style>
  <w:style w:type="character" w:customStyle="1" w:styleId="Heading3Char">
    <w:name w:val="Heading 3 Char"/>
    <w:basedOn w:val="DefaultParagraphFont"/>
    <w:link w:val="Heading3"/>
    <w:rsid w:val="005C0890"/>
    <w:rPr>
      <w:rFonts w:asciiTheme="majorHAnsi" w:eastAsiaTheme="majorEastAsia" w:hAnsiTheme="majorHAnsi" w:cstheme="majorBidi"/>
      <w:b/>
      <w:bCs/>
      <w:color w:val="4F81BD" w:themeColor="accent1"/>
      <w:sz w:val="22"/>
      <w:szCs w:val="22"/>
      <w:lang w:eastAsia="en-US"/>
    </w:rPr>
  </w:style>
  <w:style w:type="table" w:styleId="MediumShading1-Accent1">
    <w:name w:val="Medium Shading 1 Accent 1"/>
    <w:basedOn w:val="TableNormal"/>
    <w:uiPriority w:val="63"/>
    <w:rsid w:val="000452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5566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B2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CE3595"/>
    <w:pPr>
      <w:spacing w:after="0"/>
    </w:pPr>
  </w:style>
  <w:style w:type="character" w:customStyle="1" w:styleId="Italic">
    <w:name w:val="Italic"/>
    <w:basedOn w:val="DefaultParagraphFont"/>
    <w:qFormat/>
    <w:rsid w:val="00581B8D"/>
    <w:rPr>
      <w:i/>
    </w:rPr>
  </w:style>
  <w:style w:type="paragraph" w:customStyle="1" w:styleId="Imprintinformation">
    <w:name w:val="Imprint information"/>
    <w:basedOn w:val="Normal"/>
    <w:qFormat/>
    <w:rsid w:val="00581B8D"/>
    <w:rPr>
      <w:rFonts w:eastAsia="Calibri"/>
      <w:sz w:val="16"/>
      <w:szCs w:val="32"/>
    </w:rPr>
  </w:style>
  <w:style w:type="paragraph" w:styleId="Revision">
    <w:name w:val="Revision"/>
    <w:hidden/>
    <w:uiPriority w:val="99"/>
    <w:semiHidden/>
    <w:rsid w:val="00E62108"/>
    <w:rPr>
      <w:rFonts w:asciiTheme="minorHAnsi" w:hAnsiTheme="minorHAnsi" w:cs="Calibri-Bold"/>
      <w:bCs/>
      <w:sz w:val="24"/>
      <w:szCs w:val="24"/>
    </w:rPr>
  </w:style>
  <w:style w:type="character" w:customStyle="1" w:styleId="ColorfulList-Accent1Char">
    <w:name w:val="Colorful List - Accent 1 Char"/>
    <w:link w:val="ColorfulList-Accent1"/>
    <w:uiPriority w:val="34"/>
    <w:locked/>
    <w:rsid w:val="006747A3"/>
    <w:rPr>
      <w:sz w:val="22"/>
      <w:szCs w:val="22"/>
      <w:lang w:eastAsia="en-US"/>
    </w:rPr>
  </w:style>
  <w:style w:type="table" w:styleId="ColorfulList-Accent1">
    <w:name w:val="Colorful List Accent 1"/>
    <w:basedOn w:val="TableNormal"/>
    <w:link w:val="ColorfulList-Accent1Char"/>
    <w:uiPriority w:val="34"/>
    <w:semiHidden/>
    <w:unhideWhenUsed/>
    <w:rsid w:val="006747A3"/>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7F7244"/>
    <w:pPr>
      <w:spacing w:after="100"/>
      <w:ind w:left="480"/>
    </w:pPr>
  </w:style>
  <w:style w:type="paragraph" w:customStyle="1" w:styleId="Brieftext">
    <w:name w:val="Brief_text"/>
    <w:basedOn w:val="ListParagraph"/>
    <w:qFormat/>
    <w:rsid w:val="00375AFD"/>
    <w:pPr>
      <w:widowControl w:val="0"/>
      <w:numPr>
        <w:numId w:val="0"/>
      </w:numPr>
      <w:tabs>
        <w:tab w:val="num" w:pos="567"/>
      </w:tabs>
      <w:autoSpaceDE/>
      <w:autoSpaceDN/>
      <w:adjustRightInd/>
      <w:spacing w:line="240" w:lineRule="auto"/>
      <w:ind w:right="-51"/>
    </w:pPr>
    <w:rPr>
      <w:rFonts w:ascii="Calibri" w:hAnsi="Calibri" w:cs="Times New Roman"/>
      <w:bCs w:val="0"/>
      <w:lang w:eastAsia="en-US"/>
    </w:rPr>
  </w:style>
  <w:style w:type="character" w:customStyle="1" w:styleId="Heading4Char">
    <w:name w:val="Heading 4 Char"/>
    <w:basedOn w:val="DefaultParagraphFont"/>
    <w:link w:val="Heading4"/>
    <w:rsid w:val="00834D6C"/>
    <w:rPr>
      <w:rFonts w:asciiTheme="majorHAnsi" w:eastAsiaTheme="majorEastAsia" w:hAnsiTheme="majorHAnsi" w:cstheme="majorBidi"/>
      <w:bCs/>
      <w:i/>
      <w:iCs/>
      <w:color w:val="365F91" w:themeColor="accent1" w:themeShade="BF"/>
      <w:sz w:val="24"/>
      <w:szCs w:val="24"/>
    </w:rPr>
  </w:style>
  <w:style w:type="table" w:styleId="GridTable1Light-Accent1">
    <w:name w:val="Grid Table 1 Light Accent 1"/>
    <w:basedOn w:val="TableNormal"/>
    <w:uiPriority w:val="46"/>
    <w:rsid w:val="008F0D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8F0D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8F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main">
    <w:name w:val="A main"/>
    <w:basedOn w:val="Normal"/>
    <w:rsid w:val="00220AC8"/>
    <w:pPr>
      <w:tabs>
        <w:tab w:val="right" w:pos="900"/>
        <w:tab w:val="left" w:pos="1100"/>
      </w:tabs>
      <w:autoSpaceDE/>
      <w:autoSpaceDN/>
      <w:adjustRightInd/>
      <w:spacing w:before="140" w:after="0" w:line="240" w:lineRule="auto"/>
      <w:ind w:left="1100" w:hanging="1100"/>
      <w:jc w:val="both"/>
      <w:outlineLvl w:val="5"/>
    </w:pPr>
    <w:rPr>
      <w:rFonts w:ascii="Times New Roman" w:hAnsi="Times New Roman" w:cs="Times New Roman"/>
      <w:bCs w:val="0"/>
      <w:szCs w:val="20"/>
      <w:lang w:eastAsia="en-US"/>
    </w:rPr>
  </w:style>
  <w:style w:type="paragraph" w:customStyle="1" w:styleId="Apara">
    <w:name w:val="A para"/>
    <w:basedOn w:val="Normal"/>
    <w:rsid w:val="00220AC8"/>
    <w:pPr>
      <w:tabs>
        <w:tab w:val="right" w:pos="1400"/>
        <w:tab w:val="left" w:pos="1600"/>
      </w:tabs>
      <w:autoSpaceDE/>
      <w:autoSpaceDN/>
      <w:adjustRightInd/>
      <w:spacing w:before="140" w:after="0" w:line="240" w:lineRule="auto"/>
      <w:ind w:left="1600" w:hanging="1600"/>
      <w:jc w:val="both"/>
      <w:outlineLvl w:val="6"/>
    </w:pPr>
    <w:rPr>
      <w:rFonts w:ascii="Times New Roman" w:hAnsi="Times New Roman" w:cs="Times New Roman"/>
      <w:bCs w:val="0"/>
      <w:szCs w:val="20"/>
      <w:lang w:eastAsia="en-US"/>
    </w:rPr>
  </w:style>
  <w:style w:type="paragraph" w:customStyle="1" w:styleId="aDef">
    <w:name w:val="aDef"/>
    <w:basedOn w:val="Normal"/>
    <w:rsid w:val="00220AC8"/>
    <w:pPr>
      <w:autoSpaceDE/>
      <w:autoSpaceDN/>
      <w:adjustRightInd/>
      <w:spacing w:before="140" w:after="0" w:line="240" w:lineRule="auto"/>
      <w:ind w:left="1100"/>
      <w:jc w:val="both"/>
    </w:pPr>
    <w:rPr>
      <w:rFonts w:ascii="Times New Roman" w:hAnsi="Times New Roman" w:cs="Times New Roman"/>
      <w:bCs w:val="0"/>
      <w:szCs w:val="20"/>
      <w:lang w:eastAsia="en-US"/>
    </w:rPr>
  </w:style>
  <w:style w:type="paragraph" w:customStyle="1" w:styleId="AH5Sec">
    <w:name w:val="A H5 Sec"/>
    <w:basedOn w:val="Normal"/>
    <w:next w:val="Amain"/>
    <w:link w:val="AH5SecChar"/>
    <w:rsid w:val="00220AC8"/>
    <w:pPr>
      <w:keepNext/>
      <w:tabs>
        <w:tab w:val="left" w:pos="1100"/>
      </w:tabs>
      <w:autoSpaceDE/>
      <w:autoSpaceDN/>
      <w:adjustRightInd/>
      <w:spacing w:before="240" w:after="0" w:line="240" w:lineRule="auto"/>
      <w:ind w:left="1100" w:hanging="1100"/>
      <w:outlineLvl w:val="4"/>
    </w:pPr>
    <w:rPr>
      <w:rFonts w:ascii="Arial" w:hAnsi="Arial" w:cs="Times New Roman"/>
      <w:b/>
      <w:bCs w:val="0"/>
      <w:szCs w:val="20"/>
      <w:lang w:eastAsia="en-US"/>
    </w:rPr>
  </w:style>
  <w:style w:type="paragraph" w:customStyle="1" w:styleId="aDefpara">
    <w:name w:val="aDef para"/>
    <w:basedOn w:val="Apara"/>
    <w:rsid w:val="00220AC8"/>
  </w:style>
  <w:style w:type="paragraph" w:customStyle="1" w:styleId="aDefsubpara">
    <w:name w:val="aDef subpara"/>
    <w:basedOn w:val="Normal"/>
    <w:rsid w:val="00220AC8"/>
    <w:pPr>
      <w:tabs>
        <w:tab w:val="right" w:pos="1900"/>
        <w:tab w:val="left" w:pos="2100"/>
      </w:tabs>
      <w:autoSpaceDE/>
      <w:autoSpaceDN/>
      <w:adjustRightInd/>
      <w:spacing w:before="140" w:after="0" w:line="240" w:lineRule="auto"/>
      <w:ind w:left="2100" w:hanging="2100"/>
      <w:jc w:val="both"/>
      <w:outlineLvl w:val="7"/>
    </w:pPr>
    <w:rPr>
      <w:rFonts w:ascii="Times New Roman" w:hAnsi="Times New Roman" w:cs="Times New Roman"/>
      <w:bCs w:val="0"/>
      <w:szCs w:val="20"/>
      <w:lang w:eastAsia="en-US"/>
    </w:rPr>
  </w:style>
  <w:style w:type="paragraph" w:customStyle="1" w:styleId="aNotepar">
    <w:name w:val="aNotepar"/>
    <w:basedOn w:val="Normal"/>
    <w:next w:val="Normal"/>
    <w:rsid w:val="00220AC8"/>
    <w:pPr>
      <w:autoSpaceDE/>
      <w:autoSpaceDN/>
      <w:adjustRightInd/>
      <w:spacing w:before="140" w:after="0" w:line="240" w:lineRule="auto"/>
      <w:ind w:left="2400" w:hanging="800"/>
      <w:jc w:val="both"/>
    </w:pPr>
    <w:rPr>
      <w:rFonts w:ascii="Times New Roman" w:hAnsi="Times New Roman" w:cs="Times New Roman"/>
      <w:bCs w:val="0"/>
      <w:sz w:val="20"/>
      <w:szCs w:val="20"/>
      <w:lang w:eastAsia="en-US"/>
    </w:rPr>
  </w:style>
  <w:style w:type="paragraph" w:customStyle="1" w:styleId="aNoteTextpar">
    <w:name w:val="aNoteTextpar"/>
    <w:basedOn w:val="aNotepar"/>
    <w:rsid w:val="00220AC8"/>
    <w:pPr>
      <w:spacing w:before="60"/>
      <w:ind w:firstLine="0"/>
    </w:pPr>
  </w:style>
  <w:style w:type="character" w:customStyle="1" w:styleId="charBoldItals">
    <w:name w:val="charBoldItals"/>
    <w:basedOn w:val="DefaultParagraphFont"/>
    <w:rsid w:val="00220AC8"/>
    <w:rPr>
      <w:rFonts w:cs="Times New Roman"/>
      <w:b/>
      <w:i/>
    </w:rPr>
  </w:style>
  <w:style w:type="character" w:customStyle="1" w:styleId="charItals">
    <w:name w:val="charItals"/>
    <w:basedOn w:val="DefaultParagraphFont"/>
    <w:rsid w:val="00220AC8"/>
    <w:rPr>
      <w:rFonts w:cs="Times New Roman"/>
      <w:i/>
    </w:rPr>
  </w:style>
  <w:style w:type="character" w:customStyle="1" w:styleId="charCitHyperlinkAbbrev">
    <w:name w:val="charCitHyperlinkAbbrev"/>
    <w:basedOn w:val="Hyperlink"/>
    <w:uiPriority w:val="1"/>
    <w:rsid w:val="00220AC8"/>
    <w:rPr>
      <w:rFonts w:cs="Times New Roman"/>
      <w:color w:val="0000FF" w:themeColor="hyperlink"/>
      <w:u w:val="none"/>
    </w:rPr>
  </w:style>
  <w:style w:type="character" w:customStyle="1" w:styleId="charCitHyperlinkItal">
    <w:name w:val="charCitHyperlinkItal"/>
    <w:basedOn w:val="Hyperlink"/>
    <w:uiPriority w:val="1"/>
    <w:rsid w:val="00220AC8"/>
    <w:rPr>
      <w:rFonts w:cs="Times New Roman"/>
      <w:i/>
      <w:color w:val="0000FF" w:themeColor="hyperlink"/>
      <w:u w:val="none"/>
    </w:rPr>
  </w:style>
  <w:style w:type="character" w:customStyle="1" w:styleId="AH5SecChar">
    <w:name w:val="A H5 Sec Char"/>
    <w:basedOn w:val="DefaultParagraphFont"/>
    <w:link w:val="AH5Sec"/>
    <w:locked/>
    <w:rsid w:val="00220AC8"/>
    <w:rPr>
      <w:rFonts w:ascii="Arial" w:hAnsi="Arial"/>
      <w:b/>
      <w:sz w:val="24"/>
      <w:lang w:eastAsia="en-US"/>
    </w:rPr>
  </w:style>
  <w:style w:type="paragraph" w:customStyle="1" w:styleId="Pa12">
    <w:name w:val="Pa12"/>
    <w:basedOn w:val="Default"/>
    <w:next w:val="Default"/>
    <w:uiPriority w:val="99"/>
    <w:rsid w:val="00083088"/>
    <w:pPr>
      <w:spacing w:line="211" w:lineRule="atLeast"/>
    </w:pPr>
    <w:rPr>
      <w:rFonts w:ascii="Source Sans Pro Light" w:hAnsi="Source Sans Pro Light" w:cs="Times New Roman"/>
      <w:color w:val="auto"/>
    </w:rPr>
  </w:style>
  <w:style w:type="character" w:customStyle="1" w:styleId="A7">
    <w:name w:val="A7"/>
    <w:uiPriority w:val="99"/>
    <w:rsid w:val="00083088"/>
    <w:rPr>
      <w:rFonts w:cs="Source Sans Pro Light"/>
      <w:color w:val="000000"/>
      <w:sz w:val="21"/>
      <w:szCs w:val="21"/>
      <w:u w:val="single"/>
    </w:rPr>
  </w:style>
  <w:style w:type="character" w:customStyle="1" w:styleId="UnresolvedMention1">
    <w:name w:val="Unresolved Mention1"/>
    <w:basedOn w:val="DefaultParagraphFont"/>
    <w:uiPriority w:val="99"/>
    <w:semiHidden/>
    <w:unhideWhenUsed/>
    <w:rsid w:val="00C52E57"/>
    <w:rPr>
      <w:color w:val="605E5C"/>
      <w:shd w:val="clear" w:color="auto" w:fill="E1DFDD"/>
    </w:rPr>
  </w:style>
  <w:style w:type="character" w:customStyle="1" w:styleId="Heading5Char">
    <w:name w:val="Heading 5 Char"/>
    <w:basedOn w:val="DefaultParagraphFont"/>
    <w:link w:val="Heading5"/>
    <w:rsid w:val="001B4F7E"/>
    <w:rPr>
      <w:rFonts w:asciiTheme="majorHAnsi" w:eastAsiaTheme="majorEastAsia" w:hAnsiTheme="majorHAnsi" w:cstheme="majorBidi"/>
      <w:bCs/>
      <w:color w:val="365F91" w:themeColor="accent1" w:themeShade="BF"/>
      <w:sz w:val="24"/>
      <w:szCs w:val="24"/>
    </w:rPr>
  </w:style>
  <w:style w:type="paragraph" w:styleId="EndnoteText">
    <w:name w:val="endnote text"/>
    <w:basedOn w:val="Normal"/>
    <w:link w:val="EndnoteTextChar"/>
    <w:uiPriority w:val="99"/>
    <w:semiHidden/>
    <w:unhideWhenUsed/>
    <w:rsid w:val="00883F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F61"/>
    <w:rPr>
      <w:rFonts w:asciiTheme="minorHAnsi" w:hAnsiTheme="minorHAnsi" w:cs="Calibri-Bold"/>
      <w:bCs/>
    </w:rPr>
  </w:style>
  <w:style w:type="character" w:styleId="EndnoteReference">
    <w:name w:val="endnote reference"/>
    <w:basedOn w:val="DefaultParagraphFont"/>
    <w:uiPriority w:val="99"/>
    <w:semiHidden/>
    <w:unhideWhenUsed/>
    <w:rsid w:val="00883F61"/>
    <w:rPr>
      <w:vertAlign w:val="superscript"/>
    </w:rPr>
  </w:style>
  <w:style w:type="character" w:customStyle="1" w:styleId="Calibri12">
    <w:name w:val="Calibri 12"/>
    <w:basedOn w:val="DefaultParagraphFont"/>
    <w:uiPriority w:val="1"/>
    <w:qFormat/>
    <w:rsid w:val="00356B7A"/>
    <w:rPr>
      <w:rFonts w:ascii="Calibri" w:hAnsi="Calibri"/>
      <w:sz w:val="24"/>
    </w:rPr>
  </w:style>
  <w:style w:type="paragraph" w:styleId="BodyText">
    <w:name w:val="Body Text"/>
    <w:basedOn w:val="Normal"/>
    <w:link w:val="BodyTextChar"/>
    <w:uiPriority w:val="99"/>
    <w:rsid w:val="0024315A"/>
    <w:pPr>
      <w:autoSpaceDE/>
      <w:autoSpaceDN/>
      <w:adjustRightInd/>
      <w:spacing w:after="0" w:line="240" w:lineRule="auto"/>
    </w:pPr>
    <w:rPr>
      <w:rFonts w:ascii="Arial" w:hAnsi="Arial" w:cs="Times New Roman"/>
      <w:bCs w:val="0"/>
      <w:sz w:val="20"/>
      <w:szCs w:val="20"/>
      <w:lang w:eastAsia="en-US"/>
    </w:rPr>
  </w:style>
  <w:style w:type="character" w:customStyle="1" w:styleId="BodyTextChar">
    <w:name w:val="Body Text Char"/>
    <w:basedOn w:val="DefaultParagraphFont"/>
    <w:link w:val="BodyText"/>
    <w:uiPriority w:val="99"/>
    <w:rsid w:val="0024315A"/>
    <w:rPr>
      <w:rFonts w:ascii="Arial" w:hAnsi="Arial"/>
      <w:lang w:eastAsia="en-US"/>
    </w:rPr>
  </w:style>
  <w:style w:type="paragraph" w:styleId="ListBullet">
    <w:name w:val="List Bullet"/>
    <w:basedOn w:val="Normal"/>
    <w:link w:val="ListBulletChar"/>
    <w:uiPriority w:val="4"/>
    <w:qFormat/>
    <w:rsid w:val="00450216"/>
    <w:pPr>
      <w:numPr>
        <w:numId w:val="18"/>
      </w:numPr>
      <w:autoSpaceDE/>
      <w:autoSpaceDN/>
      <w:adjustRightInd/>
      <w:spacing w:before="60" w:after="60" w:line="240" w:lineRule="auto"/>
    </w:pPr>
    <w:rPr>
      <w:rFonts w:ascii="Calibri" w:eastAsia="Century Gothic" w:hAnsi="Calibri" w:cstheme="minorBidi"/>
      <w:bCs w:val="0"/>
      <w:color w:val="000000" w:themeColor="text1"/>
      <w:sz w:val="20"/>
      <w:szCs w:val="20"/>
      <w:lang w:eastAsia="en-US"/>
    </w:rPr>
  </w:style>
  <w:style w:type="paragraph" w:styleId="ListBullet2">
    <w:name w:val="List Bullet 2"/>
    <w:basedOn w:val="Normal"/>
    <w:uiPriority w:val="4"/>
    <w:rsid w:val="00450216"/>
    <w:pPr>
      <w:numPr>
        <w:ilvl w:val="1"/>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paragraph" w:styleId="ListBullet3">
    <w:name w:val="List Bullet 3"/>
    <w:basedOn w:val="Normal"/>
    <w:uiPriority w:val="4"/>
    <w:rsid w:val="00450216"/>
    <w:pPr>
      <w:numPr>
        <w:ilvl w:val="2"/>
        <w:numId w:val="18"/>
      </w:numPr>
      <w:autoSpaceDE/>
      <w:autoSpaceDN/>
      <w:adjustRightInd/>
      <w:spacing w:before="60" w:after="120" w:line="240" w:lineRule="atLeast"/>
    </w:pPr>
    <w:rPr>
      <w:rFonts w:ascii="Calibri" w:eastAsia="Century Gothic" w:hAnsi="Calibri" w:cstheme="minorBidi"/>
      <w:bCs w:val="0"/>
      <w:color w:val="000000" w:themeColor="text1"/>
      <w:sz w:val="20"/>
      <w:szCs w:val="20"/>
      <w:lang w:eastAsia="en-US"/>
    </w:rPr>
  </w:style>
  <w:style w:type="character" w:customStyle="1" w:styleId="ListBulletChar">
    <w:name w:val="List Bullet Char"/>
    <w:basedOn w:val="DefaultParagraphFont"/>
    <w:link w:val="ListBullet"/>
    <w:uiPriority w:val="3"/>
    <w:rsid w:val="00450216"/>
    <w:rPr>
      <w:rFonts w:eastAsia="Century Gothic" w:cstheme="minorBidi"/>
      <w:color w:val="000000" w:themeColor="text1"/>
      <w:lang w:eastAsia="en-US"/>
    </w:rPr>
  </w:style>
  <w:style w:type="table" w:styleId="GridTable4-Accent4">
    <w:name w:val="Grid Table 4 Accent 4"/>
    <w:basedOn w:val="TableNormal"/>
    <w:uiPriority w:val="49"/>
    <w:rsid w:val="00450216"/>
    <w:rPr>
      <w:rFonts w:asciiTheme="minorHAnsi" w:eastAsia="Century Gothic" w:hAnsi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EPLTableStandard">
    <w:name w:val="EPL_Table_Standard"/>
    <w:basedOn w:val="TableNormal"/>
    <w:rsid w:val="00143CCE"/>
    <w:pPr>
      <w:spacing w:after="80" w:line="280" w:lineRule="atLeast"/>
      <w:contextualSpacing/>
    </w:pPr>
    <w:rPr>
      <w:rFonts w:ascii="Arial" w:hAnsi="Arial"/>
      <w:sz w:val="18"/>
      <w:szCs w:val="18"/>
    </w:rPr>
    <w:tblPr>
      <w:tblStyleRowBandSize w:val="1"/>
      <w:tblStyleCol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CellMar>
        <w:top w:w="57" w:type="dxa"/>
        <w:left w:w="142" w:type="dxa"/>
        <w:bottom w:w="57" w:type="dxa"/>
        <w:right w:w="142" w:type="dxa"/>
      </w:tblCellMar>
    </w:tblPr>
    <w:tblStylePr w:type="firstRow">
      <w:pPr>
        <w:wordWrap/>
        <w:jc w:val="center"/>
      </w:pPr>
      <w:rPr>
        <w:rFonts w:ascii="Arial Bold" w:hAnsi="Arial Bold"/>
        <w:b/>
        <w:i w:val="0"/>
        <w:color w:val="auto"/>
        <w:sz w:val="18"/>
        <w:szCs w:val="18"/>
      </w:rPr>
      <w:tblPr/>
      <w:tcPr>
        <w:tcBorders>
          <w:top w:val="single" w:sz="12" w:space="0" w:color="F48024"/>
          <w:left w:val="nil"/>
          <w:bottom w:val="nil"/>
          <w:right w:val="nil"/>
          <w:insideH w:val="nil"/>
          <w:insideV w:val="nil"/>
          <w:tl2br w:val="nil"/>
          <w:tr2bl w:val="nil"/>
        </w:tcBorders>
      </w:tcPr>
    </w:tblStylePr>
    <w:tblStylePr w:type="lastRow">
      <w:tblPr/>
      <w:tcPr>
        <w:tcBorders>
          <w:top w:val="nil"/>
          <w:left w:val="nil"/>
          <w:bottom w:val="single" w:sz="4" w:space="0" w:color="1F497D" w:themeColor="text2"/>
          <w:right w:val="nil"/>
          <w:insideH w:val="nil"/>
          <w:insideV w:val="nil"/>
          <w:tl2br w:val="nil"/>
          <w:tr2bl w:val="nil"/>
        </w:tcBorders>
      </w:tcPr>
    </w:tblStylePr>
    <w:tblStylePr w:type="firstCol">
      <w:pPr>
        <w:wordWrap/>
        <w:spacing w:beforeLines="0" w:before="0" w:beforeAutospacing="0" w:afterLines="0" w:after="0" w:afterAutospacing="0" w:line="280" w:lineRule="atLeast"/>
      </w:pPr>
      <w:tblPr/>
      <w:tcPr>
        <w:tcBorders>
          <w:top w:val="nil"/>
          <w:left w:val="nil"/>
          <w:bottom w:val="nil"/>
          <w:right w:val="single" w:sz="4" w:space="0" w:color="000000" w:themeColor="text1"/>
          <w:insideH w:val="nil"/>
          <w:insideV w:val="nil"/>
          <w:tl2br w:val="nil"/>
          <w:tr2bl w:val="nil"/>
        </w:tcBorders>
      </w:tcPr>
    </w:tblStylePr>
    <w:tblStylePr w:type="lastCol">
      <w:pPr>
        <w:wordWrap/>
        <w:spacing w:beforeLines="0" w:before="0" w:beforeAutospacing="0" w:afterLines="0" w:after="0" w:afterAutospacing="0" w:line="280" w:lineRule="atLeast"/>
      </w:pPr>
      <w:tblPr/>
      <w:tcPr>
        <w:tcBorders>
          <w:top w:val="nil"/>
          <w:left w:val="single" w:sz="4" w:space="0" w:color="000000" w:themeColor="text1"/>
          <w:bottom w:val="nil"/>
          <w:right w:val="nil"/>
          <w:insideH w:val="nil"/>
          <w:insideV w:val="nil"/>
          <w:tl2br w:val="nil"/>
          <w:tr2bl w:val="nil"/>
        </w:tcBorders>
      </w:tcPr>
    </w:tblStylePr>
    <w:tblStylePr w:type="band1Vert">
      <w:pPr>
        <w:wordWrap/>
        <w:spacing w:beforeLines="0" w:before="0" w:beforeAutospacing="0" w:afterLines="0" w:after="0" w:afterAutospacing="0" w:line="280" w:lineRule="atLeast"/>
      </w:pPr>
    </w:tblStylePr>
    <w:tblStylePr w:type="band2Vert">
      <w:pPr>
        <w:wordWrap/>
        <w:spacing w:beforeLines="0" w:before="0" w:beforeAutospacing="0" w:afterLines="0" w:after="0" w:afterAutospacing="0" w:line="280" w:lineRule="atLeast"/>
      </w:pPr>
    </w:tblStylePr>
    <w:tblStylePr w:type="band1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shd w:val="clear" w:color="auto" w:fill="E5E5E6"/>
      </w:tcPr>
    </w:tblStylePr>
    <w:tblStylePr w:type="band2Horz">
      <w:pPr>
        <w:wordWrap/>
        <w:spacing w:beforeLines="0" w:before="0" w:beforeAutospacing="0" w:afterLines="0" w:after="0" w:afterAutospacing="0" w:line="280" w:lineRule="atLeast"/>
      </w:pPr>
      <w:rPr>
        <w:sz w:val="18"/>
      </w:rPr>
      <w:tblPr/>
      <w:tcPr>
        <w:tcBorders>
          <w:top w:val="nil"/>
          <w:left w:val="nil"/>
          <w:bottom w:val="nil"/>
          <w:right w:val="nil"/>
          <w:insideH w:val="nil"/>
          <w:insideV w:val="single" w:sz="4" w:space="0" w:color="000000" w:themeColor="text1"/>
          <w:tl2br w:val="nil"/>
          <w:tr2bl w:val="nil"/>
        </w:tcBorders>
      </w:tcPr>
    </w:tblStylePr>
  </w:style>
  <w:style w:type="character" w:styleId="UnresolvedMention">
    <w:name w:val="Unresolved Mention"/>
    <w:basedOn w:val="DefaultParagraphFont"/>
    <w:uiPriority w:val="99"/>
    <w:semiHidden/>
    <w:unhideWhenUsed/>
    <w:rsid w:val="0067098D"/>
    <w:rPr>
      <w:color w:val="605E5C"/>
      <w:shd w:val="clear" w:color="auto" w:fill="E1DFDD"/>
    </w:rPr>
  </w:style>
  <w:style w:type="character" w:customStyle="1" w:styleId="Heading6Char">
    <w:name w:val="Heading 6 Char"/>
    <w:basedOn w:val="DefaultParagraphFont"/>
    <w:link w:val="Heading6"/>
    <w:rsid w:val="000525F5"/>
    <w:rPr>
      <w:rFonts w:ascii="Arial" w:eastAsiaTheme="majorEastAsia" w:hAnsi="Arial" w:cstheme="majorBidi"/>
      <w:color w:val="4F81BD" w:themeColor="accent1"/>
      <w:lang w:eastAsia="en-US"/>
    </w:rPr>
  </w:style>
  <w:style w:type="paragraph" w:styleId="Title">
    <w:name w:val="Title"/>
    <w:basedOn w:val="Normal"/>
    <w:next w:val="Normal"/>
    <w:link w:val="TitleChar"/>
    <w:uiPriority w:val="10"/>
    <w:unhideWhenUsed/>
    <w:qFormat/>
    <w:rsid w:val="000525F5"/>
    <w:pPr>
      <w:autoSpaceDE/>
      <w:autoSpaceDN/>
      <w:adjustRightInd/>
      <w:spacing w:before="1200" w:after="0" w:line="400" w:lineRule="atLeast"/>
    </w:pPr>
    <w:rPr>
      <w:rFonts w:ascii="Arial Bold" w:eastAsiaTheme="majorEastAsia" w:hAnsi="Arial Bold" w:cstheme="majorBidi"/>
      <w:b/>
      <w:bCs w:val="0"/>
      <w:color w:val="FFFFFF" w:themeColor="background1"/>
      <w:sz w:val="40"/>
      <w:szCs w:val="52"/>
      <w:lang w:eastAsia="en-US"/>
    </w:rPr>
  </w:style>
  <w:style w:type="character" w:customStyle="1" w:styleId="TitleChar">
    <w:name w:val="Title Char"/>
    <w:basedOn w:val="DefaultParagraphFont"/>
    <w:link w:val="Title"/>
    <w:uiPriority w:val="10"/>
    <w:rsid w:val="000525F5"/>
    <w:rPr>
      <w:rFonts w:ascii="Arial Bold" w:eastAsiaTheme="majorEastAsia" w:hAnsi="Arial Bold" w:cstheme="majorBidi"/>
      <w:b/>
      <w:color w:val="FFFFFF" w:themeColor="background1"/>
      <w:sz w:val="40"/>
      <w:szCs w:val="52"/>
      <w:lang w:eastAsia="en-US"/>
    </w:rPr>
  </w:style>
  <w:style w:type="paragraph" w:styleId="NoSpacing">
    <w:name w:val="No Spacing"/>
    <w:basedOn w:val="Normal"/>
    <w:uiPriority w:val="5"/>
    <w:qFormat/>
    <w:rsid w:val="000525F5"/>
    <w:pPr>
      <w:autoSpaceDE/>
      <w:autoSpaceDN/>
      <w:adjustRightInd/>
      <w:spacing w:after="0" w:line="280" w:lineRule="atLeast"/>
    </w:pPr>
    <w:rPr>
      <w:rFonts w:ascii="Arial" w:eastAsiaTheme="minorHAnsi" w:hAnsi="Arial" w:cstheme="minorBidi"/>
      <w:bCs w:val="0"/>
      <w:color w:val="000000" w:themeColor="text1" w:themeShade="80"/>
      <w:sz w:val="20"/>
      <w:szCs w:val="22"/>
      <w:lang w:eastAsia="en-US"/>
    </w:rPr>
  </w:style>
  <w:style w:type="character" w:styleId="PlaceholderText">
    <w:name w:val="Placeholder Text"/>
    <w:basedOn w:val="DefaultParagraphFont"/>
    <w:uiPriority w:val="99"/>
    <w:semiHidden/>
    <w:rsid w:val="000525F5"/>
    <w:rPr>
      <w:color w:val="808080"/>
    </w:rPr>
  </w:style>
  <w:style w:type="paragraph" w:styleId="Quote">
    <w:name w:val="Quote"/>
    <w:basedOn w:val="Heading5"/>
    <w:next w:val="Normal"/>
    <w:link w:val="QuoteChar"/>
    <w:uiPriority w:val="29"/>
    <w:qFormat/>
    <w:rsid w:val="000525F5"/>
    <w:pPr>
      <w:numPr>
        <w:ilvl w:val="4"/>
      </w:numPr>
      <w:autoSpaceDE/>
      <w:autoSpaceDN/>
      <w:adjustRightInd/>
      <w:spacing w:before="240" w:after="120" w:line="240" w:lineRule="auto"/>
      <w:ind w:left="1191" w:right="340"/>
    </w:pPr>
    <w:rPr>
      <w:rFonts w:ascii="Arial" w:hAnsi="Arial"/>
      <w:i/>
      <w:color w:val="4F81BD" w:themeColor="accent1"/>
      <w:lang w:eastAsia="en-US"/>
    </w:rPr>
  </w:style>
  <w:style w:type="character" w:customStyle="1" w:styleId="QuoteChar">
    <w:name w:val="Quote Char"/>
    <w:basedOn w:val="DefaultParagraphFont"/>
    <w:link w:val="Quote"/>
    <w:uiPriority w:val="29"/>
    <w:rsid w:val="000525F5"/>
    <w:rPr>
      <w:rFonts w:ascii="Arial" w:eastAsiaTheme="majorEastAsia" w:hAnsi="Arial" w:cstheme="majorBidi"/>
      <w:bCs/>
      <w:i/>
      <w:color w:val="4F81BD" w:themeColor="accent1"/>
      <w:sz w:val="24"/>
      <w:szCs w:val="24"/>
      <w:lang w:eastAsia="en-US"/>
    </w:rPr>
  </w:style>
  <w:style w:type="paragraph" w:customStyle="1" w:styleId="EPLCallOutTitle">
    <w:name w:val="EPL Call Out Title"/>
    <w:basedOn w:val="Normal"/>
    <w:uiPriority w:val="5"/>
    <w:qFormat/>
    <w:rsid w:val="000525F5"/>
    <w:pPr>
      <w:autoSpaceDE/>
      <w:autoSpaceDN/>
      <w:adjustRightInd/>
      <w:spacing w:after="0" w:line="400" w:lineRule="atLeast"/>
    </w:pPr>
    <w:rPr>
      <w:rFonts w:ascii="Arial" w:eastAsiaTheme="minorHAnsi" w:hAnsi="Arial" w:cstheme="minorBidi"/>
      <w:bCs w:val="0"/>
      <w:color w:val="000000" w:themeColor="text1"/>
      <w:sz w:val="36"/>
      <w:szCs w:val="22"/>
      <w:lang w:eastAsia="en-US"/>
    </w:rPr>
  </w:style>
  <w:style w:type="paragraph" w:customStyle="1" w:styleId="EPLProjectTableText">
    <w:name w:val="EPL Project Table Text"/>
    <w:basedOn w:val="NoSpacing"/>
    <w:uiPriority w:val="5"/>
    <w:qFormat/>
    <w:rsid w:val="000525F5"/>
    <w:pPr>
      <w:jc w:val="center"/>
    </w:pPr>
    <w:rPr>
      <w:b/>
      <w:color w:val="FFFFFF" w:themeColor="background1"/>
    </w:rPr>
  </w:style>
  <w:style w:type="paragraph" w:customStyle="1" w:styleId="EPLStageNumber">
    <w:name w:val="EPL Stage Number"/>
    <w:basedOn w:val="Normal"/>
    <w:uiPriority w:val="5"/>
    <w:qFormat/>
    <w:rsid w:val="000525F5"/>
    <w:pPr>
      <w:autoSpaceDE/>
      <w:autoSpaceDN/>
      <w:adjustRightInd/>
      <w:spacing w:after="0" w:line="240" w:lineRule="auto"/>
      <w:jc w:val="center"/>
    </w:pPr>
    <w:rPr>
      <w:rFonts w:ascii="Arial" w:eastAsiaTheme="minorHAnsi" w:hAnsi="Arial" w:cstheme="minorBidi"/>
      <w:b/>
      <w:bCs w:val="0"/>
      <w:color w:val="000000" w:themeColor="text1" w:themeShade="80"/>
      <w:sz w:val="126"/>
      <w:szCs w:val="22"/>
      <w:lang w:eastAsia="en-US"/>
    </w:rPr>
  </w:style>
  <w:style w:type="paragraph" w:customStyle="1" w:styleId="EPLStageDate">
    <w:name w:val="EPL Stage Date"/>
    <w:basedOn w:val="Normal"/>
    <w:uiPriority w:val="5"/>
    <w:qFormat/>
    <w:rsid w:val="000525F5"/>
    <w:pPr>
      <w:autoSpaceDE/>
      <w:autoSpaceDN/>
      <w:adjustRightInd/>
      <w:spacing w:after="0" w:line="240" w:lineRule="auto"/>
      <w:jc w:val="center"/>
    </w:pPr>
    <w:rPr>
      <w:rFonts w:ascii="Arial" w:eastAsiaTheme="minorHAnsi" w:hAnsi="Arial" w:cstheme="minorBidi"/>
      <w:b/>
      <w:bCs w:val="0"/>
      <w:color w:val="F48024"/>
      <w:sz w:val="20"/>
      <w:szCs w:val="22"/>
      <w:lang w:eastAsia="en-US"/>
    </w:rPr>
  </w:style>
  <w:style w:type="paragraph" w:customStyle="1" w:styleId="ListIndent">
    <w:name w:val="List Indent"/>
    <w:basedOn w:val="Normal"/>
    <w:uiPriority w:val="10"/>
    <w:unhideWhenUsed/>
    <w:qFormat/>
    <w:rsid w:val="000525F5"/>
    <w:pPr>
      <w:autoSpaceDE/>
      <w:autoSpaceDN/>
      <w:adjustRightInd/>
      <w:spacing w:after="280" w:line="280" w:lineRule="atLeast"/>
      <w:ind w:left="454"/>
    </w:pPr>
    <w:rPr>
      <w:rFonts w:ascii="Arial" w:eastAsiaTheme="minorHAnsi" w:hAnsi="Arial" w:cstheme="minorBidi"/>
      <w:bCs w:val="0"/>
      <w:color w:val="000000" w:themeColor="text1" w:themeShade="80"/>
      <w:sz w:val="20"/>
      <w:szCs w:val="22"/>
      <w:lang w:eastAsia="en-US"/>
    </w:rPr>
  </w:style>
  <w:style w:type="paragraph" w:customStyle="1" w:styleId="EPLAccountabilityHeading">
    <w:name w:val="EPL Accountability Heading"/>
    <w:basedOn w:val="Normal"/>
    <w:uiPriority w:val="5"/>
    <w:rsid w:val="000525F5"/>
    <w:pPr>
      <w:autoSpaceDE/>
      <w:autoSpaceDN/>
      <w:adjustRightInd/>
      <w:spacing w:after="0" w:line="280" w:lineRule="atLeast"/>
      <w:jc w:val="center"/>
    </w:pPr>
    <w:rPr>
      <w:rFonts w:ascii="Arial" w:eastAsiaTheme="minorHAnsi" w:hAnsi="Arial" w:cstheme="minorBidi"/>
      <w:b/>
      <w:bCs w:val="0"/>
      <w:color w:val="000000" w:themeColor="text1" w:themeShade="80"/>
      <w:sz w:val="20"/>
      <w:szCs w:val="22"/>
      <w:lang w:eastAsia="en-US"/>
    </w:rPr>
  </w:style>
  <w:style w:type="paragraph" w:customStyle="1" w:styleId="EPLDeliverableName">
    <w:name w:val="EPL Deliverable Name"/>
    <w:basedOn w:val="Normal"/>
    <w:uiPriority w:val="6"/>
    <w:qFormat/>
    <w:rsid w:val="000525F5"/>
    <w:pPr>
      <w:autoSpaceDE/>
      <w:autoSpaceDN/>
      <w:adjustRightInd/>
      <w:spacing w:before="80" w:after="0" w:line="240" w:lineRule="auto"/>
      <w:jc w:val="center"/>
    </w:pPr>
    <w:rPr>
      <w:rFonts w:ascii="Arial" w:eastAsiaTheme="minorHAnsi" w:hAnsi="Arial" w:cstheme="minorBidi"/>
      <w:bCs w:val="0"/>
      <w:color w:val="FFFFFF" w:themeColor="background1"/>
      <w:szCs w:val="16"/>
      <w:lang w:eastAsia="en-US"/>
    </w:rPr>
  </w:style>
  <w:style w:type="paragraph" w:customStyle="1" w:styleId="EPLDeliverableNumber">
    <w:name w:val="EPL Deliverable Number"/>
    <w:basedOn w:val="EPLStageNumber"/>
    <w:uiPriority w:val="6"/>
    <w:rsid w:val="000525F5"/>
    <w:pPr>
      <w:spacing w:line="1200" w:lineRule="exact"/>
    </w:pPr>
    <w:rPr>
      <w:color w:val="FFFFFF" w:themeColor="background1"/>
      <w:sz w:val="96"/>
    </w:rPr>
  </w:style>
  <w:style w:type="paragraph" w:customStyle="1" w:styleId="EPLDeliverablePrice">
    <w:name w:val="EPL Deliverable Price"/>
    <w:basedOn w:val="Normal"/>
    <w:uiPriority w:val="6"/>
    <w:rsid w:val="000525F5"/>
    <w:pPr>
      <w:autoSpaceDE/>
      <w:autoSpaceDN/>
      <w:adjustRightInd/>
      <w:spacing w:after="0" w:line="240" w:lineRule="auto"/>
      <w:jc w:val="center"/>
    </w:pPr>
    <w:rPr>
      <w:rFonts w:ascii="Arial" w:eastAsiaTheme="minorHAnsi" w:hAnsi="Arial" w:cstheme="minorBidi"/>
      <w:b/>
      <w:bCs w:val="0"/>
      <w:color w:val="000000" w:themeColor="text1" w:themeShade="80"/>
      <w:sz w:val="32"/>
      <w:szCs w:val="16"/>
      <w:lang w:eastAsia="en-US"/>
    </w:rPr>
  </w:style>
  <w:style w:type="paragraph" w:customStyle="1" w:styleId="EPLDeliverableText">
    <w:name w:val="EPL Deliverable Text"/>
    <w:basedOn w:val="Normal"/>
    <w:uiPriority w:val="6"/>
    <w:rsid w:val="000525F5"/>
    <w:pPr>
      <w:autoSpaceDE/>
      <w:autoSpaceDN/>
      <w:adjustRightInd/>
      <w:spacing w:after="0" w:line="280" w:lineRule="atLeast"/>
    </w:pPr>
    <w:rPr>
      <w:rFonts w:ascii="Arial" w:eastAsiaTheme="minorHAnsi" w:hAnsi="Arial" w:cstheme="minorBidi"/>
      <w:bCs w:val="0"/>
      <w:color w:val="000000" w:themeColor="text1" w:themeShade="80"/>
      <w:sz w:val="20"/>
      <w:szCs w:val="16"/>
      <w:lang w:eastAsia="en-US"/>
    </w:rPr>
  </w:style>
  <w:style w:type="paragraph" w:customStyle="1" w:styleId="EPLAwardBullet">
    <w:name w:val="EPL Award Bullet"/>
    <w:basedOn w:val="ListParagraph"/>
    <w:uiPriority w:val="5"/>
    <w:qFormat/>
    <w:rsid w:val="000525F5"/>
    <w:pPr>
      <w:numPr>
        <w:numId w:val="37"/>
      </w:numPr>
      <w:autoSpaceDE/>
      <w:autoSpaceDN/>
      <w:adjustRightInd/>
      <w:spacing w:after="280" w:line="280" w:lineRule="atLeast"/>
    </w:pPr>
    <w:rPr>
      <w:rFonts w:ascii="Arial" w:eastAsiaTheme="minorHAnsi" w:hAnsi="Arial" w:cstheme="minorBidi"/>
      <w:b/>
      <w:bCs w:val="0"/>
      <w:color w:val="000000" w:themeColor="text1" w:themeShade="80"/>
      <w:sz w:val="18"/>
      <w:szCs w:val="22"/>
      <w:lang w:eastAsia="en-US"/>
    </w:rPr>
  </w:style>
  <w:style w:type="paragraph" w:customStyle="1" w:styleId="EPLAwardDate">
    <w:name w:val="EPL Award Date"/>
    <w:basedOn w:val="Normal"/>
    <w:uiPriority w:val="5"/>
    <w:rsid w:val="000525F5"/>
    <w:pPr>
      <w:autoSpaceDE/>
      <w:autoSpaceDN/>
      <w:adjustRightInd/>
      <w:spacing w:after="140" w:line="280" w:lineRule="atLeast"/>
    </w:pPr>
    <w:rPr>
      <w:rFonts w:ascii="Arial" w:eastAsiaTheme="minorHAnsi" w:hAnsi="Arial" w:cstheme="minorBidi"/>
      <w:bCs w:val="0"/>
      <w:color w:val="000000" w:themeColor="text1" w:themeShade="80"/>
      <w:sz w:val="44"/>
      <w:szCs w:val="22"/>
      <w:lang w:eastAsia="en-US"/>
    </w:rPr>
  </w:style>
  <w:style w:type="paragraph" w:customStyle="1" w:styleId="EPLAwardTitle">
    <w:name w:val="EPL Award Title"/>
    <w:basedOn w:val="Normal"/>
    <w:uiPriority w:val="5"/>
    <w:rsid w:val="000525F5"/>
    <w:pPr>
      <w:autoSpaceDE/>
      <w:autoSpaceDN/>
      <w:adjustRightInd/>
      <w:spacing w:after="0" w:line="280" w:lineRule="atLeast"/>
    </w:pPr>
    <w:rPr>
      <w:rFonts w:ascii="Arial" w:eastAsiaTheme="minorHAnsi" w:hAnsi="Arial" w:cstheme="minorBidi"/>
      <w:bCs w:val="0"/>
      <w:color w:val="000000" w:themeColor="text1" w:themeShade="80"/>
      <w:sz w:val="20"/>
      <w:szCs w:val="22"/>
      <w:lang w:eastAsia="en-US"/>
    </w:rPr>
  </w:style>
  <w:style w:type="paragraph" w:styleId="Subtitle">
    <w:name w:val="Subtitle"/>
    <w:basedOn w:val="Normal"/>
    <w:next w:val="Normal"/>
    <w:link w:val="SubtitleChar"/>
    <w:uiPriority w:val="11"/>
    <w:unhideWhenUsed/>
    <w:rsid w:val="000525F5"/>
    <w:pPr>
      <w:numPr>
        <w:ilvl w:val="1"/>
      </w:numPr>
      <w:autoSpaceDE/>
      <w:autoSpaceDN/>
      <w:adjustRightInd/>
      <w:spacing w:before="140" w:after="280" w:line="280" w:lineRule="atLeast"/>
    </w:pPr>
    <w:rPr>
      <w:rFonts w:ascii="Arial" w:eastAsiaTheme="majorEastAsia" w:hAnsi="Arial" w:cstheme="majorBidi"/>
      <w:bCs w:val="0"/>
      <w:iCs/>
      <w:caps/>
      <w:color w:val="FFFFFF" w:themeColor="background1"/>
      <w:sz w:val="28"/>
      <w:lang w:eastAsia="en-US"/>
    </w:rPr>
  </w:style>
  <w:style w:type="character" w:customStyle="1" w:styleId="SubtitleChar">
    <w:name w:val="Subtitle Char"/>
    <w:basedOn w:val="DefaultParagraphFont"/>
    <w:link w:val="Subtitle"/>
    <w:uiPriority w:val="11"/>
    <w:rsid w:val="000525F5"/>
    <w:rPr>
      <w:rFonts w:ascii="Arial" w:eastAsiaTheme="majorEastAsia" w:hAnsi="Arial" w:cstheme="majorBidi"/>
      <w:iCs/>
      <w:caps/>
      <w:color w:val="FFFFFF" w:themeColor="background1"/>
      <w:sz w:val="28"/>
      <w:szCs w:val="24"/>
      <w:lang w:eastAsia="en-US"/>
    </w:rPr>
  </w:style>
  <w:style w:type="paragraph" w:customStyle="1" w:styleId="EPLProposalSubheading2">
    <w:name w:val="EPL Proposal Subheading 2"/>
    <w:basedOn w:val="Normal"/>
    <w:uiPriority w:val="5"/>
    <w:rsid w:val="000525F5"/>
    <w:pPr>
      <w:autoSpaceDE/>
      <w:autoSpaceDN/>
      <w:adjustRightInd/>
      <w:spacing w:after="140" w:line="280" w:lineRule="atLeast"/>
    </w:pPr>
    <w:rPr>
      <w:rFonts w:ascii="Arial" w:eastAsiaTheme="minorHAnsi" w:hAnsi="Arial" w:cstheme="minorBidi"/>
      <w:bCs w:val="0"/>
      <w:color w:val="FFFFFF" w:themeColor="background1"/>
      <w:sz w:val="28"/>
      <w:szCs w:val="22"/>
      <w:lang w:eastAsia="en-US"/>
    </w:rPr>
  </w:style>
  <w:style w:type="paragraph" w:customStyle="1" w:styleId="EPLProposalDate">
    <w:name w:val="EPL Proposal Date"/>
    <w:basedOn w:val="Normal"/>
    <w:uiPriority w:val="5"/>
    <w:qFormat/>
    <w:rsid w:val="000525F5"/>
    <w:pPr>
      <w:autoSpaceDE/>
      <w:autoSpaceDN/>
      <w:adjustRightInd/>
      <w:spacing w:after="280" w:line="280" w:lineRule="atLeast"/>
    </w:pPr>
    <w:rPr>
      <w:rFonts w:ascii="Arial" w:eastAsiaTheme="minorHAnsi" w:hAnsi="Arial" w:cstheme="minorBidi"/>
      <w:bCs w:val="0"/>
      <w:color w:val="FFFFFF" w:themeColor="background1"/>
      <w:sz w:val="20"/>
      <w:szCs w:val="22"/>
      <w:lang w:eastAsia="en-US"/>
    </w:rPr>
  </w:style>
  <w:style w:type="paragraph" w:customStyle="1" w:styleId="EPLReportTitle">
    <w:name w:val="EPL Report Title"/>
    <w:basedOn w:val="Normal"/>
    <w:uiPriority w:val="5"/>
    <w:rsid w:val="000525F5"/>
    <w:pPr>
      <w:autoSpaceDE/>
      <w:autoSpaceDN/>
      <w:adjustRightInd/>
      <w:spacing w:before="1200" w:after="140" w:line="280" w:lineRule="atLeast"/>
    </w:pPr>
    <w:rPr>
      <w:rFonts w:ascii="Arial" w:eastAsiaTheme="minorHAnsi" w:hAnsi="Arial" w:cstheme="minorBidi"/>
      <w:b/>
      <w:bCs w:val="0"/>
      <w:color w:val="FFFFFF" w:themeColor="background1"/>
      <w:sz w:val="40"/>
      <w:szCs w:val="22"/>
      <w:lang w:eastAsia="en-US"/>
    </w:rPr>
  </w:style>
  <w:style w:type="paragraph" w:customStyle="1" w:styleId="EPLProposalSubheading">
    <w:name w:val="EPL Proposal Subheading"/>
    <w:basedOn w:val="Title"/>
    <w:uiPriority w:val="5"/>
    <w:qFormat/>
    <w:rsid w:val="000525F5"/>
    <w:pPr>
      <w:spacing w:before="0" w:after="700" w:line="280" w:lineRule="atLeast"/>
    </w:pPr>
    <w:rPr>
      <w:rFonts w:ascii="Arial" w:hAnsi="Arial"/>
      <w:b w:val="0"/>
      <w:sz w:val="28"/>
    </w:rPr>
  </w:style>
  <w:style w:type="paragraph" w:customStyle="1" w:styleId="EPLMainAddress">
    <w:name w:val="EPL Main Address"/>
    <w:uiPriority w:val="6"/>
    <w:qFormat/>
    <w:rsid w:val="000525F5"/>
    <w:pPr>
      <w:spacing w:before="60" w:after="60"/>
    </w:pPr>
    <w:rPr>
      <w:rFonts w:ascii="Arial" w:eastAsia="SimSun" w:hAnsi="Arial" w:cs="Arial"/>
      <w:color w:val="3E3A39"/>
      <w:sz w:val="18"/>
      <w:szCs w:val="18"/>
      <w:lang w:eastAsia="zh-CN"/>
    </w:rPr>
  </w:style>
  <w:style w:type="paragraph" w:customStyle="1" w:styleId="EPLMainAddressOrange">
    <w:name w:val="EPL Main Address Orange"/>
    <w:uiPriority w:val="6"/>
    <w:qFormat/>
    <w:rsid w:val="000525F5"/>
    <w:pPr>
      <w:spacing w:before="240"/>
    </w:pPr>
    <w:rPr>
      <w:rFonts w:ascii="Arial Bold" w:eastAsia="SimSun" w:hAnsi="Arial Bold" w:cs="Arial"/>
      <w:b/>
      <w:color w:val="4F81BD" w:themeColor="accent1"/>
      <w:sz w:val="18"/>
      <w:szCs w:val="18"/>
      <w:lang w:eastAsia="zh-CN"/>
    </w:rPr>
  </w:style>
  <w:style w:type="paragraph" w:customStyle="1" w:styleId="EPLStageHeading">
    <w:name w:val="EPL Stage Heading"/>
    <w:basedOn w:val="NoSpacing"/>
    <w:uiPriority w:val="5"/>
    <w:qFormat/>
    <w:rsid w:val="000525F5"/>
    <w:pPr>
      <w:spacing w:before="80"/>
    </w:pPr>
    <w:rPr>
      <w:b/>
    </w:rPr>
  </w:style>
  <w:style w:type="table" w:customStyle="1" w:styleId="EPLTablePlain">
    <w:name w:val="EPL_Table_Plain"/>
    <w:basedOn w:val="TableNormal"/>
    <w:rsid w:val="000525F5"/>
    <w:pPr>
      <w:spacing w:after="80" w:line="280" w:lineRule="atLeast"/>
      <w:contextualSpacing/>
    </w:pPr>
    <w:rPr>
      <w:rFonts w:ascii="Arial" w:hAnsi="Arial"/>
      <w:sz w:val="18"/>
    </w:rPr>
    <w:tblPr>
      <w:tblCellSpacing w:w="28" w:type="dxa"/>
      <w:tblCellMar>
        <w:top w:w="57" w:type="dxa"/>
        <w:left w:w="142" w:type="dxa"/>
        <w:bottom w:w="57" w:type="dxa"/>
        <w:right w:w="142" w:type="dxa"/>
      </w:tblCellMar>
    </w:tblPr>
    <w:trPr>
      <w:tblCellSpacing w:w="28" w:type="dxa"/>
    </w:trPr>
    <w:tcPr>
      <w:shd w:val="clear" w:color="auto" w:fill="F3F3F3"/>
    </w:tcPr>
    <w:tblStylePr w:type="firstRow">
      <w:pPr>
        <w:wordWrap/>
        <w:jc w:val="center"/>
      </w:pPr>
      <w:rPr>
        <w:rFonts w:ascii="Arial Bold" w:hAnsi="Arial Bold"/>
        <w:b/>
        <w:color w:val="000000" w:themeColor="text1"/>
        <w:sz w:val="18"/>
      </w:rPr>
      <w:tblPr/>
      <w:tcPr>
        <w:tcBorders>
          <w:top w:val="single" w:sz="12" w:space="0" w:color="4F81BD" w:themeColor="accent1"/>
          <w:left w:val="nil"/>
          <w:bottom w:val="nil"/>
          <w:right w:val="nil"/>
          <w:insideH w:val="nil"/>
          <w:insideV w:val="nil"/>
          <w:tl2br w:val="nil"/>
          <w:tr2bl w:val="nil"/>
        </w:tcBorders>
        <w:shd w:val="clear" w:color="auto" w:fill="FFFFFF"/>
        <w:vAlign w:val="center"/>
      </w:tcPr>
    </w:tblStylePr>
  </w:style>
  <w:style w:type="table" w:customStyle="1" w:styleId="EPLTableTenders">
    <w:name w:val="EPL_Table_Tenders"/>
    <w:basedOn w:val="TableNormal"/>
    <w:rsid w:val="000525F5"/>
    <w:pPr>
      <w:spacing w:after="80" w:line="280" w:lineRule="atLeast"/>
      <w:contextualSpacing/>
    </w:pPr>
    <w:rPr>
      <w:rFonts w:ascii="Arial" w:eastAsiaTheme="minorHAnsi" w:hAnsi="Arial" w:cstheme="minorBidi"/>
      <w:sz w:val="18"/>
      <w:lang w:eastAsia="en-US"/>
    </w:rPr>
    <w:tblPr>
      <w:tblBorders>
        <w:top w:val="single" w:sz="4" w:space="0" w:color="9D9EA0"/>
        <w:bottom w:val="single" w:sz="4" w:space="0" w:color="9D9EA0"/>
        <w:insideH w:val="single" w:sz="6" w:space="0" w:color="9D9EA0"/>
        <w:insideV w:val="single" w:sz="6" w:space="0" w:color="9D9EA0"/>
      </w:tblBorders>
      <w:tblCellMar>
        <w:top w:w="57" w:type="dxa"/>
        <w:left w:w="142" w:type="dxa"/>
        <w:bottom w:w="57" w:type="dxa"/>
        <w:right w:w="142" w:type="dxa"/>
      </w:tblCellMar>
    </w:tblPr>
    <w:tcPr>
      <w:shd w:val="clear" w:color="auto" w:fill="auto"/>
    </w:tcPr>
    <w:tblStylePr w:type="firstRow">
      <w:pPr>
        <w:wordWrap/>
        <w:jc w:val="center"/>
      </w:pPr>
      <w:rPr>
        <w:rFonts w:ascii="Arial Bold" w:hAnsi="Arial Bold"/>
        <w:b/>
        <w:i w:val="0"/>
        <w:color w:val="auto"/>
        <w:sz w:val="18"/>
        <w:szCs w:val="18"/>
      </w:rPr>
      <w:tblPr/>
      <w:tcPr>
        <w:tcBorders>
          <w:top w:val="single" w:sz="2" w:space="0" w:color="FFFFFF"/>
          <w:left w:val="single" w:sz="2" w:space="0" w:color="FFFFFF"/>
          <w:bottom w:val="single" w:sz="12" w:space="0" w:color="4F81BD" w:themeColor="accent1"/>
          <w:right w:val="single" w:sz="2" w:space="0" w:color="FFFFFF"/>
          <w:insideH w:val="nil"/>
          <w:insideV w:val="single" w:sz="2" w:space="0" w:color="FFFFFF"/>
          <w:tl2br w:val="nil"/>
          <w:tr2bl w:val="nil"/>
        </w:tcBorders>
        <w:shd w:val="clear" w:color="auto" w:fill="E5E5E6"/>
        <w:vAlign w:val="center"/>
      </w:tcPr>
    </w:tblStylePr>
    <w:tblStylePr w:type="lastRow">
      <w:tblPr/>
      <w:tcPr>
        <w:tcBorders>
          <w:top w:val="single" w:sz="4" w:space="0" w:color="9D9EA0"/>
          <w:left w:val="nil"/>
          <w:bottom w:val="single" w:sz="4" w:space="0" w:color="9D9EA0"/>
          <w:right w:val="nil"/>
          <w:insideH w:val="nil"/>
          <w:insideV w:val="nil"/>
          <w:tl2br w:val="nil"/>
          <w:tr2bl w:val="nil"/>
        </w:tcBorders>
        <w:shd w:val="clear" w:color="auto" w:fill="auto"/>
      </w:tcPr>
    </w:tblStylePr>
    <w:tblStylePr w:type="firstCol">
      <w:pPr>
        <w:wordWrap/>
        <w:spacing w:beforeLines="0" w:before="0" w:beforeAutospacing="0" w:afterLines="0" w:after="0" w:afterAutospacing="0" w:line="280" w:lineRule="atLeast"/>
      </w:pPr>
      <w:tblPr/>
      <w:tcPr>
        <w:tcBorders>
          <w:top w:val="single" w:sz="4" w:space="0" w:color="9D9EA0"/>
          <w:left w:val="nil"/>
          <w:bottom w:val="single" w:sz="4" w:space="0" w:color="9D9EA0"/>
          <w:right w:val="single" w:sz="4" w:space="0" w:color="9D9EA0"/>
          <w:insideH w:val="nil"/>
          <w:insideV w:val="nil"/>
          <w:tl2br w:val="nil"/>
          <w:tr2bl w:val="nil"/>
        </w:tcBorders>
        <w:shd w:val="clear" w:color="auto" w:fill="auto"/>
      </w:tcPr>
    </w:tblStylePr>
    <w:tblStylePr w:type="lastCol">
      <w:pPr>
        <w:wordWrap/>
        <w:spacing w:beforeLines="0" w:before="0" w:beforeAutospacing="0" w:afterLines="0" w:after="0" w:afterAutospacing="0" w:line="280" w:lineRule="atLeast"/>
      </w:pPr>
      <w:tblPr/>
      <w:tcPr>
        <w:tcBorders>
          <w:top w:val="nil"/>
          <w:left w:val="single" w:sz="4" w:space="0" w:color="auto"/>
          <w:bottom w:val="nil"/>
          <w:right w:val="nil"/>
          <w:insideH w:val="nil"/>
          <w:insideV w:val="nil"/>
          <w:tl2br w:val="nil"/>
          <w:tr2bl w:val="nil"/>
        </w:tcBorders>
        <w:shd w:val="clear" w:color="auto" w:fill="auto"/>
      </w:tcPr>
    </w:tblStylePr>
    <w:tblStylePr w:type="band1Vert">
      <w:pPr>
        <w:wordWrap/>
        <w:spacing w:beforeLines="0" w:before="0" w:beforeAutospacing="0" w:afterLines="0" w:after="0" w:afterAutospacing="0" w:line="280" w:lineRule="atLeast"/>
      </w:pPr>
      <w:tblPr/>
      <w:tcPr>
        <w:tcBorders>
          <w:top w:val="nil"/>
          <w:left w:val="single" w:sz="4" w:space="0" w:color="9D9EA0"/>
          <w:bottom w:val="nil"/>
          <w:right w:val="single" w:sz="4" w:space="0" w:color="9D9EA0"/>
          <w:insideH w:val="nil"/>
          <w:insideV w:val="nil"/>
          <w:tl2br w:val="nil"/>
          <w:tr2bl w:val="nil"/>
        </w:tcBorders>
        <w:shd w:val="clear" w:color="auto" w:fill="auto"/>
      </w:tcPr>
    </w:tblStylePr>
    <w:tblStylePr w:type="band2Vert">
      <w:pPr>
        <w:wordWrap/>
        <w:spacing w:beforeLines="0" w:before="0" w:beforeAutospacing="0" w:afterLines="0" w:after="0" w:afterAutospacing="0" w:line="280" w:lineRule="atLeast"/>
      </w:pPr>
      <w:tblPr/>
      <w:tcPr>
        <w:tcBorders>
          <w:top w:val="nil"/>
          <w:left w:val="single" w:sz="4" w:space="0" w:color="9D9EA0"/>
          <w:bottom w:val="nil"/>
          <w:right w:val="single" w:sz="4" w:space="0" w:color="9D9EA0"/>
          <w:insideH w:val="nil"/>
          <w:insideV w:val="nil"/>
          <w:tl2br w:val="nil"/>
          <w:tr2bl w:val="nil"/>
        </w:tcBorders>
        <w:shd w:val="clear" w:color="auto" w:fill="auto"/>
      </w:tcPr>
    </w:tblStylePr>
    <w:tblStylePr w:type="band1Horz">
      <w:pPr>
        <w:wordWrap/>
        <w:spacing w:beforeLines="0" w:before="80" w:beforeAutospacing="0" w:afterLines="0" w:after="80" w:afterAutospacing="0" w:line="280" w:lineRule="atLeast"/>
      </w:pPr>
      <w:rPr>
        <w:sz w:val="18"/>
      </w:rPr>
      <w:tblPr/>
      <w:tcPr>
        <w:tcBorders>
          <w:top w:val="single" w:sz="4" w:space="0" w:color="auto"/>
          <w:left w:val="nil"/>
          <w:bottom w:val="single" w:sz="4" w:space="0" w:color="auto"/>
          <w:right w:val="nil"/>
          <w:insideH w:val="nil"/>
          <w:insideV w:val="single" w:sz="4" w:space="0" w:color="auto"/>
          <w:tl2br w:val="nil"/>
          <w:tr2bl w:val="nil"/>
        </w:tcBorders>
        <w:shd w:val="clear" w:color="auto" w:fill="auto"/>
      </w:tcPr>
    </w:tblStylePr>
    <w:tblStylePr w:type="band2Horz">
      <w:pPr>
        <w:wordWrap/>
        <w:spacing w:beforeLines="0" w:before="80" w:beforeAutospacing="0" w:afterLines="0" w:after="80" w:afterAutospacing="0" w:line="280" w:lineRule="atLeast"/>
      </w:pPr>
      <w:rPr>
        <w:sz w:val="18"/>
      </w:rPr>
      <w:tblPr/>
      <w:tcPr>
        <w:tcBorders>
          <w:top w:val="single" w:sz="4" w:space="0" w:color="9D9EA0"/>
          <w:left w:val="nil"/>
          <w:bottom w:val="single" w:sz="4" w:space="0" w:color="9D9EA0"/>
          <w:right w:val="nil"/>
          <w:insideH w:val="nil"/>
          <w:insideV w:val="single" w:sz="4" w:space="0" w:color="9D9EA0"/>
          <w:tl2br w:val="nil"/>
          <w:tr2bl w:val="nil"/>
        </w:tcBorders>
        <w:shd w:val="clear" w:color="auto" w:fill="auto"/>
      </w:tcPr>
    </w:tblStylePr>
  </w:style>
  <w:style w:type="paragraph" w:customStyle="1" w:styleId="EPLCopyrightandDisclaimer">
    <w:name w:val="EPL Copyright and Disclaimer"/>
    <w:basedOn w:val="BodyText"/>
    <w:uiPriority w:val="5"/>
    <w:rsid w:val="000525F5"/>
    <w:pPr>
      <w:spacing w:before="120" w:after="120" w:line="288" w:lineRule="auto"/>
      <w:jc w:val="both"/>
    </w:pPr>
    <w:rPr>
      <w:sz w:val="16"/>
      <w:lang w:eastAsia="ja-JP"/>
    </w:rPr>
  </w:style>
  <w:style w:type="numbering" w:customStyle="1" w:styleId="List-ListBullet">
    <w:name w:val="List - List Bullet"/>
    <w:basedOn w:val="NoList"/>
    <w:uiPriority w:val="99"/>
    <w:rsid w:val="000525F5"/>
    <w:pPr>
      <w:numPr>
        <w:numId w:val="41"/>
      </w:numPr>
    </w:pPr>
  </w:style>
  <w:style w:type="paragraph" w:styleId="ListBullet4">
    <w:name w:val="List Bullet 4"/>
    <w:basedOn w:val="ListBullet3"/>
    <w:uiPriority w:val="4"/>
    <w:rsid w:val="000525F5"/>
    <w:pPr>
      <w:numPr>
        <w:ilvl w:val="0"/>
        <w:numId w:val="0"/>
      </w:numPr>
      <w:spacing w:before="0" w:after="280" w:line="280" w:lineRule="atLeast"/>
      <w:ind w:left="1700" w:hanging="425"/>
      <w:contextualSpacing/>
    </w:pPr>
    <w:rPr>
      <w:rFonts w:ascii="Arial" w:eastAsiaTheme="minorHAnsi" w:hAnsi="Arial"/>
      <w:color w:val="000000" w:themeColor="text1" w:themeShade="80"/>
      <w:szCs w:val="22"/>
    </w:rPr>
  </w:style>
  <w:style w:type="paragraph" w:styleId="ListBullet5">
    <w:name w:val="List Bullet 5"/>
    <w:basedOn w:val="ListBullet4"/>
    <w:uiPriority w:val="4"/>
    <w:rsid w:val="000525F5"/>
    <w:pPr>
      <w:ind w:left="2125"/>
    </w:pPr>
  </w:style>
  <w:style w:type="paragraph" w:customStyle="1" w:styleId="PageHeading">
    <w:name w:val="Page Heading"/>
    <w:basedOn w:val="Normal"/>
    <w:next w:val="Normal"/>
    <w:rsid w:val="000525F5"/>
    <w:pPr>
      <w:keepNext/>
      <w:keepLines/>
      <w:pageBreakBefore/>
      <w:autoSpaceDE/>
      <w:autoSpaceDN/>
      <w:adjustRightInd/>
      <w:spacing w:before="120" w:after="480" w:line="240" w:lineRule="auto"/>
    </w:pPr>
    <w:rPr>
      <w:rFonts w:ascii="Arial" w:eastAsia="SimSun" w:hAnsi="Arial" w:cs="Times New Roman"/>
      <w:bCs w:val="0"/>
      <w:color w:val="4F81BD" w:themeColor="accent1"/>
      <w:sz w:val="48"/>
      <w:szCs w:val="40"/>
      <w:lang w:eastAsia="zh-CN"/>
    </w:rPr>
  </w:style>
  <w:style w:type="character" w:styleId="PageNumber">
    <w:name w:val="page number"/>
    <w:basedOn w:val="DefaultParagraphFont"/>
    <w:uiPriority w:val="99"/>
    <w:unhideWhenUsed/>
    <w:rsid w:val="000525F5"/>
  </w:style>
  <w:style w:type="paragraph" w:customStyle="1" w:styleId="EPLIntroText">
    <w:name w:val="EPL Intro Text"/>
    <w:uiPriority w:val="5"/>
    <w:qFormat/>
    <w:rsid w:val="000525F5"/>
    <w:pPr>
      <w:spacing w:before="240" w:after="120" w:line="300" w:lineRule="exact"/>
      <w:jc w:val="both"/>
    </w:pPr>
    <w:rPr>
      <w:rFonts w:ascii="Arial" w:eastAsia="SimSun" w:hAnsi="Arial"/>
      <w:color w:val="4F81BD" w:themeColor="accent1"/>
      <w:sz w:val="28"/>
      <w:szCs w:val="24"/>
      <w:lang w:eastAsia="zh-CN"/>
    </w:rPr>
  </w:style>
  <w:style w:type="numbering" w:customStyle="1" w:styleId="List-ListAlpha">
    <w:name w:val="List - List Alpha"/>
    <w:basedOn w:val="NoList"/>
    <w:uiPriority w:val="99"/>
    <w:rsid w:val="000525F5"/>
    <w:pPr>
      <w:numPr>
        <w:numId w:val="40"/>
      </w:numPr>
    </w:pPr>
  </w:style>
  <w:style w:type="paragraph" w:customStyle="1" w:styleId="Appendix">
    <w:name w:val="Appendix"/>
    <w:basedOn w:val="PageHeading"/>
    <w:next w:val="Normal"/>
    <w:qFormat/>
    <w:rsid w:val="000525F5"/>
    <w:pPr>
      <w:numPr>
        <w:numId w:val="35"/>
      </w:numPr>
    </w:pPr>
  </w:style>
  <w:style w:type="paragraph" w:styleId="List">
    <w:name w:val="List"/>
    <w:basedOn w:val="Normal"/>
    <w:uiPriority w:val="4"/>
    <w:rsid w:val="000525F5"/>
    <w:pPr>
      <w:numPr>
        <w:numId w:val="40"/>
      </w:numPr>
      <w:autoSpaceDE/>
      <w:autoSpaceDN/>
      <w:adjustRightInd/>
      <w:spacing w:after="280" w:line="280" w:lineRule="atLeast"/>
      <w:contextualSpacing/>
    </w:pPr>
    <w:rPr>
      <w:rFonts w:ascii="Arial" w:eastAsiaTheme="minorHAnsi" w:hAnsi="Arial" w:cstheme="minorBidi"/>
      <w:bCs w:val="0"/>
      <w:color w:val="000000" w:themeColor="text1" w:themeShade="80"/>
      <w:sz w:val="20"/>
      <w:szCs w:val="22"/>
      <w:lang w:eastAsia="en-US"/>
    </w:rPr>
  </w:style>
  <w:style w:type="paragraph" w:styleId="List2">
    <w:name w:val="List 2"/>
    <w:basedOn w:val="List"/>
    <w:uiPriority w:val="4"/>
    <w:rsid w:val="000525F5"/>
    <w:pPr>
      <w:numPr>
        <w:ilvl w:val="1"/>
      </w:numPr>
    </w:pPr>
  </w:style>
  <w:style w:type="paragraph" w:styleId="List3">
    <w:name w:val="List 3"/>
    <w:basedOn w:val="List2"/>
    <w:uiPriority w:val="4"/>
    <w:rsid w:val="000525F5"/>
    <w:pPr>
      <w:numPr>
        <w:ilvl w:val="2"/>
      </w:numPr>
    </w:pPr>
  </w:style>
  <w:style w:type="paragraph" w:styleId="List4">
    <w:name w:val="List 4"/>
    <w:basedOn w:val="List3"/>
    <w:uiPriority w:val="4"/>
    <w:rsid w:val="000525F5"/>
    <w:pPr>
      <w:numPr>
        <w:ilvl w:val="3"/>
      </w:numPr>
    </w:pPr>
  </w:style>
  <w:style w:type="paragraph" w:styleId="List5">
    <w:name w:val="List 5"/>
    <w:basedOn w:val="List4"/>
    <w:uiPriority w:val="4"/>
    <w:rsid w:val="000525F5"/>
    <w:pPr>
      <w:numPr>
        <w:ilvl w:val="4"/>
      </w:numPr>
    </w:pPr>
  </w:style>
  <w:style w:type="numbering" w:customStyle="1" w:styleId="List-ListNumber">
    <w:name w:val="List - List Number"/>
    <w:basedOn w:val="NoList"/>
    <w:uiPriority w:val="99"/>
    <w:rsid w:val="000525F5"/>
    <w:pPr>
      <w:numPr>
        <w:numId w:val="42"/>
      </w:numPr>
    </w:pPr>
  </w:style>
  <w:style w:type="paragraph" w:styleId="ListNumber">
    <w:name w:val="List Number"/>
    <w:basedOn w:val="Normal"/>
    <w:uiPriority w:val="4"/>
    <w:rsid w:val="000525F5"/>
    <w:pPr>
      <w:numPr>
        <w:numId w:val="42"/>
      </w:numPr>
      <w:autoSpaceDE/>
      <w:autoSpaceDN/>
      <w:adjustRightInd/>
      <w:spacing w:after="280" w:line="280" w:lineRule="atLeast"/>
      <w:contextualSpacing/>
    </w:pPr>
    <w:rPr>
      <w:rFonts w:ascii="Arial" w:eastAsiaTheme="minorHAnsi" w:hAnsi="Arial" w:cstheme="minorBidi"/>
      <w:bCs w:val="0"/>
      <w:color w:val="000000" w:themeColor="text1" w:themeShade="80"/>
      <w:sz w:val="20"/>
      <w:szCs w:val="22"/>
      <w:lang w:eastAsia="en-US"/>
    </w:rPr>
  </w:style>
  <w:style w:type="paragraph" w:styleId="ListNumber2">
    <w:name w:val="List Number 2"/>
    <w:basedOn w:val="ListNumber"/>
    <w:uiPriority w:val="4"/>
    <w:rsid w:val="000525F5"/>
    <w:pPr>
      <w:numPr>
        <w:ilvl w:val="1"/>
      </w:numPr>
    </w:pPr>
  </w:style>
  <w:style w:type="paragraph" w:styleId="ListNumber3">
    <w:name w:val="List Number 3"/>
    <w:basedOn w:val="ListNumber2"/>
    <w:uiPriority w:val="4"/>
    <w:rsid w:val="000525F5"/>
    <w:pPr>
      <w:numPr>
        <w:ilvl w:val="2"/>
      </w:numPr>
    </w:pPr>
  </w:style>
  <w:style w:type="paragraph" w:styleId="ListNumber4">
    <w:name w:val="List Number 4"/>
    <w:basedOn w:val="ListNumber3"/>
    <w:uiPriority w:val="4"/>
    <w:rsid w:val="000525F5"/>
    <w:pPr>
      <w:numPr>
        <w:ilvl w:val="3"/>
      </w:numPr>
    </w:pPr>
  </w:style>
  <w:style w:type="paragraph" w:styleId="ListNumber5">
    <w:name w:val="List Number 5"/>
    <w:basedOn w:val="ListNumber4"/>
    <w:uiPriority w:val="4"/>
    <w:rsid w:val="000525F5"/>
    <w:pPr>
      <w:numPr>
        <w:ilvl w:val="4"/>
      </w:numPr>
    </w:pPr>
  </w:style>
  <w:style w:type="numbering" w:customStyle="1" w:styleId="List-HeadingStyles">
    <w:name w:val="List - Heading Styles"/>
    <w:basedOn w:val="NoList"/>
    <w:uiPriority w:val="99"/>
    <w:rsid w:val="000525F5"/>
    <w:pPr>
      <w:numPr>
        <w:numId w:val="38"/>
      </w:numPr>
    </w:pPr>
  </w:style>
  <w:style w:type="paragraph" w:customStyle="1" w:styleId="EPLLegalBody">
    <w:name w:val="EPL Legal Body"/>
    <w:basedOn w:val="Normal"/>
    <w:uiPriority w:val="5"/>
    <w:qFormat/>
    <w:rsid w:val="000525F5"/>
    <w:pPr>
      <w:autoSpaceDE/>
      <w:autoSpaceDN/>
      <w:adjustRightInd/>
      <w:spacing w:after="80" w:line="240" w:lineRule="auto"/>
      <w:ind w:left="357"/>
    </w:pPr>
    <w:rPr>
      <w:rFonts w:ascii="Arial" w:eastAsiaTheme="minorHAnsi" w:hAnsi="Arial" w:cstheme="minorBidi"/>
      <w:bCs w:val="0"/>
      <w:color w:val="000000" w:themeColor="text1" w:themeShade="80"/>
      <w:sz w:val="18"/>
      <w:szCs w:val="22"/>
      <w:lang w:eastAsia="en-US"/>
    </w:rPr>
  </w:style>
  <w:style w:type="paragraph" w:customStyle="1" w:styleId="EPLLegalLevel1">
    <w:name w:val="EPL Legal Level 1"/>
    <w:basedOn w:val="EPLLegalBody"/>
    <w:next w:val="EPLLegalBody"/>
    <w:uiPriority w:val="5"/>
    <w:qFormat/>
    <w:rsid w:val="000525F5"/>
    <w:pPr>
      <w:keepNext/>
      <w:numPr>
        <w:numId w:val="39"/>
      </w:numPr>
      <w:autoSpaceDE w:val="0"/>
      <w:autoSpaceDN w:val="0"/>
      <w:adjustRightInd w:val="0"/>
    </w:pPr>
    <w:rPr>
      <w:b/>
    </w:rPr>
  </w:style>
  <w:style w:type="paragraph" w:customStyle="1" w:styleId="EPLLegalLevel2">
    <w:name w:val="EPL Legal Level 2"/>
    <w:basedOn w:val="EPLLegalLevel1"/>
    <w:next w:val="EPLLegalBody"/>
    <w:uiPriority w:val="5"/>
    <w:qFormat/>
    <w:rsid w:val="000525F5"/>
    <w:pPr>
      <w:keepNext w:val="0"/>
      <w:numPr>
        <w:ilvl w:val="1"/>
      </w:numPr>
    </w:pPr>
    <w:rPr>
      <w:b w:val="0"/>
    </w:rPr>
  </w:style>
  <w:style w:type="paragraph" w:customStyle="1" w:styleId="EPLLegalLevel3">
    <w:name w:val="EPL Legal Level 3"/>
    <w:basedOn w:val="EPLLegalLevel1"/>
    <w:next w:val="EPLLegalBody"/>
    <w:uiPriority w:val="5"/>
    <w:qFormat/>
    <w:rsid w:val="000525F5"/>
    <w:pPr>
      <w:keepNext w:val="0"/>
      <w:numPr>
        <w:ilvl w:val="2"/>
      </w:numPr>
    </w:pPr>
    <w:rPr>
      <w:b w:val="0"/>
    </w:rPr>
  </w:style>
  <w:style w:type="paragraph" w:customStyle="1" w:styleId="EPLLegalLevel4">
    <w:name w:val="EPL Legal Level 4"/>
    <w:basedOn w:val="EPLLegalLevel1"/>
    <w:next w:val="EPLLegalBody"/>
    <w:uiPriority w:val="5"/>
    <w:qFormat/>
    <w:rsid w:val="000525F5"/>
    <w:pPr>
      <w:keepNext w:val="0"/>
      <w:numPr>
        <w:ilvl w:val="3"/>
      </w:numPr>
    </w:pPr>
    <w:rPr>
      <w:b w:val="0"/>
    </w:rPr>
  </w:style>
  <w:style w:type="numbering" w:customStyle="1" w:styleId="List-Legal">
    <w:name w:val="List - Legal"/>
    <w:basedOn w:val="NoList"/>
    <w:uiPriority w:val="99"/>
    <w:rsid w:val="000525F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78">
      <w:bodyDiv w:val="1"/>
      <w:marLeft w:val="0"/>
      <w:marRight w:val="0"/>
      <w:marTop w:val="0"/>
      <w:marBottom w:val="0"/>
      <w:divBdr>
        <w:top w:val="none" w:sz="0" w:space="0" w:color="auto"/>
        <w:left w:val="none" w:sz="0" w:space="0" w:color="auto"/>
        <w:bottom w:val="none" w:sz="0" w:space="0" w:color="auto"/>
        <w:right w:val="none" w:sz="0" w:space="0" w:color="auto"/>
      </w:divBdr>
      <w:divsChild>
        <w:div w:id="880753313">
          <w:marLeft w:val="0"/>
          <w:marRight w:val="0"/>
          <w:marTop w:val="0"/>
          <w:marBottom w:val="0"/>
          <w:divBdr>
            <w:top w:val="none" w:sz="0" w:space="0" w:color="auto"/>
            <w:left w:val="none" w:sz="0" w:space="0" w:color="auto"/>
            <w:bottom w:val="none" w:sz="0" w:space="0" w:color="auto"/>
            <w:right w:val="none" w:sz="0" w:space="0" w:color="auto"/>
          </w:divBdr>
        </w:div>
        <w:div w:id="1160586045">
          <w:marLeft w:val="0"/>
          <w:marRight w:val="0"/>
          <w:marTop w:val="0"/>
          <w:marBottom w:val="0"/>
          <w:divBdr>
            <w:top w:val="none" w:sz="0" w:space="0" w:color="auto"/>
            <w:left w:val="none" w:sz="0" w:space="0" w:color="auto"/>
            <w:bottom w:val="none" w:sz="0" w:space="0" w:color="auto"/>
            <w:right w:val="none" w:sz="0" w:space="0" w:color="auto"/>
          </w:divBdr>
        </w:div>
        <w:div w:id="1765415900">
          <w:marLeft w:val="0"/>
          <w:marRight w:val="0"/>
          <w:marTop w:val="0"/>
          <w:marBottom w:val="0"/>
          <w:divBdr>
            <w:top w:val="none" w:sz="0" w:space="0" w:color="auto"/>
            <w:left w:val="none" w:sz="0" w:space="0" w:color="auto"/>
            <w:bottom w:val="none" w:sz="0" w:space="0" w:color="auto"/>
            <w:right w:val="none" w:sz="0" w:space="0" w:color="auto"/>
          </w:divBdr>
        </w:div>
        <w:div w:id="1578322883">
          <w:marLeft w:val="0"/>
          <w:marRight w:val="0"/>
          <w:marTop w:val="0"/>
          <w:marBottom w:val="0"/>
          <w:divBdr>
            <w:top w:val="none" w:sz="0" w:space="0" w:color="auto"/>
            <w:left w:val="none" w:sz="0" w:space="0" w:color="auto"/>
            <w:bottom w:val="none" w:sz="0" w:space="0" w:color="auto"/>
            <w:right w:val="none" w:sz="0" w:space="0" w:color="auto"/>
          </w:divBdr>
        </w:div>
        <w:div w:id="101534487">
          <w:marLeft w:val="0"/>
          <w:marRight w:val="0"/>
          <w:marTop w:val="0"/>
          <w:marBottom w:val="0"/>
          <w:divBdr>
            <w:top w:val="none" w:sz="0" w:space="0" w:color="auto"/>
            <w:left w:val="none" w:sz="0" w:space="0" w:color="auto"/>
            <w:bottom w:val="none" w:sz="0" w:space="0" w:color="auto"/>
            <w:right w:val="none" w:sz="0" w:space="0" w:color="auto"/>
          </w:divBdr>
        </w:div>
        <w:div w:id="1134064400">
          <w:marLeft w:val="0"/>
          <w:marRight w:val="0"/>
          <w:marTop w:val="0"/>
          <w:marBottom w:val="0"/>
          <w:divBdr>
            <w:top w:val="none" w:sz="0" w:space="0" w:color="auto"/>
            <w:left w:val="none" w:sz="0" w:space="0" w:color="auto"/>
            <w:bottom w:val="none" w:sz="0" w:space="0" w:color="auto"/>
            <w:right w:val="none" w:sz="0" w:space="0" w:color="auto"/>
          </w:divBdr>
        </w:div>
        <w:div w:id="1275212245">
          <w:marLeft w:val="0"/>
          <w:marRight w:val="0"/>
          <w:marTop w:val="0"/>
          <w:marBottom w:val="0"/>
          <w:divBdr>
            <w:top w:val="none" w:sz="0" w:space="0" w:color="auto"/>
            <w:left w:val="none" w:sz="0" w:space="0" w:color="auto"/>
            <w:bottom w:val="none" w:sz="0" w:space="0" w:color="auto"/>
            <w:right w:val="none" w:sz="0" w:space="0" w:color="auto"/>
          </w:divBdr>
        </w:div>
        <w:div w:id="1567031478">
          <w:marLeft w:val="0"/>
          <w:marRight w:val="0"/>
          <w:marTop w:val="0"/>
          <w:marBottom w:val="0"/>
          <w:divBdr>
            <w:top w:val="none" w:sz="0" w:space="0" w:color="auto"/>
            <w:left w:val="none" w:sz="0" w:space="0" w:color="auto"/>
            <w:bottom w:val="none" w:sz="0" w:space="0" w:color="auto"/>
            <w:right w:val="none" w:sz="0" w:space="0" w:color="auto"/>
          </w:divBdr>
        </w:div>
        <w:div w:id="1138761317">
          <w:marLeft w:val="0"/>
          <w:marRight w:val="0"/>
          <w:marTop w:val="0"/>
          <w:marBottom w:val="0"/>
          <w:divBdr>
            <w:top w:val="none" w:sz="0" w:space="0" w:color="auto"/>
            <w:left w:val="none" w:sz="0" w:space="0" w:color="auto"/>
            <w:bottom w:val="none" w:sz="0" w:space="0" w:color="auto"/>
            <w:right w:val="none" w:sz="0" w:space="0" w:color="auto"/>
          </w:divBdr>
        </w:div>
        <w:div w:id="286543865">
          <w:marLeft w:val="0"/>
          <w:marRight w:val="0"/>
          <w:marTop w:val="0"/>
          <w:marBottom w:val="0"/>
          <w:divBdr>
            <w:top w:val="none" w:sz="0" w:space="0" w:color="auto"/>
            <w:left w:val="none" w:sz="0" w:space="0" w:color="auto"/>
            <w:bottom w:val="none" w:sz="0" w:space="0" w:color="auto"/>
            <w:right w:val="none" w:sz="0" w:space="0" w:color="auto"/>
          </w:divBdr>
        </w:div>
        <w:div w:id="852262467">
          <w:marLeft w:val="0"/>
          <w:marRight w:val="0"/>
          <w:marTop w:val="0"/>
          <w:marBottom w:val="0"/>
          <w:divBdr>
            <w:top w:val="none" w:sz="0" w:space="0" w:color="auto"/>
            <w:left w:val="none" w:sz="0" w:space="0" w:color="auto"/>
            <w:bottom w:val="none" w:sz="0" w:space="0" w:color="auto"/>
            <w:right w:val="none" w:sz="0" w:space="0" w:color="auto"/>
          </w:divBdr>
        </w:div>
        <w:div w:id="1984389455">
          <w:marLeft w:val="0"/>
          <w:marRight w:val="0"/>
          <w:marTop w:val="0"/>
          <w:marBottom w:val="0"/>
          <w:divBdr>
            <w:top w:val="none" w:sz="0" w:space="0" w:color="auto"/>
            <w:left w:val="none" w:sz="0" w:space="0" w:color="auto"/>
            <w:bottom w:val="none" w:sz="0" w:space="0" w:color="auto"/>
            <w:right w:val="none" w:sz="0" w:space="0" w:color="auto"/>
          </w:divBdr>
        </w:div>
        <w:div w:id="902645112">
          <w:marLeft w:val="0"/>
          <w:marRight w:val="0"/>
          <w:marTop w:val="0"/>
          <w:marBottom w:val="0"/>
          <w:divBdr>
            <w:top w:val="none" w:sz="0" w:space="0" w:color="auto"/>
            <w:left w:val="none" w:sz="0" w:space="0" w:color="auto"/>
            <w:bottom w:val="none" w:sz="0" w:space="0" w:color="auto"/>
            <w:right w:val="none" w:sz="0" w:space="0" w:color="auto"/>
          </w:divBdr>
        </w:div>
        <w:div w:id="658190852">
          <w:marLeft w:val="0"/>
          <w:marRight w:val="0"/>
          <w:marTop w:val="0"/>
          <w:marBottom w:val="0"/>
          <w:divBdr>
            <w:top w:val="none" w:sz="0" w:space="0" w:color="auto"/>
            <w:left w:val="none" w:sz="0" w:space="0" w:color="auto"/>
            <w:bottom w:val="none" w:sz="0" w:space="0" w:color="auto"/>
            <w:right w:val="none" w:sz="0" w:space="0" w:color="auto"/>
          </w:divBdr>
        </w:div>
        <w:div w:id="1195925065">
          <w:marLeft w:val="0"/>
          <w:marRight w:val="0"/>
          <w:marTop w:val="0"/>
          <w:marBottom w:val="0"/>
          <w:divBdr>
            <w:top w:val="none" w:sz="0" w:space="0" w:color="auto"/>
            <w:left w:val="none" w:sz="0" w:space="0" w:color="auto"/>
            <w:bottom w:val="none" w:sz="0" w:space="0" w:color="auto"/>
            <w:right w:val="none" w:sz="0" w:space="0" w:color="auto"/>
          </w:divBdr>
        </w:div>
        <w:div w:id="884367913">
          <w:marLeft w:val="0"/>
          <w:marRight w:val="0"/>
          <w:marTop w:val="0"/>
          <w:marBottom w:val="0"/>
          <w:divBdr>
            <w:top w:val="none" w:sz="0" w:space="0" w:color="auto"/>
            <w:left w:val="none" w:sz="0" w:space="0" w:color="auto"/>
            <w:bottom w:val="none" w:sz="0" w:space="0" w:color="auto"/>
            <w:right w:val="none" w:sz="0" w:space="0" w:color="auto"/>
          </w:divBdr>
        </w:div>
        <w:div w:id="1417750897">
          <w:marLeft w:val="0"/>
          <w:marRight w:val="0"/>
          <w:marTop w:val="0"/>
          <w:marBottom w:val="0"/>
          <w:divBdr>
            <w:top w:val="none" w:sz="0" w:space="0" w:color="auto"/>
            <w:left w:val="none" w:sz="0" w:space="0" w:color="auto"/>
            <w:bottom w:val="none" w:sz="0" w:space="0" w:color="auto"/>
            <w:right w:val="none" w:sz="0" w:space="0" w:color="auto"/>
          </w:divBdr>
        </w:div>
        <w:div w:id="1552568910">
          <w:marLeft w:val="0"/>
          <w:marRight w:val="0"/>
          <w:marTop w:val="0"/>
          <w:marBottom w:val="0"/>
          <w:divBdr>
            <w:top w:val="none" w:sz="0" w:space="0" w:color="auto"/>
            <w:left w:val="none" w:sz="0" w:space="0" w:color="auto"/>
            <w:bottom w:val="none" w:sz="0" w:space="0" w:color="auto"/>
            <w:right w:val="none" w:sz="0" w:space="0" w:color="auto"/>
          </w:divBdr>
        </w:div>
        <w:div w:id="347488488">
          <w:marLeft w:val="0"/>
          <w:marRight w:val="0"/>
          <w:marTop w:val="0"/>
          <w:marBottom w:val="0"/>
          <w:divBdr>
            <w:top w:val="none" w:sz="0" w:space="0" w:color="auto"/>
            <w:left w:val="none" w:sz="0" w:space="0" w:color="auto"/>
            <w:bottom w:val="none" w:sz="0" w:space="0" w:color="auto"/>
            <w:right w:val="none" w:sz="0" w:space="0" w:color="auto"/>
          </w:divBdr>
        </w:div>
        <w:div w:id="823007740">
          <w:marLeft w:val="0"/>
          <w:marRight w:val="0"/>
          <w:marTop w:val="0"/>
          <w:marBottom w:val="0"/>
          <w:divBdr>
            <w:top w:val="none" w:sz="0" w:space="0" w:color="auto"/>
            <w:left w:val="none" w:sz="0" w:space="0" w:color="auto"/>
            <w:bottom w:val="none" w:sz="0" w:space="0" w:color="auto"/>
            <w:right w:val="none" w:sz="0" w:space="0" w:color="auto"/>
          </w:divBdr>
        </w:div>
        <w:div w:id="1877697199">
          <w:marLeft w:val="0"/>
          <w:marRight w:val="0"/>
          <w:marTop w:val="0"/>
          <w:marBottom w:val="0"/>
          <w:divBdr>
            <w:top w:val="none" w:sz="0" w:space="0" w:color="auto"/>
            <w:left w:val="none" w:sz="0" w:space="0" w:color="auto"/>
            <w:bottom w:val="none" w:sz="0" w:space="0" w:color="auto"/>
            <w:right w:val="none" w:sz="0" w:space="0" w:color="auto"/>
          </w:divBdr>
        </w:div>
        <w:div w:id="187447434">
          <w:marLeft w:val="0"/>
          <w:marRight w:val="0"/>
          <w:marTop w:val="0"/>
          <w:marBottom w:val="0"/>
          <w:divBdr>
            <w:top w:val="none" w:sz="0" w:space="0" w:color="auto"/>
            <w:left w:val="none" w:sz="0" w:space="0" w:color="auto"/>
            <w:bottom w:val="none" w:sz="0" w:space="0" w:color="auto"/>
            <w:right w:val="none" w:sz="0" w:space="0" w:color="auto"/>
          </w:divBdr>
        </w:div>
        <w:div w:id="715349660">
          <w:marLeft w:val="0"/>
          <w:marRight w:val="0"/>
          <w:marTop w:val="0"/>
          <w:marBottom w:val="0"/>
          <w:divBdr>
            <w:top w:val="none" w:sz="0" w:space="0" w:color="auto"/>
            <w:left w:val="none" w:sz="0" w:space="0" w:color="auto"/>
            <w:bottom w:val="none" w:sz="0" w:space="0" w:color="auto"/>
            <w:right w:val="none" w:sz="0" w:space="0" w:color="auto"/>
          </w:divBdr>
        </w:div>
        <w:div w:id="590815437">
          <w:marLeft w:val="0"/>
          <w:marRight w:val="0"/>
          <w:marTop w:val="0"/>
          <w:marBottom w:val="0"/>
          <w:divBdr>
            <w:top w:val="none" w:sz="0" w:space="0" w:color="auto"/>
            <w:left w:val="none" w:sz="0" w:space="0" w:color="auto"/>
            <w:bottom w:val="none" w:sz="0" w:space="0" w:color="auto"/>
            <w:right w:val="none" w:sz="0" w:space="0" w:color="auto"/>
          </w:divBdr>
        </w:div>
        <w:div w:id="1634483004">
          <w:marLeft w:val="0"/>
          <w:marRight w:val="0"/>
          <w:marTop w:val="0"/>
          <w:marBottom w:val="0"/>
          <w:divBdr>
            <w:top w:val="none" w:sz="0" w:space="0" w:color="auto"/>
            <w:left w:val="none" w:sz="0" w:space="0" w:color="auto"/>
            <w:bottom w:val="none" w:sz="0" w:space="0" w:color="auto"/>
            <w:right w:val="none" w:sz="0" w:space="0" w:color="auto"/>
          </w:divBdr>
        </w:div>
        <w:div w:id="316957252">
          <w:marLeft w:val="0"/>
          <w:marRight w:val="0"/>
          <w:marTop w:val="0"/>
          <w:marBottom w:val="0"/>
          <w:divBdr>
            <w:top w:val="none" w:sz="0" w:space="0" w:color="auto"/>
            <w:left w:val="none" w:sz="0" w:space="0" w:color="auto"/>
            <w:bottom w:val="none" w:sz="0" w:space="0" w:color="auto"/>
            <w:right w:val="none" w:sz="0" w:space="0" w:color="auto"/>
          </w:divBdr>
        </w:div>
        <w:div w:id="1640694611">
          <w:marLeft w:val="0"/>
          <w:marRight w:val="0"/>
          <w:marTop w:val="0"/>
          <w:marBottom w:val="0"/>
          <w:divBdr>
            <w:top w:val="none" w:sz="0" w:space="0" w:color="auto"/>
            <w:left w:val="none" w:sz="0" w:space="0" w:color="auto"/>
            <w:bottom w:val="none" w:sz="0" w:space="0" w:color="auto"/>
            <w:right w:val="none" w:sz="0" w:space="0" w:color="auto"/>
          </w:divBdr>
        </w:div>
        <w:div w:id="35853928">
          <w:marLeft w:val="0"/>
          <w:marRight w:val="0"/>
          <w:marTop w:val="0"/>
          <w:marBottom w:val="0"/>
          <w:divBdr>
            <w:top w:val="none" w:sz="0" w:space="0" w:color="auto"/>
            <w:left w:val="none" w:sz="0" w:space="0" w:color="auto"/>
            <w:bottom w:val="none" w:sz="0" w:space="0" w:color="auto"/>
            <w:right w:val="none" w:sz="0" w:space="0" w:color="auto"/>
          </w:divBdr>
        </w:div>
        <w:div w:id="264196610">
          <w:marLeft w:val="0"/>
          <w:marRight w:val="0"/>
          <w:marTop w:val="0"/>
          <w:marBottom w:val="0"/>
          <w:divBdr>
            <w:top w:val="none" w:sz="0" w:space="0" w:color="auto"/>
            <w:left w:val="none" w:sz="0" w:space="0" w:color="auto"/>
            <w:bottom w:val="none" w:sz="0" w:space="0" w:color="auto"/>
            <w:right w:val="none" w:sz="0" w:space="0" w:color="auto"/>
          </w:divBdr>
        </w:div>
        <w:div w:id="1242830833">
          <w:marLeft w:val="0"/>
          <w:marRight w:val="0"/>
          <w:marTop w:val="0"/>
          <w:marBottom w:val="0"/>
          <w:divBdr>
            <w:top w:val="none" w:sz="0" w:space="0" w:color="auto"/>
            <w:left w:val="none" w:sz="0" w:space="0" w:color="auto"/>
            <w:bottom w:val="none" w:sz="0" w:space="0" w:color="auto"/>
            <w:right w:val="none" w:sz="0" w:space="0" w:color="auto"/>
          </w:divBdr>
        </w:div>
        <w:div w:id="117650336">
          <w:marLeft w:val="0"/>
          <w:marRight w:val="0"/>
          <w:marTop w:val="0"/>
          <w:marBottom w:val="0"/>
          <w:divBdr>
            <w:top w:val="none" w:sz="0" w:space="0" w:color="auto"/>
            <w:left w:val="none" w:sz="0" w:space="0" w:color="auto"/>
            <w:bottom w:val="none" w:sz="0" w:space="0" w:color="auto"/>
            <w:right w:val="none" w:sz="0" w:space="0" w:color="auto"/>
          </w:divBdr>
        </w:div>
        <w:div w:id="266275099">
          <w:marLeft w:val="0"/>
          <w:marRight w:val="0"/>
          <w:marTop w:val="0"/>
          <w:marBottom w:val="0"/>
          <w:divBdr>
            <w:top w:val="none" w:sz="0" w:space="0" w:color="auto"/>
            <w:left w:val="none" w:sz="0" w:space="0" w:color="auto"/>
            <w:bottom w:val="none" w:sz="0" w:space="0" w:color="auto"/>
            <w:right w:val="none" w:sz="0" w:space="0" w:color="auto"/>
          </w:divBdr>
        </w:div>
        <w:div w:id="1746029097">
          <w:marLeft w:val="0"/>
          <w:marRight w:val="0"/>
          <w:marTop w:val="0"/>
          <w:marBottom w:val="0"/>
          <w:divBdr>
            <w:top w:val="none" w:sz="0" w:space="0" w:color="auto"/>
            <w:left w:val="none" w:sz="0" w:space="0" w:color="auto"/>
            <w:bottom w:val="none" w:sz="0" w:space="0" w:color="auto"/>
            <w:right w:val="none" w:sz="0" w:space="0" w:color="auto"/>
          </w:divBdr>
        </w:div>
        <w:div w:id="787118201">
          <w:marLeft w:val="0"/>
          <w:marRight w:val="0"/>
          <w:marTop w:val="0"/>
          <w:marBottom w:val="0"/>
          <w:divBdr>
            <w:top w:val="none" w:sz="0" w:space="0" w:color="auto"/>
            <w:left w:val="none" w:sz="0" w:space="0" w:color="auto"/>
            <w:bottom w:val="none" w:sz="0" w:space="0" w:color="auto"/>
            <w:right w:val="none" w:sz="0" w:space="0" w:color="auto"/>
          </w:divBdr>
        </w:div>
        <w:div w:id="2021420715">
          <w:marLeft w:val="0"/>
          <w:marRight w:val="0"/>
          <w:marTop w:val="0"/>
          <w:marBottom w:val="0"/>
          <w:divBdr>
            <w:top w:val="none" w:sz="0" w:space="0" w:color="auto"/>
            <w:left w:val="none" w:sz="0" w:space="0" w:color="auto"/>
            <w:bottom w:val="none" w:sz="0" w:space="0" w:color="auto"/>
            <w:right w:val="none" w:sz="0" w:space="0" w:color="auto"/>
          </w:divBdr>
        </w:div>
        <w:div w:id="1315990610">
          <w:marLeft w:val="0"/>
          <w:marRight w:val="0"/>
          <w:marTop w:val="0"/>
          <w:marBottom w:val="0"/>
          <w:divBdr>
            <w:top w:val="none" w:sz="0" w:space="0" w:color="auto"/>
            <w:left w:val="none" w:sz="0" w:space="0" w:color="auto"/>
            <w:bottom w:val="none" w:sz="0" w:space="0" w:color="auto"/>
            <w:right w:val="none" w:sz="0" w:space="0" w:color="auto"/>
          </w:divBdr>
        </w:div>
        <w:div w:id="667099381">
          <w:marLeft w:val="0"/>
          <w:marRight w:val="0"/>
          <w:marTop w:val="0"/>
          <w:marBottom w:val="0"/>
          <w:divBdr>
            <w:top w:val="none" w:sz="0" w:space="0" w:color="auto"/>
            <w:left w:val="none" w:sz="0" w:space="0" w:color="auto"/>
            <w:bottom w:val="none" w:sz="0" w:space="0" w:color="auto"/>
            <w:right w:val="none" w:sz="0" w:space="0" w:color="auto"/>
          </w:divBdr>
        </w:div>
        <w:div w:id="1747460349">
          <w:marLeft w:val="0"/>
          <w:marRight w:val="0"/>
          <w:marTop w:val="0"/>
          <w:marBottom w:val="0"/>
          <w:divBdr>
            <w:top w:val="none" w:sz="0" w:space="0" w:color="auto"/>
            <w:left w:val="none" w:sz="0" w:space="0" w:color="auto"/>
            <w:bottom w:val="none" w:sz="0" w:space="0" w:color="auto"/>
            <w:right w:val="none" w:sz="0" w:space="0" w:color="auto"/>
          </w:divBdr>
        </w:div>
        <w:div w:id="656959338">
          <w:marLeft w:val="0"/>
          <w:marRight w:val="0"/>
          <w:marTop w:val="0"/>
          <w:marBottom w:val="0"/>
          <w:divBdr>
            <w:top w:val="none" w:sz="0" w:space="0" w:color="auto"/>
            <w:left w:val="none" w:sz="0" w:space="0" w:color="auto"/>
            <w:bottom w:val="none" w:sz="0" w:space="0" w:color="auto"/>
            <w:right w:val="none" w:sz="0" w:space="0" w:color="auto"/>
          </w:divBdr>
        </w:div>
        <w:div w:id="2018849088">
          <w:marLeft w:val="0"/>
          <w:marRight w:val="0"/>
          <w:marTop w:val="0"/>
          <w:marBottom w:val="0"/>
          <w:divBdr>
            <w:top w:val="none" w:sz="0" w:space="0" w:color="auto"/>
            <w:left w:val="none" w:sz="0" w:space="0" w:color="auto"/>
            <w:bottom w:val="none" w:sz="0" w:space="0" w:color="auto"/>
            <w:right w:val="none" w:sz="0" w:space="0" w:color="auto"/>
          </w:divBdr>
        </w:div>
        <w:div w:id="136263323">
          <w:marLeft w:val="0"/>
          <w:marRight w:val="0"/>
          <w:marTop w:val="0"/>
          <w:marBottom w:val="0"/>
          <w:divBdr>
            <w:top w:val="none" w:sz="0" w:space="0" w:color="auto"/>
            <w:left w:val="none" w:sz="0" w:space="0" w:color="auto"/>
            <w:bottom w:val="none" w:sz="0" w:space="0" w:color="auto"/>
            <w:right w:val="none" w:sz="0" w:space="0" w:color="auto"/>
          </w:divBdr>
        </w:div>
        <w:div w:id="59719758">
          <w:marLeft w:val="0"/>
          <w:marRight w:val="0"/>
          <w:marTop w:val="0"/>
          <w:marBottom w:val="0"/>
          <w:divBdr>
            <w:top w:val="none" w:sz="0" w:space="0" w:color="auto"/>
            <w:left w:val="none" w:sz="0" w:space="0" w:color="auto"/>
            <w:bottom w:val="none" w:sz="0" w:space="0" w:color="auto"/>
            <w:right w:val="none" w:sz="0" w:space="0" w:color="auto"/>
          </w:divBdr>
        </w:div>
      </w:divsChild>
    </w:div>
    <w:div w:id="173694359">
      <w:bodyDiv w:val="1"/>
      <w:marLeft w:val="0"/>
      <w:marRight w:val="0"/>
      <w:marTop w:val="0"/>
      <w:marBottom w:val="0"/>
      <w:divBdr>
        <w:top w:val="none" w:sz="0" w:space="0" w:color="auto"/>
        <w:left w:val="none" w:sz="0" w:space="0" w:color="auto"/>
        <w:bottom w:val="none" w:sz="0" w:space="0" w:color="auto"/>
        <w:right w:val="none" w:sz="0" w:space="0" w:color="auto"/>
      </w:divBdr>
    </w:div>
    <w:div w:id="216671727">
      <w:bodyDiv w:val="1"/>
      <w:marLeft w:val="0"/>
      <w:marRight w:val="0"/>
      <w:marTop w:val="0"/>
      <w:marBottom w:val="0"/>
      <w:divBdr>
        <w:top w:val="none" w:sz="0" w:space="0" w:color="auto"/>
        <w:left w:val="none" w:sz="0" w:space="0" w:color="auto"/>
        <w:bottom w:val="none" w:sz="0" w:space="0" w:color="auto"/>
        <w:right w:val="none" w:sz="0" w:space="0" w:color="auto"/>
      </w:divBdr>
    </w:div>
    <w:div w:id="347952464">
      <w:bodyDiv w:val="1"/>
      <w:marLeft w:val="0"/>
      <w:marRight w:val="0"/>
      <w:marTop w:val="0"/>
      <w:marBottom w:val="0"/>
      <w:divBdr>
        <w:top w:val="none" w:sz="0" w:space="0" w:color="auto"/>
        <w:left w:val="none" w:sz="0" w:space="0" w:color="auto"/>
        <w:bottom w:val="none" w:sz="0" w:space="0" w:color="auto"/>
        <w:right w:val="none" w:sz="0" w:space="0" w:color="auto"/>
      </w:divBdr>
    </w:div>
    <w:div w:id="704867579">
      <w:marLeft w:val="0"/>
      <w:marRight w:val="0"/>
      <w:marTop w:val="0"/>
      <w:marBottom w:val="0"/>
      <w:divBdr>
        <w:top w:val="none" w:sz="0" w:space="0" w:color="auto"/>
        <w:left w:val="none" w:sz="0" w:space="0" w:color="auto"/>
        <w:bottom w:val="none" w:sz="0" w:space="0" w:color="auto"/>
        <w:right w:val="none" w:sz="0" w:space="0" w:color="auto"/>
      </w:divBdr>
      <w:divsChild>
        <w:div w:id="704867585">
          <w:marLeft w:val="0"/>
          <w:marRight w:val="0"/>
          <w:marTop w:val="0"/>
          <w:marBottom w:val="0"/>
          <w:divBdr>
            <w:top w:val="none" w:sz="0" w:space="0" w:color="auto"/>
            <w:left w:val="none" w:sz="0" w:space="0" w:color="auto"/>
            <w:bottom w:val="none" w:sz="0" w:space="0" w:color="auto"/>
            <w:right w:val="none" w:sz="0" w:space="0" w:color="auto"/>
          </w:divBdr>
          <w:divsChild>
            <w:div w:id="704867583">
              <w:marLeft w:val="0"/>
              <w:marRight w:val="0"/>
              <w:marTop w:val="0"/>
              <w:marBottom w:val="0"/>
              <w:divBdr>
                <w:top w:val="none" w:sz="0" w:space="0" w:color="auto"/>
                <w:left w:val="none" w:sz="0" w:space="0" w:color="auto"/>
                <w:bottom w:val="none" w:sz="0" w:space="0" w:color="auto"/>
                <w:right w:val="none" w:sz="0" w:space="0" w:color="auto"/>
              </w:divBdr>
              <w:divsChild>
                <w:div w:id="704867586">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704867580">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sChild>
            <w:div w:id="704867581">
              <w:marLeft w:val="0"/>
              <w:marRight w:val="0"/>
              <w:marTop w:val="0"/>
              <w:marBottom w:val="0"/>
              <w:divBdr>
                <w:top w:val="none" w:sz="0" w:space="0" w:color="auto"/>
                <w:left w:val="none" w:sz="0" w:space="0" w:color="auto"/>
                <w:bottom w:val="none" w:sz="0" w:space="0" w:color="auto"/>
                <w:right w:val="none" w:sz="0" w:space="0" w:color="auto"/>
              </w:divBdr>
              <w:divsChild>
                <w:div w:id="704867584">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1027177075">
      <w:bodyDiv w:val="1"/>
      <w:marLeft w:val="0"/>
      <w:marRight w:val="0"/>
      <w:marTop w:val="0"/>
      <w:marBottom w:val="0"/>
      <w:divBdr>
        <w:top w:val="none" w:sz="0" w:space="0" w:color="auto"/>
        <w:left w:val="none" w:sz="0" w:space="0" w:color="auto"/>
        <w:bottom w:val="none" w:sz="0" w:space="0" w:color="auto"/>
        <w:right w:val="none" w:sz="0" w:space="0" w:color="auto"/>
      </w:divBdr>
      <w:divsChild>
        <w:div w:id="800684656">
          <w:marLeft w:val="3600"/>
          <w:marRight w:val="450"/>
          <w:marTop w:val="375"/>
          <w:marBottom w:val="0"/>
          <w:divBdr>
            <w:top w:val="none" w:sz="0" w:space="0" w:color="auto"/>
            <w:left w:val="none" w:sz="0" w:space="0" w:color="auto"/>
            <w:bottom w:val="none" w:sz="0" w:space="0" w:color="auto"/>
            <w:right w:val="none" w:sz="0" w:space="0" w:color="auto"/>
          </w:divBdr>
        </w:div>
      </w:divsChild>
    </w:div>
    <w:div w:id="1177039303">
      <w:bodyDiv w:val="1"/>
      <w:marLeft w:val="0"/>
      <w:marRight w:val="0"/>
      <w:marTop w:val="0"/>
      <w:marBottom w:val="0"/>
      <w:divBdr>
        <w:top w:val="none" w:sz="0" w:space="0" w:color="auto"/>
        <w:left w:val="none" w:sz="0" w:space="0" w:color="auto"/>
        <w:bottom w:val="none" w:sz="0" w:space="0" w:color="auto"/>
        <w:right w:val="none" w:sz="0" w:space="0" w:color="auto"/>
      </w:divBdr>
    </w:div>
    <w:div w:id="1283534247">
      <w:bodyDiv w:val="1"/>
      <w:marLeft w:val="0"/>
      <w:marRight w:val="0"/>
      <w:marTop w:val="0"/>
      <w:marBottom w:val="0"/>
      <w:divBdr>
        <w:top w:val="none" w:sz="0" w:space="0" w:color="auto"/>
        <w:left w:val="none" w:sz="0" w:space="0" w:color="auto"/>
        <w:bottom w:val="none" w:sz="0" w:space="0" w:color="auto"/>
        <w:right w:val="none" w:sz="0" w:space="0" w:color="auto"/>
      </w:divBdr>
    </w:div>
    <w:div w:id="1354301615">
      <w:bodyDiv w:val="1"/>
      <w:marLeft w:val="0"/>
      <w:marRight w:val="0"/>
      <w:marTop w:val="0"/>
      <w:marBottom w:val="0"/>
      <w:divBdr>
        <w:top w:val="none" w:sz="0" w:space="0" w:color="auto"/>
        <w:left w:val="none" w:sz="0" w:space="0" w:color="auto"/>
        <w:bottom w:val="none" w:sz="0" w:space="0" w:color="auto"/>
        <w:right w:val="none" w:sz="0" w:space="0" w:color="auto"/>
      </w:divBdr>
    </w:div>
    <w:div w:id="1434786113">
      <w:bodyDiv w:val="1"/>
      <w:marLeft w:val="0"/>
      <w:marRight w:val="0"/>
      <w:marTop w:val="0"/>
      <w:marBottom w:val="0"/>
      <w:divBdr>
        <w:top w:val="none" w:sz="0" w:space="0" w:color="auto"/>
        <w:left w:val="none" w:sz="0" w:space="0" w:color="auto"/>
        <w:bottom w:val="none" w:sz="0" w:space="0" w:color="auto"/>
        <w:right w:val="none" w:sz="0" w:space="0" w:color="auto"/>
      </w:divBdr>
    </w:div>
    <w:div w:id="1825663031">
      <w:bodyDiv w:val="1"/>
      <w:marLeft w:val="0"/>
      <w:marRight w:val="0"/>
      <w:marTop w:val="0"/>
      <w:marBottom w:val="0"/>
      <w:divBdr>
        <w:top w:val="none" w:sz="0" w:space="0" w:color="auto"/>
        <w:left w:val="none" w:sz="0" w:space="0" w:color="auto"/>
        <w:bottom w:val="none" w:sz="0" w:space="0" w:color="auto"/>
        <w:right w:val="none" w:sz="0" w:space="0" w:color="auto"/>
      </w:divBdr>
    </w:div>
    <w:div w:id="1870069880">
      <w:bodyDiv w:val="1"/>
      <w:marLeft w:val="0"/>
      <w:marRight w:val="0"/>
      <w:marTop w:val="0"/>
      <w:marBottom w:val="0"/>
      <w:divBdr>
        <w:top w:val="none" w:sz="0" w:space="0" w:color="auto"/>
        <w:left w:val="none" w:sz="0" w:space="0" w:color="auto"/>
        <w:bottom w:val="none" w:sz="0" w:space="0" w:color="auto"/>
        <w:right w:val="none" w:sz="0" w:space="0" w:color="auto"/>
      </w:divBdr>
    </w:div>
    <w:div w:id="1960798090">
      <w:bodyDiv w:val="1"/>
      <w:marLeft w:val="0"/>
      <w:marRight w:val="0"/>
      <w:marTop w:val="0"/>
      <w:marBottom w:val="0"/>
      <w:divBdr>
        <w:top w:val="none" w:sz="0" w:space="0" w:color="auto"/>
        <w:left w:val="none" w:sz="0" w:space="0" w:color="auto"/>
        <w:bottom w:val="none" w:sz="0" w:space="0" w:color="auto"/>
        <w:right w:val="none" w:sz="0" w:space="0" w:color="auto"/>
      </w:divBdr>
    </w:div>
    <w:div w:id="21042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vironment.act.gov.au/__data/assets/pdf_file/0006/1221657/EEIS-Review-Part-5-SWOT-report-ACCESSIBLE.pdf" TargetMode="Externa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vironment.act.gov.au/__data/assets/pdf_file/0017/1221524/EEIS-Review-Part-4-Empirical-analysis-ACCESSIBLE.pdf" TargetMode="External"/><Relationship Id="rId17" Type="http://schemas.openxmlformats.org/officeDocument/2006/relationships/hyperlink" Target="https://www.environment.act.gov.au/__data/assets/pdf_file/0004/1500817/Energy-Efficiency-Improvement-Scheme-RIS-Extension-until-203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nment.act.gov.au/__data/assets/pdf_file/0017/1220570/Part-3-Comparative-analysi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nvironment.act.gov.au/__data/assets/pdf_file/0003/1221528/EEIS-Review-Part-7-Stakeholder-consultation-report-ACCESSIBLE.pdf" TargetMode="External"/><Relationship Id="rId23" Type="http://schemas.openxmlformats.org/officeDocument/2006/relationships/header" Target="header3.xml"/><Relationship Id="rId10" Type="http://schemas.openxmlformats.org/officeDocument/2006/relationships/hyperlink" Target="https://www.environment.act.gov.au/__data/assets/pdf_file/0015/1221540/Part-2-Overview-ACCESSIBLE.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vironment.act.gov.au/__data/assets/pdf_file/0020/1221527/EEIS-Review-Part-1-Executive-Summary-ACCESSIBLE.pdf" TargetMode="External"/><Relationship Id="rId14" Type="http://schemas.openxmlformats.org/officeDocument/2006/relationships/hyperlink" Target="https://www.environment.act.gov.au/__data/assets/pdf_file/0007/1221658/EEIS-Review-Part-6-CBA-report-ACCESSIBLE.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vironment.act.gov.au/__data/assets/pdf_file/0020/1221527/EEIS-Review-Part-1-Executive-Summary-ACCESSIBLE.pdf" TargetMode="External"/><Relationship Id="rId13" Type="http://schemas.openxmlformats.org/officeDocument/2006/relationships/hyperlink" Target="https://www.icrc.act.gov.au/energy/electricity" TargetMode="External"/><Relationship Id="rId3" Type="http://schemas.openxmlformats.org/officeDocument/2006/relationships/hyperlink" Target="https://www.environment.act.gov.au/energy/smarter-use-of-energy/energy-efficiency-improvement-scheme/publications" TargetMode="External"/><Relationship Id="rId7" Type="http://schemas.openxmlformats.org/officeDocument/2006/relationships/hyperlink" Target="http://www.pointadvisory.com/" TargetMode="External"/><Relationship Id="rId12" Type="http://schemas.openxmlformats.org/officeDocument/2006/relationships/hyperlink" Target="https://www.environment.act.gov.au/__data/assets/pdf_file/0008/1164806/2015-Regulatory-Impact-Satement-EEIS-Parameters-to-2020-FINAL.pdf" TargetMode="External"/><Relationship Id="rId2" Type="http://schemas.openxmlformats.org/officeDocument/2006/relationships/hyperlink" Target="http://www.environment.act.gov.au/__data/assets/pdf_file/0005/1299047/Consultation-Report-for-an-Energy-Efficiency-Improvement-Scheme-Extension-A18099269.pdf" TargetMode="External"/><Relationship Id="rId1" Type="http://schemas.openxmlformats.org/officeDocument/2006/relationships/hyperlink" Target="https://www.environment.act.gov.au/energy/smarter-use-of-energy/energy-efficiency-improvement-scheme/publications" TargetMode="External"/><Relationship Id="rId6" Type="http://schemas.openxmlformats.org/officeDocument/2006/relationships/hyperlink" Target="https://www.legislation.act.gov.au/b/db_51862/" TargetMode="External"/><Relationship Id="rId11" Type="http://schemas.openxmlformats.org/officeDocument/2006/relationships/hyperlink" Target="https://www.environment.act.gov.au/__data/assets/pdf_file/0020/1221527/EEIS-Review-Part-1-Executive-Summary-ACCESSIBLE.pdf" TargetMode="External"/><Relationship Id="rId5" Type="http://schemas.openxmlformats.org/officeDocument/2006/relationships/hyperlink" Target="https://www.environment.act.gov.au/__data/assets/pdf_file/0003/642315/ACT-EEIS-Review-Final-Report.pdf" TargetMode="External"/><Relationship Id="rId15" Type="http://schemas.openxmlformats.org/officeDocument/2006/relationships/hyperlink" Target="https://www.icrc.act.gov.au/__data/assets/pdf_file/0003/1372773/Report-6-of-2019-Electricity-Price-Reset-2019-20.pdf" TargetMode="External"/><Relationship Id="rId10" Type="http://schemas.openxmlformats.org/officeDocument/2006/relationships/hyperlink" Target="https://www.environment.act.gov.au/energy/smarter-use-of-energy/energy-efficiency-improvement-scheme/publications" TargetMode="External"/><Relationship Id="rId4" Type="http://schemas.openxmlformats.org/officeDocument/2006/relationships/hyperlink" Target="https://www.environment.act.gov.au/cc/act-climate-change-strategy" TargetMode="External"/><Relationship Id="rId9" Type="http://schemas.openxmlformats.org/officeDocument/2006/relationships/hyperlink" Target="https://www.environment.act.gov.au/__data/assets/pdf_file/0020/1221527/EEIS-Review-Part-1-Executive-Summary-ACCESSIBLE.pdf" TargetMode="External"/><Relationship Id="rId14" Type="http://schemas.openxmlformats.org/officeDocument/2006/relationships/hyperlink" Target="https://www.icrc.act.gov.au/__data/assets/pdf_file/0011/1369190/Report-5-of-2019-Electricity-Model-and-Methodology-Review-Final-Report.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20wild-river\Objective\Home\objective_8030\su%20wild-river\Objects\20190528%20-%20EEIS%20extension%20RIS%20graphs%20(A1992885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01554864357652"/>
          <c:y val="0.13871900715707064"/>
          <c:w val="0.62172997812236186"/>
          <c:h val="0.6889635396681002"/>
        </c:manualLayout>
      </c:layout>
      <c:barChart>
        <c:barDir val="col"/>
        <c:grouping val="clustered"/>
        <c:varyColors val="0"/>
        <c:ser>
          <c:idx val="0"/>
          <c:order val="0"/>
          <c:tx>
            <c:strRef>
              <c:f>benefitcost!$B$13</c:f>
              <c:strCache>
                <c:ptCount val="1"/>
                <c:pt idx="0">
                  <c:v>Scheme costs</c:v>
                </c:pt>
              </c:strCache>
            </c:strRef>
          </c:tx>
          <c:spPr>
            <a:solidFill>
              <a:schemeClr val="accent1"/>
            </a:solidFill>
            <a:ln>
              <a:solidFill>
                <a:schemeClr val="accent1"/>
              </a:solidFill>
            </a:ln>
            <a:effectLst/>
          </c:spPr>
          <c:invertIfNegative val="0"/>
          <c:dPt>
            <c:idx val="5"/>
            <c:invertIfNegative val="0"/>
            <c:bubble3D val="0"/>
            <c:spPr>
              <a:pattFill prst="ltUpDiag">
                <a:fgClr>
                  <a:schemeClr val="accent1"/>
                </a:fgClr>
                <a:bgClr>
                  <a:schemeClr val="bg1"/>
                </a:bgClr>
              </a:pattFill>
              <a:ln>
                <a:solidFill>
                  <a:schemeClr val="accent1"/>
                </a:solidFill>
              </a:ln>
              <a:effectLst/>
            </c:spPr>
            <c:extLst>
              <c:ext xmlns:c16="http://schemas.microsoft.com/office/drawing/2014/chart" uri="{C3380CC4-5D6E-409C-BE32-E72D297353CC}">
                <c16:uniqueId val="{00000001-FD67-40EE-8915-FE485D845266}"/>
              </c:ext>
            </c:extLst>
          </c:dPt>
          <c:cat>
            <c:numRef>
              <c:f>benefitcost!$C$12:$H$12</c:f>
              <c:numCache>
                <c:formatCode>General</c:formatCode>
                <c:ptCount val="6"/>
                <c:pt idx="0">
                  <c:v>2013</c:v>
                </c:pt>
                <c:pt idx="1">
                  <c:v>2014</c:v>
                </c:pt>
                <c:pt idx="2">
                  <c:v>2015</c:v>
                </c:pt>
                <c:pt idx="3">
                  <c:v>2016</c:v>
                </c:pt>
                <c:pt idx="4">
                  <c:v>2017</c:v>
                </c:pt>
                <c:pt idx="5">
                  <c:v>2018</c:v>
                </c:pt>
              </c:numCache>
            </c:numRef>
          </c:cat>
          <c:val>
            <c:numRef>
              <c:f>benefitcost!$C$13:$H$13</c:f>
              <c:numCache>
                <c:formatCode>_-"$"* #,##0_-;\-"$"* #,##0_-;_-"$"* "-"??_-;_-@_-</c:formatCode>
                <c:ptCount val="6"/>
                <c:pt idx="0">
                  <c:v>9473128.6999999993</c:v>
                </c:pt>
                <c:pt idx="1">
                  <c:v>13153897.129999999</c:v>
                </c:pt>
                <c:pt idx="2">
                  <c:v>13102967.029999999</c:v>
                </c:pt>
                <c:pt idx="3">
                  <c:v>8779768.2028800007</c:v>
                </c:pt>
                <c:pt idx="4">
                  <c:v>16270429.580851201</c:v>
                </c:pt>
                <c:pt idx="5">
                  <c:v>16727306.350655999</c:v>
                </c:pt>
              </c:numCache>
            </c:numRef>
          </c:val>
          <c:extLst>
            <c:ext xmlns:c16="http://schemas.microsoft.com/office/drawing/2014/chart" uri="{C3380CC4-5D6E-409C-BE32-E72D297353CC}">
              <c16:uniqueId val="{00000002-FD67-40EE-8915-FE485D845266}"/>
            </c:ext>
          </c:extLst>
        </c:ser>
        <c:ser>
          <c:idx val="1"/>
          <c:order val="1"/>
          <c:tx>
            <c:strRef>
              <c:f>benefitcost!$B$14</c:f>
              <c:strCache>
                <c:ptCount val="1"/>
                <c:pt idx="0">
                  <c:v>Scheme benefits (lifetime)</c:v>
                </c:pt>
              </c:strCache>
            </c:strRef>
          </c:tx>
          <c:spPr>
            <a:solidFill>
              <a:schemeClr val="accent2"/>
            </a:solidFill>
            <a:ln>
              <a:solidFill>
                <a:schemeClr val="accent2"/>
              </a:solidFill>
            </a:ln>
            <a:effectLst/>
          </c:spPr>
          <c:invertIfNegative val="0"/>
          <c:dPt>
            <c:idx val="5"/>
            <c:invertIfNegative val="0"/>
            <c:bubble3D val="0"/>
            <c:spPr>
              <a:pattFill prst="ltUpDiag">
                <a:fgClr>
                  <a:schemeClr val="accent2"/>
                </a:fgClr>
                <a:bgClr>
                  <a:schemeClr val="bg1"/>
                </a:bgClr>
              </a:pattFill>
              <a:ln>
                <a:solidFill>
                  <a:schemeClr val="accent2"/>
                </a:solidFill>
              </a:ln>
              <a:effectLst/>
            </c:spPr>
            <c:extLst>
              <c:ext xmlns:c16="http://schemas.microsoft.com/office/drawing/2014/chart" uri="{C3380CC4-5D6E-409C-BE32-E72D297353CC}">
                <c16:uniqueId val="{00000004-FD67-40EE-8915-FE485D845266}"/>
              </c:ext>
            </c:extLst>
          </c:dPt>
          <c:cat>
            <c:numRef>
              <c:f>benefitcost!$C$12:$H$12</c:f>
              <c:numCache>
                <c:formatCode>General</c:formatCode>
                <c:ptCount val="6"/>
                <c:pt idx="0">
                  <c:v>2013</c:v>
                </c:pt>
                <c:pt idx="1">
                  <c:v>2014</c:v>
                </c:pt>
                <c:pt idx="2">
                  <c:v>2015</c:v>
                </c:pt>
                <c:pt idx="3">
                  <c:v>2016</c:v>
                </c:pt>
                <c:pt idx="4">
                  <c:v>2017</c:v>
                </c:pt>
                <c:pt idx="5">
                  <c:v>2018</c:v>
                </c:pt>
              </c:numCache>
            </c:numRef>
          </c:cat>
          <c:val>
            <c:numRef>
              <c:f>benefitcost!$C$14:$H$14</c:f>
              <c:numCache>
                <c:formatCode>_-"$"* #,##0_-;\-"$"* #,##0_-;_-"$"* "-"??_-;_-@_-</c:formatCode>
                <c:ptCount val="6"/>
                <c:pt idx="0">
                  <c:v>26346571.919218305</c:v>
                </c:pt>
                <c:pt idx="1">
                  <c:v>40215407.015075423</c:v>
                </c:pt>
                <c:pt idx="2">
                  <c:v>52897960.332217917</c:v>
                </c:pt>
                <c:pt idx="3">
                  <c:v>41701424.683335163</c:v>
                </c:pt>
                <c:pt idx="4">
                  <c:v>79099045.256944776</c:v>
                </c:pt>
                <c:pt idx="5">
                  <c:v>90000000</c:v>
                </c:pt>
              </c:numCache>
            </c:numRef>
          </c:val>
          <c:extLst>
            <c:ext xmlns:c16="http://schemas.microsoft.com/office/drawing/2014/chart" uri="{C3380CC4-5D6E-409C-BE32-E72D297353CC}">
              <c16:uniqueId val="{00000005-FD67-40EE-8915-FE485D845266}"/>
            </c:ext>
          </c:extLst>
        </c:ser>
        <c:dLbls>
          <c:showLegendKey val="0"/>
          <c:showVal val="0"/>
          <c:showCatName val="0"/>
          <c:showSerName val="0"/>
          <c:showPercent val="0"/>
          <c:showBubbleSize val="0"/>
        </c:dLbls>
        <c:gapWidth val="219"/>
        <c:overlap val="-27"/>
        <c:axId val="482995072"/>
        <c:axId val="482995464"/>
      </c:barChart>
      <c:catAx>
        <c:axId val="48299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95464"/>
        <c:crosses val="autoZero"/>
        <c:auto val="1"/>
        <c:lblAlgn val="ctr"/>
        <c:lblOffset val="100"/>
        <c:noMultiLvlLbl val="0"/>
      </c:catAx>
      <c:valAx>
        <c:axId val="48299546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82995072"/>
        <c:crosses val="autoZero"/>
        <c:crossBetween val="between"/>
      </c:valAx>
      <c:spPr>
        <a:noFill/>
        <a:ln>
          <a:noFill/>
        </a:ln>
        <a:effectLst/>
      </c:spPr>
    </c:plotArea>
    <c:legend>
      <c:legendPos val="b"/>
      <c:layout>
        <c:manualLayout>
          <c:xMode val="edge"/>
          <c:yMode val="edge"/>
          <c:x val="0.78941987360542876"/>
          <c:y val="0.30481499489201375"/>
          <c:w val="0.20918195635922479"/>
          <c:h val="0.182796113748625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3937007874016"/>
          <c:y val="0.24344569288389514"/>
          <c:w val="0.85090507436570428"/>
          <c:h val="0.59176029962546828"/>
        </c:manualLayout>
      </c:layout>
      <c:barChart>
        <c:barDir val="col"/>
        <c:grouping val="clustered"/>
        <c:varyColors val="0"/>
        <c:ser>
          <c:idx val="0"/>
          <c:order val="0"/>
          <c:tx>
            <c:strRef>
              <c:f>Sheet1!$B$2:$H$2</c:f>
              <c:strCache>
                <c:ptCount val="7"/>
                <c:pt idx="0">
                  <c:v>8%</c:v>
                </c:pt>
                <c:pt idx="1">
                  <c:v>8.60%</c:v>
                </c:pt>
                <c:pt idx="2">
                  <c:v>9%</c:v>
                </c:pt>
                <c:pt idx="3">
                  <c:v>10%</c:v>
                </c:pt>
                <c:pt idx="4">
                  <c:v>11%</c:v>
                </c:pt>
                <c:pt idx="5">
                  <c:v>12%</c:v>
                </c:pt>
                <c:pt idx="6">
                  <c:v>13%</c:v>
                </c:pt>
              </c:strCache>
            </c:strRef>
          </c:tx>
          <c:spPr>
            <a:solidFill>
              <a:schemeClr val="accent1"/>
            </a:solidFill>
            <a:ln>
              <a:noFill/>
            </a:ln>
            <a:effectLst/>
          </c:spPr>
          <c:invertIfNegative val="0"/>
          <c:cat>
            <c:numRef>
              <c:f>Sheet1!$B$2:$H$2</c:f>
              <c:numCache>
                <c:formatCode>0.00%</c:formatCode>
                <c:ptCount val="7"/>
                <c:pt idx="0" formatCode="0%">
                  <c:v>0.08</c:v>
                </c:pt>
                <c:pt idx="1">
                  <c:v>8.5999999999999993E-2</c:v>
                </c:pt>
                <c:pt idx="2" formatCode="0%">
                  <c:v>0.09</c:v>
                </c:pt>
                <c:pt idx="3" formatCode="0%">
                  <c:v>0.1</c:v>
                </c:pt>
                <c:pt idx="4" formatCode="0%">
                  <c:v>0.11</c:v>
                </c:pt>
                <c:pt idx="5" formatCode="0%">
                  <c:v>0.12</c:v>
                </c:pt>
                <c:pt idx="6" formatCode="0%">
                  <c:v>0.13</c:v>
                </c:pt>
              </c:numCache>
            </c:numRef>
          </c:cat>
          <c:val>
            <c:numRef>
              <c:f>Sheet1!$B$18:$H$18</c:f>
              <c:numCache>
                <c:formatCode>"$"#,##0.00_);[Red]\("$"#,##0.00\)</c:formatCode>
                <c:ptCount val="7"/>
                <c:pt idx="0">
                  <c:v>6.2</c:v>
                </c:pt>
                <c:pt idx="1">
                  <c:v>5.9</c:v>
                </c:pt>
                <c:pt idx="2">
                  <c:v>4.8</c:v>
                </c:pt>
                <c:pt idx="3">
                  <c:v>0.3</c:v>
                </c:pt>
                <c:pt idx="4">
                  <c:v>-4.7</c:v>
                </c:pt>
                <c:pt idx="5">
                  <c:v>-10.1</c:v>
                </c:pt>
                <c:pt idx="6">
                  <c:v>-15.9</c:v>
                </c:pt>
              </c:numCache>
            </c:numRef>
          </c:val>
          <c:extLst>
            <c:ext xmlns:c16="http://schemas.microsoft.com/office/drawing/2014/chart" uri="{C3380CC4-5D6E-409C-BE32-E72D297353CC}">
              <c16:uniqueId val="{00000000-C88D-47DB-A839-150D05BDB421}"/>
            </c:ext>
          </c:extLst>
        </c:ser>
        <c:dLbls>
          <c:showLegendKey val="0"/>
          <c:showVal val="0"/>
          <c:showCatName val="0"/>
          <c:showSerName val="0"/>
          <c:showPercent val="0"/>
          <c:showBubbleSize val="0"/>
        </c:dLbls>
        <c:gapWidth val="219"/>
        <c:overlap val="-27"/>
        <c:axId val="452381744"/>
        <c:axId val="452533856"/>
      </c:barChart>
      <c:catAx>
        <c:axId val="452381744"/>
        <c:scaling>
          <c:orientation val="minMax"/>
        </c:scaling>
        <c:delete val="0"/>
        <c:axPos val="b"/>
        <c:numFmt formatCode="0%"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533856"/>
        <c:crosses val="autoZero"/>
        <c:auto val="1"/>
        <c:lblAlgn val="ctr"/>
        <c:lblOffset val="100"/>
        <c:noMultiLvlLbl val="0"/>
      </c:catAx>
      <c:valAx>
        <c:axId val="452533856"/>
        <c:scaling>
          <c:orientation val="minMax"/>
          <c:max val="8"/>
          <c:min val="-16"/>
        </c:scaling>
        <c:delete val="0"/>
        <c:axPos val="l"/>
        <c:majorGridlines>
          <c:spPr>
            <a:ln w="9525" cap="flat" cmpd="sng" algn="ctr">
              <a:solidFill>
                <a:schemeClr val="tx1">
                  <a:lumMod val="15000"/>
                  <a:lumOff val="85000"/>
                </a:schemeClr>
              </a:solidFill>
              <a:round/>
            </a:ln>
            <a:effectLst/>
          </c:spPr>
        </c:majorGridlines>
        <c:numFmt formatCode="&quot;$&quot;#,##0_);[Red]\(&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381744"/>
        <c:crossesAt val="1"/>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0.80772</cdr:x>
      <cdr:y>0.50631</cdr:y>
    </cdr:from>
    <cdr:to>
      <cdr:x>0.95902</cdr:x>
      <cdr:y>0.63815</cdr:y>
    </cdr:to>
    <cdr:sp macro="" textlink="">
      <cdr:nvSpPr>
        <cdr:cNvPr id="2" name="TextBox 1"/>
        <cdr:cNvSpPr txBox="1"/>
      </cdr:nvSpPr>
      <cdr:spPr>
        <a:xfrm xmlns:a="http://schemas.openxmlformats.org/drawingml/2006/main">
          <a:off x="4881564" y="1719264"/>
          <a:ext cx="914400" cy="4476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t>Shaded bars added </a:t>
          </a:r>
        </a:p>
        <a:p xmlns:a="http://schemas.openxmlformats.org/drawingml/2006/main">
          <a:r>
            <a:rPr lang="en-AU" sz="900"/>
            <a:t>after Review</a:t>
          </a:r>
        </a:p>
      </cdr:txBody>
    </cdr:sp>
  </cdr:relSizeAnchor>
  <cdr:relSizeAnchor xmlns:cdr="http://schemas.openxmlformats.org/drawingml/2006/chartDrawing">
    <cdr:from>
      <cdr:x>0.00867</cdr:x>
      <cdr:y>0.29874</cdr:y>
    </cdr:from>
    <cdr:to>
      <cdr:x>0.06856</cdr:x>
      <cdr:y>0.6129</cdr:y>
    </cdr:to>
    <cdr:sp macro="" textlink="">
      <cdr:nvSpPr>
        <cdr:cNvPr id="3" name="TextBox 1"/>
        <cdr:cNvSpPr txBox="1"/>
      </cdr:nvSpPr>
      <cdr:spPr>
        <a:xfrm xmlns:a="http://schemas.openxmlformats.org/drawingml/2006/main" rot="16200000">
          <a:off x="-300035" y="1366838"/>
          <a:ext cx="1066800" cy="3619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Costs and benefits</a:t>
          </a:r>
        </a:p>
      </cdr:txBody>
    </cdr:sp>
  </cdr:relSizeAnchor>
</c:userShapes>
</file>

<file path=word/drawings/drawing2.xml><?xml version="1.0" encoding="utf-8"?>
<c:userShapes xmlns:c="http://schemas.openxmlformats.org/drawingml/2006/chart">
  <cdr:relSizeAnchor xmlns:cdr="http://schemas.openxmlformats.org/drawingml/2006/chartDrawing">
    <cdr:from>
      <cdr:x>0.0375</cdr:x>
      <cdr:y>0.04213</cdr:y>
    </cdr:from>
    <cdr:to>
      <cdr:x>0.95833</cdr:x>
      <cdr:y>0.14326</cdr:y>
    </cdr:to>
    <cdr:sp macro="" textlink="">
      <cdr:nvSpPr>
        <cdr:cNvPr id="2" name="TextBox 1">
          <a:extLst xmlns:a="http://schemas.openxmlformats.org/drawingml/2006/main">
            <a:ext uri="{FF2B5EF4-FFF2-40B4-BE49-F238E27FC236}">
              <a16:creationId xmlns:a16="http://schemas.microsoft.com/office/drawing/2014/main" id="{E4448C6A-4A94-4500-BDA5-134520FF1DFA}"/>
            </a:ext>
          </a:extLst>
        </cdr:cNvPr>
        <cdr:cNvSpPr txBox="1"/>
      </cdr:nvSpPr>
      <cdr:spPr>
        <a:xfrm xmlns:a="http://schemas.openxmlformats.org/drawingml/2006/main">
          <a:off x="171449" y="142875"/>
          <a:ext cx="4210051"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400" b="1"/>
            <a:t>Net Present Value projections</a:t>
          </a:r>
          <a:r>
            <a:rPr lang="en-AU" sz="1400" b="1" baseline="0"/>
            <a:t> by level of ambition ($M)</a:t>
          </a:r>
          <a:endParaRPr lang="en-AU" sz="14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53DD2-22A6-48D6-87E0-41666032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5010</Words>
  <Characters>27287</Characters>
  <Application>Microsoft Office Word</Application>
  <DocSecurity>0</DocSecurity>
  <Lines>604</Lines>
  <Paragraphs>285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2019-06-26T08:28:00Z</cp:lastPrinted>
  <dcterms:created xsi:type="dcterms:W3CDTF">2020-07-26T23:33:00Z</dcterms:created>
  <dcterms:modified xsi:type="dcterms:W3CDTF">2020-07-26T23:33:00Z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A24300179</vt:lpwstr>
  </property>
  <property fmtid="{D5CDD505-2E9C-101B-9397-08002B2CF9AE}" pid="3" name="Objective-Title">
    <vt:lpwstr>Att L - Impact Statement - Energy Savings Target</vt:lpwstr>
  </property>
  <property fmtid="{D5CDD505-2E9C-101B-9397-08002B2CF9AE}" pid="4" name="Objective-Comment">
    <vt:lpwstr/>
  </property>
  <property fmtid="{D5CDD505-2E9C-101B-9397-08002B2CF9AE}" pid="5" name="Objective-CreationStamp">
    <vt:filetime>2019-12-12T10:01:06Z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2020-06-26T05:20:45Z</vt:filetime>
  </property>
  <property fmtid="{D5CDD505-2E9C-101B-9397-08002B2CF9AE}" pid="9" name="Objective-ModificationStamp">
    <vt:filetime>2020-06-29T20:18:34Z</vt:filetime>
  </property>
  <property fmtid="{D5CDD505-2E9C-101B-9397-08002B2CF9AE}" pid="10" name="Objective-Owner">
    <vt:lpwstr>Antonia Harmer</vt:lpwstr>
  </property>
  <property fmtid="{D5CDD505-2E9C-101B-9397-08002B2CF9AE}" pid="11"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2" name="Objective-Parent">
    <vt:lpwstr>20/16403 Ministerial-Information Brief - Instruments for notification for the Energy Efficiency Improvement Scheme</vt:lpwstr>
  </property>
  <property fmtid="{D5CDD505-2E9C-101B-9397-08002B2CF9AE}" pid="13" name="Objective-State">
    <vt:lpwstr>Published</vt:lpwstr>
  </property>
  <property fmtid="{D5CDD505-2E9C-101B-9397-08002B2CF9AE}" pid="14" name="Objective-Version">
    <vt:lpwstr>20.0</vt:lpwstr>
  </property>
  <property fmtid="{D5CDD505-2E9C-101B-9397-08002B2CF9AE}" pid="15" name="Objective-VersionNumber">
    <vt:r8>47</vt:r8>
  </property>
  <property fmtid="{D5CDD505-2E9C-101B-9397-08002B2CF9AE}" pid="16" name="Objective-VersionComment">
    <vt:lpwstr/>
  </property>
  <property fmtid="{D5CDD505-2E9C-101B-9397-08002B2CF9AE}" pid="17" name="Objective-FileNumber">
    <vt:lpwstr>1-2020/16403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